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31653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31655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31657_73709187">
            <w:r>
              <w:rPr>
                <w:webHidden/>
                <w:rStyle w:val="IndexLink"/>
                <w:rtl w:val="true"/>
              </w:rPr>
              <w:t>[</w:t>
            </w:r>
            <w:r>
              <w:rPr>
                <w:rStyle w:val="IndexLink"/>
                <w:rtl w:val="true"/>
              </w:rPr>
              <w:t>تتمة كتاب الفراق</w:t>
            </w:r>
            <w:r>
              <w:rPr>
                <w:rStyle w:val="IndexLink"/>
                <w:rtl w:val="true"/>
              </w:rPr>
              <w:t>]</w:t>
              <w:tab/>
            </w:r>
            <w:r>
              <w:rPr>
                <w:rStyle w:val="IndexLink"/>
              </w:rPr>
              <w:t>11</w:t>
            </w:r>
          </w:hyperlink>
        </w:p>
        <w:p>
          <w:pPr>
            <w:pStyle w:val="Contents3"/>
            <w:tabs>
              <w:tab w:val="clear" w:pos="8459"/>
              <w:tab w:val="right" w:pos="9026" w:leader="dot"/>
            </w:tabs>
            <w:rPr/>
          </w:pPr>
          <w:hyperlink w:anchor="__RefHeading___Toc11131659_73709187">
            <w:r>
              <w:rPr>
                <w:webHidden/>
                <w:rStyle w:val="IndexLink"/>
                <w:rtl w:val="true"/>
              </w:rPr>
              <w:t>الفصلُ الخامس في الظهار</w:t>
            </w:r>
            <w:r>
              <w:rPr>
                <w:rStyle w:val="IndexLink"/>
                <w:rtl w:val="true"/>
              </w:rPr>
              <w:tab/>
            </w:r>
            <w:r>
              <w:rPr>
                <w:rStyle w:val="IndexLink"/>
              </w:rPr>
              <w:t>11</w:t>
            </w:r>
          </w:hyperlink>
        </w:p>
        <w:p>
          <w:pPr>
            <w:pStyle w:val="Contents4"/>
            <w:tabs>
              <w:tab w:val="clear" w:pos="8176"/>
              <w:tab w:val="right" w:pos="9026" w:leader="dot"/>
            </w:tabs>
            <w:rPr/>
          </w:pPr>
          <w:hyperlink w:anchor="__RefHeading___Toc11131661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1131663_73709187">
            <w:r>
              <w:rPr>
                <w:webHidden/>
                <w:rStyle w:val="IndexLink"/>
                <w:rtl w:val="true"/>
              </w:rPr>
              <w:t>صيغة الظهار</w:t>
            </w:r>
            <w:r>
              <w:rPr>
                <w:rStyle w:val="IndexLink"/>
                <w:rtl w:val="true"/>
              </w:rPr>
              <w:tab/>
            </w:r>
            <w:r>
              <w:rPr>
                <w:rStyle w:val="IndexLink"/>
              </w:rPr>
              <w:t>14</w:t>
            </w:r>
          </w:hyperlink>
        </w:p>
        <w:p>
          <w:pPr>
            <w:pStyle w:val="Contents4"/>
            <w:tabs>
              <w:tab w:val="clear" w:pos="8176"/>
              <w:tab w:val="right" w:pos="9026" w:leader="dot"/>
            </w:tabs>
            <w:rPr/>
          </w:pPr>
          <w:hyperlink w:anchor="__RefHeading___Toc11131665_73709187">
            <w:r>
              <w:rPr>
                <w:webHidden/>
                <w:rStyle w:val="IndexLink"/>
                <w:rtl w:val="true"/>
              </w:rPr>
              <w:t>حكم التشبيه بغير ظهر الأُمّ من سائر أجزائها</w:t>
            </w:r>
            <w:r>
              <w:rPr>
                <w:rStyle w:val="IndexLink"/>
                <w:rtl w:val="true"/>
              </w:rPr>
              <w:tab/>
            </w:r>
            <w:r>
              <w:rPr>
                <w:rStyle w:val="IndexLink"/>
              </w:rPr>
              <w:t>20</w:t>
            </w:r>
          </w:hyperlink>
        </w:p>
        <w:p>
          <w:pPr>
            <w:pStyle w:val="Contents4"/>
            <w:tabs>
              <w:tab w:val="clear" w:pos="8176"/>
              <w:tab w:val="right" w:pos="9026" w:leader="dot"/>
            </w:tabs>
            <w:rPr/>
          </w:pPr>
          <w:hyperlink w:anchor="__RefHeading___Toc11131667_73709187">
            <w:r>
              <w:rPr>
                <w:webHidden/>
                <w:rStyle w:val="IndexLink"/>
                <w:rtl w:val="true"/>
              </w:rPr>
              <w:t>شرائط وقوع الظهار</w:t>
            </w:r>
            <w:r>
              <w:rPr>
                <w:rStyle w:val="IndexLink"/>
                <w:rtl w:val="true"/>
              </w:rPr>
              <w:tab/>
            </w:r>
            <w:r>
              <w:rPr>
                <w:rStyle w:val="IndexLink"/>
              </w:rPr>
              <w:t>27</w:t>
            </w:r>
          </w:hyperlink>
        </w:p>
        <w:p>
          <w:pPr>
            <w:pStyle w:val="Contents4"/>
            <w:tabs>
              <w:tab w:val="clear" w:pos="8176"/>
              <w:tab w:val="right" w:pos="9026" w:leader="dot"/>
            </w:tabs>
            <w:rPr/>
          </w:pPr>
          <w:hyperlink w:anchor="__RefHeading___Toc11131669_73709187">
            <w:r>
              <w:rPr>
                <w:webHidden/>
                <w:rStyle w:val="IndexLink"/>
                <w:rtl w:val="true"/>
              </w:rPr>
              <w:t>ما يعتبر في المظاهرة</w:t>
            </w:r>
            <w:r>
              <w:rPr>
                <w:rStyle w:val="IndexLink"/>
                <w:rtl w:val="true"/>
              </w:rPr>
              <w:tab/>
            </w:r>
            <w:r>
              <w:rPr>
                <w:rStyle w:val="IndexLink"/>
              </w:rPr>
              <w:t>30</w:t>
            </w:r>
          </w:hyperlink>
        </w:p>
        <w:p>
          <w:pPr>
            <w:pStyle w:val="Contents4"/>
            <w:tabs>
              <w:tab w:val="clear" w:pos="8176"/>
              <w:tab w:val="right" w:pos="9026" w:leader="dot"/>
            </w:tabs>
            <w:rPr/>
          </w:pPr>
          <w:hyperlink w:anchor="__RefHeading___Toc11131671_73709187">
            <w:r>
              <w:rPr>
                <w:webHidden/>
                <w:rStyle w:val="IndexLink"/>
                <w:rtl w:val="true"/>
              </w:rPr>
              <w:t>تعليق الظهار على الشرط</w:t>
            </w:r>
            <w:r>
              <w:rPr>
                <w:rStyle w:val="IndexLink"/>
                <w:rtl w:val="true"/>
              </w:rPr>
              <w:tab/>
            </w:r>
            <w:r>
              <w:rPr>
                <w:rStyle w:val="IndexLink"/>
              </w:rPr>
              <w:t>35</w:t>
            </w:r>
          </w:hyperlink>
        </w:p>
        <w:p>
          <w:pPr>
            <w:pStyle w:val="Contents4"/>
            <w:tabs>
              <w:tab w:val="clear" w:pos="8176"/>
              <w:tab w:val="right" w:pos="9026" w:leader="dot"/>
            </w:tabs>
            <w:rPr/>
          </w:pPr>
          <w:hyperlink w:anchor="__RefHeading___Toc11131673_73709187">
            <w:r>
              <w:rPr>
                <w:webHidden/>
                <w:rStyle w:val="IndexLink"/>
                <w:rtl w:val="true"/>
              </w:rPr>
              <w:t>حكم ما لو قيّد الظهار بمدَّة معيّنة</w:t>
            </w:r>
            <w:r>
              <w:rPr>
                <w:rStyle w:val="IndexLink"/>
                <w:rtl w:val="true"/>
              </w:rPr>
              <w:tab/>
            </w:r>
            <w:r>
              <w:rPr>
                <w:rStyle w:val="IndexLink"/>
              </w:rPr>
              <w:t>39</w:t>
            </w:r>
          </w:hyperlink>
        </w:p>
        <w:p>
          <w:pPr>
            <w:pStyle w:val="Contents4"/>
            <w:tabs>
              <w:tab w:val="clear" w:pos="8176"/>
              <w:tab w:val="right" w:pos="9026" w:leader="dot"/>
            </w:tabs>
            <w:rPr/>
          </w:pPr>
          <w:hyperlink w:anchor="__RefHeading___Toc11131675_73709187">
            <w:r>
              <w:rPr>
                <w:webHidden/>
                <w:rStyle w:val="IndexLink"/>
                <w:rtl w:val="true"/>
              </w:rPr>
              <w:t>عدم وجوب الكفّارة بمجرّد الظهار</w:t>
            </w:r>
            <w:r>
              <w:rPr>
                <w:rStyle w:val="IndexLink"/>
                <w:rtl w:val="true"/>
              </w:rPr>
              <w:tab/>
            </w:r>
            <w:r>
              <w:rPr>
                <w:rStyle w:val="IndexLink"/>
              </w:rPr>
              <w:t>45</w:t>
            </w:r>
          </w:hyperlink>
        </w:p>
        <w:p>
          <w:pPr>
            <w:pStyle w:val="Contents4"/>
            <w:tabs>
              <w:tab w:val="clear" w:pos="8176"/>
              <w:tab w:val="right" w:pos="9026" w:leader="dot"/>
            </w:tabs>
            <w:rPr/>
          </w:pPr>
          <w:hyperlink w:anchor="__RefHeading___Toc11131677_73709187">
            <w:r>
              <w:rPr>
                <w:webHidden/>
                <w:rStyle w:val="IndexLink"/>
                <w:rtl w:val="true"/>
              </w:rPr>
              <w:t>حكم ما لو طلّق المظاهِر رجعيّاً ثمّ راجعها</w:t>
            </w:r>
            <w:r>
              <w:rPr>
                <w:rStyle w:val="IndexLink"/>
                <w:rtl w:val="true"/>
              </w:rPr>
              <w:tab/>
            </w:r>
            <w:r>
              <w:rPr>
                <w:rStyle w:val="IndexLink"/>
              </w:rPr>
              <w:t>51</w:t>
            </w:r>
          </w:hyperlink>
        </w:p>
        <w:p>
          <w:pPr>
            <w:pStyle w:val="Contents4"/>
            <w:tabs>
              <w:tab w:val="clear" w:pos="8176"/>
              <w:tab w:val="right" w:pos="9026" w:leader="dot"/>
            </w:tabs>
            <w:rPr/>
          </w:pPr>
          <w:hyperlink w:anchor="__RefHeading___Toc11131679_73709187">
            <w:r>
              <w:rPr>
                <w:webHidden/>
                <w:rStyle w:val="IndexLink"/>
                <w:rtl w:val="true"/>
              </w:rPr>
              <w:t>وجوب كفّارةٍ اُخرى بالوطء قبل الكفّارة</w:t>
            </w:r>
            <w:r>
              <w:rPr>
                <w:rStyle w:val="IndexLink"/>
                <w:rtl w:val="true"/>
              </w:rPr>
              <w:tab/>
            </w:r>
            <w:r>
              <w:rPr>
                <w:rStyle w:val="IndexLink"/>
              </w:rPr>
              <w:t>56</w:t>
            </w:r>
          </w:hyperlink>
        </w:p>
        <w:p>
          <w:pPr>
            <w:pStyle w:val="Contents4"/>
            <w:tabs>
              <w:tab w:val="clear" w:pos="8176"/>
              <w:tab w:val="right" w:pos="9026" w:leader="dot"/>
            </w:tabs>
            <w:rPr/>
          </w:pPr>
          <w:hyperlink w:anchor="__RefHeading___Toc11131681_73709187">
            <w:r>
              <w:rPr>
                <w:webHidden/>
                <w:rStyle w:val="IndexLink"/>
                <w:rtl w:val="true"/>
              </w:rPr>
              <w:t>تكرّر الكفّارة بتكرّر الوطء</w:t>
            </w:r>
            <w:r>
              <w:rPr>
                <w:rStyle w:val="IndexLink"/>
                <w:rtl w:val="true"/>
              </w:rPr>
              <w:tab/>
            </w:r>
            <w:r>
              <w:rPr>
                <w:rStyle w:val="IndexLink"/>
              </w:rPr>
              <w:t>59</w:t>
            </w:r>
          </w:hyperlink>
        </w:p>
        <w:p>
          <w:pPr>
            <w:pStyle w:val="Contents4"/>
            <w:tabs>
              <w:tab w:val="clear" w:pos="8176"/>
              <w:tab w:val="right" w:pos="9026" w:leader="dot"/>
            </w:tabs>
            <w:rPr/>
          </w:pPr>
          <w:hyperlink w:anchor="__RefHeading___Toc11131683_73709187">
            <w:r>
              <w:rPr>
                <w:webHidden/>
                <w:rStyle w:val="IndexLink"/>
                <w:rtl w:val="true"/>
              </w:rPr>
              <w:t>حكم العاجز عن الكفّارة</w:t>
            </w:r>
            <w:r>
              <w:rPr>
                <w:rStyle w:val="IndexLink"/>
                <w:rtl w:val="true"/>
              </w:rPr>
              <w:tab/>
            </w:r>
            <w:r>
              <w:rPr>
                <w:rStyle w:val="IndexLink"/>
              </w:rPr>
              <w:t>61</w:t>
            </w:r>
          </w:hyperlink>
        </w:p>
        <w:p>
          <w:pPr>
            <w:pStyle w:val="Contents4"/>
            <w:tabs>
              <w:tab w:val="clear" w:pos="8176"/>
              <w:tab w:val="right" w:pos="9026" w:leader="dot"/>
            </w:tabs>
            <w:rPr/>
          </w:pPr>
          <w:hyperlink w:anchor="__RefHeading___Toc11131685_73709187">
            <w:r>
              <w:rPr>
                <w:webHidden/>
                <w:rStyle w:val="IndexLink"/>
                <w:rtl w:val="true"/>
              </w:rPr>
              <w:t>رفع المظاهِرة أمرها إلى الحاكم</w:t>
            </w:r>
            <w:r>
              <w:rPr>
                <w:rStyle w:val="IndexLink"/>
                <w:rtl w:val="true"/>
              </w:rPr>
              <w:tab/>
            </w:r>
            <w:r>
              <w:rPr>
                <w:rStyle w:val="IndexLink"/>
              </w:rPr>
              <w:t>65</w:t>
            </w:r>
          </w:hyperlink>
        </w:p>
        <w:p>
          <w:pPr>
            <w:pStyle w:val="Contents4"/>
            <w:tabs>
              <w:tab w:val="clear" w:pos="8176"/>
              <w:tab w:val="right" w:pos="9026" w:leader="dot"/>
            </w:tabs>
            <w:rPr/>
          </w:pPr>
          <w:hyperlink w:anchor="__RefHeading___Toc11131687_73709187">
            <w:r>
              <w:rPr>
                <w:webHidden/>
                <w:rStyle w:val="IndexLink"/>
                <w:rtl w:val="true"/>
              </w:rPr>
              <w:t>حكم ما لو ظاهر من زوجاته المتعدِّدة بلفظٍ واحد</w:t>
            </w:r>
            <w:r>
              <w:rPr>
                <w:rStyle w:val="IndexLink"/>
                <w:rtl w:val="true"/>
              </w:rPr>
              <w:tab/>
            </w:r>
            <w:r>
              <w:rPr>
                <w:rStyle w:val="IndexLink"/>
              </w:rPr>
              <w:t>68</w:t>
            </w:r>
          </w:hyperlink>
        </w:p>
        <w:p>
          <w:pPr>
            <w:pStyle w:val="Contents4"/>
            <w:tabs>
              <w:tab w:val="clear" w:pos="8176"/>
              <w:tab w:val="right" w:pos="9026" w:leader="dot"/>
            </w:tabs>
            <w:rPr/>
          </w:pPr>
          <w:hyperlink w:anchor="__RefHeading___Toc11131689_73709187">
            <w:r>
              <w:rPr>
                <w:webHidden/>
                <w:rStyle w:val="IndexLink"/>
                <w:rtl w:val="true"/>
              </w:rPr>
              <w:t>حكم ما دون الوطء من الاستمتاعات</w:t>
            </w:r>
            <w:r>
              <w:rPr>
                <w:rStyle w:val="IndexLink"/>
                <w:rtl w:val="true"/>
              </w:rPr>
              <w:tab/>
            </w:r>
            <w:r>
              <w:rPr>
                <w:rStyle w:val="IndexLink"/>
              </w:rPr>
              <w:t>74</w:t>
            </w:r>
          </w:hyperlink>
        </w:p>
        <w:p>
          <w:pPr>
            <w:pStyle w:val="Contents4"/>
            <w:tabs>
              <w:tab w:val="clear" w:pos="8176"/>
              <w:tab w:val="right" w:pos="9026" w:leader="dot"/>
            </w:tabs>
            <w:rPr/>
          </w:pPr>
          <w:hyperlink w:anchor="__RefHeading___Toc11131691_73709187">
            <w:r>
              <w:rPr>
                <w:webHidden/>
                <w:rStyle w:val="IndexLink"/>
                <w:rtl w:val="true"/>
              </w:rPr>
              <w:t>حكم الوطء خلال الصوم</w:t>
            </w:r>
            <w:r>
              <w:rPr>
                <w:rStyle w:val="IndexLink"/>
                <w:rtl w:val="true"/>
              </w:rPr>
              <w:tab/>
            </w:r>
            <w:r>
              <w:rPr>
                <w:rStyle w:val="IndexLink"/>
              </w:rPr>
              <w:t>76</w:t>
            </w:r>
          </w:hyperlink>
        </w:p>
        <w:p>
          <w:pPr>
            <w:pStyle w:val="Contents3"/>
            <w:tabs>
              <w:tab w:val="clear" w:pos="8459"/>
              <w:tab w:val="right" w:pos="9026" w:leader="dot"/>
            </w:tabs>
            <w:rPr/>
          </w:pPr>
          <w:hyperlink w:anchor="__RefHeading___Toc11131693_73709187">
            <w:r>
              <w:rPr>
                <w:webHidden/>
                <w:rStyle w:val="IndexLink"/>
                <w:rtl w:val="true"/>
              </w:rPr>
              <w:t>(</w:t>
            </w:r>
            <w:r>
              <w:rPr>
                <w:rStyle w:val="IndexLink"/>
                <w:rtl w:val="true"/>
              </w:rPr>
              <w:t>الفصل السادس</w:t>
            </w:r>
            <w:r>
              <w:rPr>
                <w:rStyle w:val="IndexLink"/>
                <w:rtl w:val="true"/>
              </w:rPr>
              <w:t>) (</w:t>
            </w:r>
            <w:r>
              <w:rPr>
                <w:rStyle w:val="IndexLink"/>
                <w:rtl w:val="true"/>
              </w:rPr>
              <w:t>في الإيلاء</w:t>
            </w:r>
            <w:r>
              <w:rPr>
                <w:rStyle w:val="IndexLink"/>
                <w:rtl w:val="true"/>
              </w:rPr>
              <w:t>)</w:t>
              <w:tab/>
            </w:r>
            <w:r>
              <w:rPr>
                <w:rStyle w:val="IndexLink"/>
              </w:rPr>
              <w:t>79</w:t>
            </w:r>
          </w:hyperlink>
        </w:p>
        <w:p>
          <w:pPr>
            <w:pStyle w:val="Contents4"/>
            <w:tabs>
              <w:tab w:val="clear" w:pos="8176"/>
              <w:tab w:val="right" w:pos="9026" w:leader="dot"/>
            </w:tabs>
            <w:rPr/>
          </w:pPr>
          <w:hyperlink w:anchor="__RefHeading___Toc11131695_7370918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131697_73709187">
            <w:r>
              <w:rPr>
                <w:webHidden/>
                <w:rStyle w:val="IndexLink"/>
                <w:rtl w:val="true"/>
              </w:rPr>
              <w:t>ما يعتبر في المؤلي والمُؤلى منها</w:t>
            </w:r>
            <w:r>
              <w:rPr>
                <w:rStyle w:val="IndexLink"/>
                <w:rtl w:val="true"/>
              </w:rPr>
              <w:tab/>
            </w:r>
            <w:r>
              <w:rPr>
                <w:rStyle w:val="IndexLink"/>
              </w:rPr>
              <w:t>85</w:t>
            </w:r>
          </w:hyperlink>
        </w:p>
        <w:p>
          <w:pPr>
            <w:pStyle w:val="Contents4"/>
            <w:tabs>
              <w:tab w:val="clear" w:pos="8176"/>
              <w:tab w:val="right" w:pos="9026" w:leader="dot"/>
            </w:tabs>
            <w:rPr/>
          </w:pPr>
          <w:hyperlink w:anchor="__RefHeading___Toc11131699_73709187">
            <w:r>
              <w:rPr>
                <w:webHidden/>
                <w:rStyle w:val="IndexLink"/>
                <w:rtl w:val="true"/>
              </w:rPr>
              <w:t>عدم وقوع الإيلاء لأربعة أشهر فما دون</w:t>
            </w:r>
            <w:r>
              <w:rPr>
                <w:rStyle w:val="IndexLink"/>
                <w:rtl w:val="true"/>
              </w:rPr>
              <w:tab/>
            </w:r>
            <w:r>
              <w:rPr>
                <w:rStyle w:val="IndexLink"/>
              </w:rPr>
              <w:t>88</w:t>
            </w:r>
          </w:hyperlink>
        </w:p>
        <w:p>
          <w:pPr>
            <w:pStyle w:val="Contents4"/>
            <w:tabs>
              <w:tab w:val="clear" w:pos="8176"/>
              <w:tab w:val="right" w:pos="9026" w:leader="dot"/>
            </w:tabs>
            <w:rPr/>
          </w:pPr>
          <w:hyperlink w:anchor="__RefHeading___Toc11131701_73709187">
            <w:r>
              <w:rPr>
                <w:webHidden/>
                <w:rStyle w:val="IndexLink"/>
                <w:rtl w:val="true"/>
              </w:rPr>
              <w:t>مدة التربّص</w:t>
            </w:r>
            <w:r>
              <w:rPr>
                <w:rStyle w:val="IndexLink"/>
                <w:rtl w:val="true"/>
              </w:rPr>
              <w:tab/>
            </w:r>
            <w:r>
              <w:rPr>
                <w:rStyle w:val="IndexLink"/>
              </w:rPr>
              <w:t>90</w:t>
            </w:r>
          </w:hyperlink>
        </w:p>
        <w:p>
          <w:pPr>
            <w:pStyle w:val="Contents4"/>
            <w:tabs>
              <w:tab w:val="clear" w:pos="8176"/>
              <w:tab w:val="right" w:pos="9026" w:leader="dot"/>
            </w:tabs>
            <w:rPr/>
          </w:pPr>
          <w:hyperlink w:anchor="__RefHeading___Toc11131703_73709187">
            <w:r>
              <w:rPr>
                <w:webHidden/>
                <w:rStyle w:val="IndexLink"/>
                <w:rtl w:val="true"/>
              </w:rPr>
              <w:t>انقضاء مدَّة التربّص</w:t>
            </w:r>
            <w:r>
              <w:rPr>
                <w:rStyle w:val="IndexLink"/>
                <w:rtl w:val="true"/>
              </w:rPr>
              <w:tab/>
            </w:r>
            <w:r>
              <w:rPr>
                <w:rStyle w:val="IndexLink"/>
              </w:rPr>
              <w:t>95</w:t>
            </w:r>
          </w:hyperlink>
        </w:p>
        <w:p>
          <w:pPr>
            <w:pStyle w:val="Contents4"/>
            <w:tabs>
              <w:tab w:val="clear" w:pos="8176"/>
              <w:tab w:val="right" w:pos="9026" w:leader="dot"/>
            </w:tabs>
            <w:rPr/>
          </w:pPr>
          <w:hyperlink w:anchor="__RefHeading___Toc11131705_73709187">
            <w:r>
              <w:rPr>
                <w:webHidden/>
                <w:rStyle w:val="IndexLink"/>
                <w:rtl w:val="true"/>
              </w:rPr>
              <w:t>طلاق المؤلي ليس بائناً</w:t>
            </w:r>
            <w:r>
              <w:rPr>
                <w:rStyle w:val="IndexLink"/>
                <w:rtl w:val="true"/>
              </w:rPr>
              <w:tab/>
            </w:r>
            <w:r>
              <w:rPr>
                <w:rStyle w:val="IndexLink"/>
              </w:rPr>
              <w:t>100</w:t>
            </w:r>
          </w:hyperlink>
        </w:p>
        <w:p>
          <w:pPr>
            <w:pStyle w:val="Contents4"/>
            <w:tabs>
              <w:tab w:val="clear" w:pos="8176"/>
              <w:tab w:val="right" w:pos="9026" w:leader="dot"/>
            </w:tabs>
            <w:rPr/>
          </w:pPr>
          <w:hyperlink w:anchor="__RefHeading___Toc11131707_73709187">
            <w:r>
              <w:rPr>
                <w:webHidden/>
                <w:rStyle w:val="IndexLink"/>
                <w:rtl w:val="true"/>
              </w:rPr>
              <w:t>فئة القادر</w:t>
            </w:r>
            <w:r>
              <w:rPr>
                <w:rStyle w:val="IndexLink"/>
                <w:rtl w:val="true"/>
              </w:rPr>
              <w:tab/>
            </w:r>
            <w:r>
              <w:rPr>
                <w:rStyle w:val="IndexLink"/>
              </w:rPr>
              <w:t>104</w:t>
            </w:r>
          </w:hyperlink>
        </w:p>
        <w:p>
          <w:pPr>
            <w:pStyle w:val="Contents4"/>
            <w:tabs>
              <w:tab w:val="clear" w:pos="8176"/>
              <w:tab w:val="right" w:pos="9026" w:leader="dot"/>
            </w:tabs>
            <w:rPr/>
          </w:pPr>
          <w:hyperlink w:anchor="__RefHeading___Toc11131709_73709187">
            <w:r>
              <w:rPr>
                <w:webHidden/>
                <w:rStyle w:val="IndexLink"/>
                <w:rtl w:val="true"/>
              </w:rPr>
              <w:t>لا تتكرّر الكفّارة بتكرّر اليمين</w:t>
            </w:r>
            <w:r>
              <w:rPr>
                <w:rStyle w:val="IndexLink"/>
                <w:rtl w:val="true"/>
              </w:rPr>
              <w:tab/>
            </w:r>
            <w:r>
              <w:rPr>
                <w:rStyle w:val="IndexLink"/>
              </w:rPr>
              <w:t>106</w:t>
            </w:r>
          </w:hyperlink>
        </w:p>
        <w:p>
          <w:pPr>
            <w:pStyle w:val="Contents4"/>
            <w:tabs>
              <w:tab w:val="clear" w:pos="8176"/>
              <w:tab w:val="right" w:pos="9026" w:leader="dot"/>
            </w:tabs>
            <w:rPr/>
          </w:pPr>
          <w:hyperlink w:anchor="__RefHeading___Toc11131711_73709187">
            <w:r>
              <w:rPr>
                <w:webHidden/>
                <w:rStyle w:val="IndexLink"/>
                <w:rtl w:val="true"/>
              </w:rPr>
              <w:t>حكم ما لو حَلف على ترك وطء الأربع</w:t>
            </w:r>
            <w:r>
              <w:rPr>
                <w:rStyle w:val="IndexLink"/>
                <w:rtl w:val="true"/>
              </w:rPr>
              <w:tab/>
            </w:r>
            <w:r>
              <w:rPr>
                <w:rStyle w:val="IndexLink"/>
              </w:rPr>
              <w:t>108</w:t>
            </w:r>
          </w:hyperlink>
        </w:p>
        <w:p>
          <w:pPr>
            <w:pStyle w:val="Contents3"/>
            <w:tabs>
              <w:tab w:val="clear" w:pos="8459"/>
              <w:tab w:val="right" w:pos="9026" w:leader="dot"/>
            </w:tabs>
            <w:rPr/>
          </w:pPr>
          <w:hyperlink w:anchor="__RefHeading___Toc11131713_73709187">
            <w:r>
              <w:rPr>
                <w:webHidden/>
                <w:rStyle w:val="IndexLink"/>
                <w:rtl w:val="true"/>
              </w:rPr>
              <w:t>(</w:t>
            </w:r>
            <w:r>
              <w:rPr>
                <w:rStyle w:val="IndexLink"/>
                <w:rtl w:val="true"/>
              </w:rPr>
              <w:t>الفصل السابع</w:t>
            </w:r>
            <w:r>
              <w:rPr>
                <w:rStyle w:val="IndexLink"/>
                <w:rtl w:val="true"/>
              </w:rPr>
              <w:t>) (</w:t>
            </w:r>
            <w:r>
              <w:rPr>
                <w:rStyle w:val="IndexLink"/>
                <w:rtl w:val="true"/>
              </w:rPr>
              <w:t>في اللِّعان</w:t>
            </w:r>
            <w:r>
              <w:rPr>
                <w:rStyle w:val="IndexLink"/>
                <w:rtl w:val="true"/>
              </w:rPr>
              <w:t>)</w:t>
              <w:tab/>
            </w:r>
            <w:r>
              <w:rPr>
                <w:rStyle w:val="IndexLink"/>
              </w:rPr>
              <w:t>111</w:t>
            </w:r>
          </w:hyperlink>
        </w:p>
        <w:p>
          <w:pPr>
            <w:pStyle w:val="Contents4"/>
            <w:tabs>
              <w:tab w:val="clear" w:pos="8176"/>
              <w:tab w:val="right" w:pos="9026" w:leader="dot"/>
            </w:tabs>
            <w:rPr/>
          </w:pPr>
          <w:hyperlink w:anchor="__RefHeading___Toc11131715_7370918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131717_73709187">
            <w:r>
              <w:rPr>
                <w:webHidden/>
                <w:rStyle w:val="IndexLink"/>
                <w:rtl w:val="true"/>
              </w:rPr>
              <w:t>سبب اللِّعان</w:t>
            </w:r>
            <w:r>
              <w:rPr>
                <w:rStyle w:val="IndexLink"/>
                <w:rtl w:val="true"/>
              </w:rPr>
              <w:tab/>
            </w:r>
            <w:r>
              <w:rPr>
                <w:rStyle w:val="IndexLink"/>
              </w:rPr>
              <w:t>112</w:t>
            </w:r>
          </w:hyperlink>
        </w:p>
        <w:p>
          <w:pPr>
            <w:pStyle w:val="Contents4"/>
            <w:tabs>
              <w:tab w:val="clear" w:pos="8176"/>
              <w:tab w:val="right" w:pos="9026" w:leader="dot"/>
            </w:tabs>
            <w:rPr/>
          </w:pPr>
          <w:hyperlink w:anchor="__RefHeading___Toc11131719_73709187">
            <w:r>
              <w:rPr>
                <w:webHidden/>
                <w:rStyle w:val="IndexLink"/>
                <w:rtl w:val="true"/>
              </w:rPr>
              <w:t>يعتبر أن يكون القذف بالزِّنا</w:t>
            </w:r>
            <w:r>
              <w:rPr>
                <w:rStyle w:val="IndexLink"/>
                <w:rtl w:val="true"/>
              </w:rPr>
              <w:tab/>
            </w:r>
            <w:r>
              <w:rPr>
                <w:rStyle w:val="IndexLink"/>
              </w:rPr>
              <w:t>118</w:t>
            </w:r>
          </w:hyperlink>
        </w:p>
        <w:p>
          <w:pPr>
            <w:pStyle w:val="Contents4"/>
            <w:tabs>
              <w:tab w:val="clear" w:pos="8176"/>
              <w:tab w:val="right" w:pos="9026" w:leader="dot"/>
            </w:tabs>
            <w:rPr/>
          </w:pPr>
          <w:hyperlink w:anchor="__RefHeading___Toc11131721_73709187">
            <w:r>
              <w:rPr>
                <w:webHidden/>
                <w:rStyle w:val="IndexLink"/>
                <w:rtl w:val="true"/>
              </w:rPr>
              <w:t>إنكار الولد</w:t>
            </w:r>
            <w:r>
              <w:rPr>
                <w:rStyle w:val="IndexLink"/>
                <w:rtl w:val="true"/>
              </w:rPr>
              <w:tab/>
            </w:r>
            <w:r>
              <w:rPr>
                <w:rStyle w:val="IndexLink"/>
              </w:rPr>
              <w:t>121</w:t>
            </w:r>
          </w:hyperlink>
        </w:p>
        <w:p>
          <w:pPr>
            <w:pStyle w:val="Contents4"/>
            <w:tabs>
              <w:tab w:val="clear" w:pos="8176"/>
              <w:tab w:val="right" w:pos="9026" w:leader="dot"/>
            </w:tabs>
            <w:rPr/>
          </w:pPr>
          <w:hyperlink w:anchor="__RefHeading___Toc11131723_73709187">
            <w:r>
              <w:rPr>
                <w:webHidden/>
                <w:rStyle w:val="IndexLink"/>
                <w:rtl w:val="true"/>
              </w:rPr>
              <w:t>اعتبار التكليف والإسلام في المُلاعن والملاعنة</w:t>
            </w:r>
            <w:r>
              <w:rPr>
                <w:rStyle w:val="IndexLink"/>
                <w:rtl w:val="true"/>
              </w:rPr>
              <w:tab/>
            </w:r>
            <w:r>
              <w:rPr>
                <w:rStyle w:val="IndexLink"/>
              </w:rPr>
              <w:t>125</w:t>
            </w:r>
          </w:hyperlink>
        </w:p>
        <w:p>
          <w:pPr>
            <w:pStyle w:val="Contents4"/>
            <w:tabs>
              <w:tab w:val="clear" w:pos="8176"/>
              <w:tab w:val="right" w:pos="9026" w:leader="dot"/>
            </w:tabs>
            <w:rPr/>
          </w:pPr>
          <w:hyperlink w:anchor="__RefHeading___Toc11131725_73709187">
            <w:r>
              <w:rPr>
                <w:webHidden/>
                <w:rStyle w:val="IndexLink"/>
                <w:rtl w:val="true"/>
              </w:rPr>
              <w:t>اعتبار دوام النكاح والدخول</w:t>
            </w:r>
            <w:r>
              <w:rPr>
                <w:rStyle w:val="IndexLink"/>
                <w:rtl w:val="true"/>
              </w:rPr>
              <w:tab/>
            </w:r>
            <w:r>
              <w:rPr>
                <w:rStyle w:val="IndexLink"/>
              </w:rPr>
              <w:t>128</w:t>
            </w:r>
          </w:hyperlink>
        </w:p>
        <w:p>
          <w:pPr>
            <w:pStyle w:val="Contents4"/>
            <w:tabs>
              <w:tab w:val="clear" w:pos="8176"/>
              <w:tab w:val="right" w:pos="9026" w:leader="dot"/>
            </w:tabs>
            <w:rPr/>
          </w:pPr>
          <w:hyperlink w:anchor="__RefHeading___Toc11131727_73709187">
            <w:r>
              <w:rPr>
                <w:webHidden/>
                <w:rStyle w:val="IndexLink"/>
                <w:rtl w:val="true"/>
              </w:rPr>
              <w:t>كيفيّة اللِّعان</w:t>
            </w:r>
            <w:r>
              <w:rPr>
                <w:rStyle w:val="IndexLink"/>
                <w:rtl w:val="true"/>
              </w:rPr>
              <w:tab/>
            </w:r>
            <w:r>
              <w:rPr>
                <w:rStyle w:val="IndexLink"/>
              </w:rPr>
              <w:t>134</w:t>
            </w:r>
          </w:hyperlink>
        </w:p>
        <w:p>
          <w:pPr>
            <w:pStyle w:val="Contents4"/>
            <w:tabs>
              <w:tab w:val="clear" w:pos="8176"/>
              <w:tab w:val="right" w:pos="9026" w:leader="dot"/>
            </w:tabs>
            <w:rPr/>
          </w:pPr>
          <w:hyperlink w:anchor="__RefHeading___Toc11131729_73709187">
            <w:r>
              <w:rPr>
                <w:webHidden/>
                <w:rStyle w:val="IndexLink"/>
                <w:rtl w:val="true"/>
              </w:rPr>
              <w:t>واجبات اللِّعان</w:t>
            </w:r>
            <w:r>
              <w:rPr>
                <w:rStyle w:val="IndexLink"/>
                <w:rtl w:val="true"/>
              </w:rPr>
              <w:tab/>
            </w:r>
            <w:r>
              <w:rPr>
                <w:rStyle w:val="IndexLink"/>
              </w:rPr>
              <w:t>138</w:t>
            </w:r>
          </w:hyperlink>
        </w:p>
        <w:p>
          <w:pPr>
            <w:pStyle w:val="Contents4"/>
            <w:tabs>
              <w:tab w:val="clear" w:pos="8176"/>
              <w:tab w:val="right" w:pos="9026" w:leader="dot"/>
            </w:tabs>
            <w:rPr/>
          </w:pPr>
          <w:hyperlink w:anchor="__RefHeading___Toc11131731_73709187">
            <w:r>
              <w:rPr>
                <w:webHidden/>
                <w:rStyle w:val="IndexLink"/>
                <w:rtl w:val="true"/>
              </w:rPr>
              <w:t>حكم تكذيب الملاعن نفسه</w:t>
            </w:r>
            <w:r>
              <w:rPr>
                <w:rStyle w:val="IndexLink"/>
                <w:rtl w:val="true"/>
              </w:rPr>
              <w:tab/>
            </w:r>
            <w:r>
              <w:rPr>
                <w:rStyle w:val="IndexLink"/>
              </w:rPr>
              <w:t>145</w:t>
            </w:r>
          </w:hyperlink>
        </w:p>
        <w:p>
          <w:pPr>
            <w:pStyle w:val="Contents4"/>
            <w:tabs>
              <w:tab w:val="clear" w:pos="8176"/>
              <w:tab w:val="right" w:pos="9026" w:leader="dot"/>
            </w:tabs>
            <w:rPr/>
          </w:pPr>
          <w:hyperlink w:anchor="__RefHeading___Toc11131733_73709187">
            <w:r>
              <w:rPr>
                <w:webHidden/>
                <w:rStyle w:val="IndexLink"/>
                <w:rtl w:val="true"/>
              </w:rPr>
              <w:t>ادّعاء المطلّقة الحمل من المُطلِّق</w:t>
            </w:r>
            <w:r>
              <w:rPr>
                <w:rStyle w:val="IndexLink"/>
                <w:rtl w:val="true"/>
              </w:rPr>
              <w:tab/>
            </w:r>
            <w:r>
              <w:rPr>
                <w:rStyle w:val="IndexLink"/>
              </w:rPr>
              <w:t>151</w:t>
            </w:r>
          </w:hyperlink>
        </w:p>
        <w:p>
          <w:pPr>
            <w:pStyle w:val="Contents4"/>
            <w:tabs>
              <w:tab w:val="clear" w:pos="8176"/>
              <w:tab w:val="right" w:pos="9026" w:leader="dot"/>
            </w:tabs>
            <w:rPr/>
          </w:pPr>
          <w:hyperlink w:anchor="__RefHeading___Toc11131735_73709187">
            <w:r>
              <w:rPr>
                <w:webHidden/>
                <w:rStyle w:val="IndexLink"/>
                <w:rtl w:val="true"/>
              </w:rPr>
              <w:t>حكم ما إذا قذف امرأته فماتت قبل اللِّعان</w:t>
            </w:r>
            <w:r>
              <w:rPr>
                <w:rStyle w:val="IndexLink"/>
                <w:rtl w:val="true"/>
              </w:rPr>
              <w:tab/>
            </w:r>
            <w:r>
              <w:rPr>
                <w:rStyle w:val="IndexLink"/>
              </w:rPr>
              <w:t>154</w:t>
            </w:r>
          </w:hyperlink>
        </w:p>
        <w:p>
          <w:pPr>
            <w:pStyle w:val="Contents2"/>
            <w:tabs>
              <w:tab w:val="clear" w:pos="8743"/>
              <w:tab w:val="right" w:pos="9026" w:leader="dot"/>
            </w:tabs>
            <w:rPr/>
          </w:pPr>
          <w:hyperlink w:anchor="__RefHeading___Toc11131737_73709187">
            <w:r>
              <w:rPr>
                <w:webHidden/>
                <w:rStyle w:val="IndexLink"/>
                <w:rtl w:val="true"/>
              </w:rPr>
              <w:t>(</w:t>
            </w:r>
            <w:r>
              <w:rPr>
                <w:rStyle w:val="IndexLink"/>
                <w:rtl w:val="true"/>
              </w:rPr>
              <w:t>كتاب الأيمان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1131739_73709187">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1131741_73709187">
            <w:r>
              <w:rPr>
                <w:webHidden/>
                <w:rStyle w:val="IndexLink"/>
                <w:rtl w:val="true"/>
              </w:rPr>
              <w:t>الفصل الأوّل في ما ينعقدُ به اليمين</w:t>
            </w:r>
            <w:r>
              <w:rPr>
                <w:rStyle w:val="IndexLink"/>
                <w:rtl w:val="true"/>
              </w:rPr>
              <w:tab/>
            </w:r>
            <w:r>
              <w:rPr>
                <w:rStyle w:val="IndexLink"/>
              </w:rPr>
              <w:t>165</w:t>
            </w:r>
          </w:hyperlink>
        </w:p>
        <w:p>
          <w:pPr>
            <w:pStyle w:val="Contents4"/>
            <w:tabs>
              <w:tab w:val="clear" w:pos="8176"/>
              <w:tab w:val="right" w:pos="9026" w:leader="dot"/>
            </w:tabs>
            <w:rPr/>
          </w:pPr>
          <w:hyperlink w:anchor="__RefHeading___Toc11131743_7370918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131745_73709187">
            <w:r>
              <w:rPr>
                <w:webHidden/>
                <w:rStyle w:val="IndexLink"/>
                <w:rtl w:val="true"/>
              </w:rPr>
              <w:t>أقسام اليمين باللّه تعالى وأحكامها</w:t>
            </w:r>
            <w:r>
              <w:rPr>
                <w:rStyle w:val="IndexLink"/>
                <w:rtl w:val="true"/>
              </w:rPr>
              <w:tab/>
            </w:r>
            <w:r>
              <w:rPr>
                <w:rStyle w:val="IndexLink"/>
              </w:rPr>
              <w:t>168</w:t>
            </w:r>
          </w:hyperlink>
        </w:p>
        <w:p>
          <w:pPr>
            <w:pStyle w:val="Contents4"/>
            <w:tabs>
              <w:tab w:val="clear" w:pos="8176"/>
              <w:tab w:val="right" w:pos="9026" w:leader="dot"/>
            </w:tabs>
            <w:rPr/>
          </w:pPr>
          <w:hyperlink w:anchor="__RefHeading___Toc11131747_73709187">
            <w:r>
              <w:rPr>
                <w:webHidden/>
                <w:rStyle w:val="IndexLink"/>
                <w:rtl w:val="true"/>
              </w:rPr>
              <w:t>فروع اليمين</w:t>
            </w:r>
            <w:r>
              <w:rPr>
                <w:rStyle w:val="IndexLink"/>
                <w:rtl w:val="true"/>
              </w:rPr>
              <w:tab/>
            </w:r>
            <w:r>
              <w:rPr>
                <w:rStyle w:val="IndexLink"/>
              </w:rPr>
              <w:t>170</w:t>
            </w:r>
          </w:hyperlink>
        </w:p>
        <w:p>
          <w:pPr>
            <w:pStyle w:val="Contents4"/>
            <w:tabs>
              <w:tab w:val="clear" w:pos="8176"/>
              <w:tab w:val="right" w:pos="9026" w:leader="dot"/>
            </w:tabs>
            <w:rPr/>
          </w:pPr>
          <w:hyperlink w:anchor="__RefHeading___Toc11131749_73709187">
            <w:r>
              <w:rPr>
                <w:webHidden/>
                <w:rStyle w:val="IndexLink"/>
                <w:rtl w:val="true"/>
              </w:rPr>
              <w:t>بيان ما يعتبر في الحالف</w:t>
            </w:r>
            <w:r>
              <w:rPr>
                <w:rStyle w:val="IndexLink"/>
                <w:rtl w:val="true"/>
              </w:rPr>
              <w:tab/>
            </w:r>
            <w:r>
              <w:rPr>
                <w:rStyle w:val="IndexLink"/>
              </w:rPr>
              <w:t>175</w:t>
            </w:r>
          </w:hyperlink>
        </w:p>
        <w:p>
          <w:pPr>
            <w:pStyle w:val="Contents4"/>
            <w:tabs>
              <w:tab w:val="clear" w:pos="8176"/>
              <w:tab w:val="right" w:pos="9026" w:leader="dot"/>
            </w:tabs>
            <w:rPr/>
          </w:pPr>
          <w:hyperlink w:anchor="__RefHeading___Toc11131751_73709187">
            <w:r>
              <w:rPr>
                <w:webHidden/>
                <w:rStyle w:val="IndexLink"/>
                <w:rtl w:val="true"/>
              </w:rPr>
              <w:t>يعتبر في متعلّق اليمين عدم المرجوحيّة</w:t>
            </w:r>
            <w:r>
              <w:rPr>
                <w:rStyle w:val="IndexLink"/>
                <w:rtl w:val="true"/>
              </w:rPr>
              <w:tab/>
            </w:r>
            <w:r>
              <w:rPr>
                <w:rStyle w:val="IndexLink"/>
              </w:rPr>
              <w:t>182</w:t>
            </w:r>
          </w:hyperlink>
        </w:p>
        <w:p>
          <w:pPr>
            <w:pStyle w:val="Contents4"/>
            <w:tabs>
              <w:tab w:val="clear" w:pos="8176"/>
              <w:tab w:val="right" w:pos="9026" w:leader="dot"/>
            </w:tabs>
            <w:rPr/>
          </w:pPr>
          <w:hyperlink w:anchor="__RefHeading___Toc11131753_73709187">
            <w:r>
              <w:rPr>
                <w:webHidden/>
                <w:rStyle w:val="IndexLink"/>
                <w:rtl w:val="true"/>
              </w:rPr>
              <w:t>حكم اليمين على فعل الغير والماضي والمستحيل</w:t>
            </w:r>
            <w:r>
              <w:rPr>
                <w:rStyle w:val="IndexLink"/>
                <w:rtl w:val="true"/>
              </w:rPr>
              <w:tab/>
            </w:r>
            <w:r>
              <w:rPr>
                <w:rStyle w:val="IndexLink"/>
              </w:rPr>
              <w:t>189</w:t>
            </w:r>
          </w:hyperlink>
        </w:p>
        <w:p>
          <w:pPr>
            <w:pStyle w:val="Contents4"/>
            <w:tabs>
              <w:tab w:val="clear" w:pos="8176"/>
              <w:tab w:val="right" w:pos="9026" w:leader="dot"/>
            </w:tabs>
            <w:rPr/>
          </w:pPr>
          <w:hyperlink w:anchor="__RefHeading___Toc11131755_73709187">
            <w:r>
              <w:rPr>
                <w:webHidden/>
                <w:rStyle w:val="IndexLink"/>
                <w:rtl w:val="true"/>
              </w:rPr>
              <w:t>الإستثناء بالمشيئة</w:t>
            </w:r>
            <w:r>
              <w:rPr>
                <w:rStyle w:val="IndexLink"/>
                <w:rtl w:val="true"/>
              </w:rPr>
              <w:tab/>
            </w:r>
            <w:r>
              <w:rPr>
                <w:rStyle w:val="IndexLink"/>
              </w:rPr>
              <w:t>193</w:t>
            </w:r>
          </w:hyperlink>
        </w:p>
        <w:p>
          <w:pPr>
            <w:pStyle w:val="Contents4"/>
            <w:tabs>
              <w:tab w:val="clear" w:pos="8176"/>
              <w:tab w:val="right" w:pos="9026" w:leader="dot"/>
            </w:tabs>
            <w:rPr/>
          </w:pPr>
          <w:hyperlink w:anchor="__RefHeading___Toc11131757_73709187">
            <w:r>
              <w:rPr>
                <w:webHidden/>
                <w:rStyle w:val="IndexLink"/>
                <w:rtl w:val="true"/>
              </w:rPr>
              <w:t>حكم يمين الولد والزوجة</w:t>
            </w:r>
            <w:r>
              <w:rPr>
                <w:rStyle w:val="IndexLink"/>
                <w:rtl w:val="true"/>
              </w:rPr>
              <w:tab/>
            </w:r>
            <w:r>
              <w:rPr>
                <w:rStyle w:val="IndexLink"/>
              </w:rPr>
              <w:t>198</w:t>
            </w:r>
          </w:hyperlink>
        </w:p>
        <w:p>
          <w:pPr>
            <w:pStyle w:val="Contents4"/>
            <w:tabs>
              <w:tab w:val="clear" w:pos="8176"/>
              <w:tab w:val="right" w:pos="9026" w:leader="dot"/>
            </w:tabs>
            <w:rPr/>
          </w:pPr>
          <w:hyperlink w:anchor="__RefHeading___Toc11131759_73709187">
            <w:r>
              <w:rPr>
                <w:webHidden/>
                <w:rStyle w:val="IndexLink"/>
                <w:rtl w:val="true"/>
              </w:rPr>
              <w:t>بعض صيغ القسم</w:t>
            </w:r>
            <w:r>
              <w:rPr>
                <w:rStyle w:val="IndexLink"/>
                <w:rtl w:val="true"/>
              </w:rPr>
              <w:tab/>
            </w:r>
            <w:r>
              <w:rPr>
                <w:rStyle w:val="IndexLink"/>
              </w:rPr>
              <w:t>204</w:t>
            </w:r>
          </w:hyperlink>
        </w:p>
        <w:p>
          <w:pPr>
            <w:pStyle w:val="Contents3"/>
            <w:tabs>
              <w:tab w:val="clear" w:pos="8459"/>
              <w:tab w:val="right" w:pos="9026" w:leader="dot"/>
            </w:tabs>
            <w:rPr/>
          </w:pPr>
          <w:hyperlink w:anchor="__RefHeading___Toc11131761_73709187">
            <w:r>
              <w:rPr>
                <w:webHidden/>
                <w:rStyle w:val="IndexLink"/>
                <w:rtl w:val="true"/>
              </w:rPr>
              <w:t>الفصل الثاني النذر</w:t>
            </w:r>
            <w:r>
              <w:rPr>
                <w:rStyle w:val="IndexLink"/>
                <w:rtl w:val="true"/>
              </w:rPr>
              <w:tab/>
            </w:r>
            <w:r>
              <w:rPr>
                <w:rStyle w:val="IndexLink"/>
              </w:rPr>
              <w:t>209</w:t>
            </w:r>
          </w:hyperlink>
        </w:p>
        <w:p>
          <w:pPr>
            <w:pStyle w:val="Contents4"/>
            <w:tabs>
              <w:tab w:val="clear" w:pos="8176"/>
              <w:tab w:val="right" w:pos="9026" w:leader="dot"/>
            </w:tabs>
            <w:rPr/>
          </w:pPr>
          <w:hyperlink w:anchor="__RefHeading___Toc11131763_7370918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131765_73709187">
            <w:r>
              <w:rPr>
                <w:webHidden/>
                <w:rStyle w:val="IndexLink"/>
                <w:rtl w:val="true"/>
              </w:rPr>
              <w:t>بيان ما يعتبر في الناذر</w:t>
            </w:r>
            <w:r>
              <w:rPr>
                <w:rStyle w:val="IndexLink"/>
                <w:rtl w:val="true"/>
              </w:rPr>
              <w:tab/>
            </w:r>
            <w:r>
              <w:rPr>
                <w:rStyle w:val="IndexLink"/>
              </w:rPr>
              <w:t>210</w:t>
            </w:r>
          </w:hyperlink>
        </w:p>
        <w:p>
          <w:pPr>
            <w:pStyle w:val="Contents4"/>
            <w:tabs>
              <w:tab w:val="clear" w:pos="8176"/>
              <w:tab w:val="right" w:pos="9026" w:leader="dot"/>
            </w:tabs>
            <w:rPr/>
          </w:pPr>
          <w:hyperlink w:anchor="__RefHeading___Toc11131767_73709187">
            <w:r>
              <w:rPr>
                <w:webHidden/>
                <w:rStyle w:val="IndexLink"/>
                <w:rtl w:val="true"/>
              </w:rPr>
              <w:t>اعتبار إذن الزوج</w:t>
            </w:r>
            <w:r>
              <w:rPr>
                <w:rStyle w:val="IndexLink"/>
                <w:rtl w:val="true"/>
              </w:rPr>
              <w:tab/>
            </w:r>
            <w:r>
              <w:rPr>
                <w:rStyle w:val="IndexLink"/>
              </w:rPr>
              <w:t>213</w:t>
            </w:r>
          </w:hyperlink>
        </w:p>
        <w:p>
          <w:pPr>
            <w:pStyle w:val="Contents4"/>
            <w:tabs>
              <w:tab w:val="clear" w:pos="8176"/>
              <w:tab w:val="right" w:pos="9026" w:leader="dot"/>
            </w:tabs>
            <w:rPr/>
          </w:pPr>
          <w:hyperlink w:anchor="__RefHeading___Toc11131769_73709187">
            <w:r>
              <w:rPr>
                <w:webHidden/>
                <w:rStyle w:val="IndexLink"/>
                <w:rtl w:val="true"/>
              </w:rPr>
              <w:t>صيغة النذر وكيفيّة انعقاده</w:t>
            </w:r>
            <w:r>
              <w:rPr>
                <w:rStyle w:val="IndexLink"/>
                <w:rtl w:val="true"/>
              </w:rPr>
              <w:tab/>
            </w:r>
            <w:r>
              <w:rPr>
                <w:rStyle w:val="IndexLink"/>
              </w:rPr>
              <w:t>219</w:t>
            </w:r>
          </w:hyperlink>
        </w:p>
        <w:p>
          <w:pPr>
            <w:pStyle w:val="Contents4"/>
            <w:tabs>
              <w:tab w:val="clear" w:pos="8176"/>
              <w:tab w:val="right" w:pos="9026" w:leader="dot"/>
            </w:tabs>
            <w:rPr/>
          </w:pPr>
          <w:hyperlink w:anchor="__RefHeading___Toc11131771_73709187">
            <w:r>
              <w:rPr>
                <w:webHidden/>
                <w:rStyle w:val="IndexLink"/>
                <w:rtl w:val="true"/>
              </w:rPr>
              <w:t>حكم نذر التبرّع</w:t>
            </w:r>
            <w:r>
              <w:rPr>
                <w:rStyle w:val="IndexLink"/>
                <w:rtl w:val="true"/>
              </w:rPr>
              <w:tab/>
            </w:r>
            <w:r>
              <w:rPr>
                <w:rStyle w:val="IndexLink"/>
              </w:rPr>
              <w:t>223</w:t>
            </w:r>
          </w:hyperlink>
        </w:p>
        <w:p>
          <w:pPr>
            <w:pStyle w:val="Contents4"/>
            <w:tabs>
              <w:tab w:val="clear" w:pos="8176"/>
              <w:tab w:val="right" w:pos="9026" w:leader="dot"/>
            </w:tabs>
            <w:rPr/>
          </w:pPr>
          <w:hyperlink w:anchor="__RefHeading___Toc11131773_73709187">
            <w:r>
              <w:rPr>
                <w:webHidden/>
                <w:rStyle w:val="IndexLink"/>
                <w:rtl w:val="true"/>
              </w:rPr>
              <w:t>اعتبار النُطق باسم اللّه تعالى</w:t>
            </w:r>
            <w:r>
              <w:rPr>
                <w:rStyle w:val="IndexLink"/>
                <w:rtl w:val="true"/>
              </w:rPr>
              <w:tab/>
            </w:r>
            <w:r>
              <w:rPr>
                <w:rStyle w:val="IndexLink"/>
              </w:rPr>
              <w:t>228</w:t>
            </w:r>
          </w:hyperlink>
        </w:p>
        <w:p>
          <w:pPr>
            <w:pStyle w:val="Contents4"/>
            <w:tabs>
              <w:tab w:val="clear" w:pos="8176"/>
              <w:tab w:val="right" w:pos="9026" w:leader="dot"/>
            </w:tabs>
            <w:rPr/>
          </w:pPr>
          <w:hyperlink w:anchor="__RefHeading___Toc11131775_73709187">
            <w:r>
              <w:rPr>
                <w:webHidden/>
                <w:rStyle w:val="IndexLink"/>
                <w:rtl w:val="true"/>
              </w:rPr>
              <w:t>عدم اعتبار قصد القُربة في النذر</w:t>
            </w:r>
            <w:r>
              <w:rPr>
                <w:rStyle w:val="IndexLink"/>
                <w:rtl w:val="true"/>
              </w:rPr>
              <w:tab/>
            </w:r>
            <w:r>
              <w:rPr>
                <w:rStyle w:val="IndexLink"/>
              </w:rPr>
              <w:t>231</w:t>
            </w:r>
          </w:hyperlink>
        </w:p>
        <w:p>
          <w:pPr>
            <w:pStyle w:val="Contents4"/>
            <w:tabs>
              <w:tab w:val="clear" w:pos="8176"/>
              <w:tab w:val="right" w:pos="9026" w:leader="dot"/>
            </w:tabs>
            <w:rPr/>
          </w:pPr>
          <w:hyperlink w:anchor="__RefHeading___Toc11131777_73709187">
            <w:r>
              <w:rPr>
                <w:webHidden/>
                <w:rStyle w:val="IndexLink"/>
                <w:rtl w:val="true"/>
              </w:rPr>
              <w:t>اعتبار كون المتعلّق مقدوراً</w:t>
            </w:r>
            <w:r>
              <w:rPr>
                <w:rStyle w:val="IndexLink"/>
                <w:rtl w:val="true"/>
              </w:rPr>
              <w:tab/>
            </w:r>
            <w:r>
              <w:rPr>
                <w:rStyle w:val="IndexLink"/>
              </w:rPr>
              <w:t>239</w:t>
            </w:r>
          </w:hyperlink>
        </w:p>
        <w:p>
          <w:pPr>
            <w:pStyle w:val="Contents4"/>
            <w:tabs>
              <w:tab w:val="clear" w:pos="8176"/>
              <w:tab w:val="right" w:pos="9026" w:leader="dot"/>
            </w:tabs>
            <w:rPr/>
          </w:pPr>
          <w:hyperlink w:anchor="__RefHeading___Toc11131779_73709187">
            <w:r>
              <w:rPr>
                <w:webHidden/>
                <w:rStyle w:val="IndexLink"/>
                <w:rtl w:val="true"/>
              </w:rPr>
              <w:t>حكم ما لو كان المنذور ترك المحرّم أو المكروه</w:t>
            </w:r>
            <w:r>
              <w:rPr>
                <w:rStyle w:val="IndexLink"/>
                <w:rtl w:val="true"/>
              </w:rPr>
              <w:tab/>
            </w:r>
            <w:r>
              <w:rPr>
                <w:rStyle w:val="IndexLink"/>
              </w:rPr>
              <w:t>241</w:t>
            </w:r>
          </w:hyperlink>
        </w:p>
        <w:p>
          <w:pPr>
            <w:pStyle w:val="Contents4"/>
            <w:tabs>
              <w:tab w:val="clear" w:pos="8176"/>
              <w:tab w:val="right" w:pos="9026" w:leader="dot"/>
            </w:tabs>
            <w:rPr/>
          </w:pPr>
          <w:hyperlink w:anchor="__RefHeading___Toc11131781_73709187">
            <w:r>
              <w:rPr>
                <w:webHidden/>
                <w:rStyle w:val="IndexLink"/>
                <w:rtl w:val="true"/>
              </w:rPr>
              <w:t>حكم ما لو نذر فعل طاعةٍ ولم يعيّن</w:t>
            </w:r>
            <w:r>
              <w:rPr>
                <w:rStyle w:val="IndexLink"/>
                <w:rtl w:val="true"/>
              </w:rPr>
              <w:tab/>
            </w:r>
            <w:r>
              <w:rPr>
                <w:rStyle w:val="IndexLink"/>
              </w:rPr>
              <w:t>244</w:t>
            </w:r>
          </w:hyperlink>
        </w:p>
        <w:p>
          <w:pPr>
            <w:pStyle w:val="Contents4"/>
            <w:tabs>
              <w:tab w:val="clear" w:pos="8176"/>
              <w:tab w:val="right" w:pos="9026" w:leader="dot"/>
            </w:tabs>
            <w:rPr/>
          </w:pPr>
          <w:hyperlink w:anchor="__RefHeading___Toc11131783_73709187">
            <w:r>
              <w:rPr>
                <w:webHidden/>
                <w:rStyle w:val="IndexLink"/>
                <w:rtl w:val="true"/>
              </w:rPr>
              <w:t>نذر صوم حين أو زمان</w:t>
            </w:r>
            <w:r>
              <w:rPr>
                <w:rStyle w:val="IndexLink"/>
                <w:rtl w:val="true"/>
              </w:rPr>
              <w:tab/>
            </w:r>
            <w:r>
              <w:rPr>
                <w:rStyle w:val="IndexLink"/>
              </w:rPr>
              <w:t>250</w:t>
            </w:r>
          </w:hyperlink>
        </w:p>
        <w:p>
          <w:pPr>
            <w:pStyle w:val="Contents4"/>
            <w:tabs>
              <w:tab w:val="clear" w:pos="8176"/>
              <w:tab w:val="right" w:pos="9026" w:leader="dot"/>
            </w:tabs>
            <w:rPr/>
          </w:pPr>
          <w:hyperlink w:anchor="__RefHeading___Toc11131785_73709187">
            <w:r>
              <w:rPr>
                <w:webHidden/>
                <w:rStyle w:val="IndexLink"/>
                <w:rtl w:val="true"/>
              </w:rPr>
              <w:t>حكم ما لو عجز عمّا نذر</w:t>
            </w:r>
            <w:r>
              <w:rPr>
                <w:rStyle w:val="IndexLink"/>
                <w:rtl w:val="true"/>
              </w:rPr>
              <w:tab/>
            </w:r>
            <w:r>
              <w:rPr>
                <w:rStyle w:val="IndexLink"/>
              </w:rPr>
              <w:t>254</w:t>
            </w:r>
          </w:hyperlink>
        </w:p>
        <w:p>
          <w:pPr>
            <w:pStyle w:val="Contents4"/>
            <w:tabs>
              <w:tab w:val="clear" w:pos="8176"/>
              <w:tab w:val="right" w:pos="9026" w:leader="dot"/>
            </w:tabs>
            <w:rPr/>
          </w:pPr>
          <w:hyperlink w:anchor="__RefHeading___Toc11131787_73709187">
            <w:r>
              <w:rPr>
                <w:webHidden/>
                <w:rStyle w:val="IndexLink"/>
                <w:rtl w:val="true"/>
              </w:rPr>
              <w:t>لو نذر وقيّده بمكانٍ أو وقت</w:t>
            </w:r>
            <w:r>
              <w:rPr>
                <w:rStyle w:val="IndexLink"/>
                <w:rtl w:val="true"/>
              </w:rPr>
              <w:tab/>
            </w:r>
            <w:r>
              <w:rPr>
                <w:rStyle w:val="IndexLink"/>
              </w:rPr>
              <w:t>259</w:t>
            </w:r>
          </w:hyperlink>
        </w:p>
        <w:p>
          <w:pPr>
            <w:pStyle w:val="Contents4"/>
            <w:tabs>
              <w:tab w:val="clear" w:pos="8176"/>
              <w:tab w:val="right" w:pos="9026" w:leader="dot"/>
            </w:tabs>
            <w:rPr/>
          </w:pPr>
          <w:hyperlink w:anchor="__RefHeading___Toc11131789_73709187">
            <w:r>
              <w:rPr>
                <w:webHidden/>
                <w:rStyle w:val="IndexLink"/>
                <w:rtl w:val="true"/>
              </w:rPr>
              <w:t>العهد</w:t>
            </w:r>
            <w:r>
              <w:rPr>
                <w:rStyle w:val="IndexLink"/>
                <w:rtl w:val="true"/>
              </w:rPr>
              <w:tab/>
            </w:r>
            <w:r>
              <w:rPr>
                <w:rStyle w:val="IndexLink"/>
              </w:rPr>
              <w:t>261</w:t>
            </w:r>
          </w:hyperlink>
        </w:p>
        <w:p>
          <w:pPr>
            <w:pStyle w:val="Contents4"/>
            <w:tabs>
              <w:tab w:val="clear" w:pos="8176"/>
              <w:tab w:val="right" w:pos="9026" w:leader="dot"/>
            </w:tabs>
            <w:rPr/>
          </w:pPr>
          <w:hyperlink w:anchor="__RefHeading___Toc11131791_73709187">
            <w:r>
              <w:rPr>
                <w:webHidden/>
                <w:rStyle w:val="IndexLink"/>
                <w:rtl w:val="true"/>
              </w:rPr>
              <w:t>جعل الدابّة هدياً</w:t>
            </w:r>
            <w:r>
              <w:rPr>
                <w:rStyle w:val="IndexLink"/>
                <w:rtl w:val="true"/>
              </w:rPr>
              <w:tab/>
            </w:r>
            <w:r>
              <w:rPr>
                <w:rStyle w:val="IndexLink"/>
              </w:rPr>
              <w:t>264</w:t>
            </w:r>
          </w:hyperlink>
        </w:p>
        <w:p>
          <w:pPr>
            <w:pStyle w:val="Contents3"/>
            <w:tabs>
              <w:tab w:val="clear" w:pos="8459"/>
              <w:tab w:val="right" w:pos="9026" w:leader="dot"/>
            </w:tabs>
            <w:rPr/>
          </w:pPr>
          <w:hyperlink w:anchor="__RefHeading___Toc11131793_73709187">
            <w:r>
              <w:rPr>
                <w:webHidden/>
                <w:rStyle w:val="IndexLink"/>
                <w:rtl w:val="true"/>
              </w:rPr>
              <w:t>الفصل الثالث الكفّارات</w:t>
            </w:r>
            <w:r>
              <w:rPr>
                <w:rStyle w:val="IndexLink"/>
                <w:rtl w:val="true"/>
              </w:rPr>
              <w:tab/>
            </w:r>
            <w:r>
              <w:rPr>
                <w:rStyle w:val="IndexLink"/>
              </w:rPr>
              <w:t>269</w:t>
            </w:r>
          </w:hyperlink>
        </w:p>
        <w:p>
          <w:pPr>
            <w:pStyle w:val="Contents4"/>
            <w:tabs>
              <w:tab w:val="clear" w:pos="8176"/>
              <w:tab w:val="right" w:pos="9026" w:leader="dot"/>
            </w:tabs>
            <w:rPr/>
          </w:pPr>
          <w:hyperlink w:anchor="__RefHeading___Toc11131795_7370918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1131797_73709187">
            <w:r>
              <w:rPr>
                <w:webHidden/>
                <w:rStyle w:val="IndexLink"/>
                <w:rtl w:val="true"/>
              </w:rPr>
              <w:t>كفّارة الظهار</w:t>
            </w:r>
            <w:r>
              <w:rPr>
                <w:rStyle w:val="IndexLink"/>
                <w:rtl w:val="true"/>
              </w:rPr>
              <w:tab/>
            </w:r>
            <w:r>
              <w:rPr>
                <w:rStyle w:val="IndexLink"/>
              </w:rPr>
              <w:t>272</w:t>
            </w:r>
          </w:hyperlink>
        </w:p>
        <w:p>
          <w:pPr>
            <w:pStyle w:val="Contents4"/>
            <w:tabs>
              <w:tab w:val="clear" w:pos="8176"/>
              <w:tab w:val="right" w:pos="9026" w:leader="dot"/>
            </w:tabs>
            <w:rPr/>
          </w:pPr>
          <w:hyperlink w:anchor="__RefHeading___Toc11131799_73709187">
            <w:r>
              <w:rPr>
                <w:webHidden/>
                <w:rStyle w:val="IndexLink"/>
                <w:rtl w:val="true"/>
              </w:rPr>
              <w:t>كفّارة مخالفة العهد وحنث النذر</w:t>
            </w:r>
            <w:r>
              <w:rPr>
                <w:rStyle w:val="IndexLink"/>
                <w:rtl w:val="true"/>
              </w:rPr>
              <w:tab/>
            </w:r>
            <w:r>
              <w:rPr>
                <w:rStyle w:val="IndexLink"/>
              </w:rPr>
              <w:t>275</w:t>
            </w:r>
          </w:hyperlink>
        </w:p>
        <w:p>
          <w:pPr>
            <w:pStyle w:val="Contents4"/>
            <w:tabs>
              <w:tab w:val="clear" w:pos="8176"/>
              <w:tab w:val="right" w:pos="9026" w:leader="dot"/>
            </w:tabs>
            <w:rPr/>
          </w:pPr>
          <w:hyperlink w:anchor="__RefHeading___Toc11131801_73709187">
            <w:r>
              <w:rPr>
                <w:webHidden/>
                <w:rStyle w:val="IndexLink"/>
                <w:rtl w:val="true"/>
              </w:rPr>
              <w:t>كفّارة اليمين</w:t>
            </w:r>
            <w:r>
              <w:rPr>
                <w:rStyle w:val="IndexLink"/>
                <w:rtl w:val="true"/>
              </w:rPr>
              <w:tab/>
            </w:r>
            <w:r>
              <w:rPr>
                <w:rStyle w:val="IndexLink"/>
              </w:rPr>
              <w:t>280</w:t>
            </w:r>
          </w:hyperlink>
        </w:p>
        <w:p>
          <w:pPr>
            <w:pStyle w:val="Contents4"/>
            <w:tabs>
              <w:tab w:val="clear" w:pos="8176"/>
              <w:tab w:val="right" w:pos="9026" w:leader="dot"/>
            </w:tabs>
            <w:rPr/>
          </w:pPr>
          <w:hyperlink w:anchor="__RefHeading___Toc11131803_73709187">
            <w:r>
              <w:rPr>
                <w:webHidden/>
                <w:rStyle w:val="IndexLink"/>
                <w:rtl w:val="true"/>
              </w:rPr>
              <w:t>كفّارة الحلف بالبراءة من اللّه تعالى</w:t>
            </w:r>
            <w:r>
              <w:rPr>
                <w:rStyle w:val="IndexLink"/>
                <w:rtl w:val="true"/>
              </w:rPr>
              <w:tab/>
            </w:r>
            <w:r>
              <w:rPr>
                <w:rStyle w:val="IndexLink"/>
              </w:rPr>
              <w:t>282</w:t>
            </w:r>
          </w:hyperlink>
        </w:p>
        <w:p>
          <w:pPr>
            <w:pStyle w:val="Contents4"/>
            <w:tabs>
              <w:tab w:val="clear" w:pos="8176"/>
              <w:tab w:val="right" w:pos="9026" w:leader="dot"/>
            </w:tabs>
            <w:rPr/>
          </w:pPr>
          <w:hyperlink w:anchor="__RefHeading___Toc11131805_73709187">
            <w:r>
              <w:rPr>
                <w:webHidden/>
                <w:rStyle w:val="IndexLink"/>
                <w:rtl w:val="true"/>
              </w:rPr>
              <w:t>كفّارة نتف الشَّعر، وشَقّ الثوب، وخَدش الوجه</w:t>
            </w:r>
            <w:r>
              <w:rPr>
                <w:rStyle w:val="IndexLink"/>
                <w:rtl w:val="true"/>
              </w:rPr>
              <w:tab/>
            </w:r>
            <w:r>
              <w:rPr>
                <w:rStyle w:val="IndexLink"/>
              </w:rPr>
              <w:t>290</w:t>
            </w:r>
          </w:hyperlink>
        </w:p>
        <w:p>
          <w:pPr>
            <w:pStyle w:val="Contents4"/>
            <w:tabs>
              <w:tab w:val="clear" w:pos="8176"/>
              <w:tab w:val="right" w:pos="9026" w:leader="dot"/>
            </w:tabs>
            <w:rPr/>
          </w:pPr>
          <w:hyperlink w:anchor="__RefHeading___Toc11131807_73709187">
            <w:r>
              <w:rPr>
                <w:webHidden/>
                <w:rStyle w:val="IndexLink"/>
                <w:rtl w:val="true"/>
              </w:rPr>
              <w:t>كفّارة التزويج في العِدَّة</w:t>
            </w:r>
            <w:r>
              <w:rPr>
                <w:rStyle w:val="IndexLink"/>
                <w:rtl w:val="true"/>
              </w:rPr>
              <w:tab/>
            </w:r>
            <w:r>
              <w:rPr>
                <w:rStyle w:val="IndexLink"/>
              </w:rPr>
              <w:t>291</w:t>
            </w:r>
          </w:hyperlink>
        </w:p>
        <w:p>
          <w:pPr>
            <w:pStyle w:val="Contents4"/>
            <w:tabs>
              <w:tab w:val="clear" w:pos="8176"/>
              <w:tab w:val="right" w:pos="9026" w:leader="dot"/>
            </w:tabs>
            <w:rPr/>
          </w:pPr>
          <w:hyperlink w:anchor="__RefHeading___Toc11131809_73709187">
            <w:r>
              <w:rPr>
                <w:webHidden/>
                <w:rStyle w:val="IndexLink"/>
                <w:rtl w:val="true"/>
              </w:rPr>
              <w:t>كفّارة النوم عن العشاء الآخرة</w:t>
            </w:r>
            <w:r>
              <w:rPr>
                <w:rStyle w:val="IndexLink"/>
                <w:rtl w:val="true"/>
              </w:rPr>
              <w:tab/>
            </w:r>
            <w:r>
              <w:rPr>
                <w:rStyle w:val="IndexLink"/>
              </w:rPr>
              <w:t>293</w:t>
            </w:r>
          </w:hyperlink>
        </w:p>
        <w:p>
          <w:pPr>
            <w:pStyle w:val="Contents4"/>
            <w:tabs>
              <w:tab w:val="clear" w:pos="8176"/>
              <w:tab w:val="right" w:pos="9026" w:leader="dot"/>
            </w:tabs>
            <w:rPr/>
          </w:pPr>
          <w:hyperlink w:anchor="__RefHeading___Toc11131811_73709187">
            <w:r>
              <w:rPr>
                <w:webHidden/>
                <w:rStyle w:val="IndexLink"/>
                <w:rtl w:val="true"/>
              </w:rPr>
              <w:t>الإطعام وأحكامه</w:t>
            </w:r>
            <w:r>
              <w:rPr>
                <w:rStyle w:val="IndexLink"/>
                <w:rtl w:val="true"/>
              </w:rPr>
              <w:tab/>
            </w:r>
            <w:r>
              <w:rPr>
                <w:rStyle w:val="IndexLink"/>
              </w:rPr>
              <w:t>297</w:t>
            </w:r>
          </w:hyperlink>
        </w:p>
        <w:p>
          <w:pPr>
            <w:pStyle w:val="Contents4"/>
            <w:tabs>
              <w:tab w:val="clear" w:pos="8176"/>
              <w:tab w:val="right" w:pos="9026" w:leader="dot"/>
            </w:tabs>
            <w:rPr/>
          </w:pPr>
          <w:hyperlink w:anchor="__RefHeading___Toc11131813_73709187">
            <w:r>
              <w:rPr>
                <w:webHidden/>
                <w:rStyle w:val="IndexLink"/>
                <w:rtl w:val="true"/>
              </w:rPr>
              <w:t>كيفيّة الإطعام ومقدار الطعام</w:t>
            </w:r>
            <w:r>
              <w:rPr>
                <w:rStyle w:val="IndexLink"/>
                <w:rtl w:val="true"/>
              </w:rPr>
              <w:tab/>
            </w:r>
            <w:r>
              <w:rPr>
                <w:rStyle w:val="IndexLink"/>
              </w:rPr>
              <w:t>301</w:t>
            </w:r>
          </w:hyperlink>
        </w:p>
        <w:p>
          <w:pPr>
            <w:pStyle w:val="Contents4"/>
            <w:tabs>
              <w:tab w:val="clear" w:pos="8176"/>
              <w:tab w:val="right" w:pos="9026" w:leader="dot"/>
            </w:tabs>
            <w:rPr/>
          </w:pPr>
          <w:hyperlink w:anchor="__RefHeading___Toc11131815_73709187">
            <w:r>
              <w:rPr>
                <w:webHidden/>
                <w:rStyle w:val="IndexLink"/>
                <w:rtl w:val="true"/>
              </w:rPr>
              <w:t>وجوب استيفاء العدد مع التمكّن، وحكم ما لو تعذّر</w:t>
            </w:r>
            <w:r>
              <w:rPr>
                <w:rStyle w:val="IndexLink"/>
                <w:rtl w:val="true"/>
              </w:rPr>
              <w:tab/>
            </w:r>
            <w:r>
              <w:rPr>
                <w:rStyle w:val="IndexLink"/>
              </w:rPr>
              <w:t>304</w:t>
            </w:r>
          </w:hyperlink>
        </w:p>
        <w:p>
          <w:pPr>
            <w:pStyle w:val="Contents4"/>
            <w:tabs>
              <w:tab w:val="clear" w:pos="8176"/>
              <w:tab w:val="right" w:pos="9026" w:leader="dot"/>
            </w:tabs>
            <w:rPr/>
          </w:pPr>
          <w:hyperlink w:anchor="__RefHeading___Toc11131817_73709187">
            <w:r>
              <w:rPr>
                <w:webHidden/>
                <w:rStyle w:val="IndexLink"/>
                <w:rtl w:val="true"/>
              </w:rPr>
              <w:t>جنس كفّارة الإطعام</w:t>
            </w:r>
            <w:r>
              <w:rPr>
                <w:rStyle w:val="IndexLink"/>
                <w:rtl w:val="true"/>
              </w:rPr>
              <w:tab/>
            </w:r>
            <w:r>
              <w:rPr>
                <w:rStyle w:val="IndexLink"/>
              </w:rPr>
              <w:t>307</w:t>
            </w:r>
          </w:hyperlink>
        </w:p>
        <w:p>
          <w:pPr>
            <w:pStyle w:val="Contents4"/>
            <w:tabs>
              <w:tab w:val="clear" w:pos="8176"/>
              <w:tab w:val="right" w:pos="9026" w:leader="dot"/>
            </w:tabs>
            <w:rPr/>
          </w:pPr>
          <w:hyperlink w:anchor="__RefHeading___Toc11131819_73709187">
            <w:r>
              <w:rPr>
                <w:webHidden/>
                <w:rStyle w:val="IndexLink"/>
                <w:rtl w:val="true"/>
              </w:rPr>
              <w:t>عدم إجزاء إطعام الصغار منفردين</w:t>
            </w:r>
            <w:r>
              <w:rPr>
                <w:rStyle w:val="IndexLink"/>
                <w:rtl w:val="true"/>
              </w:rPr>
              <w:tab/>
            </w:r>
            <w:r>
              <w:rPr>
                <w:rStyle w:val="IndexLink"/>
              </w:rPr>
              <w:t>312</w:t>
            </w:r>
          </w:hyperlink>
        </w:p>
        <w:p>
          <w:pPr>
            <w:pStyle w:val="Contents4"/>
            <w:tabs>
              <w:tab w:val="clear" w:pos="8176"/>
              <w:tab w:val="right" w:pos="9026" w:leader="dot"/>
            </w:tabs>
            <w:rPr/>
          </w:pPr>
          <w:hyperlink w:anchor="__RefHeading___Toc11131821_73709187">
            <w:r>
              <w:rPr>
                <w:webHidden/>
                <w:rStyle w:val="IndexLink"/>
                <w:rtl w:val="true"/>
              </w:rPr>
              <w:t>حكم العاجز عن الصيام</w:t>
            </w:r>
            <w:r>
              <w:rPr>
                <w:rStyle w:val="IndexLink"/>
                <w:rtl w:val="true"/>
              </w:rPr>
              <w:tab/>
            </w:r>
            <w:r>
              <w:rPr>
                <w:rStyle w:val="IndexLink"/>
              </w:rPr>
              <w:t>323</w:t>
            </w:r>
          </w:hyperlink>
        </w:p>
        <w:p>
          <w:pPr>
            <w:pStyle w:val="Contents4"/>
            <w:tabs>
              <w:tab w:val="clear" w:pos="8176"/>
              <w:tab w:val="right" w:pos="9026" w:leader="dot"/>
            </w:tabs>
            <w:rPr/>
          </w:pPr>
          <w:hyperlink w:anchor="__RefHeading___Toc11131823_73709187">
            <w:r>
              <w:rPr>
                <w:webHidden/>
                <w:rStyle w:val="IndexLink"/>
                <w:rtl w:val="true"/>
              </w:rPr>
              <w:t>دفع الكفّارة إلى من تجبُ نفقته على الدافع</w:t>
            </w:r>
            <w:r>
              <w:rPr>
                <w:rStyle w:val="IndexLink"/>
                <w:rtl w:val="true"/>
              </w:rPr>
              <w:tab/>
            </w:r>
            <w:r>
              <w:rPr>
                <w:rStyle w:val="IndexLink"/>
              </w:rPr>
              <w:t>326</w:t>
            </w:r>
          </w:hyperlink>
        </w:p>
        <w:p>
          <w:pPr>
            <w:pStyle w:val="Contents4"/>
            <w:tabs>
              <w:tab w:val="clear" w:pos="8176"/>
              <w:tab w:val="right" w:pos="9026" w:leader="dot"/>
            </w:tabs>
            <w:rPr/>
          </w:pPr>
          <w:hyperlink w:anchor="__RefHeading___Toc11131825_73709187">
            <w:r>
              <w:rPr>
                <w:webHidden/>
                <w:rStyle w:val="IndexLink"/>
                <w:rtl w:val="true"/>
              </w:rPr>
              <w:t>اعتبار قصد القربة في الكفّارة</w:t>
            </w:r>
            <w:r>
              <w:rPr>
                <w:rStyle w:val="IndexLink"/>
                <w:rtl w:val="true"/>
              </w:rPr>
              <w:tab/>
            </w:r>
            <w:r>
              <w:rPr>
                <w:rStyle w:val="IndexLink"/>
              </w:rPr>
              <w:t>328</w:t>
            </w:r>
          </w:hyperlink>
        </w:p>
        <w:p>
          <w:pPr>
            <w:pStyle w:val="Contents2"/>
            <w:tabs>
              <w:tab w:val="clear" w:pos="8743"/>
              <w:tab w:val="right" w:pos="9026" w:leader="dot"/>
            </w:tabs>
            <w:rPr/>
          </w:pPr>
          <w:hyperlink w:anchor="__RefHeading___Toc11131827_73709187">
            <w:r>
              <w:rPr>
                <w:webHidden/>
                <w:rStyle w:val="IndexLink"/>
                <w:rtl w:val="true"/>
              </w:rPr>
              <w:t>فهرس الموضوعات</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8_104829"/>
      <w:bookmarkStart w:id="1" w:name="pg11828_104829"/>
      <w:bookmarkEnd w:id="1"/>
    </w:p>
    <w:p>
      <w:pPr>
        <w:pStyle w:val="Heading2"/>
        <w:numPr>
          <w:ilvl w:val="1"/>
          <w:numId w:val="1"/>
        </w:numPr>
        <w:rPr/>
      </w:pPr>
      <w:bookmarkStart w:id="2" w:name="pg11828_104829"/>
      <w:bookmarkStart w:id="3" w:name="__RefHeading___Toc1113165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31655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الخامس والثلاثون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8_104835"/>
      <w:bookmarkStart w:id="8" w:name="pg11828_104835"/>
      <w:bookmarkEnd w:id="8"/>
    </w:p>
    <w:p>
      <w:pPr>
        <w:pStyle w:val="BookText"/>
        <w:rPr/>
      </w:pPr>
      <w:bookmarkStart w:id="9" w:name="pg11828_104835"/>
      <w:bookmarkEnd w:id="9"/>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حرامٌ‌</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1131657_73709187"/>
      <w:bookmarkStart w:id="11" w:name="_Toc3"/>
      <w:bookmarkEnd w:id="10"/>
      <w:r>
        <w:rPr>
          <w:rtl w:val="true"/>
        </w:rPr>
        <w:t>[</w:t>
      </w:r>
      <w:r>
        <w:rPr>
          <w:rtl w:val="true"/>
        </w:rPr>
        <w:t>تتمة كتاب الفراق</w:t>
      </w:r>
      <w:r>
        <w:rPr>
          <w:rtl w:val="true"/>
        </w:rPr>
        <w:t>]</w:t>
      </w:r>
      <w:bookmarkEnd w:id="11"/>
    </w:p>
    <w:p>
      <w:pPr>
        <w:pStyle w:val="Heading3"/>
        <w:numPr>
          <w:ilvl w:val="2"/>
          <w:numId w:val="1"/>
        </w:numPr>
        <w:rPr/>
      </w:pPr>
      <w:bookmarkStart w:id="12" w:name="__RefHeading___Toc11131659_73709187"/>
      <w:bookmarkStart w:id="13" w:name="_Toc4"/>
      <w:bookmarkEnd w:id="12"/>
      <w:r>
        <w:rPr>
          <w:rtl w:val="true"/>
        </w:rPr>
        <w:t>الفصلُ الخامس في الظهار</w:t>
      </w:r>
      <w:bookmarkEnd w:id="13"/>
    </w:p>
    <w:p>
      <w:pPr>
        <w:pStyle w:val="Heading4"/>
        <w:numPr>
          <w:ilvl w:val="3"/>
          <w:numId w:val="1"/>
        </w:numPr>
        <w:rPr/>
      </w:pPr>
      <w:bookmarkStart w:id="14" w:name="__RefHeading___Toc11131661_73709187"/>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من امرأته ظِهاراً مثل قاتَل قتالاً، وتظهر إذا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ذلك بالظَهر لأنّ الظهر من الدّابة موضع الركوب، والمرأة مركوبة وقت الغشيان، فركوب الاُمّ مستعارٌ من ركوب الدّابة، ثمّ شبّه ركوب الزوجة بركوب الاُمّ الذي هو ممتنعٌ‌، وهو استعارة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هنا تشبيه المكلّف من يَملك نكاحها بظَهر مُحرّمة عليه أبداً بنَسَبٍ أو رضاعٍ أو مصاهرة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 العلماء، ويشهد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 وَ إِنَّ اَللّهَ لَعَفُوٌّ غَفُورٌ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لتوصيفه إيّاه بالمنكر والزور، وكلاهما محرّمان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حمران أو حسنه، عن أبي جعفر عليه السلام، عن أمير المؤمنين عليه السلام الوارد في سبب نزول الآية، المتضمّن لأنّ امرأة ظاهرها زوجها فَشَكَتْ إلى النبيّ صلى الله عليه و آله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الآية الكريمة فأرسل إلى الزوجين وأتى بهما، فقال صلى الله عليه و آله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تعالى فيك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امرأتك إليك، فإنّك قد قلت منكراً من القول وزوراً، قد عفا اللّه عنك، وغَفَر لك فلا تعد، فانصرف الرّجل وهو نادمٌ على ما قال لامرأته، وكره اللّه ذلك للمؤمنين بعد،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يعني ما قال الرّجل الأوّل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حرامٌ كظهر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قالها بعدما عفا اللّه، وغَفَر للرّجل الأوّل فإنّ عليه تحرير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عقوبة من ظاهر بعد النهي هذا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قيل لا عقاب فيه لتعقيبه بالعفو، وظاهره كون القائل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القائل بعض المفسّرين، ولم يثبُت عن الأصحاب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تنظّر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من وصفه تعالى بالعفو والغفران فعليّتهما بهذا النوع من المعصية، وذِكْره بعده لا يدلّ عليه، ولا يلزم منه وقوعه بالفعل، ونظائره في القرآن كثير،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عَلَيْكُمْ جُناحٌ فِيما أَخْطَأْتُمْ بِهِ وَ لكِنْ 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تَعَمَّدَتْ قُلُوبُكُمْ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مع أنّه لم يقل أحدٌ بوجوب عفوه عن هذا الذنب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كغيره من الذنوب أمر عقابها راجعٌ إلى مشيّة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وأمّا الرواية فهي تدلّ على أنّ العفو إنّما كان لأوّل الفاعلين، وإلّا فهو حرامٌ موجبٌ للكفّارة بالنسبة إلى غيره، وإنْ كان في حرمته بالنسبة إلى الأوّل إشكالٌ‌، لأنّه لم يكن الحكم مجعولاً حين ما ارتكبه فكيف يكون حراماً؟</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يستكشف من ذلك أنّه كان مجعولاً قبله وأنّ العفو بالنسبة إليه وغفرانه له، كعفو الجاهل بالحكم أو الموضوع، لا أنّه كان معصيةً فعليّة عفا اللّه عنها،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فعلى القول بأنّه حرامٌ لا عقاب عليه، هل يضرّ بالعدالة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حينئذٍ يكون معصيةً لا يكون فاعلها مطالباً بها، فلايضرّ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ما ذكر، إنّما هو عدم العقاب عليه، وهذا لا يلازم عدم مبغوضيّة الفعل، ولا على عدم كونه موجباً للبُعد عن اللّه تعالى‌، ولا على عدم كونه موجباً للانحراف عن جادّة الشرع، وعدم العدالة إنّما يدور مدار ذلك، لا مدار العقاب، فلا يكون من قبيل المُقتضي المقرون بالمانع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بقوله عليه السلام في صحيح ابن أبي يعفور، الوارد في مقام تعريف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 w:name="pg11828_104838"/>
    </w:p>
    <w:p>
      <w:pPr>
        <w:pStyle w:val="BookText"/>
        <w:rPr/>
      </w:pPr>
      <w:bookmarkEnd w:id="16"/>
      <w:r>
        <w:rPr>
          <w:rFonts w:ascii="IRNazanin" w:hAnsi="IRNazanin" w:eastAsia="IRNazanin"/>
          <w:color w:val="111111"/>
          <w:sz w:val="28"/>
          <w:sz w:val="28"/>
          <w:szCs w:val="28"/>
          <w:rtl w:val="true"/>
          <w:lang w:bidi="fa-IR"/>
        </w:rPr>
        <w:t>وصورته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باجتناب الكبائر التي أوعد اللّه عليها النار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فالمعصية التي لم يوعد اللّه عليها النار، بل وَعَد بعدم العقاب عليها لا تضرّ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مقام بيان المعرِّف للعدالة والطريق إليها، وإلّا فقد ورد في صدره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تُعرف بالسِّتر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مقتضى إطلاقهما ترك جميع العيوب الشرعيّة بعدم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كونه تتمّة للمعرِّف، فالجمع بين الصدر والذيل يقتضي أن يقال إنّه ذُكر لشدّة الاهتمام بالمعاصي التي أوعد اللّه تعالى عليها النار، أو للتنبيه على التلازم الغالبي بين ترك جميع المعاصي وبين ترك ما أوعد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ولتمام الكلام محلٌّ آخر، وقد تقدّم في مبحث صلاة الجماعة</w:t>
      </w:r>
      <w:r>
        <w:rPr>
          <w:rStyle w:val="FootnoteAnchor"/>
          <w:rtl w:val="true"/>
        </w:rPr>
        <w:footnoteReference w:id="10"/>
      </w:r>
      <w:r>
        <w:rPr>
          <w:rFonts w:ascii="Amiri" w:hAnsi="Amiri" w:eastAsia="Amiri" w:cs="Amiri"/>
          <w:color w:val="111111"/>
          <w:sz w:val="28"/>
          <w:sz w:val="28"/>
          <w:szCs w:val="28"/>
          <w:rtl w:val="true"/>
          <w:lang w:bidi="ar-SA"/>
        </w:rPr>
        <w:t>من هذا الشرح تفصيل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حرامٌ وسبيله سبيل غيره من الذّنوب التي يكون أمر عقابها راجعاً إلى مشيئة اللّه تعالى، ويكون مضرّاً بالعدالة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1131663_73709187"/>
      <w:bookmarkStart w:id="18" w:name="_Toc6"/>
      <w:bookmarkEnd w:id="17"/>
      <w:r>
        <w:rPr>
          <w:rtl w:val="true"/>
        </w:rPr>
        <w:t>صيغة الظهار</w:t>
      </w:r>
      <w:bookmarkEnd w:id="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الفصل، يقتضي 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 إحدى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القدماء والمتأخّرين إلى أنّه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أو رضاعاً كالاُخت والبنت ومن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الأشهر، بل ربما أشعر عبارة الطوسي</w:t>
      </w:r>
      <w:r>
        <w:rPr>
          <w:rStyle w:val="FootnoteAnchor"/>
          <w:rtl w:val="true"/>
        </w:rPr>
        <w:footnoteReference w:id="12"/>
      </w:r>
      <w:r>
        <w:rPr>
          <w:rFonts w:ascii="Amiri" w:hAnsi="Amiri" w:eastAsia="Amiri" w:cs="Amiri"/>
          <w:color w:val="111111"/>
          <w:sz w:val="28"/>
          <w:sz w:val="28"/>
          <w:szCs w:val="28"/>
          <w:rtl w:val="true"/>
          <w:lang w:bidi="ar-SA"/>
        </w:rPr>
        <w:t>بالإجماع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وعمّمه جماعةٌ منهم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والمحدِّث البحراني</w:t>
      </w:r>
      <w:r>
        <w:rPr>
          <w:rStyle w:val="FootnoteAnchor"/>
          <w:rtl w:val="true"/>
        </w:rPr>
        <w:footnoteReference w:id="15"/>
      </w:r>
      <w:r>
        <w:rPr>
          <w:rFonts w:ascii="Amiri" w:hAnsi="Amiri" w:eastAsia="Amiri" w:cs="Amiri"/>
          <w:color w:val="111111"/>
          <w:sz w:val="28"/>
          <w:sz w:val="28"/>
          <w:szCs w:val="28"/>
          <w:rtl w:val="true"/>
          <w:lang w:bidi="ar-SA"/>
        </w:rPr>
        <w:t>إلى التشبيه بالمحرّمات الأبديّة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بالاُمّ‌، فلو شبّهها بغيرها من المحارم لا يقع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البرّاج</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يعمّ المحرّمات النَسَبيّة المؤبّد تحريمهنّ‌، ويقع الظهار بالتشبيه بهن، ولكن لا يقع بالتشبيه بالمحرّمات الرّضاعيّة وبالمصاهرة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اختلاف النصوص، والاختلاف فيما يفهم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الظهار؟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 ذي مَحرمٍ من اُمّ أو اُخت أو عمّة أو خالة، ولا يكون الظهار في يمين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 أنتِ عَليَّ كظهر عمّتي أو خالتي‌؟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الظهار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بعض رجاله،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الظهار،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هو قال كبعض المحارم، فقد لزمته الكفّارة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هذه النصوص على وقوع الظهار بالمحرّمات النَسَبيّة واضحة، وأمّا دلالتها على الوقوع بالمحرّمات الرّضاعيّة، فقد أنكرها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3"/>
      </w:r>
      <w:r>
        <w:rPr>
          <w:rFonts w:ascii="Amiri" w:hAnsi="Amiri" w:eastAsia="Amiri" w:cs="Amiri"/>
          <w:color w:val="111111"/>
          <w:sz w:val="28"/>
          <w:sz w:val="28"/>
          <w:szCs w:val="28"/>
          <w:rtl w:val="true"/>
          <w:lang w:bidi="ar-SA"/>
        </w:rPr>
        <w:t>بدعوى انسباق النَسَبيّات من المحرّم والمحارم، وسبقه في ذلك القاضي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الانسباق من هذه الألفاظ أنفسها، فهو ممنوعٌ‌، لأنّ صدق ذي مُحرّم على المحرّمات النَسَبيّة والرّضاعيّة إنّما يكون بنحو التواطؤ لا التشكيك، فلا وجه لدعوى الانصراف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 ذلك في صحيح زرارة بواسطة التمثيل بالاُمّ والاُخت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خَرجَ مخرج التمثيل لا الحصر، فلا ينافي العموم، مع أنّ الاُمّ تصدق على الرّضاعيّة، كما تصدق على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شمول صحيح زرارة ومرسل يونس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شمولهما للمحرّمات بالمصاهرة، إذ لا وجه للتقييد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إلى هذا نظر المصنّف رحمه الله، حيث استدلّ للعموم بالاشتراك في العلّة، لا إلى أنّ العلّة بهذا الحكم تأبيد الحرمة، وهو مشتركٌ بين المنسب والرِّضاع والمصاهرة، كي يورد عليه بأنّ هذه العلّة 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فالمستفاد من هذه النصوص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وبإزائها صحيح سيف التمّار،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اُختي، أو عمّتي، أو خالتي‌؟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الاُمّهات وإنّ هذا لحرام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فقد استدلّ به للقول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 الشهيد الثاني</w:t>
      </w:r>
      <w:r>
        <w:rPr>
          <w:rStyle w:val="FootnoteAnchor"/>
          <w:rtl w:val="true"/>
        </w:rPr>
        <w:footnoteReference w:id="26"/>
      </w:r>
      <w:r>
        <w:rPr>
          <w:rFonts w:ascii="IRNazanin" w:hAnsi="IRNazanin" w:eastAsia="IRNazanin"/>
          <w:color w:val="111111"/>
          <w:sz w:val="28"/>
          <w:sz w:val="28"/>
          <w:szCs w:val="28"/>
          <w:rtl w:val="true"/>
          <w:lang w:bidi="fa-IR"/>
        </w:rPr>
        <w:t>وسبطه</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يدلّ على نقيض ذلك، فإنّ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ما ذكر في الخبر ظِهارٌ محرّم، وإنْ لم يكن ذَكره اللّه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أنّ المشار إليه بهذا، المذكور في كتاب اللّه دون الاُخت وما بعدها، لأنّه أقرب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كلّاً منهما محتملٌ‌، وظهوره على التقدير الثاني في الحصر،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غيره ليس بحرامٍ لا يُنكر، فهو مجملٌ لا يصلح لمعارضة ما سبق، وعلى تقدير تسليم ظهوره في الإشارة إلى المذكور في الكتاب، حيث يكون قابلاً للحمل على إرادة حَصر ما يحرم في الكتاب فيه، غير المنافي لحرمة غيره بالسُّنة، فيحمل عليه جمعاً بينه وبين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الثاني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استدلّ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على التعميم للمحرّمات بالرِّضاع، بعموم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 فإنّه يدلّ على التنزيل في خصوص الحرمة، لا ما يشملُ انعقاد صيغة الظهار، للتصريح بما فيه التنزيل، ولو استدلّ له بعموم ما تضمّن تنزيل الاُخت والاُمّ ومن شاكل من الرّضاعة منزلة من شاكلها من النَسَب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صيغة الظهار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التلفّظ بكلّ لفظٍ يعيّن المظاهرة، كما لو قال بدل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شاكلها من الألفاظ بلا خلافٍ‌، لإطلاق النصوص ولمعلوميّة إرادة أمثال من ما ورد فيه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الصدوق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كظهر اُمّه، أنّه ليس عليه شيء، إذا لم يرد به التحريم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قد يقال باعتبار التلفّظ بما يدلّ عليها،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كظهر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مُضمِراً لاسمها لما وقع للأصل وغيره،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بغيره من الألفاظ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الظهار، وكذا في لفظ كذلك لو بدّله بمثل، بلا خلافٍ في شيء من ذلك، لاختلاف ما ورد في النصوص منها، الكاشف عن عدم اعتبار لفظٍ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بحذف حرف الصلة، فهل يصحّ كما عن الأكثر، أم لا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فإنّها حينئذٍ تصبح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بينهما بأنّه يُحتمل صيغة الظهار مجرّدة عن الصلة كونها محرّمة على غيره حرمة ظهر اُمّه عليه، بخلاف الطلاق، فإنّه لا طلاق وهي في حبسه دون حبس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لو قلنا بلزوم ذكر جميع المتعلّقات في الإنشائيّات حتّى مع ظهور الكلام فيه، ولا دليل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الزوج، فلا حاجة إلى ذكر الصلة، والشهيد رحمه الله قوّى ذلك بنفسه، وإنّما ذكر ما ذكر في وجه ما اختاره المصنّف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 w:name="pg11828_104844"/>
    </w:p>
    <w:p>
      <w:pPr>
        <w:pStyle w:val="Heading4"/>
        <w:numPr>
          <w:ilvl w:val="3"/>
          <w:numId w:val="1"/>
        </w:numPr>
        <w:rPr/>
      </w:pPr>
      <w:bookmarkStart w:id="20" w:name="__RefHeading___Toc11131665_73709187"/>
      <w:bookmarkStart w:id="21" w:name="_Toc7"/>
      <w:bookmarkEnd w:id="19"/>
      <w:bookmarkEnd w:id="20"/>
      <w:r>
        <w:rPr>
          <w:rtl w:val="true"/>
        </w:rPr>
        <w:t>حكم التشبيه بغير ظهر الأُمّ من سائر أجزائها</w:t>
      </w:r>
      <w:bookmarkEnd w:id="2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الظهار بغير لفظ الظَهر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كبطن اُمّي أو يدها أو رِجْلها أو شعرها،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والصدوق</w:t>
      </w:r>
      <w:r>
        <w:rPr>
          <w:rStyle w:val="FootnoteAnchor"/>
          <w:rtl w:val="true"/>
        </w:rPr>
        <w:footnoteReference w:id="35"/>
      </w:r>
      <w:r>
        <w:rPr>
          <w:rFonts w:ascii="Amiri" w:hAnsi="Amiri" w:eastAsia="Amiri" w:cs="Amiri"/>
          <w:color w:val="111111"/>
          <w:sz w:val="28"/>
          <w:sz w:val="28"/>
          <w:szCs w:val="28"/>
          <w:rtl w:val="true"/>
          <w:lang w:bidi="ar-SA"/>
        </w:rPr>
        <w:t>، وجماعة، وادّعى الشيخ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للسيّدالمرتضى</w:t>
      </w:r>
      <w:r>
        <w:rPr>
          <w:rStyle w:val="FootnoteAnchor"/>
          <w:rtl w:val="true"/>
        </w:rPr>
        <w:footnoteReference w:id="36"/>
      </w:r>
      <w:r>
        <w:rPr>
          <w:rFonts w:ascii="Amiri" w:hAnsi="Amiri" w:eastAsia="Amiri" w:cs="Amiri"/>
          <w:color w:val="111111"/>
          <w:sz w:val="28"/>
          <w:sz w:val="28"/>
          <w:szCs w:val="28"/>
          <w:rtl w:val="true"/>
          <w:lang w:bidi="ar-SA"/>
        </w:rPr>
        <w:t>مدّعياً عليه الإجماع، وتبعه الحِلّي</w:t>
      </w:r>
      <w:r>
        <w:rPr>
          <w:rStyle w:val="FootnoteAnchor"/>
          <w:rtl w:val="true"/>
        </w:rPr>
        <w:footnoteReference w:id="37"/>
      </w:r>
      <w:r>
        <w:rPr>
          <w:rFonts w:ascii="Amiri" w:hAnsi="Amiri" w:eastAsia="Amiri" w:cs="Amiri"/>
          <w:color w:val="111111"/>
          <w:sz w:val="28"/>
          <w:sz w:val="28"/>
          <w:szCs w:val="28"/>
          <w:rtl w:val="true"/>
          <w:lang w:bidi="ar-SA"/>
        </w:rPr>
        <w:t>، وابن زُهرة</w:t>
      </w:r>
      <w:r>
        <w:rPr>
          <w:rStyle w:val="FootnoteAnchor"/>
          <w:rtl w:val="true"/>
        </w:rPr>
        <w:footnoteReference w:id="38"/>
      </w:r>
      <w:r>
        <w:rPr>
          <w:rFonts w:ascii="Amiri" w:hAnsi="Amiri" w:eastAsia="Amiri" w:cs="Amiri"/>
          <w:color w:val="111111"/>
          <w:sz w:val="28"/>
          <w:sz w:val="28"/>
          <w:szCs w:val="28"/>
          <w:rtl w:val="true"/>
          <w:lang w:bidi="ar-SA"/>
        </w:rPr>
        <w:t>، وجمعٌ من الأصحاب، وعليه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سدير،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كشعر اُمّي أو ككفّها أو كبطنها أو كرِجْلها؟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 إن أراد به الظهار فهو الظهار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 لجماعةٍ‌، وهم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عن غياث بن إبراهيم، عن محمّد بن سليمان، عن أبيه، عن </w:t>
      </w:r>
    </w:p>
    <w:p>
      <w:pPr>
        <w:pStyle w:val="BookText"/>
        <w:rPr/>
      </w:pPr>
      <w:r>
        <w:rPr>
          <w:rFonts w:ascii="Amiri" w:hAnsi="Amiri" w:eastAsia="Amiri" w:cs="Amiri"/>
          <w:color w:val="111111"/>
          <w:sz w:val="28"/>
          <w:sz w:val="28"/>
          <w:szCs w:val="28"/>
          <w:rtl w:val="true"/>
          <w:lang w:bidi="ar-SA"/>
        </w:rPr>
        <w:t>سدير، وسهل ضعيفٌ غال، وغياث بُتْريّ‌، ومحمّد بن سليمان ضعيف أو مشترك بينه وبين الثقة، وكذلك أبوه، وحال سدير إلى الضعف أقرب منها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وتبعه سبطه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ضعيف السند، إلّاأنّه منجبرٌ بعمل مَن عرفت، ويعضده مرسل يونس،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أو كَيَدِها أو كبطنها أو كفرجها أو كنفسها أو ككعبها، أيكون ذلك الظهار، وهل يلزمه فيه ما يلزم المُظاهِر؟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ظاهر من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كظهر اُمّه، أو كيدها، أو كرِجْلها، أو كشعرها، أو كشيء منها، ينوي بذلك التحريم، فقد لزمه الكفّارة في كلّ قليلٍ منها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قال هو كبعض ذوات المحارم، فقد لزمته الكفّارة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الظهار مشتقٌ من الظَهر، وصِدق المشتقّ يستدعي صدق المشتقّ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كيف الظهار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اُمّي، وهو يريدُ بذلك الظهار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جميل المتقدّم، قال لأبي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يقول لامرأته أنتِ عَليَّ كظهر عمّتي أو خالتي‌؟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الظهار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لمقاومة النّص، سيّما بعد ملاحظة صوغ الصيغة في سائر العقود من غير مبدأها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من الإيقاعات الشرعيّة، والأصل فيه قول الرّجل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فيه من ملاحظة الأدلّة الدالّة على مشروعيّته سِعةً وضيقاً، ولا يلتفت إلى نفس هذه المادّة، فإذا دلّ الدليل على التوسعة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حَدّ نفسه وإنْ كان ظاهراً بدواً فيما ذُكر، لكنّه بقرينة اشتماله على ما لا يلزم ذكره اتّفاقاً فتوىً ونصّاً وهو حرام، وجواز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عدم كونه مسوقاً لبيان الحصر، بل لبيان كيفيّة من كيفيّات الظهار، مع أنّه لا يصلح للمقاومة مع النصوص الصريحة في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لبيان الحصر قطعاً، ولا شاهد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وقوعه بالتشبيه بكلّ جزءٍ من أجزاء الاُمّ حتّى الأجزاء التي لا تحلّها الحياة إذا اُريد به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يعمّ الحُكم ما لو شبّهها بغير اُمّه بما عدا لفظ الظهر من اليد والبطن والرأس وغيرهما، أم 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ظاهرهم التسالم على الثاني،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علمائنا قال بوقوعه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إلحاق غير الاُمّ بالاُمّ مختصٌّ بالظَهر، ودليل إلحاق غير الظهر بالظهر مختصٌّ بالاُمّ‌، فلا دليل على إلحاق التشبيه بغير الظهر من غير الاُمّ‌، والأصل يقتضي عدم المشروعيّة، ومرسل يونس وإنْ كان ظاهراً في كون غير الاُمّ كالاُمّ في تحقّق الظهار بالتشبيه بها، سواءٌ كان بالظهر أو غيره، ولكن استناد الأصحاب إليه كي ينجبر ضعفه غير معلوم، بل من إفتائهم في المقام بعدم الوقوع هو معلومُ العدم، ومعلوميّة كون الظهار معنى متّحداً، لا تصلحُ مدركاً للأحكام بعد عدم معلوميّة المناطات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شبّه امرأته بجملة المشبه بها،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وقَصَد به الظهار لا التكريم والاحترام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رحمه الله اختيار الوقوع</w:t>
      </w:r>
      <w:r>
        <w:rPr>
          <w:rStyle w:val="FootnoteAnchor"/>
          <w:rtl w:val="true"/>
        </w:rPr>
        <w:footnoteReference w:id="46"/>
      </w:r>
      <w:r>
        <w:rPr>
          <w:rFonts w:ascii="Amiri" w:hAnsi="Amiri" w:eastAsia="Amiri" w:cs="Amiri"/>
          <w:color w:val="111111"/>
          <w:sz w:val="28"/>
          <w:sz w:val="28"/>
          <w:szCs w:val="28"/>
          <w:rtl w:val="true"/>
          <w:lang w:bidi="ar-SA"/>
        </w:rPr>
        <w:t>، والأكثر على العدم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بعدم اعتبار ذكر الظَهر، فالوقوع ظاهرٌ، وذلك لدلالة ما دلّ على ذلك في غير الظهر عليه بالفحوى‌، فإنّه يستفاد منه أنّه ليس لذكر الظَهر خصوصيّة، وأنّ المناط هو تشبيه الزوجة بالاُمّ أو غيرها ممّن يحرم نكاحها مُنشئاً به تحريم الزوجة، فالتشبيه بالجملة أولى قطعاً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بالاختصاص بذكر الظَهر، فيمكن أن يقال بالوقوع أيضاً لا للفحوى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الأسباب الشرعيّة لا يقاس، بل لتضمّن الجملة للظهر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جاز أن يكون لتخصيصه فائدة باعثة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ذُكر جميع الاجزاء مفصّلاً،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وبطنها ورِجْلها ويدها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الدليل دلّ على لزوم التشبيه في هذا الجزء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فعدم الوقوع في المقام لابدّ وأن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لمانعيّة ذكر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لاعتبار ذكر الظهر بالمطابقة، ولا يكتفي بالدلالة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لا دليل عليه، ومقتضى إطلاق الأدلّة عدم المانعيّة، وعدم اعتبار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شُبّه جزءٌ من أجزاء الزوجة بجملة الاُمّ أو بظهرها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49"/>
      </w:r>
      <w:r>
        <w:rPr>
          <w:rFonts w:ascii="Amiri" w:hAnsi="Amiri" w:eastAsia="Amiri" w:cs="Amiri"/>
          <w:color w:val="111111"/>
          <w:sz w:val="28"/>
          <w:sz w:val="28"/>
          <w:szCs w:val="28"/>
          <w:rtl w:val="true"/>
          <w:lang w:bidi="ar-SA"/>
        </w:rPr>
        <w:t>وتابعيه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والأكثر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خبري سدير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بالكناية في تحقّق الظهار مع القصد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وبه يظهر حكم تشبيه جزء الزوجة بجزء الاُمّ غير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حكم جميع الصور التي ذكروها في المقام، وهي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المشبّه جملة الزوجة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المشبّهة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المشبّه به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ثمانية عشر، وإذا انضمّ إلى ذلك الصور السابقة، وهي أنّ غير الاُمّ‌، قد تكون محارم النَسَب، وقد تكون محارم الرّضاع، وقد تكون محارم المصاهرة، وأنّ محارم النَسَب قد تكون الجدّات، وقد تكون غيرهنّ‌، تكون الصور اثنتين وسبعين، ولا يخفى حكمها إذا لاحظتَ ما قرّرناه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شبّهها باُخت الزوجة، أو عمّتها، أو خالتها ممّن تحرم في حالٍ لا مطلقاً، لا يقع الظهار، بلا خلافٍ‌، لأنّ حكمها حكم الأجنبيّة في جميع الأحكام، لأنّ تحريمها يزول بفراق زوجته، وهي كجميع نساء العالم المحرّمة على المتزوّج أربعاً، ويحلّ له كلّ واحدةٍ ممّن ليست بمحرّمة بغير ذلك على وجه التخيير بفراق واحدة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 أبي وأخي أو عمّي لم يقع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محلّ وفاقٍ‌، لأنّ الرّجل ليس محلّاً للاستمتاع،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في معرض الاستحلال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أبي أو عمّي أو ما شاكل، فإنّ الظهار من أحكام الرِّجال كالطلاق إجماعاً، وخبر السكوني</w:t>
      </w:r>
      <w:r>
        <w:rPr>
          <w:rStyle w:val="FootnoteAnchor"/>
          <w:rtl w:val="true"/>
        </w:rPr>
        <w:footnoteReference w:id="51"/>
      </w:r>
      <w:r>
        <w:rPr>
          <w:rFonts w:ascii="Amiri" w:hAnsi="Amiri" w:eastAsia="Amiri" w:cs="Amiri"/>
          <w:color w:val="111111"/>
          <w:sz w:val="28"/>
          <w:sz w:val="28"/>
          <w:szCs w:val="28"/>
          <w:rtl w:val="true"/>
          <w:lang w:bidi="ar-SA"/>
        </w:rPr>
        <w:t>شاهدٌ به، وكذا مرسل ابن فضّال الآتي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 w:name="pg11828_104851"/>
    </w:p>
    <w:p>
      <w:pPr>
        <w:pStyle w:val="BookText"/>
        <w:rPr/>
      </w:pPr>
      <w:bookmarkEnd w:id="22"/>
      <w:r>
        <w:rPr>
          <w:rFonts w:ascii="Amiri" w:hAnsi="Amiri" w:eastAsia="Amiri" w:cs="Amiri"/>
          <w:color w:val="111111"/>
          <w:sz w:val="28"/>
          <w:sz w:val="28"/>
          <w:szCs w:val="28"/>
          <w:rtl w:val="true"/>
          <w:lang w:bidi="ar-SA"/>
        </w:rPr>
        <w:t>وشرطه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شاهدي عدل،</w:t>
      </w:r>
    </w:p>
    <w:p>
      <w:pPr>
        <w:pStyle w:val="Heading4"/>
        <w:numPr>
          <w:ilvl w:val="3"/>
          <w:numId w:val="1"/>
        </w:numPr>
        <w:rPr/>
      </w:pPr>
      <w:bookmarkStart w:id="23" w:name="__RefHeading___Toc11131667_73709187"/>
      <w:bookmarkStart w:id="24" w:name="_Toc8"/>
      <w:bookmarkEnd w:id="23"/>
      <w:r>
        <w:rPr>
          <w:rtl w:val="true"/>
        </w:rPr>
        <w:t>شرائط وقوع الظهار</w:t>
      </w:r>
      <w:bookmarkEnd w:id="2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الظهار ووقوعه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أقسام، إذ بعضها يعتبر في الصيغة، وبعضها في المظاهِر، وبعضها في المظاهِرة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 سماع شاهدي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اعتبار العدالة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لاعتبار سماع الشاهدين وحضورهما الخبر الحسن الذي رواه حمران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في يمين، ولا في إضرار، ولا في غضبٍ‌، ولايكون ظهارٌ إلّافي طُهرٍ من 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عدالة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 مفصّلاً في الطلاق، وبيّنا اعتبارها فيهما، أضف إليه دلالة مرسل ابن فضّال،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وكمال المظاهر، والاختيار، والقصد،</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يعتبر في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المتقدّمة في كتاب الطلاق، مضافاً إلى النصوص</w:t>
      </w:r>
      <w:r>
        <w:rPr>
          <w:rStyle w:val="FootnoteAnchor"/>
          <w:rtl w:val="true"/>
        </w:rPr>
        <w:footnoteReference w:id="57"/>
      </w:r>
      <w:r>
        <w:rPr>
          <w:rFonts w:ascii="Amiri" w:hAnsi="Amiri" w:eastAsia="Amiri" w:cs="Amiri"/>
          <w:color w:val="111111"/>
          <w:sz w:val="28"/>
          <w:sz w:val="28"/>
          <w:szCs w:val="28"/>
          <w:rtl w:val="true"/>
          <w:lang w:bidi="ar-SA"/>
        </w:rPr>
        <w:t>الخاصّة الواردة في المقام، الدالّة على أنّ الظهار لا يقع بدون القصد إليه، ولعلّ ورود النصوص الكثيرة بذلك مع وضوحه، لما هو ثابتٌ عند العامّة من عدم اعتبار النيّة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الخلاف المتقدّم في الطلاق في صحّته من المراهق لا يكون مطروحاً في المقام، والظاهر تسالمهم على عدم صحّته منه، ولعلّه من جهة ظهور أدلّته كتاباً وسنّةً في كون المظاهِر مكلّفاً، ولذا وُصِف بالمنكر والزور ووجب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ظهار الخِصيّ والمَجبوب‌؟</w:t>
      </w:r>
    </w:p>
    <w:p>
      <w:pPr>
        <w:pStyle w:val="BookText"/>
        <w:rPr/>
      </w:pPr>
      <w:r>
        <w:rPr>
          <w:rFonts w:ascii="Amiri" w:hAnsi="Amiri" w:eastAsia="Amiri" w:cs="Amiri"/>
          <w:color w:val="111111"/>
          <w:sz w:val="28"/>
          <w:sz w:val="28"/>
          <w:szCs w:val="28"/>
          <w:rtl w:val="true"/>
          <w:lang w:bidi="ar-SA"/>
        </w:rPr>
        <w:t>فيه وجهان، ونخبة القول فيه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بقي لهما ما يمكن به الجماع، المتحقّق بإدخال الحَشَفة أو قدرها من مقطوعها، فلا إشكال في صحّة ظهارهما، لأنّهما في حكم الصحيح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يمكنهما الإيلاج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اشترطنا الدخول أوّلاً بالمظاهرة، فلا يصحّ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فإنْقلنا إنّه يحرم ما عدا الوطء من الاستمتاعات، مثل الملامسة وغيرها، صحَّ ظهارهما، لعموم أدلّته، الممكن تحقّق فائدته بامتناع غير الوطء من الاستمتاعات، وإلّا فلا يصحّ لعدم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وقع الخلاف في اعتبار الإسلام في المظاهر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رحمه الله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وابن الجُنيد</w:t>
      </w:r>
      <w:r>
        <w:rPr>
          <w:rStyle w:val="FootnoteAnchor"/>
          <w:rtl w:val="true"/>
        </w:rPr>
        <w:footnoteReference w:id="60"/>
      </w:r>
      <w:r>
        <w:rPr>
          <w:rFonts w:ascii="Amiri" w:hAnsi="Amiri" w:eastAsia="Amiri" w:cs="Amiri"/>
          <w:color w:val="111111"/>
          <w:sz w:val="28"/>
          <w:sz w:val="28"/>
          <w:szCs w:val="28"/>
          <w:rtl w:val="true"/>
          <w:lang w:bidi="ar-SA"/>
        </w:rPr>
        <w:t>، والقاضي</w:t>
      </w:r>
      <w:r>
        <w:rPr>
          <w:rStyle w:val="FootnoteAnchor"/>
          <w:rtl w:val="true"/>
        </w:rPr>
        <w:footnoteReference w:id="61"/>
      </w:r>
      <w:r>
        <w:rPr>
          <w:rFonts w:ascii="Amiri" w:hAnsi="Amiri" w:eastAsia="Amiri" w:cs="Amiri"/>
          <w:color w:val="111111"/>
          <w:sz w:val="28"/>
          <w:sz w:val="28"/>
          <w:szCs w:val="28"/>
          <w:rtl w:val="true"/>
          <w:lang w:bidi="ar-SA"/>
        </w:rPr>
        <w:t>من الحكم باعتباره، والالتزام بعدم صحّته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62"/>
      </w:r>
      <w:r>
        <w:rPr>
          <w:rFonts w:ascii="Amiri" w:hAnsi="Amiri" w:eastAsia="Amiri" w:cs="Amiri"/>
          <w:color w:val="111111"/>
          <w:sz w:val="28"/>
          <w:sz w:val="28"/>
          <w:szCs w:val="28"/>
          <w:rtl w:val="true"/>
          <w:lang w:bidi="ar-SA"/>
        </w:rPr>
        <w:t>والمحقّق</w:t>
      </w:r>
      <w:r>
        <w:rPr>
          <w:rStyle w:val="FootnoteAnchor"/>
          <w:rtl w:val="true"/>
        </w:rPr>
        <w:footnoteReference w:id="63"/>
      </w:r>
      <w:r>
        <w:rPr>
          <w:rFonts w:ascii="Amiri" w:hAnsi="Amiri" w:eastAsia="Amiri" w:cs="Amiri"/>
          <w:color w:val="111111"/>
          <w:sz w:val="28"/>
          <w:sz w:val="28"/>
          <w:szCs w:val="28"/>
          <w:rtl w:val="true"/>
          <w:lang w:bidi="ar-SA"/>
        </w:rPr>
        <w:t>وغيرهما عدم اعتباره، وهو المنسوب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الكريمة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يصحّ ظهاره، تصحّ الكفّارة منه، لقوله عزّ وجلّ‌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والكافر لايصحّ منه الكفّارة، لأنّها عبادة تفتقر إلى النيّة كسائر العبادات، وإذا لم يصحّ منه التكفير الرافع للتحريم، لم يصحّ التحريم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 w:name="pg11828_104854"/>
    </w:p>
    <w:p>
      <w:pPr>
        <w:pStyle w:val="BookText"/>
        <w:rPr/>
      </w:pPr>
      <w:bookmarkEnd w:id="25"/>
      <w:r>
        <w:rPr>
          <w:rFonts w:ascii="Amiri" w:hAnsi="Amiri" w:eastAsia="Amiri" w:cs="Amiri"/>
          <w:color w:val="111111"/>
          <w:sz w:val="28"/>
          <w:sz w:val="28"/>
          <w:szCs w:val="28"/>
          <w:rtl w:val="true"/>
          <w:lang w:bidi="ar-SA"/>
        </w:rPr>
        <w:t>وإيقاعه في طُهرٍ لم يُجامعها فيه إذا كان حاضراً ومثلها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التلازم قائمٌ بين صحّة الظهار وثبوت الكفّارة، لا بين صحّة الظهار وصحّة وقوع الكفّارة، وحيث إنّ الكفّار مكلّفون بالفروع فتكليف الكفّارة أيضاً 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يصحّ منه الكفّارة باعتبار تمكّنه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صحّة الكفّارة منه لو أتى بها واجدةً لشرائط الصحّة، وتمشّى منه قصد القربة ولو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صحّته من الكافر، وعدم اعتبار الإسلام فيه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1131669_73709187"/>
      <w:bookmarkStart w:id="27" w:name="_Toc9"/>
      <w:bookmarkEnd w:id="26"/>
      <w:r>
        <w:rPr>
          <w:rtl w:val="true"/>
        </w:rPr>
        <w:t>ما يعتبر في المظاهرة</w:t>
      </w:r>
      <w:bookmarkEnd w:id="2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المظاهِرة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إيقاعه في طُهرٍ لم يُجامعها فيه، إذا كان حاضراً، ومثلها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زوجها غائباً، بحيث لا يُعرف حال زوجته، أو كان حاضراً وهي يائسة، أو لم تبلغ، صَحّ بلا خلافٍ في شيء من ذلك، وعليه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الشرط موضعُ وفاقٍ بين علمائنا وهو مختصٌّ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نصوصٌ‌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أنّه لا يكون الظهار إلّاعلى موضع الطلاق كمرسل ابن فضّال </w:t>
      </w:r>
    </w:p>
    <w:p>
      <w:pPr>
        <w:pStyle w:val="BookText"/>
        <w:rPr/>
      </w:pPr>
      <w:r>
        <w:rPr>
          <w:rFonts w:ascii="Amiri" w:hAnsi="Amiri" w:eastAsia="Amiri" w:cs="Amiri"/>
          <w:color w:val="111111"/>
          <w:sz w:val="28"/>
          <w:sz w:val="28"/>
          <w:szCs w:val="28"/>
          <w:rtl w:val="true"/>
          <w:lang w:bidi="ar-SA"/>
        </w:rPr>
        <w:t>المتقدّم، وخبر الفضيل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الظهار إلّاعلى موضع الطلاق</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المصرّحة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عن كيفيّته‌؟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الرّجل لامرأته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اُمّي، وهو يريدُ بذلك الظهار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حمران،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ظهارٌ إلّافي طُهرٍ من 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الطائفة الأُولى بضميمة فتوى الأصحاب وإجماعهم، يستفادُ حكم الغائب وغيره على نحو ما سمعته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تكون منكوحة بالعقد، فلا يقع بالأجنبيّة ولو عَلّقه على النكاح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مثل ظهر اُمّي إنْ تزوّجتكِ‌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عندنا موضع وفاق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الموضوع في الآية والنصوص الزّوجة، وإلى ما دلّ على أنّه لا يكون الظهار إلّاعلى موضع الطلاق، وقد مرّ في الطلاق بطلانه وإن عُلّق على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المتمتّع بها، والأمَة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أتزوّجها فهي عليَّ مثلكِ حرام‌؟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الظهار دوام العقد، فلايقعُ‌الظهار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بينهم هو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جماعةٍ منهم الصدوق</w:t>
      </w:r>
      <w:r>
        <w:rPr>
          <w:rStyle w:val="FootnoteAnchor"/>
          <w:rtl w:val="true"/>
        </w:rPr>
        <w:footnoteReference w:id="73"/>
      </w:r>
      <w:r>
        <w:rPr>
          <w:rFonts w:ascii="Amiri" w:hAnsi="Amiri" w:eastAsia="Amiri" w:cs="Amiri"/>
          <w:color w:val="111111"/>
          <w:sz w:val="28"/>
          <w:sz w:val="28"/>
          <w:szCs w:val="28"/>
          <w:rtl w:val="true"/>
          <w:lang w:bidi="ar-SA"/>
        </w:rPr>
        <w:t>، والإسكافي</w:t>
      </w:r>
      <w:r>
        <w:rPr>
          <w:rStyle w:val="FootnoteAnchor"/>
          <w:rtl w:val="true"/>
        </w:rPr>
        <w:footnoteReference w:id="74"/>
      </w:r>
      <w:r>
        <w:rPr>
          <w:rFonts w:ascii="Amiri" w:hAnsi="Amiri" w:eastAsia="Amiri" w:cs="Amiri"/>
          <w:color w:val="111111"/>
          <w:sz w:val="28"/>
          <w:sz w:val="28"/>
          <w:szCs w:val="28"/>
          <w:rtl w:val="true"/>
          <w:lang w:bidi="ar-SA"/>
        </w:rPr>
        <w:t>، والحِلّي</w:t>
      </w:r>
      <w:r>
        <w:rPr>
          <w:rStyle w:val="FootnoteAnchor"/>
          <w:rtl w:val="true"/>
        </w:rPr>
        <w:footnoteReference w:id="75"/>
      </w:r>
      <w:r>
        <w:rPr>
          <w:rFonts w:ascii="Amiri" w:hAnsi="Amiri" w:eastAsia="Amiri" w:cs="Amiri"/>
          <w:color w:val="111111"/>
          <w:sz w:val="28"/>
          <w:sz w:val="28"/>
          <w:szCs w:val="28"/>
          <w:rtl w:val="true"/>
          <w:lang w:bidi="ar-SA"/>
        </w:rPr>
        <w:t>، أو صريحهم عدم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يقع الظهار إلّاعلى مثل موضع الطلاق، وقد مرّ عدم وقوع الطلاق بالمتمتّع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الظهار حكمٌ شَرعي يقفُ على مورده، ولم يثبت في نكاح المتعة حكمه مع أصالة الإباحة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منع عدم الثبوت مع وجود 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لازم الظهار الذي هو الإلزام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الفئة، أو الطلاق المعلوم انتفائه فيه، وتنزيل هبة المدّة منزلته قياسٌ‌، والمرافعة المترتّبة على الإخلال بالواجب من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هذه اللّوازم مشروطة بزوجةٍ يمكن في حقّها ذلك، فلا يلزم من انتفائها انتفاء جميع الأحكام التي أهمّها تحريم الاستمتاع من دون 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فيه هو ما ذكرناه، وبه يقيّد الإطلاقات والعمومات، وقد تقدّم البحث فيه في كتاب النكاح في مبحث المتعة، فراجع</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فلا يقع الظهار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w:t>
      </w:r>
      <w:r>
        <w:rPr>
          <w:rStyle w:val="FootnoteAnchor"/>
          <w:rtl w:val="true"/>
        </w:rPr>
        <w:footnoteReference w:id="79"/>
      </w:r>
      <w:r>
        <w:rPr>
          <w:rFonts w:ascii="IRNazanin" w:hAnsi="IRNazanin" w:eastAsia="IRNazanin"/>
          <w:color w:val="111111"/>
          <w:sz w:val="28"/>
          <w:sz w:val="28"/>
          <w:szCs w:val="28"/>
          <w:rtl w:val="true"/>
          <w:lang w:bidi="fa-IR"/>
        </w:rPr>
        <w:t>، والصدوق</w:t>
      </w:r>
      <w:r>
        <w:rPr>
          <w:rStyle w:val="FootnoteAnchor"/>
          <w:rtl w:val="true"/>
        </w:rPr>
        <w:footnoteReference w:id="80"/>
      </w:r>
      <w:r>
        <w:rPr>
          <w:rFonts w:ascii="Amiri" w:hAnsi="Amiri" w:eastAsia="Amiri" w:cs="Amiri"/>
          <w:color w:val="111111"/>
          <w:sz w:val="28"/>
          <w:sz w:val="28"/>
          <w:szCs w:val="28"/>
          <w:rtl w:val="true"/>
          <w:lang w:bidi="ar-SA"/>
        </w:rPr>
        <w:t xml:space="preserve">، وأكثر المتأخّرين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82"/>
      </w:r>
      <w:r>
        <w:rPr>
          <w:rFonts w:ascii="IRNazanin" w:hAnsi="IRNazanin" w:eastAsia="IRNazanin"/>
          <w:color w:val="111111"/>
          <w:sz w:val="28"/>
          <w:sz w:val="28"/>
          <w:szCs w:val="28"/>
          <w:rtl w:val="true"/>
          <w:lang w:bidi="fa-IR"/>
        </w:rPr>
        <w:t>، والمرتضى</w:t>
      </w:r>
      <w:r>
        <w:rPr>
          <w:rStyle w:val="FootnoteAnchor"/>
          <w:rtl w:val="true"/>
        </w:rPr>
        <w:footnoteReference w:id="83"/>
      </w:r>
      <w:r>
        <w:rPr>
          <w:rFonts w:ascii="Amiri" w:hAnsi="Amiri" w:eastAsia="Amiri" w:cs="Amiri"/>
          <w:color w:val="111111"/>
          <w:sz w:val="28"/>
          <w:sz w:val="28"/>
          <w:szCs w:val="28"/>
          <w:rtl w:val="true"/>
          <w:lang w:bidi="ar-SA"/>
        </w:rPr>
        <w:t>، والحِلّي</w:t>
      </w:r>
      <w:r>
        <w:rPr>
          <w:rStyle w:val="FootnoteAnchor"/>
          <w:rtl w:val="true"/>
        </w:rPr>
        <w:footnoteReference w:id="84"/>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فيقع بغير المدخول بها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الإمامين الصادقين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المرأة التي لم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إيلاءٌ ولا ظهار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مملّك ظاهرَ من امرأته‌؟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لا يكون ظهارٌ ولا إيلاء حتّى يدخل بها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حديث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إلّاعلى طُهرٍ بغير جماع</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عمومات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المتقدّم الذي وصفه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إلّاعلى مثل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يقع الطلاق بغير المدخول بها، كذلك يقع بها، ولكن العمومات تختصّ بما تقدّم، والخبر إنّما يدلّ على أنّ الظهار لا يقع إلّاحيثُ يقع الطلاق، لا على أنّه حيث يقع الطلاق يقع الظهار، مع أنّ غايته الإطلاق فيقيّد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اعتبار الدخول بها في صحّة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الدخول المعتبر لا فرق بين القُبُل والدُّبر، فلو وطأها دُبراً يقع الظهار لإطلاق الأدلّة، ولا يصغى إلى دعوى انسباق الدخول في القُبُل من الأدلّة المزبورة، كما مرّ مراراً في نظائر المقام من الأحكام المترتّبة على الدخول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بين الدخول المحرّم كالوطء في حال الحيض، أو في صوم رمضان، أو في حال الصغر، والمحلّل لإطلاق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 w:name="pg11828_104859"/>
    </w:p>
    <w:p>
      <w:pPr>
        <w:pStyle w:val="BookText"/>
        <w:rPr/>
      </w:pPr>
      <w:bookmarkEnd w:id="28"/>
      <w:r>
        <w:rPr>
          <w:rFonts w:ascii="IRNazanin" w:hAnsi="IRNazanin" w:eastAsia="IRNazanin"/>
          <w:color w:val="111111"/>
          <w:sz w:val="28"/>
          <w:sz w:val="28"/>
          <w:szCs w:val="28"/>
          <w:rtl w:val="true"/>
          <w:lang w:bidi="fa-IR"/>
        </w:rPr>
        <w:t>مع الشرط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كفاية الوطء دُبُراً بين كونها ممّن يمكن وطئها قُبُلاً أو لا يمكن كالرتقاء والمريضة التي لا 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إلى ذلك نظر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الاشتراط يقع مع الوطء دُبُراً في حال صغرها وجنونها، ويقع بالرتقاء والمريضة التي لا توطأ،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1131671_73709187"/>
      <w:bookmarkStart w:id="30" w:name="_Toc10"/>
      <w:bookmarkEnd w:id="29"/>
      <w:r>
        <w:rPr>
          <w:rtl w:val="true"/>
        </w:rPr>
        <w:t>تعليق الظهار على الشرط</w:t>
      </w:r>
      <w:bookmarkEnd w:id="3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الشرط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إلى الوقوع الصدوق</w:t>
      </w:r>
      <w:r>
        <w:rPr>
          <w:rStyle w:val="FootnoteAnchor"/>
          <w:rtl w:val="true"/>
        </w:rPr>
        <w:footnoteReference w:id="91"/>
      </w:r>
      <w:r>
        <w:rPr>
          <w:rFonts w:ascii="Amiri" w:hAnsi="Amiri" w:eastAsia="Amiri" w:cs="Amiri"/>
          <w:color w:val="111111"/>
          <w:sz w:val="28"/>
          <w:sz w:val="28"/>
          <w:szCs w:val="28"/>
          <w:rtl w:val="true"/>
          <w:lang w:bidi="ar-SA"/>
        </w:rPr>
        <w:t>، والشيخ</w:t>
      </w:r>
      <w:r>
        <w:rPr>
          <w:rStyle w:val="FootnoteAnchor"/>
          <w:rtl w:val="true"/>
        </w:rPr>
        <w:footnoteReference w:id="92"/>
      </w:r>
      <w:r>
        <w:rPr>
          <w:rFonts w:ascii="Amiri" w:hAnsi="Amiri" w:eastAsia="Amiri" w:cs="Amiri"/>
          <w:color w:val="111111"/>
          <w:sz w:val="28"/>
          <w:sz w:val="28"/>
          <w:szCs w:val="28"/>
          <w:rtl w:val="true"/>
          <w:lang w:bidi="ar-SA"/>
        </w:rPr>
        <w:t>، وابن حمزة</w:t>
      </w:r>
      <w:r>
        <w:rPr>
          <w:rStyle w:val="FootnoteAnchor"/>
          <w:rtl w:val="true"/>
        </w:rPr>
        <w:footnoteReference w:id="93"/>
      </w:r>
      <w:r>
        <w:rPr>
          <w:rFonts w:ascii="Amiri" w:hAnsi="Amiri" w:eastAsia="Amiri" w:cs="Amiri"/>
          <w:color w:val="111111"/>
          <w:sz w:val="28"/>
          <w:sz w:val="28"/>
          <w:szCs w:val="28"/>
          <w:rtl w:val="true"/>
          <w:lang w:bidi="ar-SA"/>
        </w:rPr>
        <w:t>، وأكثر المتأخّرين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عدمه المرتضى</w:t>
      </w:r>
      <w:r>
        <w:rPr>
          <w:rStyle w:val="FootnoteAnchor"/>
          <w:rtl w:val="true"/>
        </w:rPr>
        <w:footnoteReference w:id="94"/>
      </w:r>
      <w:r>
        <w:rPr>
          <w:rFonts w:ascii="Amiri" w:hAnsi="Amiri" w:eastAsia="Amiri" w:cs="Amiri"/>
          <w:color w:val="111111"/>
          <w:sz w:val="28"/>
          <w:sz w:val="28"/>
          <w:szCs w:val="28"/>
          <w:rtl w:val="true"/>
          <w:lang w:bidi="ar-SA"/>
        </w:rPr>
        <w:t>، والشيخ المفيد</w:t>
      </w:r>
      <w:r>
        <w:rPr>
          <w:rStyle w:val="FootnoteAnchor"/>
          <w:rtl w:val="true"/>
        </w:rPr>
        <w:footnoteReference w:id="95"/>
      </w:r>
      <w:r>
        <w:rPr>
          <w:rFonts w:ascii="IRNazanin" w:hAnsi="IRNazanin" w:eastAsia="IRNazanin"/>
          <w:color w:val="111111"/>
          <w:sz w:val="28"/>
          <w:sz w:val="28"/>
          <w:szCs w:val="28"/>
          <w:rtl w:val="true"/>
          <w:lang w:bidi="fa-IR"/>
        </w:rPr>
        <w:t>، وابن البرّاج</w:t>
      </w:r>
      <w:r>
        <w:rPr>
          <w:rStyle w:val="FootnoteAnchor"/>
          <w:rtl w:val="true"/>
        </w:rPr>
        <w:footnoteReference w:id="96"/>
      </w:r>
      <w:r>
        <w:rPr>
          <w:rFonts w:ascii="Amiri" w:hAnsi="Amiri" w:eastAsia="Amiri" w:cs="Amiri"/>
          <w:color w:val="111111"/>
          <w:sz w:val="28"/>
          <w:sz w:val="28"/>
          <w:szCs w:val="28"/>
          <w:rtl w:val="true"/>
          <w:lang w:bidi="ar-SA"/>
        </w:rPr>
        <w:t>، وسلّار</w:t>
      </w:r>
      <w:r>
        <w:rPr>
          <w:rStyle w:val="FootnoteAnchor"/>
          <w:rtl w:val="true"/>
        </w:rPr>
        <w:footnoteReference w:id="97"/>
      </w:r>
      <w:r>
        <w:rPr>
          <w:rFonts w:ascii="Amiri" w:hAnsi="Amiri" w:eastAsia="Amiri" w:cs="Amiri"/>
          <w:color w:val="111111"/>
          <w:sz w:val="28"/>
          <w:sz w:val="28"/>
          <w:szCs w:val="28"/>
          <w:rtl w:val="true"/>
          <w:lang w:bidi="ar-SA"/>
        </w:rPr>
        <w:t>، وأبو الصَّلاح</w:t>
      </w:r>
      <w:r>
        <w:rPr>
          <w:rStyle w:val="FootnoteAnchor"/>
          <w:rtl w:val="true"/>
        </w:rPr>
        <w:footnoteReference w:id="98"/>
      </w:r>
      <w:r>
        <w:rPr>
          <w:rFonts w:ascii="Amiri" w:hAnsi="Amiri" w:eastAsia="Amiri" w:cs="Amiri"/>
          <w:color w:val="111111"/>
          <w:sz w:val="28"/>
          <w:sz w:val="28"/>
          <w:szCs w:val="28"/>
          <w:rtl w:val="true"/>
          <w:lang w:bidi="ar-SA"/>
        </w:rPr>
        <w:t>، وابن زُهرة</w:t>
      </w:r>
      <w:r>
        <w:rPr>
          <w:rStyle w:val="FootnoteAnchor"/>
          <w:rtl w:val="true"/>
        </w:rPr>
        <w:footnoteReference w:id="99"/>
      </w:r>
      <w:r>
        <w:rPr>
          <w:rFonts w:ascii="Amiri" w:hAnsi="Amiri" w:eastAsia="Amiri" w:cs="Amiri"/>
          <w:color w:val="111111"/>
          <w:sz w:val="28"/>
          <w:sz w:val="28"/>
          <w:szCs w:val="28"/>
          <w:rtl w:val="true"/>
          <w:lang w:bidi="ar-SA"/>
        </w:rPr>
        <w:t>، والحِلّي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والأظهر هو الأوّل، لأنّه قد مرّ في كتاب النكاح والطلاق</w:t>
      </w:r>
      <w:r>
        <w:rPr>
          <w:rStyle w:val="FootnoteAnchor"/>
          <w:rtl w:val="true"/>
        </w:rPr>
        <w:footnoteReference w:id="101"/>
      </w:r>
      <w:r>
        <w:rPr>
          <w:rFonts w:ascii="Amiri" w:hAnsi="Amiri" w:eastAsia="Amiri" w:cs="Amiri"/>
          <w:color w:val="111111"/>
          <w:sz w:val="28"/>
          <w:sz w:val="28"/>
          <w:szCs w:val="28"/>
          <w:rtl w:val="true"/>
          <w:lang w:bidi="ar-SA"/>
        </w:rPr>
        <w:t>أنّ مقتضى القواعد صحّة العقود والإيقاعات المعلّقة على الشرط، والمراد به في المقام ما لا يُعلم حصوله، وعلى الصفة والمراد بها ما علم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أنتِ‌عليَّ كظهر اُمّي إنْ دخلتِ‌الدار أو فعلت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اُمّي إنْ جاء يوم الجمعة، أو انقضى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نحوهما من التعليق على الوقت وغيره المتيقّن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نبني على البطلان في صورة التعليق على الشرط في غير المقام للإجماع، وحيث إنّه مفقودٌ في المقام فمقتضى القاعدة هي الصحّة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حاجة لإثبات صحّته في صورة التعليق على الصفة، إلى تجشّم دعوى الأولويّة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تقدّم في مبحث الطلاق أنّ الشرط المذكور في العقد أو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يعلّق عليه الإنشاء كالمثال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 عليه الإنشاء، بل إنّما يذكر في العقد للإلزام والالتزام، نظراً إلى أنّ الشرط الابتدائي لا يجبُ الوفاء به، ودليل المؤمنون عند شروطهم الدالّ على وجوب الوفاء بالشرط، إنّما هو في القسم الثاني، ولا ربط له بالقسم الأوّل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من الاستدلال لصحّة الظهار المعلّق على الشرط، بعموم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عندشروطهم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النصوص الخاصّة 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صحّة الظهار المعلّق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الكفّارة قبل المواقعة، والآخر بعده، فالذي يكفّر قبل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ولا يقول إنْ فعلتُ بكِ كذا وكذا، والذي يكفّر بعد المواقعة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قربتك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مضمره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ظهاران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ثم يسكت، فذلك الذي يكفّر،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فعلتِ كذا وكذا ففعل وحَنَث، فعليه الكفّارة حين يحنث</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لزمه الظهار،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أو لم تدخلي، خرجتِ أو لم تخرجي، أو لم يقل لها شيئاً، فقد لزمه الظهار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كما ترى ظاهرة في صحّة الظهار المعلّق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الصحّة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ظاهرتُ من امرأتي،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فعلتِ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عليك ولا تعد</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خرجت من باب الحجرة فخرجت‌؟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على أن اُكفّر،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على أن اُكفّر رقبة ورقبتين‌؟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قويتَ أو لم تقو</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منهما وإنْ كان ضعيف السند لقاسم بن محمّد الذي هو مهمل، إلّاأنّ الثاني معتبرٌ لكون المرسل من أصحاب الإجماع، فإيراد المصنّف</w:t>
      </w:r>
      <w:r>
        <w:rPr>
          <w:rStyle w:val="FootnoteAnchor"/>
          <w:rtl w:val="true"/>
        </w:rPr>
        <w:footnoteReference w:id="111"/>
      </w:r>
      <w:r>
        <w:rPr>
          <w:rFonts w:ascii="Amiri" w:hAnsi="Amiri" w:eastAsia="Amiri" w:cs="Amiri"/>
          <w:color w:val="111111"/>
          <w:sz w:val="28"/>
          <w:sz w:val="28"/>
          <w:szCs w:val="28"/>
          <w:rtl w:val="true"/>
          <w:lang w:bidi="ar-SA"/>
        </w:rPr>
        <w:t>، والشهيد الثاني</w:t>
      </w:r>
      <w:r>
        <w:rPr>
          <w:rStyle w:val="FootnoteAnchor"/>
          <w:rtl w:val="true"/>
        </w:rPr>
        <w:footnoteReference w:id="112"/>
      </w:r>
      <w:r>
        <w:rPr>
          <w:rFonts w:ascii="IRNazanin" w:hAnsi="IRNazanin" w:eastAsia="IRNazanin"/>
          <w:color w:val="111111"/>
          <w:sz w:val="28"/>
          <w:sz w:val="28"/>
          <w:szCs w:val="28"/>
          <w:rtl w:val="true"/>
          <w:lang w:bidi="fa-IR"/>
        </w:rPr>
        <w:t>، وسبطه</w:t>
      </w:r>
      <w:r>
        <w:rPr>
          <w:rStyle w:val="FootnoteAnchor"/>
          <w:rtl w:val="true"/>
        </w:rPr>
        <w:footnoteReference w:id="113"/>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على الطائفة الثانية بضعف السند في غير محلّه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 محتملٌ لإرادة عدم شيء عليه قبل حضور الشرط، أو عدم الشاهدين أو نحو ذلك، واليمين كالثاني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1" w:name="pg11828_104863"/>
    </w:p>
    <w:p>
      <w:pPr>
        <w:pStyle w:val="BookText"/>
        <w:rPr/>
      </w:pPr>
      <w:bookmarkEnd w:id="31"/>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من خبري الطائفة الثانية ضعيفُ السند، والثاني قابلٌ للحمل على إرادة اليمين، جمعاً بينه وبين الطائفة الأُولى‌، فيتعيّن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كونه جمعاً عرفيّاً، فاللّازم طرحه وتقديم الأُولى لجملةٍ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ابن فضّال المتقدّم 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الظهار إلّاعلى موضع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الطلاق لا يقعُ معلّقا على الشرط، فكذا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إرادة الشرائط المعتبرة فيه من الشاهدين، وطهارتها من الحيض،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يقاوم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بالصِّحة هو الأظهر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131673_73709187"/>
      <w:bookmarkStart w:id="33" w:name="_Toc11"/>
      <w:bookmarkEnd w:id="32"/>
      <w:r>
        <w:rPr>
          <w:rtl w:val="true"/>
        </w:rPr>
        <w:t>حكم ما لو قيّد الظهار بمدَّة معيّنة</w:t>
      </w:r>
      <w:bookmarkEnd w:id="33"/>
    </w:p>
    <w:p>
      <w:pPr>
        <w:pStyle w:val="BookText"/>
        <w:rPr/>
      </w:pPr>
      <w:r>
        <w:rPr>
          <w:rFonts w:ascii="Amiri" w:hAnsi="Amiri" w:eastAsia="Amiri" w:cs="Amiri"/>
          <w:color w:val="111111"/>
          <w:sz w:val="28"/>
          <w:sz w:val="28"/>
          <w:szCs w:val="28"/>
          <w:rtl w:val="true"/>
          <w:lang w:bidi="ar-SA"/>
        </w:rPr>
        <w:t>ولو قيد الظهار بمدّة معيّنة كيومٍ أو شهرٍ،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شهراً أو يوماً أو سنةً‌، أو إلى شهرٍ، أو إلى سنةٍ‌، فقد اختلف الأصحاب فيه على أقوال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وابن البرّاج</w:t>
      </w:r>
      <w:r>
        <w:rPr>
          <w:rStyle w:val="FootnoteAnchor"/>
          <w:rtl w:val="true"/>
        </w:rPr>
        <w:footnoteReference w:id="116"/>
      </w:r>
      <w:r>
        <w:rPr>
          <w:rFonts w:ascii="Amiri" w:hAnsi="Amiri" w:eastAsia="Amiri" w:cs="Amiri"/>
          <w:color w:val="111111"/>
          <w:sz w:val="28"/>
          <w:sz w:val="28"/>
          <w:szCs w:val="28"/>
          <w:rtl w:val="true"/>
          <w:lang w:bidi="ar-SA"/>
        </w:rPr>
        <w:t>، والحِلّي</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ابن الجُنيد</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مطلقاً، وإليه مالَ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حُكي، واستجوده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ما لو زادت المدّة عن مدّة التربّص على تقدير المرافعة وقع، وإلّا فلا، وإليه مال الشهيدالثاني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وقوّاه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سعيد الأعرج، عن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ظاهر من امرأته فوفى‌؟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الخبر وضبطه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من امرأته فوفى‌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 يوماً مكان فوفى، وإنّما لم يجب عليه شيء لأنّ الظهار بمجرّده لا يوجبُ شيئاً، ثمّ إنّ فاء كفّر أو طلق خلص، وإنْ صبر يوماً على النسخة الثانية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هكذا، واختلاف النسخ مانعٌ عن الاستدلال به، سيّما وأنّ ظاهر المحدِّث الكاشاني والمحدِّث الحُرّ العاملي الاعتماد على نسخة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لو كانت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لازمه عدم الصحّة مطلقاً، بل عدم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الصحّة فيما إذا نقصت المدّة عن مدّة التربّص، مع أنّه لا يجبُ شيئاً بالظهار مطلقاً، بل تجبُ الكفّارة بالعود قبل انقضاء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لا يدلّ على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يؤبّد التحريم، بل شابه ما إذا شبّهها بامرأةٍ لا تحرُم عليه على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 اعتباري لا يصلح منشأً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منكرٌ من القول وزور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وبالمرويّ عن سَلَمة بن صخر الصحابي أنّه كان قد ظاهر من امرأته حتّى ينسلخ رمضان، ثمّ وطئها في المدّة، فأمره النبيّ صلى الله عليه و آله بتحرير رقبة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عاميٌ غير مرويّ من طرقنا، ومن الغريب أنّ الشهيد الثاني رحمه الله لا يعمل بجميع الأخبار المعتبرة المرويّة من طرق الخاصّة، ومع ذلك استدلّ بهذا الخبر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تدلّ الآية على أنّ كلّ ما هو منكر وزورٌ يقع به الظهار، بل تدلّ على أنّ الظهار من مصاديق المنكر والزور، والفرق بين التعبيرين واضح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سالماً عمّا أورده عليه في الحدائق</w:t>
      </w:r>
      <w:r>
        <w:rPr>
          <w:rStyle w:val="FootnoteAnchor"/>
          <w:rtl w:val="true"/>
        </w:rPr>
        <w:footnoteReference w:id="124"/>
      </w:r>
      <w:r>
        <w:rPr>
          <w:rFonts w:ascii="IRNazanin" w:hAnsi="IRNazanin" w:eastAsia="IRNazanin"/>
          <w:color w:val="111111"/>
          <w:sz w:val="28"/>
          <w:sz w:val="28"/>
          <w:szCs w:val="28"/>
          <w:rtl w:val="true"/>
          <w:lang w:bidi="fa-IR"/>
        </w:rPr>
        <w:t>بانصرافه إلى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الأفراد الشائعة، ولا يشمل الفرض النادر، فإنّه قد مرّ منّا مراراً أنّ الانصراف الناشئ عن شيوع فردٍ وندرة آخر لا يصلحُ مقيّداً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عمّا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الظهار في الجاهليّة كان للحرمة أبداً، ولم يشرّعه الشارع، بل جعله من المحرّمات، وأنّه لا يفيد حرمةً‌، ولكنّه يوجبُ الكفّارة، فالإطلاق حينئذٍ ليس إلّاللظهار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الظهار في الجاهليّة غير معلومة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لسان الآية الكريمة أنّ الظهار الذي كان في الجاهليّة محرّمٌ وموجبٌ للكفّارة، بل هما رتّبا فيها على مطلق الظهار، ومجرّد ثبوت حكمٍ آخر لفردٍ من الظهار في الجاهليّة، لا يوجبُ اختصاص الحكم بذلك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نسبة الظهار إلى الزوجة بقولٍ مطلق، كما يكون هو الظهار في كلّ مكان، فلو ظاهرها في مكانٍ خاص لا يكون مشمولاً للآية، كذلك يكون ظاهره هو الظهار في جميع الأزمنة، ويظهر ذلك بملاحظة نظائر المقام، مثلاً جعل عدم وجدان الماء في وقت الصلاة موضوعاً لمشروعيّة التيمّم، يكون ظاهر الدليل عدم وجدان الماء في جميع الأزمنة المضروبة لتلك الصلاة، فلا يشمل الدليل ما لو كان غير واجدٍ في الساعة الأُولى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الآية في كون الموضوع هو الظهار في تمام المدّة لا في مدّة معيّنة، لا ينبغي إنكاره، وعليه فالقول الأوّل أظهر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الظهار يلزمه التربّص مدّة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يقعُ في إضرار،</w:t>
      </w:r>
    </w:p>
    <w:p>
      <w:pPr>
        <w:pStyle w:val="BookText"/>
        <w:rPr/>
      </w:pPr>
      <w:r>
        <w:rPr>
          <w:rFonts w:ascii="Amiri" w:hAnsi="Amiri" w:eastAsia="Amiri" w:cs="Amiri"/>
          <w:color w:val="111111"/>
          <w:sz w:val="28"/>
          <w:sz w:val="28"/>
          <w:szCs w:val="28"/>
          <w:rtl w:val="true"/>
          <w:lang w:bidi="ar-SA"/>
        </w:rPr>
        <w:t>ثلاثة أشهر من حين الترافع، وعدم الطلاق، وهو يدلّ بالاقتضاء على أنّ مدّته تزيد عن ذلك، وإلّا لانتفى اللّازم الدالّ على انتفاء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المرافعة حكمٌ من أحكام الظهار، وهي غير لازمة، فجاز أن لا ترافعه، فيحتاج إلى معرفة حكمه على هذا التقدير، وجاز أن لا يعلمها بإيقاعه، ويريد معرفة حكمه مع اللّه تعالى‌، والحكم بتربّصها تلك المدّة على تقدير المرافعة، محمولٌ على ما إذا كان مؤبّداً أو موقّتاً بزيادةٍ عنها، فإذا قصرت كان حكمه تحريم العود إلى أن يكفر من غير أن يتوقّف على المرافعة، أو أن يفيدها فائدة،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التصريح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وغيرهما، بل الظاهر تسالمهم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فخر المحقّقين</w:t>
      </w:r>
      <w:r>
        <w:rPr>
          <w:rStyle w:val="FootnoteAnchor"/>
          <w:rtl w:val="true"/>
        </w:rPr>
        <w:footnoteReference w:id="129"/>
      </w:r>
      <w:r>
        <w:rPr>
          <w:rFonts w:ascii="Amiri" w:hAnsi="Amiri" w:eastAsia="Amiri" w:cs="Amiri"/>
          <w:color w:val="111111"/>
          <w:sz w:val="28"/>
          <w:sz w:val="28"/>
          <w:szCs w:val="28"/>
          <w:rtl w:val="true"/>
          <w:lang w:bidi="ar-SA"/>
        </w:rPr>
        <w:t>حكاية قولٍ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ظاهر الأكثر الوقوع، لعدم ذكر ذلك في شرائطه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حمران،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في يمينٍ ولا في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العموم والإطلاق كتاباً وسُنّةً‌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والمراد بجعله يميناً، جَعْله جزاءً على فعلٍ أو تركٍ لقصد البعث على الفعل أو الزَّجر عن الترك،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كلّمتِ فلاناً، أو تركتِ الصلاة، فأنتِ عليَّ كظهر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مشاركٌ للشرط في الصورة، والفارق بينهما القصد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4" w:name="pg11828_104869"/>
    </w:p>
    <w:p>
      <w:pPr>
        <w:pStyle w:val="Heading4"/>
        <w:numPr>
          <w:ilvl w:val="3"/>
          <w:numId w:val="1"/>
        </w:numPr>
        <w:rPr/>
      </w:pPr>
      <w:bookmarkStart w:id="35" w:name="__RefHeading___Toc11131675_73709187"/>
      <w:bookmarkStart w:id="36" w:name="_Toc12"/>
      <w:bookmarkEnd w:id="34"/>
      <w:bookmarkEnd w:id="35"/>
      <w:r>
        <w:rPr>
          <w:rtl w:val="true"/>
        </w:rPr>
        <w:t>عدم وجوب الكفّارة بمجرّد الظهار</w:t>
      </w:r>
      <w:bookmarkEnd w:id="36"/>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العلماء في أنّه لا تجبُ الكفّارة بمجرّد الظهار، بل إنّما تجب بالعود،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المراد من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إرادة الوطء،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المرتضى</w:t>
      </w:r>
      <w:r>
        <w:rPr>
          <w:rStyle w:val="FootnoteAnchor"/>
          <w:rtl w:val="true"/>
        </w:rPr>
        <w:footnoteReference w:id="136"/>
      </w:r>
      <w:r>
        <w:rPr>
          <w:rFonts w:ascii="Amiri" w:hAnsi="Amiri" w:eastAsia="Amiri" w:cs="Amiri"/>
          <w:color w:val="111111"/>
          <w:sz w:val="28"/>
          <w:sz w:val="28"/>
          <w:szCs w:val="28"/>
          <w:rtl w:val="true"/>
          <w:lang w:bidi="ar-SA"/>
        </w:rPr>
        <w:t>، وابن الجُنيد</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بالعود إمساكها على النكاح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ذلك يقتضي البحث أوّلاً فيما يستفاد من الآية الكريمة، ثمّ من النصوص</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الآية الشريفة هو الأوّل، لأنّ الآية بقرينة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التراخي، وبواسطة أنّ حقيقة تحريم المرأة عليه غير المنافي لبقائها في عصمته، ظاهرة في أنّ المراد بالعود، ليس هو إمساكها في النكاح، لأنّ إبقائها كذلك </w:t>
      </w:r>
    </w:p>
    <w:p>
      <w:pPr>
        <w:pStyle w:val="BookText"/>
        <w:rPr/>
      </w:pPr>
      <w:r>
        <w:rPr>
          <w:rFonts w:ascii="Amiri" w:hAnsi="Amiri" w:eastAsia="Amiri" w:cs="Amiri"/>
          <w:color w:val="111111"/>
          <w:sz w:val="28"/>
          <w:sz w:val="28"/>
          <w:szCs w:val="28"/>
          <w:rtl w:val="true"/>
          <w:lang w:bidi="ar-SA"/>
        </w:rPr>
        <w:t>لا يكون عوداً فيه، ولا يتحقّق التراخي على هذا الوجه، وعليه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إرادة الوطء، أو نفسه، لكن الثاني غير مرادٍ هنا، لأنّه جَعل الكفّارة مترتّبةً على العود، وجعلها قبل أن يتماسّا، فيدلّ على أنّ العود يتحقّق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ظاهرة في أنّ المراد به إرادة الوطء، ويكون القول كنايةً عن الوطء، والإرادة مضمرة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به إرادة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يظاهر من امرأته ثمّ يريد أن يتمّ على طلاقها؟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يمسّها؟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حتّى يكفّر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الظهار متى يقع على صاحبه الكفّارة‌؟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أن يواقعها، أعليه كفّارة‌؟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سقطت عنه الكفّارة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الكفّارة على المظاهر؟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واقع قبل أن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اُخرى‌</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إرادة الوطء تجبُ الكفّارة،</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أنّ الموضوع هو الوطء نفسه لا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ظاهر ثمّ واقع قبل أن يكفر؟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هكذا يفعل الفقيه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خبره الآخر عن أبي جعفر عليه السلام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 لا تصلح للمقاومة مع الأُولى، لأنّها معمولٌ بها بين الأصحاب، ولأصحيّة إسنادها، ومخالفتها للعامّة، وقابليّة حمل هذه الطائفة على الظهار المعلّق على المواقعة، فلتُحمل على هذه الصورة أو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المرتضى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العود للقول عبارة عن مخالفته،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 قولاً ثمّ عاد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له أي خالفه ونقضه، وهو قريبٌ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في هبته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ومقصود الظهار، ومعناه وصف المرأة بالتحريم، فكان بالإمساك عائداً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تقريب الاستدلال بالآية الكريمة، فراجع</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أفاده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إرادة الوطء 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تحريم الوطء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أنّه بعد ثبوت وجوب الكفّارة بإرادة الوطء، هل يستقرّ ذلك بها، وإنْ عَزَم بعد ذلك على ترك وطئها، أو على طلاقها قبل المسيس‌؟</w:t>
      </w:r>
    </w:p>
    <w:p>
      <w:pPr>
        <w:pStyle w:val="BookText"/>
        <w:rPr/>
      </w:pPr>
      <w:r>
        <w:rPr>
          <w:rFonts w:ascii="Amiri" w:hAnsi="Amiri" w:eastAsia="Amiri" w:cs="Amiri"/>
          <w:color w:val="111111"/>
          <w:sz w:val="28"/>
          <w:sz w:val="28"/>
          <w:szCs w:val="28"/>
          <w:rtl w:val="true"/>
          <w:lang w:bidi="ar-SA"/>
        </w:rPr>
        <w:t xml:space="preserve">أم يكون استقراره مشروطا بالوطء بالفعل، فلا استقرار لها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تحريم الوطء حتّى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هو الثاني، 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الكريمة، لتعليق وجوب الكفّارة على العود مقيّداً بكونها قبل التماس، والقبليّة من الاُمور الإضافيّة، لا تتحقّق بدون المتضائفين، فما لم يحصل التماس لا يثبتُ الوجوب، وللنصوص المتقدّم بعضها كصحيح الحلبي المصرّح بعدم وجوب الكفّارة بدون التماس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وجوب الكفّارة عُلّق على إرادة الوطء، ومقتضى إطلاقه ثبوت الوجوب، وإنْ رجع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وجبت عند الإرادة، فيستصحب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إنْ لم تستقرّ بذلك لم تكن واجبة حقيقةً‌، لأنّ الواجب هو الذي لايجوزُ تركه لا إلى بدلٍ‌، وهذه الكفّارة قبل المسيس يجوز تركها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ضعفهما ممّا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وتبعه غيره بتسليمه، وأنّ إطلاق الوجوب عليه مجازيٌ‌، والمراد به كونه شرطاً في جواز الوطء، وإطلاق الواجب على الشرط من حيث إنّه لابدّ منه في صحّة المشروط مستعملٌ كثيراً، ومنه وجوب الوضوء للصلاة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الوطء قبل التماس للنصوص، فقد ورد في ذيل صحيح الحلبي المتقدّم،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إنّه لآثمٌ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الآية الكريمة لا تدلّ على ذلك، بل تدلّ على وجوب الكفّارة وجوباً نفسيّاً مشروطاً بالتماس، ولا مانع من كونها واجبة بالوجوب النفسي، وشرطاً لجواز الوطء، ولا يكون إطلاق الواجب عليه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وجوبها مشروطٌ بالتماس، والواجبُ لايجوز تركه مع تحقّق شرائطه، وأمّا تركه بعدم إيجاد شرطه، فلا ينافي الوجوب، بل جميع الواجبات المشروطة بالشرط الاختياري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تجبُ بإرادة الوطء، وشرط وجوبها نفس الوطء، بنحو الشرط المتأخّر لا المقارن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يندفع إشكالٌ آخر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الوجوب الشرطي لا يكفي في ملاحظة الامتثال المتوقّف عليه صحّة العبادة التي لا تقع من دون أمرٍ شرعي،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وجوبها على ما حقّقناه نفسيٌ لا 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عنه بأنّ نيّة وجوب الكفّارة تكون بهذا المعنى، أي بالمعنى الشرطي، لأنّ نيّة كلّ شيء بحسبه، ولو لم نعتبر نيّة الوجه تخلّصنا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العباديّة متوقّفة على الأمر أو المحبوبيّة، ولو كان الأمر مقدّميّاً أو المحبوبيّة كذلك، وهذا يتمُّ فيما إذا كان شيءٌ شرطاً لأمر واجب أو مستحبّ‌، وأمّا ما هو شرطٌ لأمرٍ مباح فما المصحّح لعباديّته، وبأيّ عنوانٍ يأتي به ليصير بذلك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له بنيّة الوجه، بل أساس الإشكال إنّما هو في منشأ عباديّة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بما ذكرناه أنّ الأظهر هو قولٌ ثالثٌ في المقام، وهو وجوب الكفّارة نفساً وشرطاً لجواز الوطء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7" w:name="pg11828_104875"/>
    </w:p>
    <w:p>
      <w:pPr>
        <w:pStyle w:val="BookText"/>
        <w:rPr/>
      </w:pPr>
      <w:bookmarkEnd w:id="37"/>
      <w:r>
        <w:rPr>
          <w:rFonts w:ascii="Amiri" w:hAnsi="Amiri" w:eastAsia="Amiri" w:cs="Amiri"/>
          <w:color w:val="111111"/>
          <w:sz w:val="28"/>
          <w:sz w:val="28"/>
          <w:szCs w:val="28"/>
          <w:rtl w:val="true"/>
          <w:lang w:bidi="ar-SA"/>
        </w:rPr>
        <w:t>فإنْ طلّق وراجع في العِدّة، لم تَحلّ عليه حتّى يُكفّر،</w:t>
      </w:r>
    </w:p>
    <w:p>
      <w:pPr>
        <w:pStyle w:val="Heading4"/>
        <w:numPr>
          <w:ilvl w:val="3"/>
          <w:numId w:val="1"/>
        </w:numPr>
        <w:rPr/>
      </w:pPr>
      <w:bookmarkStart w:id="38" w:name="__RefHeading___Toc11131677_73709187"/>
      <w:bookmarkStart w:id="39" w:name="_Toc13"/>
      <w:bookmarkEnd w:id="38"/>
      <w:r>
        <w:rPr>
          <w:rtl w:val="true"/>
        </w:rPr>
        <w:t>حكم ما لو طلّق المظاهِر رجعيّاً ثمّ راجعها</w:t>
      </w:r>
      <w:bookmarkEnd w:id="3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 وراجع في العِدّة، لم تَحلّ عليه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الآية وما شابهها من النصوص، نظراً إلى أنّ المطلّقة الرِّجعيّة زوجة أو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الآتي، وبه يقيّد إطلاق ما دلّ على هدم الطلاق الظهار، وإسقاطه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النميري،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ظاهر ثمّ طلّق‌؟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عنه الكفّارة إذا طلّق قبل أن يعاود 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راجعها؟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طلّقها لإسقاط الكفّارة عنه، ثمّ راجعها، فالكفّارة لازمة له أبداً إذا عاود المجامعة، وإنْ كان طلّقها وهو لا ينوي شيئاً من ذلك، فلا بأس إنْ راجع ولا كفّارة عليه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وإنْ كان أخصّ ممّا تقدّم، ولا تصل النوبة إلى ملاحظة المرجّحات، كي يقال إنّه قاصرٌ عن المعارضة من وجوه،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لكنّه ضعيف السند للإرسال وإعراض الأصحاب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خرجتْ‌، أو كان بائناً فاستأنف في العِدّة، أو مات أحدهما أو ارتدّ، فلا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بائناً، فاستأنف في العِدّة أو مات أحدهما، أو ارتدّ، فلا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سلّار</w:t>
      </w:r>
      <w:r>
        <w:rPr>
          <w:rStyle w:val="FootnoteAnchor"/>
          <w:rtl w:val="true"/>
        </w:rPr>
        <w:footnoteReference w:id="151"/>
      </w:r>
      <w:r>
        <w:rPr>
          <w:rFonts w:ascii="Amiri" w:hAnsi="Amiri" w:eastAsia="Amiri" w:cs="Amiri"/>
          <w:color w:val="111111"/>
          <w:sz w:val="28"/>
          <w:sz w:val="28"/>
          <w:szCs w:val="28"/>
          <w:rtl w:val="true"/>
          <w:lang w:bidi="ar-SA"/>
        </w:rPr>
        <w:t>، وأبي الصَّلاح</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الظهار ولو بالتزويج بعد عِدّة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لسقوط الكفّارة في الموردين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تصير بالطلاق أو بانقضاء العِدّة أجنبيّة، والظهار كما لا يقع ابتداءً بالأجنبيّة لا يقع بها استدامة، فلا محالة ينهدم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الظهار أوجبَ حرمة الوطء بدون الكفّارة، المباح بالعقد الأوّل الذي لحقه التحريم بالظهار، ولا يؤثّر في استباحة الوطء بالعقد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المطلقة الدالّة على إسقاط الطلاق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مولانا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أن يواقعها، أعليه كفّارة‌؟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سقطت عنه الكفّارة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المظاهر إذا طلّق سَقَطت عنه الكفّارة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ظاهر من امرأته ثمّ طلّقها تطليقة‌؟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تطليقة فقد بطل الظهار، وهدم الطلاق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فإن راجعها وجبَ عليه ما يجبُ على المظاهر من قبل أن يتماسّا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يخلو أجلها، وتملك نفسها، ثمّ تزوّجها بعد، هل يلزمه الظهار قبل أن يمسّها؟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بانت منه، وملكت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الكناسي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وبإزائهما حسن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ثمّ طلّقها بعد ذلك بشهر أو شهرين، فتزوّجت ثمّ طلّقها الذي تزوّجها، فراجعها الأوّل، هل عليه الكفّارة للظهار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عتق رقبة أو صيام أو صدقة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استدلّ للقول الآخر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العامّة مختلفون في ذلك كالخاصّة، فلا وجه للحمل على التقيّة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شيوع هذا القول بين العامّة في ذلك الوقت، فأفتي بما يوافق قولهم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محمولٌ على فساد النكاح، لأنّه عقب تزويجها بعد طلاقها بشهرٍ أو شهرين، فيكون قد وقع في العِدّة فيكون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واستحسنه بعضهم</w:t>
      </w:r>
      <w:r>
        <w:rPr>
          <w:rStyle w:val="FootnoteAnchor"/>
          <w:rtl w:val="true"/>
        </w:rPr>
        <w:footnoteReference w:id="160"/>
      </w:r>
      <w:r>
        <w:rPr>
          <w:rFonts w:ascii="Amiri" w:hAnsi="Amiri" w:eastAsia="Amiri" w:cs="Amiri"/>
          <w:color w:val="111111"/>
          <w:sz w:val="28"/>
          <w:sz w:val="28"/>
          <w:szCs w:val="28"/>
          <w:rtl w:val="true"/>
          <w:lang w:bidi="ar-SA"/>
        </w:rPr>
        <w:t>، وأيّده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التزويج بالفاء المقتضية للفوريّة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فراجعها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التزويج محمولٌ على الصحيح، والشهر والشهران متخلّلان بين الظهار والطلاق، لا بين الطلاق والتزويج، والفاء لا تكون مقتضية للفوريّة، وعلى فرض الاقتضاء يراد بها الفوريّة الممكنة، نظير تزوَّجَ فلانٌ فولد له، والرجوع اُريد به معناه اللّغوي لا الرجعة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لا يصلح للمقاومة مع ما مرّ من الوجوه، فيُطرح أو يُحمل على التقيّة، أو على الاستحباب كما عن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سقوط الظهار مع موتها أو مع موت أحدهما فواضحٌ‌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لم يدخل بها، أو كان هو المرتدّ عن فطرةٍ‌، سقطت الكفّارة، لأنّه حينئذٍ بحكم الطلاق البائن حتّى لو قلنا بقبول توبته على وجهٍ يصحّ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تزويجه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 ملّةٍ‌، أو كانت المرتدّة المرأة، فهو بحكم الطلاق الرِّجعي، ضرورة الرجوع إلى الزوجة بالإسلام في العِدّة، كما هو واضح، فلا وجه لسقوط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الرجعيّة زوجة نصّاً، وأمّا المرتدّة أو زوجة المرتدّ، فكونها بمنزلتها حتّى في بقاء الزوجيّة محلّ نظر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فمقتضى الأدلّة انقطاع الزوجيّة بالارتداد، وإنْ جاز الرجوع، فينقطع حكم الظهار، لما عرفت من أنّه كما لا يقع بغير الزوجة ابتداءً‌، لا يقع به استدامة، والأظهر هو ذلك</w:t>
      </w:r>
      <w:r>
        <w:rPr>
          <w:rFonts w:eastAsia="Amiri" w:cs="Amiri" w:ascii="Amiri" w:hAnsi="Amiri"/>
          <w:color w:val="111111"/>
          <w:sz w:val="28"/>
          <w:szCs w:val="28"/>
          <w:rtl w:val="true"/>
          <w:lang w:bidi="ar-SA"/>
        </w:rPr>
        <w:t>.</w:t>
      </w:r>
      <w:bookmarkStart w:id="40" w:name="pg11828_104880"/>
    </w:p>
    <w:p>
      <w:pPr>
        <w:pStyle w:val="BookText"/>
        <w:rPr/>
      </w:pPr>
      <w:bookmarkEnd w:id="40"/>
      <w:r>
        <w:rPr>
          <w:rFonts w:ascii="Amiri" w:hAnsi="Amiri" w:eastAsia="Amiri" w:cs="Amiri"/>
          <w:color w:val="111111"/>
          <w:sz w:val="28"/>
          <w:sz w:val="28"/>
          <w:szCs w:val="28"/>
          <w:rtl w:val="true"/>
          <w:lang w:bidi="ar-SA"/>
        </w:rPr>
        <w:t>ولو وطأ قبل التكفير عامداً لزمته كفّارتان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131679_73709187"/>
      <w:bookmarkStart w:id="42" w:name="_Toc14"/>
      <w:bookmarkEnd w:id="41"/>
      <w:r>
        <w:rPr>
          <w:rtl w:val="true"/>
        </w:rPr>
        <w:t>وجوب كفّارةٍ اُخرى بالوطء قبل الكفّارة</w:t>
      </w:r>
      <w:bookmarkEnd w:id="4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كافّة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وطأ قبل التكفير عامداً لزمته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للظهار، والاُخرى للمواقعة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تجبُ الكفّارة بالمرّة الأُولى أصلاً، وقوّاه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وتبعه على ذلك في الجملة كاشف اللّثام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مولانا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لآثمٌ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غير الأُولى؟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يعتق أيضاً رقبة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الكفّارة على المظاهِر؟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واقع قبل أن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اُخرى‌</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الصيقل،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فلم يفِ؟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من قبل أن يتماسّا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أتاها قبل أن يكفّر؟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وظلم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أيضاً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وجوبها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وخبره المتقدّمين الدالّين على عدم وجوب الكفّارة إلّا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ثلاث مرّات‌؟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واقع قبل أن يكفّر؟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ويُمسك حتّى يكفّر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ظاهر من امرأته ثمّ غشيها قبل أن يكفّر، فإنّما عليه كفّارة واحدة، ويكفّ عنها حتّى يكفّر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النبويّ الخاصّي</w:t>
      </w:r>
      <w:r>
        <w:rPr>
          <w:rStyle w:val="FootnoteAnchor"/>
          <w:rtl w:val="true"/>
        </w:rPr>
        <w:footnoteReference w:id="169"/>
      </w:r>
      <w:r>
        <w:rPr>
          <w:rFonts w:ascii="Amiri" w:hAnsi="Amiri" w:eastAsia="Amiri" w:cs="Amiri"/>
          <w:color w:val="111111"/>
          <w:sz w:val="28"/>
          <w:sz w:val="28"/>
          <w:szCs w:val="28"/>
          <w:rtl w:val="true"/>
          <w:lang w:bidi="ar-SA"/>
        </w:rPr>
        <w:t>، والعامّي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جَمَع بينهما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بحمل الأوّل على الاستحباب،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تينك الروايتين رائحة الاستحباب، لأنّه عليه السلام لم يصرّح بأنّ عليه كفّارة اُخرى إلّا بعد مراجعات وعدول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الخبرين الأولين من القسم الثاني فقد مرّ ما فيهما في مسألة أنّ الموجب للكفّارة هل إرادة الوطء أو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الحلبي فإنّه لا يدلّ على أنّ ما يكفّر بعد المواقعة كفّارة واحدة أو كفّارتان، غايته الإطلاق، فيقيّد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النبويّان فضعيفان سنداً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خبر زرارة، والجمع بينه وبين القسم الأوّل بحمله على الاستحباب ليس عرفيّاً، إذ أهل العرف يرون التهافت بين قوله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تلك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كفّارة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شاكله، وعليه فالجمع بذلك ليس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الشيخ رحمه الله</w:t>
      </w:r>
      <w:r>
        <w:rPr>
          <w:rStyle w:val="FootnoteAnchor"/>
          <w:rtl w:val="true"/>
        </w:rPr>
        <w:footnoteReference w:id="172"/>
      </w:r>
      <w:r>
        <w:rPr>
          <w:rFonts w:ascii="Amiri" w:hAnsi="Amiri" w:eastAsia="Amiri" w:cs="Amiri"/>
          <w:color w:val="111111"/>
          <w:sz w:val="28"/>
          <w:sz w:val="28"/>
          <w:szCs w:val="28"/>
          <w:rtl w:val="true"/>
          <w:lang w:bidi="ar-SA"/>
        </w:rPr>
        <w:t>بينهما بحمل القسم الثاني على من فعل ذلك جاهلاً، بقرينة 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لا يقع إلّاعلى الحنث، فإذا حَنَث فليس له أن يواقعها حتّى يكفّر، فإن جهل وفعل فإنّما عليه كفّارة واحدة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به، فإنّه بمنطوقه يقيّد إطلاق القسم الأوّل، وبمفهومه إطلاق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 w:name="pg11828_104883"/>
    </w:p>
    <w:p>
      <w:pPr>
        <w:pStyle w:val="BookText"/>
        <w:rPr/>
      </w:pPr>
      <w:bookmarkEnd w:id="43"/>
      <w:r>
        <w:rPr>
          <w:rFonts w:ascii="Amiri" w:hAnsi="Amiri" w:eastAsia="Amiri" w:cs="Amiri"/>
          <w:color w:val="111111"/>
          <w:sz w:val="28"/>
          <w:sz w:val="28"/>
          <w:szCs w:val="28"/>
          <w:rtl w:val="true"/>
          <w:lang w:bidi="ar-SA"/>
        </w:rPr>
        <w:t>ويتكرّر بكلّ وطءٍ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وجه تخصيص المصنّف وغيره لزوم الكفّارتين للعامد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الصحيح وإنْ اختصَّ بالجاهل، إلّاأنّه يثبت في الناسي بعدم القول بالفصل، ويؤيّده حديث رفع النسيان</w:t>
      </w:r>
      <w:r>
        <w:rPr>
          <w:rStyle w:val="FootnoteAnchor"/>
          <w:rtl w:val="true"/>
        </w:rPr>
        <w:footnoteReference w:id="174"/>
      </w:r>
      <w:r>
        <w:rPr>
          <w:rFonts w:ascii="Amiri" w:hAnsi="Amiri" w:eastAsia="Amiri" w:cs="Amiri"/>
          <w:color w:val="111111"/>
          <w:sz w:val="28"/>
          <w:sz w:val="28"/>
          <w:szCs w:val="28"/>
          <w:rtl w:val="true"/>
          <w:lang w:bidi="ar-SA"/>
        </w:rPr>
        <w:t>، بناءً على ما هو الصحيح من شموله للأحكام الوضعيّة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131681_73709187"/>
      <w:bookmarkStart w:id="45" w:name="_Toc15"/>
      <w:bookmarkEnd w:id="44"/>
      <w:r>
        <w:rPr>
          <w:rtl w:val="true"/>
        </w:rPr>
        <w:t>تكرّر الكفّارة بتكرّر الوطء</w:t>
      </w:r>
      <w:bookmarkEnd w:id="45"/>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ويتكرّر بكلّ وطءٍ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خلاف معتدّ به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 عن الوطء الأوّل لزمه التكفير عن الثاني،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وشرحه للاصبهاني</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وطئه ثانياً بعد تكفيره عن السَّبب الأوّل لا يجب عليه كفّارة له، وإلّا فتجب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الدليل دلّ على ثبوت الكفّارة بالوطء قبل التكفير، فمع تعدّد الوطء يتعدّد السبب، فيتعدّد المسبّب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واقع المرّة الثانية قبل أن يكفّر، فعليه كفّارة اُخرى ليس في هذا اختلاف</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هذا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أحد الرواة، بمعنى أنّه يتكرّر الوطء بتكرّر الكفّارة، ممّا يعني أنّ لكلّ وطءٍ كفّارة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w:t>
      </w:r>
      <w:r>
        <w:rPr>
          <w:rStyle w:val="FootnoteAnchor"/>
          <w:rtl w:val="true"/>
        </w:rPr>
        <w:footnoteReference w:id="181"/>
      </w:r>
      <w:r>
        <w:rPr>
          <w:rFonts w:ascii="Amiri" w:hAnsi="Amiri" w:eastAsia="Amiri" w:cs="Amiri"/>
          <w:color w:val="111111"/>
          <w:sz w:val="28"/>
          <w:sz w:val="28"/>
          <w:szCs w:val="28"/>
          <w:rtl w:val="true"/>
          <w:lang w:bidi="ar-SA"/>
        </w:rPr>
        <w:t>من أصالة التداخل في المسبّبات، ومقتضاها ما أفاده ابن حمزة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 وإنْ كان وجوب كفّارةٍ اُخرى بالوطء الثاني مطلقاً، كفّر عن الأوّل أم لا، لكنّه مختصٌّ بالمرّة الثانية، ولا يشمل سائر المرّات، إلّا أن يتمّ فيها بعدم القول بالفصل، وهو محلّ تأمّل، لأنّ عدم القول بالفصل لا يفيد، بل المفيد القول بعدم الفصل، وهو في المقام يمكن أن يكون لأصالة عدم التداخل التي عرفت ما فيها، فثبوتها في الوطء الثالث فما فوق إنْ لم يكفّر عن الأوّل والثاني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المصنّف رحمه الله وتبعه كاشف اللّثام، 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كفّر عن السبب يحلّ الوطء بلا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صحيح أبي بصير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6" w:name="pg11828_104885"/>
    </w:p>
    <w:p>
      <w:pPr>
        <w:pStyle w:val="BookText"/>
        <w:rPr/>
      </w:pPr>
      <w:bookmarkEnd w:id="46"/>
      <w:r>
        <w:rPr>
          <w:rFonts w:ascii="IRNazanin" w:hAnsi="IRNazanin" w:eastAsia="IRNazanin"/>
          <w:color w:val="111111"/>
          <w:sz w:val="28"/>
          <w:sz w:val="28"/>
          <w:szCs w:val="28"/>
          <w:rtl w:val="true"/>
          <w:lang w:bidi="fa-IR"/>
        </w:rPr>
        <w:t>ولو عجز</w:t>
      </w:r>
      <w:r>
        <w:rPr>
          <w:rFonts w:eastAsia="IRNazanin" w:cs="IRNazanin"/>
          <w:color w:val="111111"/>
          <w:sz w:val="28"/>
          <w:szCs w:val="28"/>
          <w:rtl w:val="true"/>
          <w:lang w:bidi="fa-IR"/>
        </w:rPr>
        <w:t>.</w:t>
      </w:r>
    </w:p>
    <w:p>
      <w:pPr>
        <w:pStyle w:val="Heading4"/>
        <w:numPr>
          <w:ilvl w:val="3"/>
          <w:numId w:val="1"/>
        </w:numPr>
        <w:rPr/>
      </w:pPr>
      <w:bookmarkStart w:id="47" w:name="__RefHeading___Toc11131683_73709187"/>
      <w:bookmarkStart w:id="48" w:name="_Toc16"/>
      <w:bookmarkEnd w:id="47"/>
      <w:r>
        <w:rPr>
          <w:rtl w:val="true"/>
        </w:rPr>
        <w:t>حكم العاجز عن الكفّارة</w:t>
      </w:r>
      <w:bookmarkEnd w:id="4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عن الخصال الثلاث التي جُعلت إحداها كفّارةً في المقام كما سيأتي، فهل لها بدلٌ يتوقّف عليه حِلّ الوطء؟</w:t>
      </w:r>
    </w:p>
    <w:p>
      <w:pPr>
        <w:pStyle w:val="BookText"/>
        <w:rPr/>
      </w:pPr>
      <w:r>
        <w:rPr>
          <w:rFonts w:ascii="Amiri" w:hAnsi="Amiri" w:eastAsia="Amiri" w:cs="Amiri"/>
          <w:color w:val="111111"/>
          <w:sz w:val="28"/>
          <w:sz w:val="28"/>
          <w:szCs w:val="28"/>
          <w:rtl w:val="true"/>
          <w:lang w:bidi="ar-SA"/>
        </w:rPr>
        <w:t>قال جماعة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واختلفوا في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للإطعام بدلاً، وهو صيام ثمانية عشر يوماً، فإنْ عَجَز عنها حَرُم عليه وطئها إلى أن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الصدوقين</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العجز عن إطعام الستّين، يتصدّق بما يطيق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حمزة</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عجز عن صوم شهرين، صام ثمانية عشر يوماً، فإنْ عَجَز تصدّق عن كلّ يومٍ بمُدٍّ من طعام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الشيخ</w:t>
      </w:r>
      <w:r>
        <w:rPr>
          <w:rStyle w:val="FootnoteAnchor"/>
          <w:rtl w:val="true"/>
        </w:rPr>
        <w:footnoteReference w:id="186"/>
      </w:r>
      <w:r>
        <w:rPr>
          <w:rFonts w:ascii="Amiri" w:hAnsi="Amiri" w:eastAsia="Amiri" w:cs="Amiri"/>
          <w:color w:val="111111"/>
          <w:sz w:val="28"/>
          <w:sz w:val="28"/>
          <w:szCs w:val="28"/>
          <w:rtl w:val="true"/>
          <w:lang w:bidi="ar-SA"/>
        </w:rPr>
        <w:t>في قولٍ آخر، والمفيد</w:t>
      </w:r>
      <w:r>
        <w:rPr>
          <w:rStyle w:val="FootnoteAnchor"/>
          <w:rtl w:val="true"/>
        </w:rPr>
        <w:footnoteReference w:id="187"/>
      </w:r>
      <w:r>
        <w:rPr>
          <w:rFonts w:ascii="Amiri" w:hAnsi="Amiri" w:eastAsia="Amiri" w:cs="Amiri"/>
          <w:color w:val="111111"/>
          <w:sz w:val="28"/>
          <w:sz w:val="28"/>
          <w:szCs w:val="28"/>
          <w:rtl w:val="true"/>
          <w:lang w:bidi="ar-SA"/>
        </w:rPr>
        <w:t>، وابن الجُنيد</w:t>
      </w:r>
      <w:r>
        <w:rPr>
          <w:rStyle w:val="FootnoteAnchor"/>
          <w:rtl w:val="true"/>
        </w:rPr>
        <w:footnoteReference w:id="188"/>
      </w:r>
      <w:r>
        <w:rPr>
          <w:rFonts w:ascii="Amiri" w:hAnsi="Amiri" w:eastAsia="Amiri" w:cs="Amiri"/>
          <w:color w:val="111111"/>
          <w:sz w:val="28"/>
          <w:sz w:val="28"/>
          <w:szCs w:val="28"/>
          <w:rtl w:val="true"/>
          <w:lang w:bidi="ar-SA"/>
        </w:rPr>
        <w:t>،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الخصال الثلاث لا بدل لها أصلاً، بل يحرمُ عليه وطؤها إلى أن يؤدّي الواجب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أجزأه الإستغفار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وعن الحِلّي</w:t>
      </w:r>
      <w:r>
        <w:rPr>
          <w:rStyle w:val="FootnoteAnchor"/>
          <w:rtl w:val="true"/>
        </w:rPr>
        <w:footnoteReference w:id="1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عجز عن خصال الكفّارة، أو مايقوم مقامهاإنْ قلنا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 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حِلّ‌الوطء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وللشيخ</w:t>
      </w:r>
      <w:r>
        <w:rPr>
          <w:rStyle w:val="FootnoteAnchor"/>
          <w:rtl w:val="true"/>
        </w:rPr>
        <w:footnoteReference w:id="192"/>
      </w:r>
      <w:r>
        <w:rPr>
          <w:rFonts w:ascii="Amiri" w:hAnsi="Amiri" w:eastAsia="Amiri" w:cs="Amiri"/>
          <w:color w:val="111111"/>
          <w:sz w:val="28"/>
          <w:sz w:val="28"/>
          <w:szCs w:val="28"/>
          <w:rtl w:val="true"/>
          <w:lang w:bidi="ar-SA"/>
        </w:rPr>
        <w:t>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لكن تجبُ الكفّارة بعد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ثبوت كفّارةٍ غير الاستغفار مقام الخصال، سيأتي إنْ شاء اللّه تعالى في كتاب الكفّارات</w:t>
      </w:r>
      <w:r>
        <w:rPr>
          <w:rStyle w:val="FootnoteAnchor"/>
          <w:rtl w:val="true"/>
        </w:rPr>
        <w:footnoteReference w:id="193"/>
      </w:r>
      <w:r>
        <w:rPr>
          <w:rFonts w:ascii="Amiri" w:hAnsi="Amiri" w:eastAsia="Amiri" w:cs="Amiri"/>
          <w:color w:val="111111"/>
          <w:sz w:val="28"/>
          <w:sz w:val="28"/>
          <w:szCs w:val="28"/>
          <w:rtl w:val="true"/>
          <w:lang w:bidi="ar-SA"/>
        </w:rPr>
        <w:t>، وستعرف أنّه لا دليل على شيء منها، إلّاأنّ بما أفاده الشيخ رحمه الله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الاجتزاء بعد العجز عن الخصال الثلاث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براءة الذمّة، واباحة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إيجاب الكفّارة مع العجز تكليفٌ بغير مقدور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الظهار إذا عجز صاحبه عن الكفّارة، فليستغفر ربّه، وينوي ألا يعود قبل أن يواقع، ثمّ ليواقع، وقد أجزأ ذلك عنه من الكفّارة، فإذا وجد السبيل إلى ما يكفّر به يوماً من الأيّام فليكفِّر،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تصدّق وأطعمَ نفسه وعياله فإنّه يُجزيه إذا كان محتاجاً، وإلّا يجِدُ ذلك فليستغفر ربّه وينوي أن لا يعود، فحسبه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انقطعا بالظهار، لأنّه أوجب حُرمة الوطء، وعدم حليّته بدون الكفّارة، فالعود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تكليف بالكفّارة إلّامشروطاً بالوقاع غير الواجب، ومع عدم إرادته لا تكليف بها أصلاً، فلا يلزم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أتى زمانٌ يجب فيه المواقعة في نفسها لولا المانع، حيثُ إنّ الوقاع بدون الكفّارة محرّم، ومعها ممتنعٌ لعدم القدرة، فيسقط وجوب الوقاع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الإغماض عن ذلك، يقع التعارض بين التكليفين، أي حرمة الوطء بدون الكفّارة ووجوبه، وترجيح أحدهما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التعارض، فإنّه إنْ طلّق لم يُخالف شيئاً من التكليفين فيتعيّن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موثّقاً، والموثّق حجّة في نفسه، وما فيه من التشويش والاضطراب لا يضرّ بالاستدلال بما هو محلّ الاستشهاد الذي لا اضطراب فيه، لكنّه يعارضه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 أو غير ذلك ممّا يجبُ على صاحبه فيه الكفّارة، فالاستغفار له كفّارةٌ ما خلا يمين الظهار، فإنّه إذا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يجد ما يكفّر به حَرُمت عليه أن يجامعها، وفرّق بينهما، إلّاأن ترضى المرأة أن يكون معها ولا يجامعها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الورد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مائة مرّة‌؟</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لكلّ مرّةٍ عتقُ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إطعام ستّين مسكيناً مائة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فيطيقُ صيام شهرين متتابعين مائة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الصحيح أصحُّ سنداً منه، وفتوى الأكثر التي هي أوّل المرجّحات على مضمونه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ومع ذلك فهو موافقٌ للكتاب الدالّ على لزوم الكفّارة قبل الوطء إن أراده، فيتعيّن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الاجتزاء بالاستغفار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9" w:name="pg11828_104889"/>
    </w:p>
    <w:p>
      <w:pPr>
        <w:pStyle w:val="BookText"/>
        <w:rPr/>
      </w:pPr>
      <w:bookmarkEnd w:id="49"/>
      <w:r>
        <w:rPr>
          <w:rFonts w:ascii="Amiri" w:hAnsi="Amiri" w:eastAsia="Amiri" w:cs="Amiri"/>
          <w:color w:val="111111"/>
          <w:sz w:val="28"/>
          <w:sz w:val="28"/>
          <w:szCs w:val="28"/>
          <w:rtl w:val="true"/>
          <w:lang w:bidi="ar-SA"/>
        </w:rPr>
        <w:t>وإذا رافعته أنظره الحاكم ثلاثة أشهر من حين المرافعة، فيضيّق عليه بعدها حتّى يكفّر أو يُطلِّق</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131685_73709187"/>
      <w:bookmarkStart w:id="51" w:name="_Toc17"/>
      <w:bookmarkEnd w:id="50"/>
      <w:r>
        <w:rPr>
          <w:rtl w:val="true"/>
        </w:rPr>
        <w:t>رفع المظاهِرة أمرها إلى الحاكم</w:t>
      </w:r>
      <w:bookmarkEnd w:id="5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المظاهَرة على ترك الزوج وطئها، فلا اعتراض، بلا خلافٍ فيه ولا إشكال، لأنّ الحقّ لها، فجاز إسقاطها لها جزماً، وليس للزوج حملها على المرافعة، لأنّ حقّ الاستمتاع وإنْ كان لهما، إلّاأنّ المظاهَر أدخل الضرر على نفسه، فإذا أراد العود فوسيلته إلى الحِلّ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رافعته، أنظره الحاكم ثلاثة أشهر من حين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يُخيّره بين العود والتكفير، وبين الطلاق، فلو أبى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انقضت المدّة ولم يختر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المَشرب والمطعَم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يمنعه عمّا زاد على سدِّ الرّمَق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يكفِّر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يجبره على الطلاق بعينه، ولا يُطلّق عنه، ولا على التكفير كذلك، 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الاتّفاق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جماعةٍ الإجماع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أنّ الإجماع هوالمدرك في المقام، دون الخبر الذي استدلّ به، وهو موثّق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ظاهر من امرأته‌؟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أتاها فعليه عتق رقبة، أو صيام شهرين متتابعين، أو إطعام ستّين مسكيناً، وإلّا تُرك ثلاثة أشهر، فإنْ فاء وإلّا اُوقف حتّى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امرأتك حاجة أو تطلّقها؟ فإنْ فاءَ فليس عليه شيءٌ‌، وهي امرأته، وإنْ طلّق واحدة فهو أملك برجعتها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طريق الرواية ضعفٌ‌، وفي الحكم على إطلاقه إشكالٌ لشموله ما إذا رافعته عقيب الظهار بغير فصلٍ‌، بحيث لا يفوت لها من الوطء بعد مضيّ المدّة المضروبة، فإنّ الواجب وطئها في أربعة أشهر مرّة، وغيره من الحقوق لا يفوت بالظهار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أُمورٌ اُخر منافية للقواعد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قسم الموثّق لا إشكال فيه، مضافاً إلى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للإشكال فيه بعد دلالة الرواية عليه، وعمل الأصحاب بها في مورد الإشكال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والتزام الكفّارة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الوطء، لا الوطء ليستشكل بأنّه ليس لها المطالبة به إلّافي كلّ أربعة أشهر مرّة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ليس في الخبر الحبس والتضييق عليه في المَطعم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مستندهم في ذلك الخبران المتضمّنان لذلك في المولى كما يأتي مع عدم تعقّل الفرق بينه وبين المظاهر، مضافاً إلى شهادة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الحكم بالإيقاف من دون تقييدٍ بمرافعتها، فيقيّد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يزيد</w:t>
      </w:r>
      <w:r>
        <w:rPr>
          <w:rStyle w:val="FootnoteAnchor"/>
          <w:rtl w:val="true"/>
        </w:rPr>
        <w:footnoteReference w:id="206"/>
      </w:r>
      <w:r>
        <w:rPr>
          <w:rFonts w:ascii="Amiri" w:hAnsi="Amiri" w:eastAsia="Amiri" w:cs="Amiri"/>
          <w:color w:val="111111"/>
          <w:sz w:val="28"/>
          <w:sz w:val="28"/>
          <w:szCs w:val="28"/>
          <w:rtl w:val="true"/>
          <w:lang w:bidi="ar-SA"/>
        </w:rPr>
        <w:t>المتضمّن لإجباره على التكفير، فمورده الإمساك وعدم الطلاق، وإطلاقه يقيّد بخبر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الخبرين السابقين من الإجبار بالطلاق، إنّما هو في غير القادر على التكفير، فيقيّد إطلاق خبر أبي بصير إنْ لم يكن بنفسه ظاهراً في القادر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صحيح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الإجبار على التكفير في صورة القدرة، 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يُجبر على الطلاق بعينه إلّاإذا قدر على التكفير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2" w:name="pg11828_104892"/>
    </w:p>
    <w:p>
      <w:pPr>
        <w:pStyle w:val="Heading4"/>
        <w:numPr>
          <w:ilvl w:val="3"/>
          <w:numId w:val="1"/>
        </w:numPr>
        <w:rPr/>
      </w:pPr>
      <w:bookmarkStart w:id="53" w:name="__RefHeading___Toc11131687_73709187"/>
      <w:bookmarkStart w:id="54" w:name="_Toc18"/>
      <w:bookmarkEnd w:id="52"/>
      <w:bookmarkEnd w:id="53"/>
      <w:r>
        <w:rPr>
          <w:rtl w:val="true"/>
        </w:rPr>
        <w:t>حكم ما لو ظاهر من زوجاته المتعدِّدة بلفظٍ واحد</w:t>
      </w:r>
      <w:bookmarkEnd w:id="5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ظاهر من زوجاته المتعدّدة بلفظٍ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أنتنّ عليَّ كظهر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مظاهراً منهنّ بلا خلافٍ‌</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فارقهنّ بما يرفع الظهار، فلا كفّارة، وإنْ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بعضهنّ‌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كلهنّ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 عليه عن كلّ واحدةٍ كفّارة في الصورة الثانية، وثبوت الكفّارة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الإسكافي</w:t>
      </w:r>
      <w:r>
        <w:rPr>
          <w:rStyle w:val="FootnoteAnchor"/>
          <w:rtl w:val="true"/>
        </w:rPr>
        <w:footnoteReference w:id="212"/>
      </w:r>
      <w:r>
        <w:rPr>
          <w:rFonts w:ascii="Amiri" w:hAnsi="Amiri" w:eastAsia="Amiri" w:cs="Amiri"/>
          <w:color w:val="111111"/>
          <w:sz w:val="28"/>
          <w:sz w:val="28"/>
          <w:szCs w:val="28"/>
          <w:rtl w:val="true"/>
          <w:lang w:bidi="ar-SA"/>
        </w:rPr>
        <w:t>في الثانية، والتزم بلزوم كفّارة واحدة عليه، واحتمل عدم ثبوتها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النصوص الخاصّة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الظهار كسائر عناوين العقود والإيقاعات من مقولة المعنى دون اللّفظ، وليس من قبيل اليمين الذي هو اسمٌ للعبارة المخصوصة، </w:t>
      </w:r>
    </w:p>
    <w:p>
      <w:pPr>
        <w:pStyle w:val="BookText"/>
        <w:rPr/>
      </w:pPr>
      <w:r>
        <w:rPr>
          <w:rFonts w:ascii="Amiri" w:hAnsi="Amiri" w:eastAsia="Amiri" w:cs="Amiri"/>
          <w:color w:val="111111"/>
          <w:sz w:val="28"/>
          <w:sz w:val="28"/>
          <w:szCs w:val="28"/>
          <w:rtl w:val="true"/>
          <w:lang w:bidi="ar-SA"/>
        </w:rPr>
        <w:t>واللّفظ مُبرِزٌ له وكاشفٌ عنه، فإذا تعلّق بأكثر من واحدة، يكون الظهار متعدداً، ويلحق كلّ واحدٍ منه حكمه، وعليه فلو عاد إلى بعضهنّ ثبت الكفّارة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فساد قياس المقام بما لو حَلَف أن لا يكلِّم جماعةً‌، فإنّه لا يثبتُ الكفّارة إلّابتكلّم الجميع، فضلاً عن أنّ بينهما فرقاً آخر، وهو أنّ الحلف تعلّق بترك تكلّم الجميع، والحنث يحصل بنقيضه، وهو تكلّم الجميع دون تكلّم البعض، والكفّارة في الظهار تعلّقت بالعود، وهو يحصل بالعود إلى واحدة، هكذا أفاد بعض الأساطين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قطع النظر عمّا ذكرناه، وتسليم أنّ الظهار المتعلّق بأكثر من واحدة واحد، تكون الكفّارة مترتّبة على العود إلى الجميع، وعليه فالعمدة ماذكرناه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تعدّد الظِهار، لا محالة تتعدّد الكفّارة، لإطلاق الأدلّة، فحينئذ إنْ عاد إلى بعضهنّ فكفّر، ثمّ عاد إلى الاُخرى‌، ثبت كفّارة اُخرى‌، وإلّا فالأظهر الاكتفاء بكفّارة واحدة، بناءً على أصالة تداخل المسبّبات، كما بنينا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 واردتان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تعدّد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أبي عبداللّه، أو أبي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عشر جوارٍ، فظاهر منهنّ جميعاً كلهنّ بكلام واحدٍ؟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الحسين بن مهران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ظاهر من أربع نسوة‌؟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لكلّ واحدةٍ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رجلٍ ظاهر من امرأته وجاريته، ما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واحدةٍ منهما كفّارة عتق رقبة، أو صيام شهرين متتابعين، أو إطعام ستّين مسكيناً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يدلّان على تعدّد الكفّارة وعدم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بن إبراهيم، عن الإمام الصادق، عن أبيه، عن أميرالمؤمنين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 من أربع 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بينهما بحمل الثانية على إرادة التداخل، والأُولى على إرادة التعدّد، مع تخلّل التكفير بين العود إلى كلّ واحدةٍ‌، والعود إلى الاُخرى‌، فتنطبقان على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جمعٌ غير عرفي لا 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الشيخ رحمه الله</w:t>
      </w:r>
      <w:r>
        <w:rPr>
          <w:rStyle w:val="FootnoteAnchor"/>
          <w:rtl w:val="true"/>
        </w:rPr>
        <w:footnoteReference w:id="217"/>
      </w:r>
      <w:r>
        <w:rPr>
          <w:rFonts w:ascii="Amiri" w:hAnsi="Amiri" w:eastAsia="Amiri" w:cs="Amiri"/>
          <w:color w:val="111111"/>
          <w:sz w:val="28"/>
          <w:sz w:val="28"/>
          <w:szCs w:val="28"/>
          <w:rtl w:val="true"/>
          <w:lang w:bidi="ar-SA"/>
        </w:rPr>
        <w:t>بينهما بحمل الموثّق على إرادة الجنس من كفّارة واحدة، وهو كما ترى‌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إنّهما متعارضتان، والترجيح مع الأُولى، لمطابقتها لفتوى جُلّ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الأصحاب، وأصحيّة إسنادها فتقدّم، وعليه فالأظهر تعدّد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ظاهر من امرأةٍ واحدةٍ مراراً،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بكلّ مرّةٍ كفّارة، وهو مختار الأكثر، من غير فرقٍ بين تراخي أحدهما عن الآخر، أو تواليهما بقصد التأكيد أم لا، تعدّد المشبّه بها كالاُمّ والأُخت أم لا، تخلّل التكفير بينهما أم لا، اختلف المجلس أم 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w:t>
      </w:r>
      <w:r>
        <w:rPr>
          <w:rStyle w:val="FootnoteAnchor"/>
          <w:rtl w:val="true"/>
        </w:rPr>
        <w:footnoteReference w:id="218"/>
      </w:r>
      <w:r>
        <w:rPr>
          <w:rFonts w:ascii="Amiri" w:hAnsi="Amiri" w:eastAsia="Amiri" w:cs="Amiri"/>
          <w:color w:val="111111"/>
          <w:sz w:val="28"/>
          <w:sz w:val="28"/>
          <w:szCs w:val="28"/>
          <w:rtl w:val="true"/>
          <w:lang w:bidi="ar-SA"/>
        </w:rPr>
        <w:t>، وابن حمزة</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كفّارة واحدة عليه في المتواليين، مع قصد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غير صورة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 الواحدة إذا نوى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الإسكافي</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تعدّد المشبّه بها فتتعدّد الكفّارة، واتّحادها فتتّحد وإنْ فرق، إلّاأن يتخلّل التكفير فتتعدّد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وحدة الكفّارة في جميع الفروض، لأصالة تداخل المسبّبات، ولكن دلّت النصوص الصحيحة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خمس مرّات أو أكثر ما عليه‌؟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كلّ مرّةٍ كفّارة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خمس مرّات أو أكثر؟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مرّة كفّارة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ثلاث مرّات‌؟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ثلاث مرّات</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ظاهر من امرأته خمس عشرة مرّة‌؟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 عَشَرة كفّارة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تعدّد الكفّارة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خبر عبد الرحمن بن الحجّاج،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 من امرأته أربع مرّات، في كلّ مجلسٍ واحدة‌؟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يصلحُ لمعارضة ما سبق، فالمتعيّن طرحه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نيّة التأكيد يصدق اتّحاد الظهار لا تعدّده، فلا تشمل النصوص هذه الصورة،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المؤكِّد غير المؤكَّد، وإطلاق أدلّة الظهار يقتضي ترتّب الكفّارة على مسمّاه مع العود، وهو متحقّقٌ في المقصود به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من مقولة المعنى‌، كما مرّ، واعترف قدس سره به، والتأكيد إنّما هو في الإظهار والإبراز، والأدلّة إنّما تدلّ على ترتّب الكفّارة على مسمّى الظهار، لا على مسمّى مُبرِزه،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الشيخ والفخر وغيرهما من عدم تعدّد الكفّارة مع نيّة التأكيد هو الأظهر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5" w:name="pg11828_104898"/>
    </w:p>
    <w:p>
      <w:pPr>
        <w:pStyle w:val="Heading4"/>
        <w:numPr>
          <w:ilvl w:val="3"/>
          <w:numId w:val="1"/>
        </w:numPr>
        <w:rPr/>
      </w:pPr>
      <w:bookmarkStart w:id="56" w:name="__RefHeading___Toc11131689_73709187"/>
      <w:bookmarkStart w:id="57" w:name="_Toc19"/>
      <w:bookmarkEnd w:id="55"/>
      <w:bookmarkEnd w:id="56"/>
      <w:r>
        <w:rPr>
          <w:rtl w:val="true"/>
        </w:rPr>
        <w:t>حكم ما دون الوطء من الاستمتاعات</w:t>
      </w:r>
      <w:bookmarkEnd w:id="5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الوطء على المظاهِر إذا عاد، ما لم يُكفّر، سواءٌ كفّر بالعتق أو الصيام أو الإطعام بلا خلافٍ‌، وقد تقدّم ذلك، وعرفت دلالة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ما دون الوطء كالقُبلة والملامسة قبل الكفّارة أم لا؟</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w:t>
      </w:r>
      <w:r>
        <w:rPr>
          <w:rStyle w:val="FootnoteAnchor"/>
          <w:rtl w:val="true"/>
        </w:rPr>
        <w:footnoteReference w:id="228"/>
      </w:r>
      <w:r>
        <w:rPr>
          <w:rFonts w:ascii="Amiri" w:hAnsi="Amiri" w:eastAsia="Amiri" w:cs="Amiri"/>
          <w:color w:val="111111"/>
          <w:sz w:val="28"/>
          <w:sz w:val="28"/>
          <w:szCs w:val="28"/>
          <w:rtl w:val="true"/>
          <w:lang w:bidi="ar-SA"/>
        </w:rPr>
        <w:t>وجماعة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منشأ الاختلاف، اختلاف التفسير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المماسّة أعمٌّ من الوطء لغةً‌، والأصل عدم النقل والاشتراك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المماسّة يُكنّى بها عن الوطء في غير المقام، فيحصل الظنّ بإرادته منها هنا،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الكركي</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كناية مشهورة عنه، ويعضده التفسير، بل عن الحِلّي</w:t>
      </w:r>
      <w:r>
        <w:rPr>
          <w:rStyle w:val="FootnoteAnchor"/>
          <w:rtl w:val="true"/>
        </w:rPr>
        <w:footnoteReference w:id="231"/>
      </w:r>
      <w:r>
        <w:rPr>
          <w:rFonts w:ascii="IRNazanin" w:hAnsi="IRNazanin" w:eastAsia="IRNazanin"/>
          <w:color w:val="111111"/>
          <w:sz w:val="28"/>
          <w:sz w:val="28"/>
          <w:szCs w:val="28"/>
          <w:rtl w:val="true"/>
          <w:lang w:bidi="fa-IR"/>
        </w:rPr>
        <w:t>الاتّفاق على إرادته منها 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كما عرفت أنّ الآية الشريفة لا تدلّ إلّاعلى وجوب الكفّارة عند العود، المُفسَّر في النصوص بإرادة الوطء، وأنّ شرط الوجوب بنحو الشرط المتأخّر هو المماسّة، ولا تدلّ الآية الشريفة على حرمة الوطء، بل دليلها النصوص الخاصّة، وهي مختصّة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فرض دلالة الآية على الحرمة، الظاهر من المماسّة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بإرادة الوطء، هو الوطء خاصّة، أضف إليه أنّه قد فُسِّرت المماسّة في صحيح حمران</w:t>
      </w:r>
      <w:r>
        <w:rPr>
          <w:rStyle w:val="FootnoteAnchor"/>
          <w:rtl w:val="true"/>
        </w:rPr>
        <w:footnoteReference w:id="232"/>
      </w:r>
      <w:r>
        <w:rPr>
          <w:rFonts w:ascii="Amiri" w:hAnsi="Amiri" w:eastAsia="Amiri" w:cs="Amiri"/>
          <w:color w:val="111111"/>
          <w:sz w:val="28"/>
          <w:sz w:val="28"/>
          <w:szCs w:val="28"/>
          <w:rtl w:val="true"/>
          <w:lang w:bidi="ar-SA"/>
        </w:rPr>
        <w:t>بالمُجامعة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ما دون الوطء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8" w:name="pg11828_104900"/>
    </w:p>
    <w:p>
      <w:pPr>
        <w:pStyle w:val="Heading4"/>
        <w:numPr>
          <w:ilvl w:val="3"/>
          <w:numId w:val="1"/>
        </w:numPr>
        <w:rPr/>
      </w:pPr>
      <w:bookmarkStart w:id="59" w:name="__RefHeading___Toc11131691_73709187"/>
      <w:bookmarkStart w:id="60" w:name="_Toc20"/>
      <w:bookmarkEnd w:id="58"/>
      <w:bookmarkEnd w:id="59"/>
      <w:r>
        <w:rPr>
          <w:rtl w:val="true"/>
        </w:rPr>
        <w:t>حكم الوطء خلال الصوم</w:t>
      </w:r>
      <w:bookmarkEnd w:id="6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يحرُم الوطء على المظاهر إذا عاد، ما لم يكفّر، سواءً كفّر بالعتق أو الصيام أو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وقع في أنّه لو وطئها خلال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فالأكثر على أنّه يجبُ استئناف الصوم، سواءٌ كان الوطء واقعاً في اللّيل أو النهار، وسواءً كان بعد أن صام شهراً ومن الثاني يوماً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سعيد</w:t>
      </w:r>
      <w:r>
        <w:rPr>
          <w:rStyle w:val="FootnoteAnchor"/>
          <w:rtl w:val="true"/>
        </w:rPr>
        <w:footnoteReference w:id="233"/>
      </w:r>
      <w:r>
        <w:rPr>
          <w:rFonts w:ascii="Amiri" w:hAnsi="Amiri" w:eastAsia="Amiri" w:cs="Amiri"/>
          <w:color w:val="111111"/>
          <w:sz w:val="28"/>
          <w:sz w:val="28"/>
          <w:szCs w:val="28"/>
          <w:rtl w:val="true"/>
          <w:lang w:bidi="ar-SA"/>
        </w:rPr>
        <w:t>، والحِلّي</w:t>
      </w:r>
      <w:r>
        <w:rPr>
          <w:rStyle w:val="FootnoteAnchor"/>
          <w:rtl w:val="true"/>
        </w:rPr>
        <w:footnoteReference w:id="234"/>
      </w:r>
      <w:r>
        <w:rPr>
          <w:rFonts w:ascii="Amiri" w:hAnsi="Amiri" w:eastAsia="Amiri" w:cs="Amiri"/>
          <w:color w:val="111111"/>
          <w:sz w:val="28"/>
          <w:sz w:val="28"/>
          <w:szCs w:val="28"/>
          <w:rtl w:val="true"/>
          <w:lang w:bidi="ar-SA"/>
        </w:rPr>
        <w:t>، والمصنّف</w:t>
      </w:r>
      <w:r>
        <w:rPr>
          <w:rStyle w:val="FootnoteAnchor"/>
          <w:rtl w:val="true"/>
        </w:rPr>
        <w:footnoteReference w:id="235"/>
      </w:r>
      <w:r>
        <w:rPr>
          <w:rFonts w:ascii="Amiri" w:hAnsi="Amiri" w:eastAsia="Amiri" w:cs="Amiri"/>
          <w:color w:val="111111"/>
          <w:sz w:val="28"/>
          <w:sz w:val="28"/>
          <w:szCs w:val="28"/>
          <w:rtl w:val="true"/>
          <w:lang w:bidi="ar-SA"/>
        </w:rPr>
        <w:t>في جملةٍ من كتبه، والمحقّق الثاني</w:t>
      </w:r>
      <w:r>
        <w:rPr>
          <w:rStyle w:val="FootnoteAnchor"/>
          <w:rtl w:val="true"/>
        </w:rPr>
        <w:footnoteReference w:id="236"/>
      </w:r>
      <w:r>
        <w:rPr>
          <w:rFonts w:ascii="Amiri" w:hAnsi="Amiri" w:eastAsia="Amiri" w:cs="Amiri"/>
          <w:color w:val="111111"/>
          <w:sz w:val="28"/>
          <w:sz w:val="28"/>
          <w:szCs w:val="28"/>
          <w:rtl w:val="true"/>
          <w:lang w:bidi="ar-SA"/>
        </w:rPr>
        <w:t>، والشهيدين</w:t>
      </w:r>
      <w:r>
        <w:rPr>
          <w:rStyle w:val="FootnoteAnchor"/>
          <w:rtl w:val="true"/>
        </w:rPr>
        <w:footnoteReference w:id="23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يبطل التتابع بالوطء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بطلان التتابع إنْ وقع نهاراً بعد أنْ صام من الثاني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تتابع الشهرين المعتبر في الكفّارة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المأمور به هو صيام شهرين متتابعين من قبل أن يتماسّا، فإذا واقعها قبل أن يتمّ الصيام، لم يقع المأمور به على وجهه، فلابدّ من الاستئناف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قد دلّت الأخبار على لزوم كفّارتين عليه إذا وطأ قبل التكفير، </w:t>
      </w:r>
    </w:p>
    <w:p>
      <w:pPr>
        <w:pStyle w:val="BookText"/>
        <w:rPr/>
      </w:pPr>
      <w:r>
        <w:rPr>
          <w:rFonts w:ascii="Amiri" w:hAnsi="Amiri" w:eastAsia="Amiri" w:cs="Amiri"/>
          <w:color w:val="111111"/>
          <w:sz w:val="28"/>
          <w:sz w:val="28"/>
          <w:szCs w:val="28"/>
          <w:rtl w:val="true"/>
          <w:lang w:bidi="ar-SA"/>
        </w:rPr>
        <w:t>ولا ريب في صِدقه في الفرض، لكون الكفّارة إسماً للمجموع، فيلزمه حينئذٍ كفّارتان تامّتان، والأصل عدم وجوب إتمام ما تخلّله مع ذلك، بل ولا قال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الشغل، للقطع بعدم سقوط التكليف عنه، ولكن لم يَعلم المكلّف به هل هو الإتمام أو الاستئناف، فيجبُ الأخير مقدّمةً للبراءة اليقينيّة، بعد القطع بعدم وجوبهما 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الأصحاب ذكروا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من شرائط وجوب الكفّارة، لا من قيود المأمور به، ولذلك بنوا على أنّ من أراد الوطء، ثمّ عزم على الترك لا تجبُ عليه الكفّارة، أو أنّه يدلّ على حرمة المماسّة قبل التكفير، وعلى التقديرين لا تدلّ الآية وما شابهها من النصوص على اعتبار وقوع الكفّارة قبل المسيس، بحيث لو وقع بعده، أو وقع بعضه قبله وبعضه بعده، لم يقع المأمور به على وجهه، وتعضده النصوص المتقدّمة الدالّة على أنّه لو وطء قبل التكفير تجبُ 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فيسقط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القبليّة المزبورة واجبة تعبّداً لا شرطاً، وأخبار الوطء قبل الكفّارة مختصّة بما إذا وقع قبل جميعها، ولا تشمل ما لو وقع قبل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في المقام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تدلّ على وجوب كفّارةٍ اُخرى غير كفّارة الظهار بالوطء قبل التكفير، ولا تدلّ على وجوب الكفّارة أيضاً بحيث تكون مشرّعة لها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الثالث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دلالة الأدلّة على كفاية الإتمام، ومعه لا تصل النوبة إلى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موارد دوران الأمر بين الأقلّ والأكثر، ووجوب الأقلّ معلوم، والشكّ إنّما هو في وجوب الأكثر،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فالمورد موردٌ لجريان أصالة البراءة دون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حرمة الوطء ما لم يتمّ الصيام، لأنّه وطء قبل الكفّارة الّتي هي عبارة عن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ذلك قبل أن يصوم من الثاني شيئاً في النهار، وجبَ الاستئناف، لإنتفاء التتابع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في اللّيل، أو في النهار بعد أن صام من الثاني شيئاً، لا يجبُ الاستئناف، بل له أن يُكمل ما شَرَع فيه، ويجتزى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الإكمال عن كفّارة الوطء قبل التكفير، وبعبارة اُخرى هل تجبُ كفّارةٌ للوطء أيضاً أم 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أظهرها الثاني، لإختصاص ما دلّ على وجوب الكفّارة بالوطء بمن وطأ قبل أن يَشرع في التكفير</w:t>
      </w:r>
      <w:r>
        <w:rPr>
          <w:rFonts w:eastAsia="Amiri" w:cs="Amiri" w:ascii="Amiri" w:hAnsi="Amiri"/>
          <w:color w:val="111111"/>
          <w:sz w:val="28"/>
          <w:szCs w:val="28"/>
          <w:rtl w:val="true"/>
          <w:lang w:bidi="ar-SA"/>
        </w:rPr>
        <w:t>.</w:t>
      </w:r>
      <w:bookmarkStart w:id="61" w:name="pg11828_104903"/>
    </w:p>
    <w:p>
      <w:pPr>
        <w:pStyle w:val="BookText"/>
        <w:rPr/>
      </w:pPr>
      <w:bookmarkEnd w:id="61"/>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الإيلاء،</w:t>
      </w:r>
    </w:p>
    <w:p>
      <w:pPr>
        <w:pStyle w:val="Heading3"/>
        <w:numPr>
          <w:ilvl w:val="2"/>
          <w:numId w:val="1"/>
        </w:numPr>
        <w:rPr/>
      </w:pPr>
      <w:bookmarkStart w:id="62" w:name="__RefHeading___Toc11131693_73709187"/>
      <w:bookmarkStart w:id="63" w:name="_Toc21"/>
      <w:bookmarkEnd w:id="62"/>
      <w:r>
        <w:rPr>
          <w:rtl w:val="true"/>
        </w:rPr>
        <w:t>(</w:t>
      </w:r>
      <w:r>
        <w:rPr>
          <w:rtl w:val="true"/>
        </w:rPr>
        <w:t>الفصل السادس</w:t>
      </w:r>
      <w:r>
        <w:rPr>
          <w:rtl w:val="true"/>
        </w:rPr>
        <w:t>) (</w:t>
      </w:r>
      <w:r>
        <w:rPr>
          <w:rtl w:val="true"/>
        </w:rPr>
        <w:t>في الإيلاء</w:t>
      </w:r>
      <w:r>
        <w:rPr>
          <w:rtl w:val="true"/>
        </w:rPr>
        <w:t>)</w:t>
      </w:r>
      <w:bookmarkEnd w:id="63"/>
    </w:p>
    <w:p>
      <w:pPr>
        <w:pStyle w:val="Heading4"/>
        <w:numPr>
          <w:ilvl w:val="3"/>
          <w:numId w:val="1"/>
        </w:numPr>
        <w:rPr/>
      </w:pPr>
      <w:bookmarkStart w:id="64" w:name="__RefHeading___Toc11131695_73709187"/>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وهو لغةً الحَلْف</w:t>
      </w:r>
      <w:r>
        <w:rPr>
          <w:rStyle w:val="FootnoteAnchor"/>
          <w:rtl w:val="true"/>
        </w:rPr>
        <w:footnoteReference w:id="240"/>
      </w:r>
      <w:r>
        <w:rPr>
          <w:rFonts w:ascii="Amiri" w:hAnsi="Amiri" w:eastAsia="Amiri" w:cs="Amiri"/>
          <w:color w:val="111111"/>
          <w:sz w:val="28"/>
          <w:sz w:val="28"/>
          <w:szCs w:val="28"/>
          <w:rtl w:val="true"/>
          <w:lang w:bidi="ar-SA"/>
        </w:rPr>
        <w:t>، وشرعاً</w:t>
      </w:r>
      <w:r>
        <w:rPr>
          <w:rStyle w:val="FootnoteAnchor"/>
          <w:rtl w:val="true"/>
        </w:rPr>
        <w:footnoteReference w:id="241"/>
      </w:r>
      <w:r>
        <w:rPr>
          <w:rFonts w:ascii="Amiri" w:hAnsi="Amiri" w:eastAsia="Amiri" w:cs="Amiri"/>
          <w:color w:val="111111"/>
          <w:sz w:val="28"/>
          <w:sz w:val="28"/>
          <w:szCs w:val="28"/>
          <w:rtl w:val="true"/>
          <w:lang w:bidi="ar-SA"/>
        </w:rPr>
        <w:t>حَلف الزّوج الدائم على ترك وطء زوجته المدخول بها قُبُلاً مطلقاً، أو زيادةً عن أربعة أشهر للإضرار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له حقيقة شرعيّة ولا متشرّعيّة، بل معناه الشرعي من مصاديق معناه اللّغوي، وإطلاقه عليه من باب إطلاق الكلّي على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ذلك طلاقاً في الجاهليّة كالظهار، وغَيّر الشارع الأقدس حكمه، وجعل له أحكاماً خاصّة، وشرائط مخصوصة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ما ذكرناه أنّه في كلّ موضعٍ لم ينعقد الإيلاء، لفقد شرطٍ من شرائطه، فإنْ كان جامعاً لشرائط اليمين، يكون يميناً كما ذكره غير واحدٍ، بل أرسلوه إرسال المسلّمات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ينعقدُ بغير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قَصَد به الإيلاء، والفرضُ عدم انعقاده، فما قُصِد لم يقع وما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الإيلاء واليمين لا فرق بينهما بحسب الحقيقة، وإنّما الإيلاء فردٌ من أفراد اليمين، له أحكامٌ خاصّة، وموردٌ مخصوص، فقصد الإيلاء قصدٌ لليمين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فتمام الكلام فيه يقتضي 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بغير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به، أو الغالب فيه، بلا خلافٍ‌، وتشهدُ به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ذلك في اليمين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للرّجل أن يَحلِف إلّا باللّه تعالى‌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عن أبي جعفر الثاني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لخلقه أن يقسموا إلّابه عزّ وجلّ‌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لخلقه أن يقسموا إلّابه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ذلك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والإيلاءُ أن يقول واللّه لا اُجامعكِ كذا وكذا، واللّه لأغيضنّكِ ثمّ يغاضبها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تكفي النيّة، ولا التلفّظ بما يُشعر بالقَسَم،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لأتركنَّ وطأك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التلفّظ بالجملة المتضمّنة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يُكتفى بكلّ ما يدلّ على الحَلف بمُسمّى الاسم من موصولٍ وصلة ونحو ذلك ممّا يصدق معه أنّه حَلَف باللّه تعالى أم لا يكفي‌؟</w:t>
      </w:r>
    </w:p>
    <w:p>
      <w:pPr>
        <w:pStyle w:val="BookText"/>
        <w:rPr/>
      </w:pPr>
      <w:r>
        <w:rPr>
          <w:rFonts w:ascii="Amiri" w:hAnsi="Amiri" w:eastAsia="Amiri" w:cs="Amiri"/>
          <w:color w:val="111111"/>
          <w:sz w:val="28"/>
          <w:sz w:val="28"/>
          <w:szCs w:val="28"/>
          <w:rtl w:val="true"/>
          <w:lang w:bidi="ar-SA"/>
        </w:rPr>
        <w:t>وجهان، سيأتي الكلام فيه في كتاب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التلفّظ بكلّ لسانٍ‌، لصدق الإيلاء والحَلف معه، كما ولا يعتبر فيه العربيّة، لعدم الدليل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متعلّق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صريحاً في المراد منه لغةً وعرفاً، كإيلاج الفرج في الفرج، أو عرفاً كاللّفظة المشهورة في ذلك، فلا شُبهة في وقوعه، والجماع والوطء من القسم الثاني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صريحاً فيه، لا لغةً ولا عرفاً،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 رأسي ورأسكِ بيتٌ أو مِخدَّة</w:t>
      </w:r>
      <w:r>
        <w:rPr>
          <w:rStyle w:val="FootnoteAnchor"/>
          <w:rtl w:val="true"/>
        </w:rPr>
        <w:footnoteReference w:id="247"/>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ساقَفتُكِ‌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اجتمعتُ أنا وأنتِ تحت سقفٍ‌، ففي وقوع الإيلاء به مع قصده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والحِلّي</w:t>
      </w:r>
      <w:r>
        <w:rPr>
          <w:rStyle w:val="FootnoteAnchor"/>
          <w:rtl w:val="true"/>
        </w:rPr>
        <w:footnoteReference w:id="249"/>
      </w:r>
      <w:r>
        <w:rPr>
          <w:rFonts w:ascii="IRNazanin" w:hAnsi="IRNazanin" w:eastAsia="IRNazanin"/>
          <w:color w:val="111111"/>
          <w:sz w:val="28"/>
          <w:sz w:val="28"/>
          <w:szCs w:val="28"/>
          <w:rtl w:val="true"/>
          <w:lang w:bidi="fa-IR"/>
        </w:rPr>
        <w:t>، والمصنّف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الوقوع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الوقوع، واستحسنه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 لصدق الإيلاءعليه، فيشمله إطلاق الأدلّة، وقد مرّ في كتاب النكاح أنّ مقتضى القاعدة هو الاكتفاء بالكنايات فى العقود والإيقاعات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بريد بن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الرَّجل أن لا يقرب امرأته، ولا يمسّها، ولا يجمع رأسه ورأسها، فهو في سعةٍ ما لم تمض الأربعة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الكناني،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الإيلاء أنْ يقول الرّجل لإمرأته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لأغيضنّكِ ولأسوأنك، ثمّ يهجرها ولا يُجامعها حتّى تمضي أربعة أشهر، فقد وقع الإيلاء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لغير 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فيه قصد الإضرار بالزُّوجة بالامتناع عن وطئها،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شهرة عظيمة،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لا يظهر فيه مخالفٌ يعتدّ به،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الاتّفاق عليه‌؟</w:t>
      </w:r>
    </w:p>
    <w:p>
      <w:pPr>
        <w:pStyle w:val="BookText"/>
        <w:rPr/>
      </w:pPr>
      <w:r>
        <w:rPr>
          <w:rFonts w:ascii="Amiri" w:hAnsi="Amiri" w:eastAsia="Amiri" w:cs="Amiri"/>
          <w:color w:val="111111"/>
          <w:sz w:val="28"/>
          <w:sz w:val="28"/>
          <w:szCs w:val="28"/>
          <w:rtl w:val="true"/>
          <w:lang w:bidi="ar-SA"/>
        </w:rPr>
        <w:t>أم لا يعتبر ذلك، فلو قَصَد بذلك مصلحتها بأن كانت مريضة أو مرضعة لصلاحها أو صلاح ولدها يقع‌؟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أرضعت غلاماً، وإنّي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أقربكِ حتّى تفطميه‌؟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الإصلاح إيلاء</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حفص بن البُختري،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تركها من غير مغاضبةٍ أو يمين فليس بمؤل</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الغريب وسوسة الشهيد الثاني</w:t>
      </w:r>
      <w:r>
        <w:rPr>
          <w:rStyle w:val="FootnoteAnchor"/>
          <w:rtl w:val="true"/>
        </w:rPr>
        <w:footnoteReference w:id="261"/>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حَلَف أن لا يُجامعها دُبُراً، أو في حيضٍ أو نفاسٍ‌، لم يكن مؤلياً، لأنّه محسنٌ غير مضارّ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تجريده عن الشرط أم لا يعتبر ذلك‌؟ 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وأتباعه، والحِلّي</w:t>
      </w:r>
      <w:r>
        <w:rPr>
          <w:rStyle w:val="FootnoteAnchor"/>
          <w:rtl w:val="true"/>
        </w:rPr>
        <w:footnoteReference w:id="263"/>
      </w:r>
      <w:r>
        <w:rPr>
          <w:rFonts w:ascii="Amiri" w:hAnsi="Amiri" w:eastAsia="Amiri" w:cs="Amiri"/>
          <w:color w:val="111111"/>
          <w:sz w:val="28"/>
          <w:sz w:val="28"/>
          <w:szCs w:val="28"/>
          <w:rtl w:val="true"/>
          <w:lang w:bidi="ar-SA"/>
        </w:rPr>
        <w:t>، والمصنّف في أحد قوليه</w:t>
      </w:r>
      <w:r>
        <w:rPr>
          <w:rStyle w:val="FootnoteAnchor"/>
          <w:rtl w:val="true"/>
        </w:rPr>
        <w:footnoteReference w:id="264"/>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المحكيّ ليس بحجّة، خصوصاً في مثل المقام الذي يكون مدرك المُجمعين معلوماً، وهو أحد الوجوه التي ذكرناها في كتاب النكاح وغيره التي بيّنا فسادها، والاقتصار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المجرّد عن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المتضمنّة لتفسيره منجزاً، سيقت لبيان صيغته بالنسبة إلى المحلوف به والمحلوف عليه لا لغير ذلك ممّا يشمل المفروض، وعليه فلا إشكال في الوقوع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6" w:name="pg11828_104909"/>
    </w:p>
    <w:p>
      <w:pPr>
        <w:pStyle w:val="BookText"/>
        <w:rPr/>
      </w:pPr>
      <w:bookmarkEnd w:id="66"/>
      <w:r>
        <w:rPr>
          <w:rFonts w:ascii="Amiri" w:hAnsi="Amiri" w:eastAsia="Amiri" w:cs="Amiri"/>
          <w:color w:val="111111"/>
          <w:sz w:val="28"/>
          <w:sz w:val="28"/>
          <w:szCs w:val="28"/>
          <w:rtl w:val="true"/>
          <w:lang w:bidi="ar-SA"/>
        </w:rPr>
        <w:t>من كاملٍ مختارٍ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عبداً أو خصيّاً أو مجبوباً،</w:t>
      </w:r>
    </w:p>
    <w:p>
      <w:pPr>
        <w:pStyle w:val="Heading4"/>
        <w:numPr>
          <w:ilvl w:val="3"/>
          <w:numId w:val="1"/>
        </w:numPr>
        <w:rPr/>
      </w:pPr>
      <w:bookmarkStart w:id="67" w:name="__RefHeading___Toc11131697_73709187"/>
      <w:bookmarkStart w:id="68" w:name="_Toc23"/>
      <w:bookmarkEnd w:id="67"/>
      <w:r>
        <w:rPr>
          <w:rtl w:val="true"/>
        </w:rPr>
        <w:t>ما يعتبر في المؤلي والمُؤلى منها</w:t>
      </w:r>
      <w:bookmarkEnd w:id="6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المؤلي والمؤلى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المؤلي البلوغ والعقل والاختيار والقصد، فلا يقعُ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كاملٍ مختارٍ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للأدلّة العامّة الدالّة على اشتراطها في غيره من العقود والإيقاعات المتقدّمة في مبحث الطلاق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من الكافر المقرّ باللّه تعالى للعموم، أم لا لامتناع صحّة الكفّارة منه‌؟</w:t>
      </w:r>
    </w:p>
    <w:p>
      <w:pPr>
        <w:pStyle w:val="BookText"/>
        <w:rPr/>
      </w:pPr>
      <w:r>
        <w:rPr>
          <w:rFonts w:ascii="Amiri" w:hAnsi="Amiri" w:eastAsia="Amiri" w:cs="Amiri"/>
          <w:color w:val="111111"/>
          <w:sz w:val="28"/>
          <w:sz w:val="28"/>
          <w:szCs w:val="28"/>
          <w:rtl w:val="true"/>
          <w:lang w:bidi="ar-SA"/>
        </w:rPr>
        <w:t>قولان تقدّما، مع ما يمكن أن يستدلّ به لهما في الظهار، وعرفت أنّ الأظهر هي الصحّة، والشيخ قدس سره</w:t>
      </w:r>
      <w:r>
        <w:rPr>
          <w:rStyle w:val="FootnoteAnchor"/>
          <w:rtl w:val="true"/>
        </w:rPr>
        <w:footnoteReference w:id="270"/>
      </w:r>
      <w:r>
        <w:rPr>
          <w:rFonts w:ascii="Amiri" w:hAnsi="Amiri" w:eastAsia="Amiri" w:cs="Amiri"/>
          <w:color w:val="111111"/>
          <w:sz w:val="28"/>
          <w:sz w:val="28"/>
          <w:szCs w:val="28"/>
          <w:rtl w:val="true"/>
          <w:lang w:bidi="ar-SA"/>
        </w:rPr>
        <w:t>وافق هنا على صحّتها من الذمّي، وإنْ خالف في الظهار مع أنّ المدرك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أو 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يولج ولا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من آلته ما يتحقّق به اسم الجماع، بلا خلافٍ ولا إشكال للإطلاق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يصحّ من المجبوب الذي لم يبق من آلته ما يتحقّق به اسم الجماع،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ولابدّ أن تكون المرأة منكوحة بالدائم؛</w:t>
      </w:r>
    </w:p>
    <w:p>
      <w:pPr>
        <w:pStyle w:val="BookText"/>
        <w:rPr/>
      </w:pPr>
      <w:r>
        <w:rPr>
          <w:rFonts w:ascii="IRNazanin" w:hAnsi="IRNazanin" w:eastAsia="IRNazanin"/>
          <w:color w:val="111111"/>
          <w:sz w:val="28"/>
          <w:sz w:val="28"/>
          <w:szCs w:val="28"/>
          <w:rtl w:val="true"/>
          <w:lang w:bidi="fa-IR"/>
        </w:rPr>
        <w:t>وهو ظاهر المتن‌؟</w:t>
      </w:r>
    </w:p>
    <w:p>
      <w:pPr>
        <w:pStyle w:val="BookText"/>
        <w:rPr/>
      </w:pPr>
      <w:r>
        <w:rPr>
          <w:rFonts w:ascii="Amiri" w:hAnsi="Amiri" w:eastAsia="Amiri" w:cs="Amiri"/>
          <w:color w:val="111111"/>
          <w:sz w:val="28"/>
          <w:sz w:val="28"/>
          <w:szCs w:val="28"/>
          <w:rtl w:val="true"/>
          <w:lang w:bidi="ar-SA"/>
        </w:rPr>
        <w:t xml:space="preserve">أم لا، كما عن جماعةٍ‌،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وهو الأصحّ؟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متعلّق الإيلاء وطء الزوجة، وهو ممتنعٌ في الفرض، فيكون الحَلف حَلْفاً على الممتنع، وقد مرَّ اعتبار الإضرار، وهو لا يتحقّق في الفرض، مع أنّه يعتبر في الإيلاء كون المؤلى منها مدخولاً بها، كما سيأتي، وهو مفروض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أظهر كما لا يخفى على مَن تدبّر فيما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يعتبر في المؤلى منها،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تكون المرأة منكوحة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أن تكون منكوحةً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يقعُ الإيلاء بالمتمتّع بها، كما في المتن، وهو المشهور بين الأصحاب‌؟</w:t>
      </w:r>
    </w:p>
    <w:p>
      <w:pPr>
        <w:pStyle w:val="BookText"/>
        <w:rPr/>
      </w:pPr>
      <w:r>
        <w:rPr>
          <w:rFonts w:ascii="Amiri" w:hAnsi="Amiri" w:eastAsia="Amiri" w:cs="Amiri"/>
          <w:color w:val="111111"/>
          <w:sz w:val="28"/>
          <w:sz w:val="28"/>
          <w:szCs w:val="28"/>
          <w:rtl w:val="true"/>
          <w:lang w:bidi="ar-SA"/>
        </w:rPr>
        <w:t>أم لا يعتبر فيقعُ بها، كما عن المرتضى</w:t>
      </w:r>
      <w:r>
        <w:rPr>
          <w:rStyle w:val="FootnoteAnchor"/>
          <w:rtl w:val="true"/>
        </w:rPr>
        <w:footnoteReference w:id="276"/>
      </w:r>
      <w:r>
        <w:rPr>
          <w:rFonts w:ascii="Amiri" w:hAnsi="Amiri" w:eastAsia="Amiri" w:cs="Amiri"/>
          <w:color w:val="111111"/>
          <w:sz w:val="28"/>
          <w:sz w:val="28"/>
          <w:szCs w:val="28"/>
          <w:rtl w:val="true"/>
          <w:lang w:bidi="ar-SA"/>
        </w:rPr>
        <w:t>، والقاضي</w:t>
      </w:r>
      <w:r>
        <w:rPr>
          <w:rStyle w:val="FootnoteAnchor"/>
          <w:rtl w:val="true"/>
        </w:rPr>
        <w:footnoteReference w:id="27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بتبادر الدائمة من النساء والزوجة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وبتخصيصها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الدالّ على قبول المؤلى منها له، وهو منتفٍ عن المتمتّع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مدخولاً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لازم صحّته، جواز مطالبتها بالوطء، وهو غير مستحقّ للتمتّع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بقاء الحِلّ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حُقّق في محلّه من أنّ رجوع الضمير إلى بعض المذكور سابقاً، لا يقتضي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بأنّه ليس لازم صحّته جواز المطالبة به مطلقاً، بل جوازه إنْ كان بالدوام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يستدلّ له بصحيح ابن أبي يعفور،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إيلاء على الرّجل من المرأة التي يتمتّع بها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وبه يقيّد إطلاق الكتاب والسُّنة، وقد مرّ البحث في ذلك في كتاب النكاح في مبحث المتعة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فيها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محمّد بن مسلم،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التى لم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إيلاءٌ ولا ظِهار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الإيلاء إلّاعلى امرأةٍ قد دخل بها زوجها</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9" w:name="pg11828_104912"/>
    </w:p>
    <w:p>
      <w:pPr>
        <w:pStyle w:val="BookText"/>
        <w:rPr/>
      </w:pPr>
      <w:bookmarkEnd w:id="69"/>
      <w:r>
        <w:rPr>
          <w:rFonts w:ascii="Amiri" w:hAnsi="Amiri" w:eastAsia="Amiri" w:cs="Amiri"/>
          <w:color w:val="111111"/>
          <w:sz w:val="28"/>
          <w:sz w:val="28"/>
          <w:szCs w:val="28"/>
          <w:rtl w:val="true"/>
          <w:lang w:bidi="ar-SA"/>
        </w:rPr>
        <w:t>يؤلى مطلقاً أو أزيد من أربعة أشهر</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1131699_73709187"/>
      <w:bookmarkStart w:id="71" w:name="_Toc24"/>
      <w:bookmarkEnd w:id="70"/>
      <w:r>
        <w:rPr>
          <w:rtl w:val="true"/>
        </w:rPr>
        <w:t>عدم وقوع الإيلاء لأربعة أشهر فما دون</w:t>
      </w:r>
      <w:bookmarkEnd w:id="71"/>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يُؤلي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مقيّداً بالدوام الذي تأكيدٌ لما اقتضاه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من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لحظة، فلا يقع لأربعة أشهر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آلى أن لا يقرب امرأته ثلاثة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إيلاءٌ حتّى يَحلِف على أكثر من أربعة أشهر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سنده من يتوقّف فيه سوى القاسم بن عروة، وقد حسَّنه بعض الأجلّة، بل ربما قيل بوثاقته، وهو مع ذلك معتضدٌ بعمل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جعله فخر المحقّقين</w:t>
      </w:r>
      <w:r>
        <w:rPr>
          <w:rStyle w:val="FootnoteAnchor"/>
          <w:rtl w:val="true"/>
        </w:rPr>
        <w:footnoteReference w:id="285"/>
      </w:r>
      <w:r>
        <w:rPr>
          <w:rFonts w:ascii="Amiri" w:hAnsi="Amiri" w:eastAsia="Amiri" w:cs="Amiri"/>
          <w:color w:val="111111"/>
          <w:sz w:val="28"/>
          <w:sz w:val="28"/>
          <w:szCs w:val="28"/>
          <w:rtl w:val="true"/>
          <w:lang w:bidi="ar-SA"/>
        </w:rPr>
        <w:t>مذهب الإماميّة، ويؤيّده توقّف أحكامه من الإيقاف للفئة أو الطلاق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في تقدير المهلة بهذه المدّة، ولم يتوجّه المطالبة إذا حلف على الامتناع أربعة أشهر فما دونها، أنّ المرأة تصبر على الزوج مدّة </w:t>
      </w:r>
    </w:p>
    <w:p>
      <w:pPr>
        <w:pStyle w:val="BookText"/>
        <w:rPr/>
      </w:pPr>
      <w:r>
        <w:rPr>
          <w:rFonts w:ascii="Amiri" w:hAnsi="Amiri" w:eastAsia="Amiri" w:cs="Amiri"/>
          <w:color w:val="111111"/>
          <w:sz w:val="28"/>
          <w:sz w:val="28"/>
          <w:szCs w:val="28"/>
          <w:rtl w:val="true"/>
          <w:lang w:bidi="ar-SA"/>
        </w:rPr>
        <w:t>أربعة أشهر، وبعد ذلك يفنى صبرها أو يشقّ عليها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الزيادة عن الأربعة ولو لحظة، ولا يعتبر كون الزيادة بحيث تتأتّى المطالبة في مثلها، لكن إذا قصرت عن ذلك لم تتأتّ المطالبة، لأنّها إذا مضت ينحلّ اليمين، ولا مطالبة بعد 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علّقه بأمرٍ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بعدم تحقّقه إلّابعد مضيّ أربعة أشهرٍ، صَحّ الإيلاء، وترتّب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بتحقّقه قبل ذلك، لم ينعقد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ذلك، ولم يعلم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يقعُ‌، ولا يحكم بكونه مؤلياً، وإنْ اتّفق مضيّ أربعة أشهر، ولم يوجد المعلّق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يتحقّق قصد المضارّة في الابتداء، وأحكام الإيلاء منوطة به، لا بمجرّد اتّفاق الضّرر بالامتناع من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الاضرار المعتبر ليس هو ترك الوطء أربعة أشهرٍ، بل المراد به ما لو كان الحلف عليترك الوطء لا بقصد الصَّلاح والإصلاح للزّوجة أو ولدها، فقَصَد المضارّة، كما يتحقّق في الحَلف على تركه الوطء أربعة أشهر فما فوق، ويتحقّق في الحَلف على تركه في أقلّ منها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هو الحقّ من جريان الاستصحاب في الأُمور الاستقباليّة، يجري أصالة عدم تحقّق ذلك الأمر قبل انقضاء هذه المدّة، فهو من حين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2" w:name="pg11828_104914"/>
    </w:p>
    <w:p>
      <w:pPr>
        <w:pStyle w:val="BookText"/>
        <w:rPr/>
      </w:pPr>
      <w:bookmarkEnd w:id="72"/>
      <w:r>
        <w:rPr>
          <w:rFonts w:ascii="Amiri" w:hAnsi="Amiri" w:eastAsia="Amiri" w:cs="Amiri"/>
          <w:color w:val="111111"/>
          <w:sz w:val="28"/>
          <w:sz w:val="28"/>
          <w:szCs w:val="28"/>
          <w:rtl w:val="true"/>
          <w:lang w:bidi="ar-SA"/>
        </w:rPr>
        <w:t>الحَلف محرِزٌ بالاستصحاب كون المدّة أزيد من الأربعة أشهر، فلا إشكال في وقوع الإيلاء في صورة الشكّ‌، واتّفاق مضيّ أربعة أشهر ولم يوجد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وجوده قبل مضيّها، انكشف عدم وقوع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لو آلى أن لا يَطَئها قبل تحقّق ما علم بوجوده قبل مضيّ الأربعة، فاتّفق تأخّره عنها، وقع إيلاءً لأنّ الموضوع هو الواقع، ولا دخل للإحراز فيه، فتدبّر فإنّه حقيقٌ به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131701_73709187"/>
      <w:bookmarkStart w:id="74" w:name="_Toc25"/>
      <w:bookmarkEnd w:id="73"/>
      <w:r>
        <w:rPr>
          <w:rtl w:val="true"/>
        </w:rPr>
        <w:t>مدة التربّص</w:t>
      </w:r>
      <w:bookmarkEnd w:id="7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صَبَرت فلا كلام وإنْ مضت المدّة فصاعداً، لأنّ الحقّ لها فلها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حقّ لها قبل مضيّ المدّة، بل للزوج مهلةٌ بعد انعقاد الإيلاء، لا يطالَب فيها بشيء، ولكن إنْ وطأ فيها كفّر، وانحلّ الإيلاء، وإلّا تربّص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بجميع ما ذكر الخبر الصحيح الذي رواه بكر بن أعين وبريد بن معاوية، عن أبي جعفر، وأبي عبداللّه عليهما السلام أنّهما قالا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الرّجل أن لا يَقرُب امرأته، فليس لها قولٌ ولا حقّ في الأربعة أشهر، ولا إثم عليه في كفّه عنها في الأربعة أشهر، فإنْ مضت الأربعة أشهر قبل أن يمسّها فسكتت ورضيت، فهو في حِلّ وسعة، فإنْ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تفيء فتمسّها، وإمّا أن تُطلِّق، وعَزْمُ الطلاق أن يُخلّى عنها، فإذا حاضَتْ وطَهُرتْ طلّقها، وهو أحقّ برجعتها ما لم تمض ثلاثة قروء، فهذا الإيلاء الذي أنزل اللّه تعالى في كتابه </w:t>
      </w:r>
    </w:p>
    <w:p>
      <w:pPr>
        <w:pStyle w:val="BookText"/>
        <w:rPr/>
      </w:pPr>
      <w:r>
        <w:rPr>
          <w:rFonts w:ascii="Amiri" w:hAnsi="Amiri" w:eastAsia="Amiri" w:cs="Amiri"/>
          <w:color w:val="111111"/>
          <w:sz w:val="28"/>
          <w:sz w:val="28"/>
          <w:szCs w:val="28"/>
          <w:rtl w:val="true"/>
          <w:lang w:bidi="ar-SA"/>
        </w:rPr>
        <w:t>وسُنّة رسوله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النصوص والفتاوى أنّ المدّة المزبورة حقٌّ للزوج ليس لها مرافعته، وإنْ كان قد تَرَك وطئها قبل الإيلاء بأربعة أشهر أو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فرض كونه تاركاً وطئها مدّةً قبل الإيلاء، يفعلُ حراماً بالنسبة إلى ما زاد عن أربعة أشهر من حين الوطء، لأنّه لا يجوزُ ترك وطء الزوجة أكثر من ذلك، ولا ينحلّ بذلك اليمين، لأنّ الإيلاء لا ينحلّ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الصحيح وظاهر غيره عدم الإثم عليه في ترك الوطء مدّة التربّص مطلقاً، بل الغالب عدم اتّصال الوطء بالإيلاء، فمِنْ جَعْل المدّة أربعة أشهر من حين الإيلاء، يُستكشف عدم الإثم عليه في ترك الوطء في مدّةٍ أكثر من أربعة أشهر، ولا مانع من كون ذلك من أحكام الإيلاء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مضت المدّة ثمّ وطأها، انحلّ الإيلاء، وثبتَ عليه الكفّارة، كما هو الأشهر،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آلى من امرأته، فمرّت أربعة أشهر؟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فإنْ عَزَم الطلاق بانَت منه، وعليها عِدّة المطلّقة، وإلّا كَفّر عن يمينه وأمسكها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رافعته أنظره الحاكم أربعة أشهر، فإنْ رجع وكفَّر، وإلّا ألزمه الطلاق أو الفئة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وقصور سنده لو كان بالشهرة منجبرٌ، مع أنّه ممنوعٌ‌، إذ ليس توهم الضعف إلّا من ناحية قاسم بن عروة، وقد مرّ أنّ بعض الأجلّة حَسّنه، بل ربما قيل بوثاقته، فما عن الشيخ من عدم الكفّارة عليه،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مضت المدّة فطلّقها بانَت منه، وكانت التطليقة رِجعيّة،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بانقضاء المدّة لا تُطلّق، لاتّفاق الكتاب والسُّنة والإجماع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خبر أبي بصير</w:t>
      </w:r>
      <w:r>
        <w:rPr>
          <w:rStyle w:val="FootnoteAnchor"/>
          <w:rtl w:val="true"/>
        </w:rPr>
        <w:footnoteReference w:id="293"/>
      </w:r>
      <w:r>
        <w:rPr>
          <w:rFonts w:ascii="Amiri" w:hAnsi="Amiri" w:eastAsia="Amiri" w:cs="Amiri"/>
          <w:color w:val="111111"/>
          <w:sz w:val="28"/>
          <w:sz w:val="28"/>
          <w:szCs w:val="28"/>
          <w:rtl w:val="true"/>
          <w:lang w:bidi="ar-SA"/>
        </w:rPr>
        <w:t>عن ذلك محمولٌ على ما لو طلّق بعد المدّة، وإلّا فيتعيّن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يطئها ولم يُطلّقها، ولم تصبر هي، فلها المرافعة،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رافعته أنظره الحاكم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أصرّ على الامتناع ثمّ رافعته بعد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أو الفئة والتكفير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تلكم، والنصوصُ شاهدة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عن الإمامين الصادقين عليهما السلام إنّهما قالا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الرّجل أن لا يقرب امرأته، فليس لها قولٌ ولا حقّ في الأربعة أشهر، ولا إثم عليه في كفّه عنها في الأربعة أشهر، فإنْ مضت الأربعة أشهر قبل أن يمسّها فسكتت ورضيت، فهو في حِلٍّ وسعة، فإنْ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تفيء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ويضيّق عليه في المَطْعَم والمَشرب حتّى يفعل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فتمسّها وإمّا أن تُطلّق</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الكناني أبي الصباح،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لأغيضنّك ولأسوأنّكِ‌، ثمّ يهجرها ولا يُجامعها حتّى تمضي أربعة أشهر، فقد وقع الإيلاء، وينبغي للإمام أن يُجبره على أنْ يفيء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امتنع عن أحدِ الأمرين، فهل يُجبر على الآخر تعييناً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أم لا كما هو ظاهر جماعة وصريح آخرين‌؟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ظاهر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خصوص صحيح الحلبي، عن مولانا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يتربّص بها أربعة أشهر، ثمّ يؤخذ بعد الأربعة أشهر فيوقف، فإذا فاء وهو أن يصالح أهله، فإنّ اللّه غفورٌ رحيم، وإنْ لم يفِ اُجبر على الطلاق، وإنْ امتنع على الأمرين يُحبس</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ويُضيَّق عليه في المطعم والمشرب حتّى يفعل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حمّاد،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المؤلي إذا أبى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يجعل له حظيرة من قصب ويحبِسُه فيها، ويمنعه من الطعام والشراب حتّى يُطلّق</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جملةٍ من النصوص أنّه إنْ امتنع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عنقه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5" w:name="pg11828_104919"/>
    </w:p>
    <w:p>
      <w:pPr>
        <w:pStyle w:val="Heading4"/>
        <w:numPr>
          <w:ilvl w:val="3"/>
          <w:numId w:val="1"/>
        </w:numPr>
        <w:rPr/>
      </w:pPr>
      <w:bookmarkStart w:id="76" w:name="__RefHeading___Toc11131703_73709187"/>
      <w:bookmarkStart w:id="77" w:name="_Toc26"/>
      <w:bookmarkEnd w:id="75"/>
      <w:bookmarkEnd w:id="76"/>
      <w:r>
        <w:rPr>
          <w:rtl w:val="true"/>
        </w:rPr>
        <w:t>انقضاء مدَّة التربّص</w:t>
      </w:r>
      <w:bookmarkEnd w:id="77"/>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انقضَتْ مدّة التربّص، وهناك مانعٌ عن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المانع في الزّوج فسيأتي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جهتها، بأنْ كانت مريضة، بحيث لا يمكن وطئها، أو محبوسة لا يمكنه الوصول إليها، أو نحو ذلك، لم يثبت المطالبة بالفئة فعلاً إجماعاً، لأنّه معذورٌ، والحال هذه، وكذا لو كانت مُحْرِمة أو حائضاً أو نفساء أو صائمة أو معتكفة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يؤمر بفئة العاجز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وحُكي عن كثيرٍ، أم لا كما عن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وجهان، أظهرهما الأوّل، لأنّ ما دلّ على أنّ فئة العاجز إظهار العزم على الوطء مع القدرة، يشمل المقام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تجدّدت أعذارها في أثناء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تنقطع الإستدامة عدا الحيض، بمعنى عدم احتسابها من المدّة، فإذا زال العُذر، ثبت على ما مضى من المدّة قبل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لها، والعذر من قِبلها، ومدّة التربّص حقٌّ له، فلا يحتسب عليه منها ما لا قدرة له على الفئة فيه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استثناء الحيض الإجماع، وأنّه لو قطع لم تسلم مدّة التربّص أربعة </w:t>
      </w:r>
    </w:p>
    <w:p>
      <w:pPr>
        <w:pStyle w:val="BookText"/>
        <w:rPr/>
      </w:pPr>
      <w:r>
        <w:rPr>
          <w:rFonts w:ascii="Amiri" w:hAnsi="Amiri" w:eastAsia="Amiri" w:cs="Amiri"/>
          <w:color w:val="111111"/>
          <w:sz w:val="28"/>
          <w:sz w:val="28"/>
          <w:szCs w:val="28"/>
          <w:rtl w:val="true"/>
          <w:lang w:bidi="ar-SA"/>
        </w:rPr>
        <w:t>أشهر لتكرّره في كلّ شهرٍ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أنّ مدّة التربّص أربعة أشهر مطلقاً، فكما أنّه في غير صورة الإيلاء لو ترك وَطأها أربعة أشهر، يجبُ عليه ذلك، وإنْ كان هناك عذرٌ في أثناء المدّة من جهتها،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قيام فئة العاجز مقام الوطء من القادر، وهو في حكم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الأكثر من عدم قطع الاستدامة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التربّص تُحتسب من حين المرافعة، لا من حين الإيلاء، وذهب إلى ذلك الشيخان</w:t>
      </w:r>
      <w:r>
        <w:rPr>
          <w:rStyle w:val="FootnoteAnchor"/>
          <w:rtl w:val="true"/>
        </w:rPr>
        <w:footnoteReference w:id="302"/>
      </w:r>
      <w:r>
        <w:rPr>
          <w:rFonts w:ascii="IRNazanin" w:hAnsi="IRNazanin" w:eastAsia="IRNazanin"/>
          <w:color w:val="111111"/>
          <w:sz w:val="28"/>
          <w:sz w:val="28"/>
          <w:szCs w:val="28"/>
          <w:rtl w:val="true"/>
          <w:lang w:bidi="fa-IR"/>
        </w:rPr>
        <w:t>، والأتباع</w:t>
      </w:r>
      <w:r>
        <w:rPr>
          <w:rStyle w:val="FootnoteAnchor"/>
          <w:rtl w:val="true"/>
        </w:rPr>
        <w:footnoteReference w:id="303"/>
      </w:r>
      <w:r>
        <w:rPr>
          <w:rFonts w:ascii="Amiri" w:hAnsi="Amiri" w:eastAsia="Amiri" w:cs="Amiri"/>
          <w:color w:val="111111"/>
          <w:sz w:val="28"/>
          <w:sz w:val="28"/>
          <w:szCs w:val="28"/>
          <w:rtl w:val="true"/>
          <w:lang w:bidi="ar-SA"/>
        </w:rPr>
        <w:t>، والحِلّي</w:t>
      </w:r>
      <w:r>
        <w:rPr>
          <w:rStyle w:val="FootnoteAnchor"/>
          <w:rtl w:val="true"/>
        </w:rPr>
        <w:footnoteReference w:id="304"/>
      </w:r>
      <w:r>
        <w:rPr>
          <w:rFonts w:ascii="IRNazanin" w:hAnsi="IRNazanin" w:eastAsia="IRNazanin"/>
          <w:color w:val="111111"/>
          <w:sz w:val="28"/>
          <w:sz w:val="28"/>
          <w:szCs w:val="28"/>
          <w:rtl w:val="true"/>
          <w:lang w:bidi="fa-IR"/>
        </w:rPr>
        <w:t>، والمصنّف رحمه الله</w:t>
      </w:r>
      <w:r>
        <w:rPr>
          <w:rStyle w:val="FootnoteAnchor"/>
          <w:rtl w:val="true"/>
        </w:rPr>
        <w:footnoteReference w:id="305"/>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w:t>
      </w:r>
      <w:r>
        <w:rPr>
          <w:rStyle w:val="FootnoteAnchor"/>
          <w:rtl w:val="true"/>
        </w:rPr>
        <w:footnoteReference w:id="306"/>
      </w:r>
      <w:r>
        <w:rPr>
          <w:rFonts w:ascii="Amiri" w:hAnsi="Amiri" w:eastAsia="Amiri" w:cs="Amiri"/>
          <w:color w:val="111111"/>
          <w:sz w:val="28"/>
          <w:sz w:val="28"/>
          <w:szCs w:val="28"/>
          <w:rtl w:val="true"/>
          <w:lang w:bidi="ar-SA"/>
        </w:rPr>
        <w:t>وغيرهم</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وولده في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Style w:val="FootnoteAnchor"/>
          <w:rtl w:val="true"/>
        </w:rPr>
        <w:footnoteReference w:id="308"/>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حين الإيلاء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وتردّد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ضرب المدّة حكمٌ شرعيّ‌، باقٍ على العدم الأصلي، فيتوقّف ثبوته على 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التسلّط على الزوج بحبسٍ أو غيره، لأجل الفئة أو الطلاق، إلاَّ مع تحقّق 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العبّاس بن هلال،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لنا أنّ أجل الإيلاء أربعة أشهر بعد ما يأتيان السلطان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رفعته إلى الإمام أنظَره أربعة أشهر، ثمّ يقول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ترجع إلى المناكحة، وإمّا أن تُطلّق، فإنْ أبى حَبَسهُ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صفوان وأنا حاضر عنده عن الإيلاء؟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يوقف إذا قدّمه إلى السلطان فيوقف السلطان أربعة أشهر،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تُطلّق وإمّا أن 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آلى من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قبل الأربعة أشهر وبعدها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التربّص في المدّة حكمٌ شرعي مجعولٌ بالكتاب والسُّنة، ولا يتوقّف على ضرب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التسلّط على ذلك مضيّ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منها ضعيفُ السَّند، والثاني غير متعرّضٍ لمبدأ المدّة، والثالث يدلّ على أنّ الإيقاف يكون في أربعة أشهر، مع أنّ صريح النصوص الصحيحة وفتاوى الأصحاب أنّه يكون بعد مضيّ الأربعة، والرابع ضعيفُ السَّند لمحسن بن أحمد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كون المبدأ من حين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الكريمة، من جهة ترتّب التربّص على الإيلاء، كون المبدأ من حين الإيلاء، وكذا ظاهر النصوص الصحيحة، فقد ورد في حسن بريد بن معاوية المتقدّم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إيلاء إلّاإذا آلى الرّجل أنْ لا يَقرُب امرأته، ولا يمسّها، ولا يجتمع رأسه رأسها، فهو في سعةٍ ما لم تمض الأربعة أشهر، فإذا مَضَت أربعة أشهر وقف، فإمّا أن يفيء، وإمّا أن يعزم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حسن الحلبي، وأبي بصير عنه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المبدأ من حين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الإيقاف والإجبار وظيفة الحاكم كما دلّت النصوص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المؤلي ساهياً أو مجنوناً، أو اشتبهت بغيرها من حلائله، أو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شاكل، فلا إشكال في عدم وجوب الكفّارة، لعدم الحَنث، إذ الفرض عدم عَمده، مضافاً إلى عموم أدلّة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انحلال اليمين، وبطلان حكم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313"/>
      </w:r>
      <w:r>
        <w:rPr>
          <w:rFonts w:ascii="Amiri" w:hAnsi="Amiri" w:eastAsia="Amiri" w:cs="Amiri"/>
          <w:color w:val="111111"/>
          <w:sz w:val="28"/>
          <w:sz w:val="28"/>
          <w:szCs w:val="28"/>
          <w:rtl w:val="true"/>
          <w:lang w:bidi="ar-SA"/>
        </w:rPr>
        <w:t>ذلك، وتبعه على ذلك جماعة منهم المصنّف رحمه الله</w:t>
      </w:r>
      <w:r>
        <w:rPr>
          <w:rStyle w:val="FootnoteAnchor"/>
          <w:rtl w:val="true"/>
        </w:rPr>
        <w:footnoteReference w:id="314"/>
      </w:r>
      <w:r>
        <w:rPr>
          <w:rFonts w:ascii="Amiri" w:hAnsi="Amiri" w:eastAsia="Amiri" w:cs="Amiri"/>
          <w:color w:val="111111"/>
          <w:sz w:val="28"/>
          <w:sz w:val="28"/>
          <w:szCs w:val="28"/>
          <w:rtl w:val="true"/>
          <w:lang w:bidi="ar-SA"/>
        </w:rPr>
        <w:t>، جازماً به من غير نقل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وجد المحلوف عليه في الحقيقة، وتحقّقت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المحلوف عليه هو الترك في حال التذكّر، لأنّ الغرض من التعب والزَّجر في اليمين إنّما يكون عند ذكرها، وذكر المحلوف عليه، حتّى يكون تركه لأجل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المحلوف عليه عدم وجود الحقيقة أصلاً،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انحلال الإيلاء، الأظهر عدم حصول الفئة به وبقاء المطالبة، وإن سقطت منها في تلك الأربعة، ولكن يبقى لها حكم المطالبة في أربعةٍ اُخرى‌، لبقاء حكم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8" w:name="pg11828_104924"/>
    </w:p>
    <w:p>
      <w:pPr>
        <w:pStyle w:val="BookText"/>
        <w:rPr/>
      </w:pPr>
      <w:bookmarkEnd w:id="78"/>
      <w:r>
        <w:rPr>
          <w:rFonts w:ascii="Amiri" w:hAnsi="Amiri" w:eastAsia="Amiri" w:cs="Amiri"/>
          <w:color w:val="111111"/>
          <w:sz w:val="28"/>
          <w:sz w:val="28"/>
          <w:szCs w:val="28"/>
          <w:rtl w:val="true"/>
          <w:lang w:bidi="ar-SA"/>
        </w:rPr>
        <w:t>ويقع الطلاقُ رجعيّاً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1131705_73709187"/>
      <w:bookmarkStart w:id="80" w:name="_Toc27"/>
      <w:bookmarkEnd w:id="79"/>
      <w:r>
        <w:rPr>
          <w:rtl w:val="true"/>
        </w:rPr>
        <w:t>طلاق المؤلي ليس بائناً</w:t>
      </w:r>
      <w:bookmarkEnd w:id="8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المؤلي الطلاق فطلّق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الطلاق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ما يقتضي البينونة، وفاقاً للأكثر،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وعلى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بل لم يُعرف المخالف بعينه وإن أرسله بعضٌ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لوجود المقتضي، وهو وقوعه بشرائط الرِّجعي، وانتفاء المانع، إذ ليس إلّا كونه طلاق مؤلٌ مأمورٌ به تخييراً، وهو لا يقتضي البينونة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بريد بن معاوية،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الأربعة أشهر وقف، فإمّا أن يفيء فيمسّها، وإمّا أن يعزم على الطلاق فيخلّي عنها، حتّى إذا حاضت وتطهّرت من محيضها طلّقها تطليقة قبل أن يُجامعها بشهادة عدلين، ثمّ هو أحقّ برجعتها ما لم تمض الثلاثة الأقراء</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أبي مريم،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عزم الطلاق فهي واحدة، وهو أملك برجعتها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 جميل بن درّاج، عن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يطلّق تطليقة يملك الرجعة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بإزائها أخبار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المؤلي إذا وقف فلم يفيء طلّق تطليقة بائنة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المؤلي يُجبر على أن يطلّق تطليقة بائنة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عنه جميل بن درّاج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الثالث،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عَزَم الطلاق بانت منه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يقع بوقوع الطلقة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مستند هذا القائل غير المعلوم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فحيثُ إنّ هذه النصوص لا تصلح للمقاومة مع النصوص الأول، لجهاتٍ غير خفيّة،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تُحمل على من يَرى الإمام اجباره على البائنة بفدية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من كانت عند الرّجل على تطليقة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على مجرّد الفُرقة، وإن لم تكن قاطعة لعلاقة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الأخير بعض الأجلّة، والثاني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ذيل مقطوع منصور، رواية جميل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يطلّق تطليقة يَملك فيها الرجعة،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يُنتقض،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تشكو فتقول يُجبرني ويَضرّني ويَمنعني من الزوج، يُجبر على أن يطلّقها تطليقة بائنة، والتي تسكُت ولا تشكو شيئاً يطلّقها تطليقة يملك فيها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كونه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استمرّ عليه فذلك، وإلّا عاد حكم الإيلاء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يُحتسب العِدّة من المُدّة، فيطالب بعد رجوعه وانقضائها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أو الطلاق، إذ الزوجيّة وإن اختلّت بالطلاق، إلّاأنّه متمكّنٌ من الوطء بالرَّجعة، فلا يكون الطلاق عُذراً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تُحتسب منها، لأنّ الطلاق رَفَع النكاح، وأجراها إلى البينونة، بمعنى أنّها في العِدّة في زمان يقتضي مضيّه البينونة، فلا يجوز احتساب هذه المدّة من مدّةٍ يقتضي مضيّها المطالبة بالوطء، وهو زمان التربّص لتضادّ الأثرين المقتضي لتضادّ المؤثّرين، كما عن الشيخ رحمه الله</w:t>
      </w:r>
      <w:r>
        <w:rPr>
          <w:rStyle w:val="FootnoteAnchor"/>
          <w:rtl w:val="true"/>
        </w:rPr>
        <w:footnoteReference w:id="330"/>
      </w:r>
      <w:r>
        <w:rPr>
          <w:rFonts w:ascii="Amiri" w:hAnsi="Amiri" w:eastAsia="Amiri" w:cs="Amiri"/>
          <w:color w:val="111111"/>
          <w:sz w:val="28"/>
          <w:sz w:val="28"/>
          <w:szCs w:val="28"/>
          <w:rtl w:val="true"/>
          <w:lang w:bidi="ar-SA"/>
        </w:rPr>
        <w:t xml:space="preserve">، ووافقه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وزاد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آلى مدّةً فدافع حتّى خرجتْ‌، فلا كفّارة، وعليه الكفّارة لو وطأ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راجع ضُربتْ له مُدّة اُخرى‌، ووقف عند انقضائها، فإن فاء أو طلّق وفي، فإنْ راجع ضُربَت له اُخرى‌، ووقف بعد انقضائها، وهكذا؟</w:t>
      </w:r>
    </w:p>
    <w:p>
      <w:pPr>
        <w:pStyle w:val="BookText"/>
        <w:rPr/>
      </w:pPr>
      <w:r>
        <w:rPr>
          <w:rFonts w:ascii="Amiri" w:hAnsi="Amiri" w:eastAsia="Amiri" w:cs="Amiri"/>
          <w:color w:val="111111"/>
          <w:sz w:val="28"/>
          <w:sz w:val="28"/>
          <w:szCs w:val="28"/>
          <w:rtl w:val="true"/>
          <w:lang w:bidi="ar-SA"/>
        </w:rPr>
        <w:t>وجهان، بل وجوه، والأظهر هو الأوّل، لأنّ المطلّقة الرجعيّة زوجة، أو بحكم الزوجة، ومجرّد أنّه ليس لها المرافعة، لأنّها لا تستحقّ عليه الاستمتاع، لا يمنع من احتساب المدّة بعدما عرفت من أنّ المُدّة تُضرب من حين الإيلاء، وإنْ لم ترافعه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آلى من المطلّقة الرجعيّة صَحّ‌، ويُحتسب زمان العِدّة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أنّه لو آلى وارتدّ بالرِّدة من غير فطرةٍ‌، يُحتسب عليه مُدّة الرِّدة، لأنّه وإنْ كان المنع من الوطء بسبب الارتداد، إلّاأنّه متمكّنٌ من الوطء بالقدرة على سببه وهو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رحمه الله من عدم احتساب مُدّة الرِّدة،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آلى مدّةً فدافع حتّى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حكم الإيلاء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لأنّها تجبُ مع الحَنث في اليمين، ولا تتحقّق إلّامع الوطء في المُدّة المعيّنة، فإذا انقضت سَقَط حكم اليمين، سواء رافعته وألزمه الحاكم بأحد الأمرين أم لا، وإنْ أثِم بالمدافعة على تقدير المرافعة،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 لو وطأ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انقضاء المُدّة كما مرّ</w:t>
      </w:r>
      <w:r>
        <w:rPr>
          <w:rFonts w:eastAsia="Amiri" w:cs="Amiri" w:ascii="Amiri" w:hAnsi="Amiri"/>
          <w:color w:val="111111"/>
          <w:sz w:val="28"/>
          <w:szCs w:val="28"/>
          <w:rtl w:val="true"/>
          <w:lang w:bidi="ar-SA"/>
        </w:rPr>
        <w:t xml:space="preserve">. </w:t>
      </w:r>
      <w:bookmarkStart w:id="81" w:name="pg11828_104928"/>
    </w:p>
    <w:p>
      <w:pPr>
        <w:pStyle w:val="BookText"/>
        <w:rPr/>
      </w:pPr>
      <w:bookmarkEnd w:id="81"/>
      <w:r>
        <w:rPr>
          <w:rFonts w:ascii="Amiri" w:hAnsi="Amiri" w:eastAsia="Amiri" w:cs="Amiri"/>
          <w:color w:val="111111"/>
          <w:sz w:val="28"/>
          <w:sz w:val="28"/>
          <w:szCs w:val="28"/>
          <w:rtl w:val="true"/>
          <w:lang w:bidi="ar-SA"/>
        </w:rPr>
        <w:t>ولو ادّعى الإصابة، فالقول قوله مع يمينه، وفئة القادر هو الوطء قُبُلاً، وفئة العاجز إظهارُ العَزم على الوطء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المؤلي الفئة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وأنكرت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مخالفاً للقاعدة المقرّرة، لموافقة قولها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جعفرٍ، عن أبيه، عن الإمام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تزعم أنّ زوجها لا يمسّها، ويَزعم أنّه يمسّها؟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ثمّ يترك</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موارد تعذّر البيّنة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131707_73709187"/>
      <w:bookmarkStart w:id="83" w:name="_Toc28"/>
      <w:bookmarkEnd w:id="82"/>
      <w:r>
        <w:rPr>
          <w:rtl w:val="true"/>
        </w:rPr>
        <w:t>فئة القادر</w:t>
      </w:r>
      <w:bookmarkEnd w:id="8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وفئة القادر هو الوطء قُبُلاً، وفئة العاجز إظهار العَزم على الوطء مع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بالفيء في الكتاب العزيز، هو العود إلى الجماع بالإجماع، مضافاً إلى ظاهر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الفئة بإظهار العزم على الطلاق مطلقاً، فإنّ الفيء بمعنى الرجوع، ورجوع المؤلي عمّا حَلَف عليه عبارةٌ عن مخالفته،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 قولاً ثمّ 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خالفه ونقضه، والمقصد من الإيلاء ومعناه وصف المرأة بكونها مُحرّمة الوطء، وكونها محلوفاً على ترك وطئها، فيعدّ بعد البناء على الوطء والعزم عليه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عليه الإجماع، هو اعتبار الوطء قُبُلاً بغيبوبة الحشفة في القُبُل في فئة القادر، فيقيّد به إطلاق الآية، فيبقى غيره تحت الإطلاق، من غير فرقٍ بين كون المانع من جهته أو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يُصالح أهله، لاحظ صحيح أبي بصير</w:t>
      </w:r>
      <w:r>
        <w:rPr>
          <w:rStyle w:val="FootnoteAnchor"/>
          <w:rtl w:val="true"/>
        </w:rPr>
        <w:footnoteReference w:id="337"/>
      </w:r>
      <w:r>
        <w:rPr>
          <w:rFonts w:ascii="IRNazanin" w:hAnsi="IRNazanin" w:eastAsia="IRNazanin"/>
          <w:color w:val="111111"/>
          <w:sz w:val="28"/>
          <w:sz w:val="28"/>
          <w:szCs w:val="28"/>
          <w:rtl w:val="true"/>
          <w:lang w:bidi="fa-IR"/>
        </w:rPr>
        <w:t>، وخبره</w:t>
      </w:r>
      <w:r>
        <w:rPr>
          <w:rStyle w:val="FootnoteAnchor"/>
          <w:rtl w:val="true"/>
        </w:rPr>
        <w:footnoteReference w:id="338"/>
      </w:r>
      <w:r>
        <w:rPr>
          <w:rFonts w:ascii="Amiri" w:hAnsi="Amiri" w:eastAsia="Amiri" w:cs="Amiri"/>
          <w:color w:val="111111"/>
          <w:sz w:val="28"/>
          <w:sz w:val="28"/>
          <w:szCs w:val="28"/>
          <w:rtl w:val="true"/>
          <w:lang w:bidi="ar-SA"/>
        </w:rPr>
        <w:t>، وموثّق سماعة</w:t>
      </w:r>
      <w:r>
        <w:rPr>
          <w:rStyle w:val="FootnoteAnchor"/>
          <w:rtl w:val="true"/>
        </w:rPr>
        <w:footnoteReference w:id="33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بالإمساك مكان الفئة، كصحيح البزنطي</w:t>
      </w:r>
      <w:r>
        <w:rPr>
          <w:rStyle w:val="FootnoteAnchor"/>
          <w:rtl w:val="true"/>
        </w:rPr>
        <w:footnoteReference w:id="34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لا تدلّ على أزيد من إظهار العزم على الوطء، غاية الأمر في صورة القدرة على الوطء يجبُ عليه الوطء، لوجوبه بعد مضيّ أربعة أشهر، وللإجماع على اعتباره مع القدرة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النصوص اعتبار أن يمسّها، كما في حسن بريد بن معاوية المتقدّم</w:t>
      </w:r>
      <w:r>
        <w:rPr>
          <w:rStyle w:val="FootnoteAnchor"/>
          <w:rtl w:val="true"/>
        </w:rPr>
        <w:footnoteReference w:id="341"/>
      </w:r>
      <w:r>
        <w:rPr>
          <w:rFonts w:ascii="Amiri" w:hAnsi="Amiri" w:eastAsia="Amiri" w:cs="Amiri"/>
          <w:color w:val="111111"/>
          <w:sz w:val="28"/>
          <w:sz w:val="28"/>
          <w:szCs w:val="28"/>
          <w:rtl w:val="true"/>
          <w:lang w:bidi="ar-SA"/>
        </w:rPr>
        <w:t>، ولكن الجمع بينه وبين سائر النصوص يقتضي البناء على كفاية كلٍّ منهما،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4" w:name="pg11828_104930"/>
    </w:p>
    <w:p>
      <w:pPr>
        <w:pStyle w:val="BookText"/>
        <w:rPr/>
      </w:pPr>
      <w:bookmarkEnd w:id="84"/>
      <w:r>
        <w:rPr>
          <w:rFonts w:ascii="Amiri" w:hAnsi="Amiri" w:eastAsia="Amiri" w:cs="Amiri"/>
          <w:color w:val="111111"/>
          <w:sz w:val="28"/>
          <w:sz w:val="28"/>
          <w:szCs w:val="28"/>
          <w:rtl w:val="true"/>
          <w:lang w:bidi="ar-SA"/>
        </w:rPr>
        <w:t>ولا تتكرّر الكفّارة بتكرّر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ما تضمّن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تفسيرٌ للفيء ببعض مصاديقة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من النصوص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الإصلاح، الجامع بين أن يطئها، أو يظهر العزم عليه، وظاهر بعضها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 وحيث إنّه لا مفهوم للثاني، ومنطوقه لا ينافي الأُولى‌، فالبناء على العمل بهما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الجماع في الفئة سوى الإجماع، والمتيقّن منه هو غير العاجز عن الوطء، لامتناعه من ناحيته أو من جهتها عقلاً أو شرعاً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131709_73709187"/>
      <w:bookmarkStart w:id="86" w:name="_Toc29"/>
      <w:bookmarkEnd w:id="85"/>
      <w:r>
        <w:rPr>
          <w:rtl w:val="true"/>
        </w:rPr>
        <w:t>لا تتكرّر الكفّارة بتكرّر اليمين</w:t>
      </w:r>
      <w:bookmarkEnd w:id="8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تتكرّر الكفّارة بتكرّر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التأكيد بما عدا الأُولى، وأمّا إذا قصد التأسيس أو أطلق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المحلوف عليه واحداً، والزمان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الأصحاب أنّه لا تتكرّر الكفّارة، لصدق الإيلاء مع تعدّد اليمين، فكفاه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سببٌ مستقلٌّ في إيجاب الكفّارة، والأصل عدم التداخل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التأكيد لازمٌ لتكراره، قَصَده أو لم </w:t>
      </w:r>
    </w:p>
    <w:p>
      <w:pPr>
        <w:pStyle w:val="BookText"/>
        <w:rPr/>
      </w:pPr>
      <w:r>
        <w:rPr>
          <w:rFonts w:ascii="Amiri" w:hAnsi="Amiri" w:eastAsia="Amiri" w:cs="Amiri"/>
          <w:color w:val="111111"/>
          <w:sz w:val="28"/>
          <w:sz w:val="28"/>
          <w:szCs w:val="28"/>
          <w:rtl w:val="true"/>
          <w:lang w:bidi="ar-SA"/>
        </w:rPr>
        <w:t>يقصده، لأنّه كتكرار الاختيار بالجملة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واعترف هو قدس سره به في كتاب الظهار بأنّ اليمين على خلاف العقود والإيقاعات ليست من مقولة المعنى‌، بل هي عبارة عن اللّفظ المعيّن المقصود به المعنى‌، وعليه فلا وجه لما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يُورَد على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المُحقَّق في محلّه</w:t>
      </w:r>
      <w:r>
        <w:rPr>
          <w:rStyle w:val="FootnoteAnchor"/>
          <w:rtl w:val="true"/>
        </w:rPr>
        <w:footnoteReference w:id="344"/>
      </w:r>
      <w:r>
        <w:rPr>
          <w:rFonts w:ascii="IRNazanin" w:hAnsi="IRNazanin" w:eastAsia="IRNazanin"/>
          <w:color w:val="111111"/>
          <w:sz w:val="28"/>
          <w:sz w:val="28"/>
          <w:szCs w:val="28"/>
          <w:rtl w:val="true"/>
          <w:lang w:bidi="fa-IR"/>
        </w:rPr>
        <w:t>أنّ الأصل هو التداخل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 زمان اليمينين،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وطأتُكِ خمسة أشهر، فإذا انقضَتْ فواللّهِ لا وطأتكِ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أتى بيمينين كلّ واحدةٍ منهما تشتملُ على مُدّة الإيلاء لكن الأولى منجّزة والثانية معلّقة على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بطلان الإيلاء المعلّق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صحّته، فلها المطالبة بعد مضيّ أربعة أشهر بموجب اليمين الأولى، وإنْ لم تطالبه حتّى مضى الشهر الخامس سَقَطت المطالبة، لانحلال تلك اليمين، وإنْ طلّقها سقط الإيلاء الثاني، لأنّه يعتبر فيه كون متعلّقه زوجة، والفرض خروجها عن الزوجيّة إلّاإذا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وطأها قبل مضيّ الشهر الخامس، ثبتت الكفّارة عليه، ثمّ من ابتداء الشهر السادس يكون مبدأ مُدّة الإيلاء الثاني، فلو وطئها بعدما دَخَل في مُدّة الإيلاء الثاني، تثبت الكفّارة عليه بمقتضى الإيلاء الثاني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الإيلاء الأوّل فقد انحلّ‌، فلا معنى للتداخل في هذا الفرض، ففرض التداخل في هذه الصورة إنّما هو بأن يطؤها بعد مضيّ أربعة أشهر، ثمّ يطؤها في مُدّة الإيلاء الثاني، فيجيء البحث المتقدّم من أصالة التداخل وعدمها، فعلى الأوّل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7" w:name="pg11828_104932"/>
    </w:p>
    <w:p>
      <w:pPr>
        <w:pStyle w:val="BookText"/>
        <w:rPr/>
      </w:pPr>
      <w:bookmarkEnd w:id="87"/>
      <w:r>
        <w:rPr>
          <w:rFonts w:ascii="Amiri" w:hAnsi="Amiri" w:eastAsia="Amiri" w:cs="Amiri"/>
          <w:color w:val="111111"/>
          <w:sz w:val="28"/>
          <w:sz w:val="28"/>
          <w:szCs w:val="28"/>
          <w:rtl w:val="true"/>
          <w:lang w:bidi="ar-SA"/>
        </w:rPr>
        <w:t>لا تتكرّر الكفّارة وعلى الثاني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اليمينين على مَدّتين، تدخُلُ إحداهما في الاُخرى‌،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اُجامعكِ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اُجامعكِ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مضت أربعة أشهر فلها مطالبته، فإنْ فاء انحلّت اليمينان، وتجبُ عليه كفّارة واحدة، بناءً على أصالة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تُطالبه حتّى مضيّ خمسة أشهر، لها مطالبته بمقتضى الإيلاء الثاني، وعدم مطالبتها بعد مضيّ أربعة أشهر، لا يوجبُ سقوط حقّها بالنسبة إلى الإيلاء الثاني</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131711_73709187"/>
      <w:bookmarkStart w:id="89" w:name="_Toc30"/>
      <w:bookmarkEnd w:id="88"/>
      <w:r>
        <w:rPr>
          <w:rtl w:val="true"/>
        </w:rPr>
        <w:t>حكم ما لو حَلف على ترك وطء الأربع</w:t>
      </w:r>
      <w:bookmarkEnd w:id="8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وطأتكنَّ‌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مريداً بذلك مجموعهنّ لا كلّ واحدةٍ منهنّ ولو بالقرينة، لم يكن مؤلياً، ما لم يطأ الثلاث، لأنّ المؤلي من علّق بالوطء مانعاً منه بيمين، ولا مانع في الفرض من وطء كلّ واحدةٍ منهنّ‌، ولا يتعلّق به لزوم شيء، ولا يلحقه به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الوطء للواحدة أو الاثنتين من الحنث لا يوجبُ تحقّق الإيلاء، ويجوزُ له وطء ثلاث منهنّ من دون أن يتوجّه إليه كفّارة، لأنّها يمين واحدة، متعلّقها المجموع، فوطء كلّ واحدةٍ ليس محلوفاً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مات بعضهنّ قبل الوطء، انحلّت اليمين، لإمتناع الحنث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 بعضهنّ طلاقاً بائناً، لم تنحلّ اليمين، بل تجبُ الكفّارة بوطئها بعد البينونة، وإنْ كان زناً لو انضمّ إليه وطء البقيّة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وطأ الثلاث يَحرُم عليه وطء الرابعة، لأنّه به يحصل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ينكشف بذلك حُرمة وطء من سبق منهنّ‌، نظراً إلى أنّ وطء كلّ واحدةٍ منهنّ جزءٌ من مصداق وطئهنّ أجمع، الذي حَرّمه على نفسه باليمين، وعدم الحكم عليه قبل وطء الرابعة، باعتبار عدم العلم بانضمام ما يتحقّق به مخالفة الحنث‌؟</w:t>
      </w:r>
    </w:p>
    <w:p>
      <w:pPr>
        <w:pStyle w:val="BookText"/>
        <w:rPr/>
      </w:pPr>
      <w:r>
        <w:rPr>
          <w:rFonts w:ascii="Amiri" w:hAnsi="Amiri" w:eastAsia="Amiri" w:cs="Amiri"/>
          <w:color w:val="111111"/>
          <w:sz w:val="28"/>
          <w:sz w:val="28"/>
          <w:szCs w:val="28"/>
          <w:rtl w:val="true"/>
          <w:lang w:bidi="ar-SA"/>
        </w:rPr>
        <w:t>أم لا من جهة أنّه إنّما وجب ترك وطء الجميع بواسطة الحلف، ونقيض الواجب لا يكونُ حراماً، وإنّما يُحكم بحرمة وطء الرابعة مسامحةً‌، والمراد أنّه به يُترك الواجب، والواجب من المقدّمة هو الجزء الأخير منه، فالموجب للعصيان والمخالفة هو وطء الرابعة خاصّة، حيث تجبُ الكفّارة به‌؟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يصير مؤلياً بالنسبة إلى الرابعة لو وطء الثلاث،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وتبعه غيره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لأنّ الإيلاء هو الحلف على ترك وطء البقيّة، فلا وجه للبناء على ترتّب أحكام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لا تشمل الحلف على ترك وطء المجموع رأساً، لعدم كون المجموع من حيث هي زوجة، وليست من النساء، وهما ونحوهما موضوع حكم الإيلاء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على ترك وطء كلّ واحدةٍ منهنّ‌، مريداً به العموم الشمولي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الملحوظ فيه كلّ واحدةٍ واحدة بطريق العموم، كان مؤلياً من كلّ واحدةٍ منهنّ‌، لتعلّق المحذور وهو الحنث بكلّ واحدةٍ منهنّ‌، ولزوم الكفّارة، وكلّ من طلّقها فقد وفاها حقّها، ولم ينحلّ اليمين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وطأها قبل الطلاق، لزمته الكفّارة، وكان الإيلاء بالنسبة إلى البواقي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على ترك وطء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واحدةً بعينها، كان مؤلياً بالنسبة إليها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واحدةً غير معيّنة على نحوٍ من العموم البدلي، وقع الإيلاء، وكان اختيار التعيين بيده، نظير ما ذكرناه في طلاق واحدةٍ غير معيّنة، فراجع ما ذكرناه هناك</w:t>
      </w:r>
      <w:r>
        <w:rPr>
          <w:rStyle w:val="FootnoteAnchor"/>
          <w:rtl w:val="true"/>
        </w:rPr>
        <w:footnoteReference w:id="346"/>
      </w:r>
      <w:r>
        <w:rPr>
          <w:rFonts w:ascii="Amiri" w:hAnsi="Amiri" w:eastAsia="Amiri" w:cs="Amiri"/>
          <w:color w:val="111111"/>
          <w:sz w:val="28"/>
          <w:sz w:val="28"/>
          <w:szCs w:val="28"/>
          <w:rtl w:val="true"/>
          <w:lang w:bidi="ar-SA"/>
        </w:rPr>
        <w:t>، فإنّه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فاختيار التعيين بيده، وما لم يعيّن واحدةً لا يُحتسب تلك المدّة من مُدّة التربّص، كما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صورٌ اُخرى يظهر حكمها ممّا قدّمناه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0" w:name="pg11828_104935"/>
    </w:p>
    <w:p>
      <w:pPr>
        <w:pStyle w:val="BookText"/>
        <w:rPr/>
      </w:pPr>
      <w:bookmarkEnd w:id="90"/>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اللِّعان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131713_73709187"/>
      <w:bookmarkStart w:id="92" w:name="_Toc31"/>
      <w:bookmarkEnd w:id="91"/>
      <w:r>
        <w:rPr>
          <w:rtl w:val="true"/>
        </w:rPr>
        <w:t>(</w:t>
      </w:r>
      <w:r>
        <w:rPr>
          <w:rtl w:val="true"/>
        </w:rPr>
        <w:t>الفصل السابع</w:t>
      </w:r>
      <w:r>
        <w:rPr>
          <w:rtl w:val="true"/>
        </w:rPr>
        <w:t>) (</w:t>
      </w:r>
      <w:r>
        <w:rPr>
          <w:rtl w:val="true"/>
        </w:rPr>
        <w:t>في اللِّعان</w:t>
      </w:r>
      <w:r>
        <w:rPr>
          <w:rtl w:val="true"/>
        </w:rPr>
        <w:t>)</w:t>
      </w:r>
      <w:bookmarkEnd w:id="92"/>
    </w:p>
    <w:p>
      <w:pPr>
        <w:pStyle w:val="Heading4"/>
        <w:numPr>
          <w:ilvl w:val="3"/>
          <w:numId w:val="1"/>
        </w:numPr>
        <w:rPr/>
      </w:pPr>
      <w:bookmarkStart w:id="93" w:name="__RefHeading___Toc11131715_73709187"/>
      <w:bookmarkStart w:id="94" w:name="_Toc32"/>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وهو بكسر اللّام، إمّا مصدر لاعَن يُلاعن، أو جمعٌ 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لغةً الطرد والإبعاد</w:t>
      </w:r>
      <w:r>
        <w:rPr>
          <w:rStyle w:val="FootnoteAnchor"/>
          <w:rtl w:val="true"/>
        </w:rPr>
        <w:footnoteReference w:id="347"/>
      </w:r>
      <w:r>
        <w:rPr>
          <w:rFonts w:ascii="Amiri" w:hAnsi="Amiri" w:eastAsia="Amiri" w:cs="Amiri"/>
          <w:color w:val="111111"/>
          <w:sz w:val="28"/>
          <w:sz w:val="28"/>
          <w:szCs w:val="28"/>
          <w:rtl w:val="true"/>
          <w:lang w:bidi="ar-SA"/>
        </w:rPr>
        <w:t>، وشرعاً المباهلة بين الزوجين على وجهٍ مخصوص</w:t>
      </w:r>
      <w:r>
        <w:rPr>
          <w:rStyle w:val="FootnoteAnchor"/>
          <w:rtl w:val="true"/>
        </w:rPr>
        <w:footnoteReference w:id="348"/>
      </w:r>
      <w:r>
        <w:rPr>
          <w:rFonts w:ascii="Amiri" w:hAnsi="Amiri" w:eastAsia="Amiri" w:cs="Amiri"/>
          <w:color w:val="111111"/>
          <w:sz w:val="28"/>
          <w:sz w:val="28"/>
          <w:szCs w:val="28"/>
          <w:rtl w:val="true"/>
          <w:lang w:bidi="ar-SA"/>
        </w:rPr>
        <w:t>، وسُمّيت لعاناً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 من الزوجين يَبعُد عن الآخر بها، إذ يحرم النكاح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لاشتمالها على كلمة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وخُصّت بهذه التسمية لأنّ اللّعن كلمة غريبة في مقام الحُجج من الشهادات والأيمان، والشيء يُشتهر بما يقع فيه من الغريب، وعلى ذلك جَرى معظم تسميات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الكتاب والسُّنة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w:t>
      </w:r>
      <w:bookmarkStart w:id="95" w:name="pg11828_104936"/>
    </w:p>
    <w:p>
      <w:pPr>
        <w:pStyle w:val="BookText"/>
        <w:rPr/>
      </w:pPr>
      <w:bookmarkEnd w:id="95"/>
      <w:r>
        <w:rPr>
          <w:rFonts w:ascii="Amiri" w:hAnsi="Amiri" w:eastAsia="Amiri" w:cs="Amiri"/>
          <w:color w:val="111111"/>
          <w:sz w:val="28"/>
          <w:sz w:val="28"/>
          <w:szCs w:val="28"/>
          <w:rtl w:val="true"/>
          <w:lang w:bidi="ar-SA"/>
        </w:rPr>
        <w:t>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الزَّوجة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عَلَيْها إِنْ كانَ مِنَ اَلصّادِقِينَ‌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مستفيضة، ستأتي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فيه يتحقّق في طيّ موارد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131717_73709187"/>
      <w:bookmarkStart w:id="97" w:name="_Toc33"/>
      <w:bookmarkEnd w:id="96"/>
      <w:r>
        <w:rPr>
          <w:rtl w:val="true"/>
        </w:rPr>
        <w:t>سبب اللِّعان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المُحصَّنة، أي رميها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دُبُراً على الأظهر الأشهر بين الطائفة، بل وعليه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الكريمة، وكثير من النصوص الآتي بعضها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لعان إلّابنفي الولد، وإذا قَذَفها ولم ينتف جُلِد ثمانين جَلدة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اللِّعان إلّابنفي الولد،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لاعنها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لايقعُ اللِّعان حتّى يدخل الرّجل بامرأته، ولا يكون اللِّعان إلّابنفي الولد</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حملها الشيخ رحمه الله على أنّه لا لعان بدون دعوى المشاهدة إلّابالنفي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الرّجل يقذف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 يُخلّى بينهما، ولا يُلاعنها حتّى يقول إنّه قد رأى بين رِجْليها من يَفجُر بها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يفتري على امرأته‌؟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 يُخلّى بينهما ولا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إنّي رأيتُكِ تفعلين كذا وكذا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ممّا يدلّ على نفي اللِّعان بمجرّد القذف، وأنّه يعتبر ادّعاء المشاهدة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w:t>
      </w:r>
      <w:r>
        <w:rPr>
          <w:rStyle w:val="FootnoteAnchor"/>
          <w:rtl w:val="true"/>
        </w:rPr>
        <w:footnoteReference w:id="361"/>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أنّه إذا كانت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ادّعاء المُشاهدة وعدم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حاملاً فأقرَّ الزوج بأنّ الولد منه، ومع هذا قَذَفها، فلا لعان، وأمّا إذا لم يكن حَملٌ وإنّما قذفها بالزِّنا مع الدخول والمعاينة، فيثبت اللِّعان، كما دلّت عليه الأخبار، ويدلّ على هذا صريحاً حديث محمّد عن أحدهما، فإنّه قد أثبت اللِّعان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كغيره من الكتاب والسُّنة يدلّ على إثباته بالقذف مطلقاً، من دون دلالةٍ على التفصيل الذي على خلافه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يترتّب اللِّعان بالقذف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ادّعاء المشاهدة، وعدم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الأشهر بين الطائفة،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على الأوّل الإجماع،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على الثاني،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الرّجل امرأته، فإنّه لا يلاعنها حتّى يقول رأيتُ بين رِجْليها رجلاً يزني بها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المعتبر مشاهدة أنّها تزني كما لعلّه المشهور بين الأصحاب، بل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أنّه لا خلاف فيه، ليترتّب عليه سقوط اللِّعان بقذف الأعمى‌؟</w:t>
      </w:r>
    </w:p>
    <w:p>
      <w:pPr>
        <w:pStyle w:val="BookText"/>
        <w:rPr/>
      </w:pPr>
      <w:r>
        <w:rPr>
          <w:rFonts w:ascii="Amiri" w:hAnsi="Amiri" w:eastAsia="Amiri" w:cs="Amiri"/>
          <w:color w:val="111111"/>
          <w:sz w:val="28"/>
          <w:sz w:val="28"/>
          <w:szCs w:val="28"/>
          <w:rtl w:val="true"/>
          <w:lang w:bidi="ar-SA"/>
        </w:rPr>
        <w:t xml:space="preserve">أم الميزان هو العلم، وإن لم يدّع المشاهدة، كما نفى البُعد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بل قوّاه‌؟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الجمود على ظواهر النصوص، يقتضي البناء على الأوّل، وحملها على خصوص من يُمكن في حقّه،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كون تلك كنايةً عن العلم، والشاهد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العناوين التي لها طريقيّة إذا اُخذت في الموضوع، تكون ظاهرة في أنّه لا خصوصيّة لها، بل إنّما اُخذت فيه بما أنّها طريق الإثبات، نظير العلم والتبيّن وما شاكل، وعلى هذا بنينا على قيام الأمارات مقام العلم المأخوذ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موجودٌ في أخبار الشهادة، وأنّه لا يجوزُ الشهادة إلّامع الرؤية والمشاهدة، ويُستكشف من ذلك أنّ المناط هو ما يوجبُ صحّة الشهادة وهو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محمّد بن سليمان، عن أبي جعفر الثاني عليه السلام، فإنّه بعد أن اعتبر فيه الرؤية،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للزوج مدخلاً لا يدخله غيره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له أن يقول رأيتُ‌، ولو قال غيره رأيتُ‌، قيل له وما أدخَلَك المدخل الذي تَرى هذا فيه وَحدك، أنتَ متّهمٌ‌، فلابدّ من أن يُقام عليك الحَدّ الذي أوجبه اللّه عليك</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ذلك كلّه الاقتصار فيما خالف الأصل على المتيقّن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عدم البيّنة، فاستدلّ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 فإنّها بمفهومها تدلّ على أنّه مع الشهود لا 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 هلال، حيث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وإلّا حَدٌّ في ظهرك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نزلت الآية فلاعن بينهما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إذا نَكَل عن اللِّعان يُحدّ، فيلزم حينئذٍ حَدّه مع وجود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اللِّعان حجّة ضعيفة، لأنّه إمّا شهادة لنفسه أو يمين، فلا يُعمل به مع الحُجّة القويّة وهي البيّنة، ولكن الكُلّ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مفهوم لها، لعدم كونها بنحو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صلى الله عليه و آله منه البيّنة، وإلّا ثبت له الحَدّ كان قبل نزول آية اللِّعان</w:t>
      </w:r>
      <w:r>
        <w:rPr>
          <w:rStyle w:val="FootnoteAnchor"/>
          <w:rtl w:val="true"/>
        </w:rPr>
        <w:footnoteReference w:id="370"/>
      </w:r>
      <w:r>
        <w:rPr>
          <w:rFonts w:ascii="Amiri" w:hAnsi="Amiri" w:eastAsia="Amiri" w:cs="Amiri"/>
          <w:color w:val="111111"/>
          <w:sz w:val="28"/>
          <w:sz w:val="28"/>
          <w:szCs w:val="28"/>
          <w:rtl w:val="true"/>
          <w:lang w:bidi="ar-SA"/>
        </w:rPr>
        <w:t>ومشروعيّته، والكلام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يُحدّ إذا نَكَل عن اللِّعان، ولم يمكنه دفعه بالبيِّنة، كما لو أقامها ابتداءً من بعد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كون اللِّعان حجّة ضعيفة بعد دلالة الكتاب والسُّنة على حجيّته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لإطلاق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ورودها في مقام بيان أحكامٍ اُخر لا إطلاق لها،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منها مطلقة، لاحظ صحيح الحلبي،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يقذف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 ثُمّ يفرّق بينهما، فلا تَحلّ له أبداً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فإنكار الإطلاق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إطلاقها واردٌ مورد الغالب، وهو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مراراً من أنّ غلبة فردٍ وندرة آخر لا تصلحُ مقيّدة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 على المصنّف رحمه الله حيث استدلّ بإطلاق النصوص، وردّ الاستدلال على اعتبار عدم البيّنة بمفهوم الآية الكريمة بأنّه لا مفهوم لها، بل يُحمل القيد على الغالب،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الدعوى لا تُجامع الاستدلال للعموم بالإطلاقات، ومن هنا انقدح وجه التعجّب عن العلّامة حيث استند للعموم بإطلاق النصوص، وأجابَ عن المفهوم بعدم العموم للغلبة، وليتَ شِعري كيف غَفَل عن أنّ قدح الغلبة في المفهوم الذي هو لغةً للعموم ملازمٌ للقَدح في الإطلاق الذي ليس له فيها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غرائب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عدم حمل الإطلاق والعموم على الغالب إنّما هو لما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8" w:name="pg11828_104942"/>
    </w:p>
    <w:p>
      <w:pPr>
        <w:pStyle w:val="BookText"/>
        <w:rPr/>
      </w:pPr>
      <w:bookmarkEnd w:id="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الآية على الغالب، فإنّما هو من جهة ما حُقّق في محلّه من أنّ الوصف لا مفهوم له، فيبقى أنّه ما الموجب لذكر الوصف إنْ لم يكن له مفهوم‌؟</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لعلّه ذُكر لأنّه الفرد الغالب، أو لغير ذلك، وأيّ علاقةٍ لذلك بالعموم، فكأنّه قدس سره فَرَض دلالة الوصف على المفهوم، وأنّها تكون بالعموم لا بالإطلاق، وتوهّم أنّ المانع من الالتزام به في المقام كون القيد غالبيّاً، فأورد على المصنّف ما أورد، واللّه تعالى هو المقيل للعثرات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الاشتراط أظهر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131719_73709187"/>
      <w:bookmarkStart w:id="100" w:name="_Toc34"/>
      <w:bookmarkEnd w:id="99"/>
      <w:r>
        <w:rPr>
          <w:rtl w:val="true"/>
        </w:rPr>
        <w:t>يعتبر أن يكون القذف بالزِّنا</w:t>
      </w:r>
      <w:bookmarkEnd w:id="1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أن يكون القذف بالزِّنا، بلا خلافٍ في ذلك، ويشهد به جملة من النصوص، تقدّم بعضها كصحيح الحلبي وغيره، فلو قذفها بما دون الوطء، لا يثبتُ اللِّعان، كما لا يثبُت بالقذف بالسُّحق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المشاهدة، فهل يثبت به الحَدّ نظراً إلى أنّه قَذَف بفاحشة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لا كما عن أبي الصَّلاح</w:t>
      </w:r>
      <w:r>
        <w:rPr>
          <w:rStyle w:val="FootnoteAnchor"/>
          <w:rtl w:val="true"/>
        </w:rPr>
        <w:footnoteReference w:id="37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لأنّ دليل القذف ظاهرٌ في الزِّنا واللّواط، فهو حينئذٍ كالقذف بإتيان البهائم فيه التعزير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فرق في ثبوت الحَدّ بين الوطء قُبُلاً أو 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اللِّعان يثبتُ بقذفها بالوطء دُبُراً أم لا يثبت‌؟</w:t>
      </w:r>
    </w:p>
    <w:p>
      <w:pPr>
        <w:pStyle w:val="BookText"/>
        <w:rPr/>
      </w:pP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عندنا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إنّه قد رأى بين رِجْليها من يَفجُر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صحيح الحلبي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يُلاعنها حتّى يقول رأيتُ بين رِجْليها رَجُلاً يزني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ينافيها لأنّ الزِّنا هو وطء الإناث، أعمّ من القُبُل والدُّبُر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اللِّعان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زوجته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يضفيه إلى زمان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يضيفه إلى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ثبوت اللِّعان في الأولين، وأمّا الأخير ففيه قولان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والشهيد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الثبوت، لعموم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يَرْمُونَ أَزْواجَهُمْ‌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وما شابهه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الثبوت، لأنّه لا يقال إنّه قَذَف زوجته كما لو قذف مسلماً بالزِّنا حال الكفر لا يقال إنّه قد قذف مسلماً، ولخصوص الواقعة التي هي سبب نزول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الوجه الأوّل للثاني باعتبار أنّ المسبّب للّعان كون الرّمي حين الزوجيّة، ولا دليل على اعتبار كون الرّمي بما وقع حين الزوجيّة، وعليه فيصحّ أن يقال في المثال إنّه قَذَف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واضحٌ‌، لأنّ خصوص المورد لا يُخصّص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زوجته بالزِّنا مستكرهةً عليه، أو مشتبهةً‌، أو نائمة، أو في حال الجنون، فلا يوجبُ كلّ ذلك الحَدّ، ولا يثبُت اللِّعان، لأنّه إنّما نَسَبها إلى أمر لا لوم عليه، ولا إثم، بل ليس زناً في عرف الشرع، فلا حَدّ عليه، ولا يثبت اللِّعان، بل عن الشيخ</w:t>
      </w:r>
      <w:r>
        <w:rPr>
          <w:rStyle w:val="FootnoteAnchor"/>
          <w:rtl w:val="true"/>
        </w:rPr>
        <w:footnoteReference w:id="388"/>
      </w:r>
      <w:r>
        <w:rPr>
          <w:rFonts w:ascii="Amiri" w:hAnsi="Amiri" w:eastAsia="Amiri" w:cs="Amiri"/>
          <w:color w:val="111111"/>
          <w:sz w:val="28"/>
          <w:sz w:val="28"/>
          <w:szCs w:val="28"/>
          <w:rtl w:val="true"/>
          <w:lang w:bidi="ar-SA"/>
        </w:rPr>
        <w:t>التردّد في التعزير أيضاً، لكنّه في غير محلّه لثبوته للعار والإيذاء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قَذَفها في حال جنونها بالزِّنا في حال الإفاقة، ثبتَ الحَدُّ، لإطلاق الأدلّة، ولكن قالوا إنّه لا يُقام عليه لا بعد المطالبة منها في حال صحّتها، فإن أفاقت وطالبت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 w:name="pg11828_104945"/>
    </w:p>
    <w:p>
      <w:pPr>
        <w:pStyle w:val="BookText"/>
        <w:rPr/>
      </w:pPr>
      <w:bookmarkEnd w:id="101"/>
      <w:r>
        <w:rPr>
          <w:rFonts w:ascii="Amiri" w:hAnsi="Amiri" w:eastAsia="Amiri" w:cs="Amiri"/>
          <w:color w:val="111111"/>
          <w:sz w:val="28"/>
          <w:sz w:val="28"/>
          <w:szCs w:val="28"/>
          <w:rtl w:val="true"/>
          <w:lang w:bidi="ar-SA"/>
        </w:rPr>
        <w:t>وإنكار ولدٍ يَلحقُ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صَحّ اللِّعان منه، لإسقاطه، وليس لوليّها المطالبة بالحَدّ ما دامت حَيّة، لأنّ طريق إسقاطه من جانب الزوج بالملاعنة التي لا تصحّ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له اللِّعان لعدم دخل لعان المرأة في نفي حَدّ القذف بلعان الرّجل، بل هو موجبٌ لسقوط العذاب عنها، وعليه فيتّجه اللِّعان منه لإسقاط الحَدّ عنه، إلّاأن يكون هناك إجماعٌ على ما ذكروه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131721_73709187"/>
      <w:bookmarkStart w:id="103" w:name="_Toc35"/>
      <w:bookmarkEnd w:id="102"/>
      <w:r>
        <w:rPr>
          <w:rtl w:val="true"/>
        </w:rPr>
        <w:t>إنكار الولد</w:t>
      </w:r>
      <w:bookmarkEnd w:id="103"/>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الولد، بلا خلافٍ‌، وقد تقدّم في جملةٍ من النصوص حَصر اللِّعان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الولد على فراشه، ولم يعلم وضعها لأقلّ مدّة الحمل، ولا لأقصاه، وإلّا لانتفى الولد بغير لعانٍ‌، وهذا هو مراد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وإنكار ولدٍ يلحق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النفي إلّامع العلم بانتفائه عنه، وإلّا فلا يجوزُ، لأنّ الولد لاحقٌ شرعاً بالفراش، من غير فرقٍ بين أن يجد ريبةً أم لا، ولا بين أن يُشابه لونه وخُلُقه لون الأب وخلقه وعدمه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جَحَد ولده وهو ينظر إليه، احتجب اللّهُ منه، وفَضَحَه على رؤوس الأوّلين والآخرين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باللّه من تبرّأ من نَسَب وإنْ دَقّ‌</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علمه بانتفائه عنه، يجبُ عليه النفي ولو باللِّعان، إذا كان الظاهر لحوقه به، بلا خلافٍ فيه، حذراً من لحوق من ليس منه بسكوته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الزّوجُ حاضراً وقت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نفاه، فلا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أقرَّ بالولد لزمه، وليس له أن ينفيه بعده، ولا ينتفي بانتفائه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لا لخصوص قاعدة إقرار العقلاء حتّى يقال إنّه لو علم أنّ منشأ إقراره الأخذ بظاهر قاعدة الفراش، لا وجه لعدم نفيه باللّعان لولا الإجماع، لأنّه لا يزيد حينئذٍ حكم قاعدة الإقرار على قاعدة الفراش التي ثبتَ اللِّعان لنفي مقتضاها،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بل لقويّ السكوني، عن جعفرٍ، عن أبيه، عن أمير 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بالولد ساعة لم ينف عنه أبداً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إطلاقه أنّه ليس له أن ينفيه بعدما أقرَّ به، من غير فرقٍ بين مناشئ الإقرار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سكت ولم يُنكر الولد، مع ارتفاع الأعذار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إنكاره بعد ذلك، إلّاأن يؤخّر بما جرت العادة به، كالسّعي إلى الحاكم، لأنّ حقّ النفي على الفور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39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إنكاره، وأنْ حقّ النفي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خيارٌ يثبت لدفع ضررٍ متحقّق، فيكون على الفور كالرّد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الولد إذا كان منافياً عنه وجبَ إظهار نفيه، حذراً من استلحاق من ليس منه، وقد تعرّض بالتأخير عوارض مانعة منه كالفوت فجأةً فيفوت التدارك، وتختلط الأنساب، وذلك ضررٌ يجب التحرّز منه على الفور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وبأنّه لولا اعتبار الفور، أدّى إلى عدم استقرار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ثبوت هذا الحقّ إنْ كان هو قاعدة لاضرر، تمّ ما اُفيد، نظراً إلى أنّه يندفع الضرر بخصوص ثبوته في الآن الأوّل عرفاً، ولا يتمّ إذا كان منشأه إطلاق ما دلّ على ثبوت حقّ النفي له، لا لاستصحاب ذلك مع التراخي،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بل لإطلاق الأدلّة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بذلك في الرّد بالعيب لو سُلّم، فإنّما هو لعموم أدلّة لزوم العقد، الشامل لما بعد زمان الفور، وهذا لا ربط له بالمقام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يدلّان عليه، لزوم النفي فوراً، لا سقوطه بعد مضيّ زمانه كما لا يخفى‌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القول الثاني أظهر</w:t>
      </w:r>
      <w:r>
        <w:rPr>
          <w:rFonts w:eastAsia="Amiri" w:cs="Amiri" w:ascii="Amiri" w:hAnsi="Amiri"/>
          <w:color w:val="111111"/>
          <w:sz w:val="28"/>
          <w:szCs w:val="28"/>
          <w:rtl w:val="true"/>
          <w:lang w:bidi="ar-SA"/>
        </w:rPr>
        <w:t>.</w:t>
      </w:r>
      <w:bookmarkStart w:id="104" w:name="pg11828_104949"/>
    </w:p>
    <w:p>
      <w:pPr>
        <w:pStyle w:val="BookText"/>
        <w:rPr/>
      </w:pPr>
      <w:bookmarkEnd w:id="104"/>
      <w:r>
        <w:rPr>
          <w:rFonts w:ascii="Amiri" w:hAnsi="Amiri" w:eastAsia="Amiri" w:cs="Amiri"/>
          <w:color w:val="111111"/>
          <w:sz w:val="28"/>
          <w:sz w:val="28"/>
          <w:szCs w:val="28"/>
          <w:rtl w:val="true"/>
          <w:lang w:bidi="ar-SA"/>
        </w:rPr>
        <w:t>ويُشترط في الملاعن والملاعنة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131723_73709187"/>
      <w:bookmarkStart w:id="106" w:name="_Toc36"/>
      <w:bookmarkEnd w:id="105"/>
      <w:r>
        <w:rPr>
          <w:rtl w:val="true"/>
        </w:rPr>
        <w:t>اعتبار التكليف والإسلام في المُلاعن والملاعنة</w:t>
      </w:r>
      <w:bookmarkEnd w:id="106"/>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الملاعن والملاعنة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لعان الصّبي والمجنون إجماعاً، لأنّ اللِّعان إمّا شهادةٌ أو يمين، والصَّبي والمجنون ليسا من أهل الشهادة ولا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يقتضي قذفهما، اللِّعان بعد البلوغ والإفاقة، ولأنّه لا يترتّب على قذفهما حَدٌّ كي يراد إسقاطه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والمنساق من الآية الشريفة وما ماثلها من النصوص غيرهما، أضف إلى ذلك كلّه ما دلّ على رفع القلم عن الصَّبي والمجنون</w:t>
      </w:r>
      <w:r>
        <w:rPr>
          <w:rStyle w:val="FootnoteAnchor"/>
          <w:rtl w:val="true"/>
        </w:rPr>
        <w:footnoteReference w:id="399"/>
      </w:r>
      <w:r>
        <w:rPr>
          <w:rFonts w:ascii="Amiri" w:hAnsi="Amiri" w:eastAsia="Amiri" w:cs="Amiri"/>
          <w:color w:val="111111"/>
          <w:sz w:val="28"/>
          <w:sz w:val="28"/>
          <w:szCs w:val="28"/>
          <w:rtl w:val="true"/>
          <w:lang w:bidi="ar-SA"/>
        </w:rPr>
        <w:t>، الشامل للأحكام التكليفيّة والوضعيّة، منها صحّة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فيهما الإسلام كما عن الإسكافي</w:t>
      </w:r>
      <w:r>
        <w:rPr>
          <w:rStyle w:val="FootnoteAnchor"/>
          <w:rtl w:val="true"/>
        </w:rPr>
        <w:footnoteReference w:id="400"/>
      </w:r>
      <w:r>
        <w:rPr>
          <w:rFonts w:ascii="Amiri" w:hAnsi="Amiri" w:eastAsia="Amiri" w:cs="Amiri"/>
          <w:color w:val="111111"/>
          <w:sz w:val="28"/>
          <w:sz w:val="28"/>
          <w:szCs w:val="28"/>
          <w:rtl w:val="true"/>
          <w:lang w:bidi="ar-SA"/>
        </w:rPr>
        <w:t>، والحِلّي</w:t>
      </w:r>
      <w:r>
        <w:rPr>
          <w:rStyle w:val="FootnoteAnchor"/>
          <w:rtl w:val="true"/>
        </w:rPr>
        <w:footnoteReference w:id="401"/>
      </w:r>
      <w:r>
        <w:rPr>
          <w:rFonts w:ascii="Amiri" w:hAnsi="Amiri" w:eastAsia="Amiri" w:cs="Amiri"/>
          <w:color w:val="111111"/>
          <w:sz w:val="28"/>
          <w:sz w:val="28"/>
          <w:szCs w:val="28"/>
          <w:rtl w:val="true"/>
          <w:lang w:bidi="ar-SA"/>
        </w:rPr>
        <w:t>في القذف خاصّة، أم لا كما هو المشهور بين الأصحاب‌؟</w:t>
      </w:r>
    </w:p>
    <w:p>
      <w:pPr>
        <w:pStyle w:val="BookText"/>
        <w:rPr/>
      </w:pPr>
      <w:r>
        <w:rPr>
          <w:rFonts w:ascii="Amiri" w:hAnsi="Amiri" w:eastAsia="Amiri" w:cs="Amiri"/>
          <w:color w:val="111111"/>
          <w:sz w:val="28"/>
          <w:sz w:val="28"/>
          <w:szCs w:val="28"/>
          <w:rtl w:val="true"/>
          <w:lang w:bidi="ar-SA"/>
        </w:rPr>
        <w:t>وجوهٌ‌، ونخبة القول في المقام يثبت بالبحث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لعدم اعتبار الإسلام فيه، إطلاق أدلّة اللِّعان الشامل للكافر، واستدلّ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اللِّعان شهادةٌ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فَشَهادَةُ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خصوصاً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لا تُقبل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الآية إرادة اليمين من الشهادة،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شَهاداتٍ بِاللّهِ‌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واليمين يستوي فيها المسلم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لعان الفاسق، مع أنّه 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 من قوله عليه السلام</w:t>
      </w:r>
      <w:r>
        <w:rPr>
          <w:rStyle w:val="FootnoteAnchor"/>
          <w:rtl w:val="true"/>
        </w:rPr>
        <w:footnoteReference w:id="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كلّ شاهدٍ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ملازمٌ لكون الاستثناء في الآية منقطعاً، إذ ليس المراد بالشهداء المستثنى منهم الحلفاء، بل الشهود بالمعنى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رَمى زوجته بالزِّنا، ولم يكن له بيّنة، فالمُثبِت له اليمين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المستثنى هو شهادة أحدهم، وهو متّصلٌ‌، ولكن بيّن في ذيل الآية أنّ شهادة أحدهم هي اليمين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الآتية في المُلاعنة، بضميمة عدم القول بالفصل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ثمّ‌إنّه يتصوّر لعان الكافر فيما إذا كان الزوجان ذميّين، فترافعا إلينا، ويمكن فرض الزوجة مسلمة والزوج كافراً، فيما إذا أسلَمَتْ وأتت بولدٍ يلحق به شرعاً فأنكره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طائفتان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وقوع اللِّعان مع كونها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الحُرّ بينه وبين المملوكة لعان‌؟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وبين المملوك والحُرّة، وبين العبد والأمَة، وبين المسلم واليهوديّة والنصرانيّة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الحُرّة والأمَة والمسلم والذّمية لعان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الإسلام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 الأمَة، ولا الذميّة ولا التي يتمتّع بها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مسلم تحته يهوديّة أو نصرانيّة أو أمَة، ينفي ولدها، وقَذَفها، هل عليه لعان‌؟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الأُولى أصَحّ سنداً وموافقةً لفتوى الأكثر، الّتي هي اُولى المرجّحات فتقدّم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7" w:name="pg11828_104952"/>
    </w:p>
    <w:p>
      <w:pPr>
        <w:pStyle w:val="BookText"/>
        <w:rPr/>
      </w:pPr>
      <w:bookmarkEnd w:id="107"/>
      <w:r>
        <w:rPr>
          <w:rFonts w:ascii="Amiri" w:hAnsi="Amiri" w:eastAsia="Amiri" w:cs="Amiri"/>
          <w:color w:val="111111"/>
          <w:sz w:val="28"/>
          <w:sz w:val="28"/>
          <w:szCs w:val="28"/>
          <w:rtl w:val="true"/>
          <w:lang w:bidi="ar-SA"/>
        </w:rPr>
        <w:t>وسلامة المرأة من الصَّمم، والخَرَس، ودوام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لاعتبار الإسلام فيها بالآية، فتقريبه والجواب عنه ما مرّ ذكره في الملاعن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الإسلام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المرأة من الصَّمم والخَرَس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ذلك في كتاب النكاح</w:t>
      </w:r>
      <w:r>
        <w:rPr>
          <w:rStyle w:val="FootnoteAnchor"/>
          <w:rtl w:val="true"/>
        </w:rPr>
        <w:footnoteReference w:id="409"/>
      </w:r>
      <w:r>
        <w:rPr>
          <w:rFonts w:ascii="Amiri" w:hAnsi="Amiri" w:eastAsia="Amiri" w:cs="Amiri"/>
          <w:color w:val="111111"/>
          <w:sz w:val="28"/>
          <w:sz w:val="28"/>
          <w:szCs w:val="28"/>
          <w:rtl w:val="true"/>
          <w:lang w:bidi="ar-SA"/>
        </w:rPr>
        <w:t>في أسباب التحريم في السبب الثالث عند تعرض المصنّف رحمه الله له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131725_73709187"/>
      <w:bookmarkStart w:id="109" w:name="_Toc37"/>
      <w:bookmarkEnd w:id="108"/>
      <w:r>
        <w:rPr>
          <w:rtl w:val="true"/>
        </w:rPr>
        <w:t>اعتبار دوام النكاح والدخول</w:t>
      </w:r>
      <w:bookmarkEnd w:id="10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الملاعنة مضافاً إلى ما مرَّ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لعانُ المتمتّع بها مطلقاً، على المشهور، بل عليه الإجماع في نفي الولد في كلام جماعةٍ‌، بل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للمفيد</w:t>
      </w:r>
      <w:r>
        <w:rPr>
          <w:rStyle w:val="FootnoteAnchor"/>
          <w:rtl w:val="true"/>
        </w:rPr>
        <w:footnoteReference w:id="411"/>
      </w:r>
      <w:r>
        <w:rPr>
          <w:rFonts w:ascii="IRNazanin" w:hAnsi="IRNazanin" w:eastAsia="IRNazanin"/>
          <w:color w:val="111111"/>
          <w:sz w:val="28"/>
          <w:sz w:val="28"/>
          <w:szCs w:val="28"/>
          <w:rtl w:val="true"/>
          <w:lang w:bidi="fa-IR"/>
        </w:rPr>
        <w:t>، والمرتضى</w:t>
      </w:r>
      <w:r>
        <w:rPr>
          <w:rStyle w:val="FootnoteAnchor"/>
          <w:rtl w:val="true"/>
        </w:rPr>
        <w:footnoteReference w:id="412"/>
      </w:r>
      <w:r>
        <w:rPr>
          <w:rFonts w:ascii="Amiri" w:hAnsi="Amiri" w:eastAsia="Amiri" w:cs="Amiri"/>
          <w:color w:val="111111"/>
          <w:sz w:val="28"/>
          <w:sz w:val="28"/>
          <w:szCs w:val="28"/>
          <w:rtl w:val="true"/>
          <w:lang w:bidi="ar-SA"/>
        </w:rPr>
        <w:t>في القذف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 أبي عبداللّه عليه 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يُلاعن الرّجل المرأة التي يتمتّع منها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اشتراط الدخول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 الأمَة، ولا الذميّة، ولا التي يتمتّع بها</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الآية الكريمة، ولا ينافي ذلك ورودها في الدائم، لأنّ خصوص السبب لا يُخصّص العام، وإطلاقها وإنْ كان يشمل اللّعان لنفي الولد، ولكن للاتّفاق على أنّ ولد المتمتّع بها ينتفي بغير لعانٍ‌، لا معنى للّعان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الكتاب يُخصّص بالنصوص الصحيحة المعمول بها، كما حُقّق في محلّه، وقد تقدّم البحث في هذه المسألة في كتاب النكاح في مبحث المتعة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لابدّ وأن يُعلم أنّ ولد المتمتّع بها وإنْ كان يُنتفي بمجرّد النفي من غير لعانٍ‌، ولكن لا يجوزُ نفيه إلّامع العلم بالانتفاء، وإن عَزَل، أو اتّهمها، أو ظنّ الانتفاء، لأنّ المني سباقٌ‌،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وللنصوص الخاصّة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اعتبره جماعةٌ‌، وأنكره آخرون، وفصّل ثالثٌ بثبوته بالقذف دون نفي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اشتراط الدخول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محلّ الخلاف لعانها بالقَذف، وادّعى الإجماع على</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لعانها بالولد، مع أنّ المحكي عن المفيد</w:t>
      </w:r>
      <w:r>
        <w:rPr>
          <w:rStyle w:val="FootnoteAnchor"/>
          <w:rtl w:val="true"/>
        </w:rPr>
        <w:footnoteReference w:id="419"/>
      </w:r>
      <w:r>
        <w:rPr>
          <w:rFonts w:ascii="Amiri" w:hAnsi="Amiri" w:eastAsia="Amiri" w:cs="Amiri"/>
          <w:color w:val="111111"/>
          <w:sz w:val="28"/>
          <w:sz w:val="28"/>
          <w:szCs w:val="28"/>
          <w:rtl w:val="true"/>
          <w:lang w:bidi="ar-SA"/>
        </w:rPr>
        <w:t>، والصيمري</w:t>
      </w:r>
      <w:r>
        <w:rPr>
          <w:rStyle w:val="FootnoteAnchor"/>
          <w:rtl w:val="true"/>
        </w:rPr>
        <w:footnoteReference w:id="42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ثبوت اللِّعان لنفي الولد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للأوّل الذي هو المشهور بين الأصحاب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اللِّعان حتّى يدخل الرّجل بأهله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مضارب،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لاعنَ امرأته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ملاعناً إلّابعد أن يدخل بها، يُضرب بها حَدّاً وهي امرأته ويكون قاذفاً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سنده أبان وجعفر بن بشير الملحقان للسَّند بالصحيح، أو ما يقرب منه، فإنّ الأوّل من أصحاب الإجماع، وقيل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يروي عن الثقات ويروون عنه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ونحوهماغيرهما من النصوص المنجبر ضعفها بحسب السند لو كان، وقدعرفت عدم الضعف بفتوى الأكثر، بل 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الآية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وأن يُخصّص العموم بالنصوص المتقدّمة، مضافاً إلى الإجماع على انتفاء الولد مع عدم الدخول، ولا يحتاج في نفيه إلى اللِّعان، لأنّ قبل الدخول القول قولُ الزوج مع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به يُجمع بين الأدلّة، بمعنى حمل ما دلّ على اشتراط الدخول على ما إذا كان لنفي الولد، والآخر على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إن أراد بما يدلّ على عدم اعتبار الدخول عموم الآية والسُّنة، فالنسبة بينهما وبين النصوص المتقدّمة عمومٌ مطلق، وإطلاق المقيّد مقدّمٌ 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ما يدلّ على ذلك صريحاً، فلم نظفر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الجمع المذكور تبرّعيّ لا شاهد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الدالّة على اشتراط الدخول، إنّما هي في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يقذف امرأته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غائبة لم يرها فقذفها؟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نصوص الاشتراط ضعيفة، وعموم الآية والسُّنة لا يشمل اللِّعان قبل الدخول لنفي الولد، لعدم توقّف نفيه على اللِّعان إجماعاً، لعدم وجود شرائط الإلحاق،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اعتبار النصوص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الأخبار على اعتبار الدخول بالنسبة إلى نفي الولد، الذي لا يتوقّف نفيه قبل الدخول على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لذلك، مضافاً إلى أنّ جملة من النصوص المُشتَرِطة للدخول في اللِّعان بالقذف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اشتراط الدخول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المرأة مشهورة بالزِّنا، كما عن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اشترطه من الأصحاب غير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ظاهره التأمّل فيه، والظاهر أنّ وجهه 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للاشتراط</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اللِّعان شُرِّع صوناً لعِرْضها من الانتهاك، وعِرْضُ المشهورة بالزِّنا منتهكٌ‌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سيأتي في محلّه من اعتبار الإحصان، بمعنى العِفّة في حَدّ القذف الذي شُرِّع لسقوطه اللِّعان في الزوجين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كما ترى مختصّان باللّعان بالقذف، ففي اللِّعان لنفي الولد لا شبهة في عدم اعتباره</w:t>
      </w:r>
      <w:r>
        <w:rPr>
          <w:rFonts w:eastAsia="Amiri" w:cs="Amiri" w:ascii="Amiri" w:hAnsi="Amiri"/>
          <w:color w:val="111111"/>
          <w:sz w:val="28"/>
          <w:szCs w:val="28"/>
          <w:rtl w:val="true"/>
          <w:lang w:bidi="ar-SA"/>
        </w:rPr>
        <w:t>.</w:t>
      </w:r>
      <w:bookmarkStart w:id="110" w:name="pg11828_104958"/>
    </w:p>
    <w:p>
      <w:pPr>
        <w:pStyle w:val="Heading4"/>
        <w:numPr>
          <w:ilvl w:val="3"/>
          <w:numId w:val="1"/>
        </w:numPr>
        <w:rPr/>
      </w:pPr>
      <w:bookmarkStart w:id="111" w:name="__RefHeading___Toc11131727_73709187"/>
      <w:bookmarkStart w:id="112" w:name="_Toc38"/>
      <w:bookmarkEnd w:id="110"/>
      <w:bookmarkEnd w:id="111"/>
      <w:r>
        <w:rPr>
          <w:rtl w:val="true"/>
        </w:rPr>
        <w:t>كيفيّة اللِّعان</w:t>
      </w:r>
      <w:bookmarkEnd w:id="112"/>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اللِّعان في زمان الغيبة إلّاعند الحاكم الشرعي المجعول والياً وحاكماً</w:t>
      </w:r>
      <w:r>
        <w:rPr>
          <w:rStyle w:val="FootnoteAnchor"/>
          <w:rtl w:val="true"/>
        </w:rPr>
        <w:footnoteReference w:id="432"/>
      </w:r>
      <w:r>
        <w:rPr>
          <w:rFonts w:ascii="Amiri" w:hAnsi="Amiri" w:eastAsia="Amiri" w:cs="Amiri"/>
          <w:color w:val="111111"/>
          <w:sz w:val="28"/>
          <w:sz w:val="28"/>
          <w:szCs w:val="28"/>
          <w:rtl w:val="true"/>
          <w:lang w:bidi="ar-SA"/>
        </w:rPr>
        <w:t xml:space="preserve">من قبل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اللِّعان ضربٌ من الحكم، بل هو من أقوى أفراده، لافتقاره إلى سماع الشهادة أو اليمين، والحكم بالحدود، ودفعه بالشهادة بعد ذلك، أو اليمين، وحكمه بنفي الولد، وفي النصوص شهادة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مولانا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اللِّعان أن يقول الرّجل لإمرأته عند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رجلاً مكان مجلسي منها، أو ينتفي من ولدها،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فإذا فعلا ذلك تلاعنا عند الوالي</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ولايتوهّم كون ذلك من مناصب الإمام عليه السلام، وثبوته للحاكم محلّ إشكالٍ‌، وذلك للنصوص الآتية المتضمنّة للآداب، المصرّح فيها بالإمام، فإنّه لا مفهوم لها كي تدلّ على عدم مشروعيّته عند غيره، فلا يقيّد بها إطلاق المرسل وما شابهه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أنّهما لو تراضيا برجلٍ من العامّة، فلاعن بينهما جاز، ولم يُصرّح في الأوّلين بالعامّة، </w:t>
      </w:r>
    </w:p>
    <w:p>
      <w:pPr>
        <w:pStyle w:val="BookText"/>
        <w:rPr/>
      </w:pPr>
      <w:r>
        <w:rPr>
          <w:rFonts w:ascii="Amiri" w:hAnsi="Amiri" w:eastAsia="Amiri" w:cs="Amiri"/>
          <w:color w:val="111111"/>
          <w:sz w:val="28"/>
          <w:sz w:val="28"/>
          <w:szCs w:val="28"/>
          <w:rtl w:val="true"/>
          <w:lang w:bidi="ar-SA"/>
        </w:rPr>
        <w:t>وصورته أنْ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إنّي لمن الصّادقين فيما قُلتُه عن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زاد في الأوّل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بالاتّفاق على جوازه، فتوهّم أنّ مرادهم جواز اللِّعان في زمان الغيبة عند غير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بالرَّجل العامّي الذي يتراضى به الزوجان، الفقيه المجتهد حال حضور الإمام، لكنّه غير منصوبٍ من قبله، وسمّاه عاميّاً بالإضافة إلى المنصوب، فإنّه خاصٌّ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يهمّنا البحث فيه، وأنّه هل يعتبر تراضيهما بعد الحكم أم لا، فإنْ ساعدنا التوفيق، وأدركنا زمان حضوره عليه السلام نسألُ منه ونستريح من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بعد ذكر القولين، والاستدلال لهما،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حال الغيبة، فينفذ فيه حكم الفقيه الجامع لشرائط الفتوى، لأنّه منصوبٌ من قِبل الإمام على العموم، كما يتولّى غيره من الأحكام، ولا يتوقّف على تراضيهما بعده، لأنّ ذلك مختصٌّ بقضاء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إنّي لمن الصادقين فيما قُلتُه عن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الزِّنا، أو أنّ الولد ليس من مائي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ذَكَر غير واحدٍ، أنّه إذا أراد نفي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الولد من زنا وليس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يَعِظه الحاكم، فإنْ رَجَع حَدَّه،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عليه إنْ كان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على أحدهما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تختصّ الأدلّة في اللِّعان لنفي الولد، بما إذا ثبت كونه من زنا، ودعوى الزوج ذلك، بل يعمُّ ما لو احتمل الشُّبهة، بل ولو علم به، بل مقتضى إطلاق أدلّته صحّة اللِّعان لنفي الولد خاصّة من غير قذفٍ بالزِّنا، واختصاص الآية الكريمة بالقذف لا يوجبُ تخصيص النصوص المطلقة لعدم المفهوم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الاكتفاء بما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يَعِظه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يذكر له أنّ عذاب الآخرة أشدّ من عذاب الدُّنيا، ويقرأ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 أَيْمانِهِمْ ثَمَناً قَلِيلاً</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فإنّ لعنة اللّه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عبدالرحمن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للرجل بعد الشهادات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إتَّق اللّه، فإنّ لعنة اللّه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عن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بلا خلافٍ‌، والنصوص الآتية تشهد به كما ستعرف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عليه إنْ كان من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المرأة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إنّه 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يعِظُها الحاكم، فإنْ اعترفت رَجَمها، وإلّا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اللّه عليها إنْ كان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فتحرُمُ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المرأة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إنّه لمن الكاذبين، ثمّ يَعِظُها الحاكم، فإنْ اعترفت رَجَمها، وإلّا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اللّه عليها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رماها به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الملاعَنة على الملاعن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ذلك في كتاب النكاح</w:t>
      </w:r>
      <w:r>
        <w:rPr>
          <w:rStyle w:val="FootnoteAnchor"/>
          <w:rtl w:val="true"/>
        </w:rPr>
        <w:footnoteReference w:id="443"/>
      </w:r>
      <w:r>
        <w:rPr>
          <w:rFonts w:ascii="Amiri" w:hAnsi="Amiri" w:eastAsia="Amiri" w:cs="Amiri"/>
          <w:color w:val="111111"/>
          <w:sz w:val="28"/>
          <w:sz w:val="28"/>
          <w:szCs w:val="28"/>
          <w:rtl w:val="true"/>
          <w:lang w:bidi="ar-SA"/>
        </w:rPr>
        <w:t>مفصّلاً، ولا نعيدُ ما ذكرناه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3" w:name="pg11828_104962"/>
    </w:p>
    <w:p>
      <w:pPr>
        <w:pStyle w:val="BookText"/>
        <w:rPr/>
      </w:pPr>
      <w:bookmarkEnd w:id="113"/>
      <w:r>
        <w:rPr>
          <w:rFonts w:ascii="Amiri" w:hAnsi="Amiri" w:eastAsia="Amiri" w:cs="Amiri"/>
          <w:color w:val="111111"/>
          <w:sz w:val="28"/>
          <w:sz w:val="28"/>
          <w:szCs w:val="28"/>
          <w:rtl w:val="true"/>
          <w:lang w:bidi="ar-SA"/>
        </w:rPr>
        <w:t>ويجبُ التلفّظ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وقيامهما عند التلفّظ</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131729_73709187"/>
      <w:bookmarkStart w:id="115" w:name="_Toc39"/>
      <w:bookmarkEnd w:id="114"/>
      <w:r>
        <w:rPr>
          <w:rtl w:val="true"/>
        </w:rPr>
        <w:t>واجبات اللِّعان</w:t>
      </w:r>
      <w:bookmarkEnd w:id="11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اللِّعان يشتملُ على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 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التلفّظ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المزبور، فلو أبدل صيغة الشهادة بغيرها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أبدل لفظ الجلالة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أو أبدل كلمة الصدق والكذب بغيرهما ممّا يفيد معناهما،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حَذَف لام التأكيد،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أبدل اللّعن بغيره ولو بلفظ الإبعاد والطرد، 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بالسُّخط أو أحدهما بالآخر، لم يقع، 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ذلك خلاف المنقول شرعاً، ولكن لولا التسالم على ذلك كلّه أمكن المناقشة فيها، لأنّه لا تدلّ الآية ولا النصوص على اعتبار الألفاظ المذكورة خاصّة، بل ظاهرها إرادة إبراز المعنى المزبور، إلّاأن اتّفاق الأصحاب يقتضي الالتزام بجميع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المُلاعِن والملاعنة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يعتدّ به، وإنّما الخلاف في أنّه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أن يكونا قائمين عند تلفّظ كلّ منهما،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والمفيد</w:t>
      </w:r>
      <w:r>
        <w:rPr>
          <w:rStyle w:val="FootnoteAnchor"/>
          <w:rtl w:val="true"/>
        </w:rPr>
        <w:footnoteReference w:id="445"/>
      </w:r>
      <w:r>
        <w:rPr>
          <w:rFonts w:ascii="Amiri" w:hAnsi="Amiri" w:eastAsia="Amiri" w:cs="Amiri"/>
          <w:color w:val="111111"/>
          <w:sz w:val="28"/>
          <w:sz w:val="28"/>
          <w:szCs w:val="28"/>
          <w:rtl w:val="true"/>
          <w:lang w:bidi="ar-SA"/>
        </w:rPr>
        <w:t>، وأتباعهما، وأكثر المتأخّرين‌؟</w:t>
      </w:r>
    </w:p>
    <w:p>
      <w:pPr>
        <w:pStyle w:val="BookText"/>
        <w:rPr/>
      </w:pPr>
      <w:r>
        <w:rPr>
          <w:rFonts w:ascii="Amiri" w:hAnsi="Amiri" w:eastAsia="Amiri" w:cs="Amiri"/>
          <w:color w:val="111111"/>
          <w:sz w:val="28"/>
          <w:sz w:val="28"/>
          <w:szCs w:val="28"/>
          <w:rtl w:val="true"/>
          <w:lang w:bidi="ar-SA"/>
        </w:rPr>
        <w:t>أم يكون الواجب هو قيام كلٍّ منهما عند لفظه، كما عن الصدوق</w:t>
      </w:r>
      <w:r>
        <w:rPr>
          <w:rStyle w:val="FootnoteAnchor"/>
          <w:rtl w:val="true"/>
        </w:rPr>
        <w:footnoteReference w:id="44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ومنشأه اختلاف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 البصري سأل أبا عبداللّه عليه السلام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يُلاعن الرّجل المرأة‌؟</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قصّة الرّجل الذي جاء إلى النبيّ صلى الله عليه و آله وأخبره عن أهله،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فأوقفها رسول اللّه صلى الله عليه و آله،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أربع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 والملاعنة كيف يصنعان‌؟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مستدبر القبلة، يقيمها بين يديه مستقبل القبلة بحذائه، ويبدأ بالرّجل ثمّ بالمرأة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رواه عن الصدوق، عن البزنطي،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كيف الملاعنة‌؟</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الرّجل فيحلف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المرأة فتحلف أربع مرّات</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بالمحكيّ عن فعل النبيّ صلى الله عليه و آله من أنّه أمرَ عويمراً بالقيام، فلمّا تمّت شهادته أمرَ امرأته بالقيام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لا يصلح للمقاومة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به، فإنّه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رواية متضمّنة لقضيّة عويمر، وليس فيها ذلك، بل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المنبر فلاعنا، فتقدّم عويمر إلى المنبر</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والتقديم غير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الأوّل، ولا ينافي وجوب ذلك ما في المرسل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يُجلِس الإمام للمتلاعنين ويقيمهما بين يديه كلّ واحدٍ منهما مستقبل القبلة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لأنّ المراد بالسُّنة يمكن أن يكون ما ثبت وجوبه بغير الكتاب لا الندب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ابن سعيد</w:t>
      </w:r>
      <w:r>
        <w:rPr>
          <w:rStyle w:val="FootnoteAnchor"/>
          <w:rtl w:val="true"/>
        </w:rPr>
        <w:footnoteReference w:id="458"/>
      </w:r>
      <w:r>
        <w:rPr>
          <w:rFonts w:ascii="Amiri" w:hAnsi="Amiri" w:eastAsia="Amiri" w:cs="Amiri"/>
          <w:color w:val="111111"/>
          <w:sz w:val="28"/>
          <w:sz w:val="28"/>
          <w:szCs w:val="28"/>
          <w:rtl w:val="true"/>
          <w:lang w:bidi="ar-SA"/>
        </w:rPr>
        <w:t>من استحبابه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وبدأة الرّجل وتعيين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بالتلفّظ على الترتيب المذكور، فلو بدأتِ المرأة باللِّعان لغي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لعانها لإسقاط الحَدّ عنها، كما هو مقتضى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يَدْرَؤُا عَنْهَا اَلْعَذابَ‌</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وهو إنّما يجبُ بلعان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المتقدّم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ويبدأ بالرجل ثمّ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 والملاعنة كيف يصنعان‌؟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مستدبر القبلة، يقيمهما بين يديه مستقبل القبلة بحذائه، ويبدأ بالرجل ثمّ بالمرأة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المحكيّ عن فعل النبيّ صلى الله عليه و آله في صحيح ابن الحجّاج، وقصّة عويمر المتقدّمين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يُزيل الاحتمال، كذكر اسمها واسم أبيها، أو صفاتها المميّزة لها عن غيرها، لأنّه الثابت، فلو كانت حاضرة تخيّر بين ذلك وبين الإشارة، ويكفي التعيين الإجمالي، كما لو كانت له زوجة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والنطق بالعربيّة مع القدرة، ويجوز غيرها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والبدأة بالشهادات، ثمّ باللّعن في الرَّجل، والمرأة تبدأ بالشهادات، ثمّ بالغَضَب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النطق بالعربيّة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لهم سوى ما استدلّ به لاعتبار العربيّة في العقود والإيقاعات، وقد مرّ في كتاب النكاح</w:t>
      </w:r>
      <w:r>
        <w:rPr>
          <w:rStyle w:val="FootnoteAnchor"/>
          <w:rtl w:val="true"/>
        </w:rPr>
        <w:footnoteReference w:id="461"/>
      </w:r>
      <w:r>
        <w:rPr>
          <w:rFonts w:ascii="Amiri" w:hAnsi="Amiri" w:eastAsia="Amiri" w:cs="Amiri"/>
          <w:color w:val="111111"/>
          <w:sz w:val="28"/>
          <w:sz w:val="28"/>
          <w:szCs w:val="28"/>
          <w:rtl w:val="true"/>
          <w:lang w:bidi="ar-SA"/>
        </w:rPr>
        <w:t>عدم تماميّة شيء منها، فإنْ كان هناك إجماعٌ فهو الحجّة، وإلّا فمقتضى إطلاق الآية والنصوص اللَّتين قد مرّ ظهورهما في إرادة إبراز تلك المعاني بالألفاظ، عدم اعتبار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غيرها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وإشكال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البدأة بالشهادات، ثُمّ باللَّعن في الرّجل، والمرأة تبدأ بالشهادات ثُمّ بالغَضَب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ويظهر وجه ممّا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زيادة الموالاة بين الكلمات، أي الشهادات في الواجب، وكذا إتيان كلّ واحدٍ منهما باللَّعن بعد إلقاء الحاكم عليه، فلو بادر قبل أن يلقيه الإمام لم يصحّ‌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للثاني الأخبار المبيّنة لكيفيّة اللِّعان لتضمّنها ذلك، مع أنّ الحَدّ لا يقيمه إلّاالحاكم، فكذا ما يدرؤه، أضف إليه أنّه كاليمين في الدعاوى التي لو حلف قبل الإحلاف لم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جلوس الحاكم مستدبر القبلة، ووقوف الرّجل عن يمينه، والمرأة عن يساره،</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من الزوج بمنزلة الشهادات، ويجبُ اجتماع الشهود على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وبوجوب مبادرة كلّ منهما إلى دفع الحَدّ عن نفسه، ونفي الولد إنْ كان منتفياً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ولعلّهما بضميمة الاقتصار فيما خالف الأصل على الواقع بحضرته صلى الله عليه و آله، ممّا لم يتخلّل بينهما فصلٌ طويل، تكفي في اعتبارها،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الجميع كما ترى لا تصلحُ لتقييد إطلاق الأدلّة، ولذا لم يتعرّض غيره من الأصحاب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اعتبارها، وإنْ كان الأحوط رعايته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جلوس الحاكم مُستَدبِر القبلة، ووقوف الرَّجل عن يمينه، والمرأة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على هذين الأمرين خبر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الملاعنة‌؟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الإمام، ويجعل ظاهره إلى القبلة، ويجعل الرَّجل عن يمينه، والمرأة والصَّبي عن يساره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وحضور من يسمع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والوعظ قبل اللَّعن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خصوص الأوّل، واستحباب استقبال الزوجين، صحيح محمّد بن مسلم</w:t>
      </w:r>
      <w:r>
        <w:rPr>
          <w:rStyle w:val="FootnoteAnchor"/>
          <w:rtl w:val="true"/>
        </w:rPr>
        <w:footnoteReference w:id="466"/>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من يسمع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البلد وصُلَحائه، فإنّ ذلك أعظم للأمر والإتّباع، فقد حضر اللِّعان على عهد رسول اللّه صلى الله عليه و آله جماعةٌ من الصحابة، منهم ابن عبّاس، وابن عُمر، وسهل بن سعد، وهم من أحداث الصحابة، وفي ما تضمّن</w:t>
      </w:r>
      <w:r>
        <w:rPr>
          <w:rStyle w:val="FootnoteAnchor"/>
          <w:rtl w:val="true"/>
        </w:rPr>
        <w:footnoteReference w:id="467"/>
      </w:r>
      <w:r>
        <w:rPr>
          <w:rFonts w:ascii="Amiri" w:hAnsi="Amiri" w:eastAsia="Amiri" w:cs="Amiri"/>
          <w:color w:val="111111"/>
          <w:sz w:val="28"/>
          <w:sz w:val="28"/>
          <w:szCs w:val="28"/>
          <w:rtl w:val="true"/>
          <w:lang w:bidi="ar-SA"/>
        </w:rPr>
        <w:t>قصّة عويمر شهادةٌ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 قبل اللَّعن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ما يدلّ على استحبابه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6" w:name="pg11828_104969"/>
    </w:p>
    <w:p>
      <w:pPr>
        <w:pStyle w:val="BookText"/>
        <w:rPr/>
      </w:pPr>
      <w:bookmarkEnd w:id="116"/>
      <w:r>
        <w:rPr>
          <w:rFonts w:ascii="Amiri" w:hAnsi="Amiri" w:eastAsia="Amiri" w:cs="Amiri"/>
          <w:color w:val="111111"/>
          <w:sz w:val="28"/>
          <w:sz w:val="28"/>
          <w:szCs w:val="28"/>
          <w:rtl w:val="true"/>
          <w:lang w:bidi="ar-SA"/>
        </w:rPr>
        <w:t>ولو أكذب نفسه</w:t>
      </w:r>
    </w:p>
    <w:p>
      <w:pPr>
        <w:pStyle w:val="Heading4"/>
        <w:numPr>
          <w:ilvl w:val="3"/>
          <w:numId w:val="1"/>
        </w:numPr>
        <w:rPr/>
      </w:pPr>
      <w:bookmarkStart w:id="117" w:name="__RefHeading___Toc11131731_73709187"/>
      <w:bookmarkStart w:id="118" w:name="_Toc40"/>
      <w:bookmarkEnd w:id="117"/>
      <w:r>
        <w:rPr>
          <w:rtl w:val="true"/>
        </w:rPr>
        <w:t>حكم تكذيب الملاعن نفسه</w:t>
      </w:r>
      <w:bookmarkEnd w:id="118"/>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بيننا ولا إشكال في أنّه إذا قَذَف الرّجل امرأته، وجب الحَدّ عليه، لإطلاق الأدلّة كتاباً وسُنّةً‌، ولا يتعيّن عليه اللِّعان عيناً، بل بلعانه يسقط الحَدّ عنه، ويثبت في المرأة، ولكن يسقط عنها بلعانها، كما هو مقتضى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لعانهما تثبتُ أحكامٌ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وانتفاء الولد عن الرَّجل دون المرأة إنْ تلاعنا لنفيه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وزوال الفراش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والتحريم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شيء من تلكم، والكتاب والسُّنة شاهدان بالجميع، كما تقدّم هنا وفي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في أثناء اللِّعان، أو قبله، ثبتَ عليه الحَدّ إنْ كان اللِّعان للقذف لا مطلقاً، ولم ينتفِ عنه الولد مطلقاً، وكذا لو نَكَل،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اللِّعان حُدَّ للقذف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القذف موجبٌ للحَدّ، والفراش للحوق النسب، ولا ينتفيان إلّا باللّعان، وقد أبى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الحلبي،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الرّجل يقذف امرأته‌؟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 ثمّ يفرّق بينهما، فلا تحلّ له أبداً، فإنْ أقرَّ على نفسه قبل الملاعنة جُلد حَدّاً وهي امرأته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لاعنَ امرأته فَحَلف أربع شهادات باللّه ثُمّ نَكَل في الخامسة‌؟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نَكَل عن الخامسة، فهي امرأته وجُلِد، وإنْ نكَلت المرأة عن ذلك إذا كانت اليمين عليها، فعليها مثل ذلك</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الصحيح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ثبوت الحَدّ لو اعترف بالولد في أثناء اللِّعان، أو نكل عن الخامسة مع كون اللِّعان لنفي الولد خاصّاً مجرّداً عن القذف بتجويزه الشبهة، إلّاأنّه لا خلاف ولا شُبهة في عدم ثبوت الحَدّ في هذه الصورة، ولا موجب له، فيُحمل إطلاق الخبرين على غير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اللِّعان، حُدَّ للقذف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اللِّعان له كما في المتن، وعن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والمفيد</w:t>
      </w:r>
      <w:r>
        <w:rPr>
          <w:rStyle w:val="FootnoteAnchor"/>
          <w:rtl w:val="true"/>
        </w:rPr>
        <w:footnoteReference w:id="471"/>
      </w:r>
      <w:r>
        <w:rPr>
          <w:rFonts w:ascii="Amiri" w:hAnsi="Amiri" w:eastAsia="Amiri" w:cs="Amiri"/>
          <w:color w:val="111111"/>
          <w:sz w:val="28"/>
          <w:sz w:val="28"/>
          <w:szCs w:val="28"/>
          <w:rtl w:val="true"/>
          <w:lang w:bidi="ar-SA"/>
        </w:rPr>
        <w:t>، والعُمّاني</w:t>
      </w:r>
      <w:r>
        <w:rPr>
          <w:rStyle w:val="FootnoteAnchor"/>
          <w:rtl w:val="true"/>
        </w:rPr>
        <w:footnoteReference w:id="472"/>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وولده في شرحه</w:t>
      </w:r>
      <w:r>
        <w:rPr>
          <w:rStyle w:val="FootnoteAnchor"/>
          <w:rtl w:val="true"/>
        </w:rPr>
        <w:footnoteReference w:id="474"/>
      </w:r>
      <w:r>
        <w:rPr>
          <w:rFonts w:ascii="Amiri" w:hAnsi="Amiri" w:eastAsia="Amiri" w:cs="Amiri"/>
          <w:color w:val="111111"/>
          <w:sz w:val="28"/>
          <w:sz w:val="28"/>
          <w:szCs w:val="28"/>
          <w:rtl w:val="true"/>
          <w:lang w:bidi="ar-SA"/>
        </w:rPr>
        <w:t>، والاصبهاني في شرحه</w:t>
      </w:r>
      <w:r>
        <w:rPr>
          <w:rStyle w:val="FootnoteAnchor"/>
          <w:rtl w:val="true"/>
        </w:rPr>
        <w:footnoteReference w:id="475"/>
      </w:r>
      <w:r>
        <w:rPr>
          <w:rFonts w:ascii="Amiri" w:hAnsi="Amiri" w:eastAsia="Amiri" w:cs="Amiri"/>
          <w:color w:val="111111"/>
          <w:sz w:val="28"/>
          <w:sz w:val="28"/>
          <w:szCs w:val="28"/>
          <w:rtl w:val="true"/>
          <w:lang w:bidi="ar-SA"/>
        </w:rPr>
        <w:t xml:space="preserve">،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لرواية محمّد بن الفضيل،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لاعن امرأته، وانتفى من ولده، ثمّ أكذب نفسه، هل يردّ عليه ولده‌؟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نفسه جُلد الحَدّ، وردّ عليه ابنه، ولاترجع إليه امرأته أبداً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آكد باللّعان القذف لتكراره إيّاه فيه، والسقوط إنّما يكون مع علم صدقه أو اشتباه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اعترافه بكونه كاذباً، فهو قذفٌ محضٌ‌، فلا يكون زيادته مسقطة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ثبت عليه الحَدّ بالقذف، فيستصحب إلى أن يعلم المزيل، ولا يُعلم زواله بلعانٍ ظَهر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الفضيل مشتركٌ بين الثقة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أكّد القذف هو اللِّعان المُسقِط للحَدّ في نفسه، وإكذاب نفسه الذي هو الموجب لإعادة الحَدّ تنزيهٌ لها لا زيادة هتك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باللّعان سقط الحَدّ، فلو استصحب لابدّ من استصحاب عدم الثبوت لا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للمقاومة مع العمومات الدالّة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مسقطيّة اللِّعان للحَدّ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بصورة العلم بالصدق، أو اشتباه الحال، ولا تشمل صورة اعترافه بالكذب، كما ترى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لسقوط الحَدّ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لاعن امرأته وهي حُبلى‌، قد استبان حملها، وأنكر ما في بطنها، فلمّا وضعت ادّعاه وأقرَّ به، وزعم أنّه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ولده ويرثه، ولا يُجلد، لأنّ اللِّعان قد مَضى‌</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 عنه عليه السلام إلّاأنّ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اللِّعان بينهما قد مضى‌</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خبره الثالث، إلّاأنّ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مضى التلاعن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مختصّة بإكذاب نفسه في نفي الولد دون القذف والحَدّ، إنّما يجبُ إذا أكذب نفسه فيما رماها به من الزِّنا،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وإليه يشير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نصوص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فيها من التعليل كالصريح في أنّ اللِّعان كان بالقذف ونفي الولد، وإنْ كان المذكور فيها الأخير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وسيّد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يزل التحريم، ويرثه الولد، ولا يرثه الأب، ولا من يتقرّب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86"/>
      </w:r>
      <w:r>
        <w:rPr>
          <w:rFonts w:ascii="Amiri" w:hAnsi="Amiri" w:eastAsia="Amiri" w:cs="Amiri"/>
          <w:color w:val="111111"/>
          <w:sz w:val="28"/>
          <w:sz w:val="28"/>
          <w:szCs w:val="28"/>
          <w:rtl w:val="true"/>
          <w:lang w:bidi="ar-SA"/>
        </w:rPr>
        <w:t>وغيرهم من سقوط الحَدّ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إكذاب نفسه بعد اللِّعان، لا تعودُ الحِليّة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نصّاً وفتوى، بل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ما دلّ على الحرمة الأبديّة باللّعان شاملٌ لها، والنصوص الخاصّة الآتي بعضها أيضاً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بإكذاب نفسه يلحق به الولد، بلا خلافٍ فيه نصّاً وفتوى، لكن فيما عليه لا فيما له، لإقراره أوّلاً بالانتفاء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بعد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يرثه الأب ولا من يتقرّب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الحلبي، عن أبي عبداللّه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الملاعنة التي يقذفها زوجها، وينتفي من ولدها فيلاعنها ويفارقها،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ويُكذّب نفسه‌؟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فلا ترجع إليه، وأمّا الولد فإنّي أردّه عليه إذا ادّعاه، ولا أدعُ ولده بلا ميراثٍ‌، وليس له ميراث، ويرثُ الابن الأب، ولا يرثُ الأب الابنَ‌، يكونُ ميراثه لأخواله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اعترفت المرأة بعد اللِّعان أربعاً،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خبر الكناني من أنّه لا يُردَّ عليه ولده</w:t>
      </w:r>
      <w:r>
        <w:rPr>
          <w:rStyle w:val="FootnoteAnchor"/>
          <w:rtl w:val="true"/>
        </w:rPr>
        <w:footnoteReference w:id="488"/>
      </w:r>
      <w:r>
        <w:rPr>
          <w:rFonts w:ascii="Amiri" w:hAnsi="Amiri" w:eastAsia="Amiri" w:cs="Amiri"/>
          <w:color w:val="111111"/>
          <w:sz w:val="28"/>
          <w:sz w:val="28"/>
          <w:szCs w:val="28"/>
          <w:rtl w:val="true"/>
          <w:lang w:bidi="ar-SA"/>
        </w:rPr>
        <w:t>، محمولٌ‌على عدم اللّحوق به بنحوٍ يترتّب عليه جميع الآثار ومنها أنّه يرث ويرثه أبوه، وتمام الكلام عن ذلك في كتاب الميراث</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اعترفت المرأة بعد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أكذبت نفسها، لم يعد شيءٌ من أحكام اللِّعان التي ثبتت به، ولم يجبُ الحَدّ عليها بذلك إجماعاً، لما سيأتي من أنّ حَدّ الزِّنا لا يثبتُ على المُقرّ إلّا أن يُقرّ به أربع مرّات، وقد صرّح بذلك الشهيد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ما سَلَكناه في إكذاب الرّجل نفسه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مسلكه من أنّ الإكذاب يوجبُ إلغاء تأثير اللِّعان، نظراً إلى اختصاص أدلّته بصورة العلم أو اشتباه الحال، ولا تشمل صورة اعترافه، فلا يتمّ‌، فإنّ الموجب لحَدّها هو لعان الرّجل، وإنّما يُسقِط الحَدّ لعانها، والمفروض سقوطه عن التأثير، فيبقى لعان الرّجل على كونه موجباً لحَدّها من دون مُسقطٍ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فعلى المختار المُجمع عليه، وهو عدم الحَدّ لو أقرّت بالزِّنا الذي قَذَفها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عليمافي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وأتباعه</w:t>
      </w:r>
      <w:r>
        <w:rPr>
          <w:rStyle w:val="FootnoteAnchor"/>
          <w:rtl w:val="true"/>
        </w:rPr>
        <w:footnoteReference w:id="491"/>
      </w:r>
      <w:r>
        <w:rPr>
          <w:rFonts w:ascii="Amiri" w:hAnsi="Amiri" w:eastAsia="Amiri" w:cs="Amiri"/>
          <w:color w:val="111111"/>
          <w:sz w:val="28"/>
          <w:sz w:val="28"/>
          <w:szCs w:val="28"/>
          <w:rtl w:val="true"/>
          <w:lang w:bidi="ar-SA"/>
        </w:rPr>
        <w:t>، وابن إدريس</w:t>
      </w:r>
      <w:r>
        <w:rPr>
          <w:rStyle w:val="FootnoteAnchor"/>
          <w:rtl w:val="true"/>
        </w:rPr>
        <w:footnoteReference w:id="492"/>
      </w:r>
      <w:r>
        <w:rPr>
          <w:rFonts w:ascii="Amiri" w:hAnsi="Amiri" w:eastAsia="Amiri" w:cs="Amiri"/>
          <w:color w:val="111111"/>
          <w:sz w:val="28"/>
          <w:sz w:val="28"/>
          <w:szCs w:val="28"/>
          <w:rtl w:val="true"/>
          <w:lang w:bidi="ar-SA"/>
        </w:rPr>
        <w:t>، والمصنّف</w:t>
      </w:r>
      <w:r>
        <w:rPr>
          <w:rStyle w:val="FootnoteAnchor"/>
          <w:rtl w:val="true"/>
        </w:rPr>
        <w:footnoteReference w:id="493"/>
      </w:r>
      <w:r>
        <w:rPr>
          <w:rFonts w:ascii="IRNazanin" w:hAnsi="IRNazanin" w:eastAsia="IRNazanin"/>
          <w:color w:val="111111"/>
          <w:sz w:val="28"/>
          <w:sz w:val="28"/>
          <w:szCs w:val="28"/>
          <w:rtl w:val="true"/>
          <w:lang w:bidi="fa-IR"/>
        </w:rPr>
        <w:t>، بل نسبه إلى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9" w:name="pg11828_104975"/>
    </w:p>
    <w:p>
      <w:pPr>
        <w:pStyle w:val="BookText"/>
        <w:rPr/>
      </w:pPr>
      <w:bookmarkEnd w:id="119"/>
      <w:r>
        <w:rPr>
          <w:rFonts w:ascii="Amiri" w:hAnsi="Amiri" w:eastAsia="Amiri" w:cs="Amiri"/>
          <w:color w:val="111111"/>
          <w:sz w:val="28"/>
          <w:sz w:val="28"/>
          <w:szCs w:val="28"/>
          <w:rtl w:val="true"/>
          <w:lang w:bidi="ar-SA"/>
        </w:rPr>
        <w:t>ولو ادّعت المرأة المطلّقة الحَمل منه</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وجوب الحَدّ على من أقرَّ أربعاً مكلّفاً حُرّاً مختاراً</w:t>
      </w:r>
      <w:r>
        <w:rPr>
          <w:rStyle w:val="FootnoteAnchor"/>
          <w:rtl w:val="true"/>
        </w:rPr>
        <w:footnoteReference w:id="494"/>
      </w:r>
      <w:r>
        <w:rPr>
          <w:rFonts w:ascii="Amiri" w:hAnsi="Amiri" w:eastAsia="Amiri" w:cs="Amiri"/>
          <w:color w:val="111111"/>
          <w:sz w:val="28"/>
          <w:sz w:val="28"/>
          <w:szCs w:val="28"/>
          <w:rtl w:val="true"/>
          <w:lang w:bidi="ar-SA"/>
        </w:rPr>
        <w:t>، واختاره هو أيضاً، ولا بأس به، لأنّ لعانها إنّما أسقط وجوب الحَدّ الثابت بلعان الرّجل، ولا يوجبُ سقوط الحَدّ الثابت بإقرارها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اندفاع ما استدلّ به للقول بالسقوط،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باندفاعه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سمعت في إكذاب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وبالتعليل في النصوص السابقة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اللِّعان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المندفع باللِّعان الحَدّ الثابت بلعان الرّجل، لا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الأولويّة بعد كون إقرارها أربعاً بنفسه من مُثبتات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اللِّعان الماضي لا نقولُ بعدم تأثيره حتّى يستدلّ به في المقام، كما في الصورة السابقة، بل نقول إنّه أوجب سقوط الحَدّ الثابت بلعان الرّجل دون الثابت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حينئذٍ ثبوت الحَدّ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131733_73709187"/>
      <w:bookmarkStart w:id="121" w:name="_Toc41"/>
      <w:bookmarkEnd w:id="120"/>
      <w:r>
        <w:rPr>
          <w:rtl w:val="true"/>
        </w:rPr>
        <w:t>ادّعاء المطلّقة الحمل من المُطلِّق</w:t>
      </w:r>
      <w:bookmarkEnd w:id="12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ادّعت المرأة المطلّقة الحَمل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بعد اتّفاقهما على الدخول، لَحِق به الولد، ولا ينتفي إلّاباللّعان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فأنكر الدخول، فأقامتِ بيّنة بإرخاء السِّتر، فالأقربُ سقوط اللِّعان، ما لم يثبت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الاتّفاق على عدم الدخول، انتفى بغير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ادّعته الزوجة،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فأقامت بيّنة بإرخاء السِّتر،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رحمه الله، والمحقّق</w:t>
      </w:r>
      <w:r>
        <w:rPr>
          <w:rStyle w:val="FootnoteAnchor"/>
          <w:rtl w:val="true"/>
        </w:rPr>
        <w:footnoteReference w:id="496"/>
      </w:r>
      <w:r>
        <w:rPr>
          <w:rFonts w:ascii="Amiri" w:hAnsi="Amiri" w:eastAsia="Amiri" w:cs="Amiri"/>
          <w:color w:val="111111"/>
          <w:sz w:val="28"/>
          <w:sz w:val="28"/>
          <w:szCs w:val="28"/>
          <w:rtl w:val="true"/>
          <w:lang w:bidi="ar-SA"/>
        </w:rPr>
        <w:t>، والحِلّي</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اللِّعان ما لم يَثبُتِ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 أو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اللِّعان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نفي ولدٍ يُحكم بلحوقه شرعاً، وهو موقوفٌ على ثبوت الوطء، ليصير فراشاً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لنفي حَدّ القذف عنه، ولم يَقذف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لإثبات حَدّ على المرأة، وهو هنا منتفٍ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استدلّ لهذا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في مبحث المهور</w:t>
      </w:r>
      <w:r>
        <w:rPr>
          <w:rStyle w:val="FootnoteAnchor"/>
          <w:rtl w:val="true"/>
        </w:rPr>
        <w:footnoteReference w:id="499"/>
      </w:r>
      <w:r>
        <w:rPr>
          <w:rFonts w:ascii="Amiri" w:hAnsi="Amiri" w:eastAsia="Amiri" w:cs="Amiri"/>
          <w:color w:val="111111"/>
          <w:sz w:val="28"/>
          <w:sz w:val="28"/>
          <w:szCs w:val="28"/>
          <w:rtl w:val="true"/>
          <w:lang w:bidi="ar-SA"/>
        </w:rPr>
        <w:t>أنّ الشارع الأقدس جعل الخلوة أمارةً للدخول، ولذا قد عرفت في ذلك المبحث أنّه لو ادّعى عدم الدخول، وادّعته أنّه يُحكم في الظاهر بأنّ لها تمام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إطلاق تلك النصوص ترتّب جميع أحكام الدخول، منها ثبوت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الخبر الصحيح الذي رواه عليّ بن جعفر، عن أخيه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قبل أن يدخل بها، فادّعت أنّها حامل‌؟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أقامت البيّنة على أنّه أرخى عليها سِتراً، ثمّ أنكر الولد لاعنها، ثمّ بانَت منه، وعليه المَهر كملاً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المستفاد من هذه الرواية أنّه على تقدير إقامتها البيّنة بإرخاء السّتر، يلزمه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والتحريم، ووجوب المَهر، فيوافق مضمونه مع تلك النصوص الدالّة على العمل بظاهر حال الصحيح عند الخلوة بالحليلة، وعدم المانع من الوطء، فيثبت المَهر واللِّعان، ويترتّب عليه التحريم، كما أفاده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إقامة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أحكامٍ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نصف المَهر، ونفي اللِّعان، ووجوب الحَدّ عليها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يثبتان، لأنّهما لازمان لعدم الدخول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ولم نظفر بمستنده، فإنّ انتفاء الولد عنه بدون اللِّعان لا يُلازم ثبوت الزِّنا، وإنْ اعترفَتْ بالحَمل منه والوطء، اللَّذين كان القول قوله في نفيهما للأصل، إذ لا يلزم من انتفاء السبب الخاص المُحلّل، انتفاء غيره من الأسباب وإنْ لم تدّعيه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2" w:name="pg11828_104978"/>
    </w:p>
    <w:p>
      <w:pPr>
        <w:pStyle w:val="Heading4"/>
        <w:numPr>
          <w:ilvl w:val="3"/>
          <w:numId w:val="1"/>
        </w:numPr>
        <w:rPr/>
      </w:pPr>
      <w:bookmarkStart w:id="123" w:name="__RefHeading___Toc11131735_73709187"/>
      <w:bookmarkStart w:id="124" w:name="_Toc42"/>
      <w:bookmarkEnd w:id="122"/>
      <w:bookmarkEnd w:id="123"/>
      <w:r>
        <w:rPr>
          <w:rtl w:val="true"/>
        </w:rPr>
        <w:t>حكم ما إذا قذف امرأته فماتت قبل اللِّعان</w:t>
      </w:r>
      <w:bookmarkEnd w:id="12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امرأته فماتت قبل اللِّعان أو إكماله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 له الميراث، لبقاء الزوجيّة الموجبة له، وقد فات ما يوجبُ نفي الميراث بموتها وهو التلاعن، والأصل أن لا يقوم غيره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والقاضي</w:t>
      </w:r>
      <w:r>
        <w:rPr>
          <w:rStyle w:val="FootnoteAnchor"/>
          <w:rtl w:val="true"/>
        </w:rPr>
        <w:footnoteReference w:id="502"/>
      </w:r>
      <w:r>
        <w:rPr>
          <w:rFonts w:ascii="Amiri" w:hAnsi="Amiri" w:eastAsia="Amiri" w:cs="Amiri"/>
          <w:color w:val="111111"/>
          <w:sz w:val="28"/>
          <w:sz w:val="28"/>
          <w:szCs w:val="28"/>
          <w:rtl w:val="true"/>
          <w:lang w:bidi="ar-SA"/>
        </w:rPr>
        <w:t>، وابن حمزة</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من أهلها فلاعنه سَقَط الحَدّ عنه، وسقط إرثه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قذف امرأته وهي في قريةٍ من القُرى‌،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 عليكم بالكوفة، فجاءت إلى القاضي للتلاعن، فماتت قبل أن يتلاعنا، فقالوا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من أهلها مقامها فلاعنه فلا ميراث له، وإنْ أبى أحدٌ من أوليائها أنْ يقوم مقامها، أخذ الميراث زوجها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عمرو بن خالد، عن زيد بن عليّ‌، عن آبائه، عن مولانا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ثُمّ خرج فجاء وقد توفّيت‌؟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واحدة من ثنتين،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ألزمتِ نفسكِ الذنب، فيُقام عليكِ الحَدّ، ويُعطى الميراث، وإنْ شئتِ أَقررتِ‌، فلا عنتِ أدنى قرابتها اليها، </w:t>
      </w:r>
    </w:p>
    <w:p>
      <w:pPr>
        <w:pStyle w:val="BookText"/>
        <w:rPr/>
      </w:pPr>
      <w:r>
        <w:rPr>
          <w:rFonts w:ascii="Amiri" w:hAnsi="Amiri" w:eastAsia="Amiri" w:cs="Amiri"/>
          <w:color w:val="111111"/>
          <w:sz w:val="28"/>
          <w:sz w:val="28"/>
          <w:szCs w:val="28"/>
          <w:rtl w:val="true"/>
          <w:lang w:bidi="ar-SA"/>
        </w:rPr>
        <w:t>ولا ميراث لكِ‌</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بمخالفتهما للأصل من حيث أنّ اللِّعان شُرّع بين الزوجين، فلا يتعدّى إلى غيرهما وأنّ لعان الوارث متعذّرٌ، لأنّه إذ اُريد مجرّد حضور، فليس بلعانٍ حقيقي، وإنْ اُريد إيقاع الصيغ المعهودة من الزوجة، فبعيدٌ، لتعذّر القطع من الوارث على نفي فعل غيره غالباً، وإيقاعه على نفي العلم تغييرٌ للصورة المنقولة شرعاً، ولأنّ الإرث قد استقرّ بالموت، فلا وجه لإسقاط اللِّعان المتجدّد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الأصل لا تمنعُ من العمل بالخبر، وكم خبرٍ يُخالف الأُصول والقواعد العامّة ويُعمل به، بل لو كانت هي مانعة عن العمل بالخبر لزم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الوارث متعذّرٌ عليه القطع بفعل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ذلك إذا كان الفعل محصوراً، بأنْ يدّعي أنّها زنت في ساعة كذا، وقد كان الوارثُ ملازماً لها في تلك الساعة، أو للمنسوبِ إليه الزِّنا في تلك الساعة، على وجهٍ يُعلم بانتفاء الفعل، كما في نظائره من الشهادات على نفي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الميراث قد استقرّ بالموت، فلا وجه لإسقاط اللِّعان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له النّص، فكما أنّه يُسقِط اللِّعان الحَدَّ الثابت بالقذف، فليكن مُسقِطاً للميراث الثابت بالموت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الإيراد على الشيخ وتابعيه، ضعف سند الخبرين، أوّلهما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بالإرسال، والثاني برواية عمرو، وعدم عمل المشهور بهما، فلا وجه لقيام غيرها مقامها، وعليه فميراثه ثابتٌ‌، ولكن بما أنّ بعض أحكام اللِّعان مترتّبٌ على لعانه خاصّة، من غير أن يتوقّف على لعانها، وهو سقوط الحَدّ عنه، وثبوته عليها، وليسا هما من قبيل الفُرقة المؤبّدة الموجبة لنفي التوارث، وانتفاء نَسَب الولد عن الأب، المتوقّفة على لعانهما معاً، فاذا ماتت كان له اللِّعان لنفي الحَدّ كما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عنه، لأنّه وظيفة شرعيّة موقوفة على النقل، ولم يثبت صحّته عن الزوج بعد موت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أيمانٌ أو شهادة، وكلاهما لا يتوقّفان على حياة المشهود عليه والمحلوف لأجله، وعموم الآية الكريمة وما شابهها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سقوط الحَدّ عنه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وقدذكر الفقهاءفي المقام مسائل اُخر، سيأتي بعضها في كتاب الحدود</w:t>
      </w:r>
      <w:r>
        <w:rPr>
          <w:rStyle w:val="FootnoteAnchor"/>
          <w:rtl w:val="true"/>
        </w:rPr>
        <w:footnoteReference w:id="507"/>
      </w:r>
      <w:r>
        <w:rPr>
          <w:rFonts w:ascii="Amiri" w:hAnsi="Amiri" w:eastAsia="Amiri" w:cs="Amiri"/>
          <w:color w:val="111111"/>
          <w:sz w:val="28"/>
          <w:sz w:val="28"/>
          <w:szCs w:val="28"/>
          <w:rtl w:val="true"/>
          <w:lang w:bidi="ar-SA"/>
        </w:rPr>
        <w:t>، وبعضها في كتاب الشهادات</w:t>
      </w:r>
      <w:r>
        <w:rPr>
          <w:rStyle w:val="FootnoteAnchor"/>
          <w:rtl w:val="true"/>
        </w:rPr>
        <w:footnoteReference w:id="508"/>
      </w:r>
      <w:r>
        <w:rPr>
          <w:rFonts w:ascii="Amiri" w:hAnsi="Amiri" w:eastAsia="Amiri" w:cs="Amiri"/>
          <w:color w:val="111111"/>
          <w:sz w:val="28"/>
          <w:sz w:val="28"/>
          <w:szCs w:val="28"/>
          <w:rtl w:val="true"/>
          <w:lang w:bidi="ar-SA"/>
        </w:rPr>
        <w:t>، ويظهر حال بعضها ممّا أسلفناه فلا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الفُرقة في ليلة الأربعاء من شهر ذي القعدة الحرام،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ويتلوه في المتن كتاب العتق، وحيث إنّه لا موضوع له في هذا الزمان، أعرضتُ عن التعرّض له، فها أنا أشرع في كتاب الأيمان بحول اللّه وقوّته وبه أستعين، والحمدُ للّه أوّلاً وآخراً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5" w:name="pg11828_104981"/>
    </w:p>
    <w:p>
      <w:pPr>
        <w:pStyle w:val="BookText"/>
        <w:rPr/>
      </w:pPr>
      <w:bookmarkEnd w:id="125"/>
      <w:r>
        <w:rPr>
          <w:rFonts w:ascii="Amiri" w:hAnsi="Amiri" w:eastAsia="Amiri" w:cs="Amiri"/>
          <w:color w:val="111111"/>
          <w:sz w:val="28"/>
          <w:sz w:val="28"/>
          <w:szCs w:val="28"/>
          <w:rtl w:val="true"/>
          <w:lang w:bidi="ar-SA"/>
        </w:rPr>
        <w:t>كتاب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وصلّى اللّه على سيّد المرسلين</w:t>
      </w:r>
    </w:p>
    <w:p>
      <w:pPr>
        <w:pStyle w:val="BookText"/>
        <w:rPr/>
      </w:pPr>
      <w:r>
        <w:rPr>
          <w:rFonts w:ascii="Amiri" w:hAnsi="Amiri" w:eastAsia="Amiri" w:cs="Amiri"/>
          <w:color w:val="111111"/>
          <w:sz w:val="28"/>
          <w:sz w:val="28"/>
          <w:szCs w:val="28"/>
          <w:rtl w:val="true"/>
          <w:lang w:bidi="ar-SA"/>
        </w:rPr>
        <w:t>محمّد وعترته الطاهرين</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1131737_73709187"/>
      <w:bookmarkStart w:id="127" w:name="_Toc43"/>
      <w:bookmarkEnd w:id="126"/>
      <w:r>
        <w:rPr>
          <w:rtl w:val="true"/>
        </w:rPr>
        <w:t>(</w:t>
      </w:r>
      <w:r>
        <w:rPr>
          <w:rtl w:val="true"/>
        </w:rPr>
        <w:t>كتاب الأيمان</w:t>
      </w:r>
      <w:r>
        <w:rPr>
          <w:rtl w:val="true"/>
        </w:rPr>
        <w:t>)</w:t>
      </w:r>
      <w:bookmarkEnd w:id="127"/>
    </w:p>
    <w:p>
      <w:pPr>
        <w:pStyle w:val="Heading3"/>
        <w:numPr>
          <w:ilvl w:val="2"/>
          <w:numId w:val="1"/>
        </w:numPr>
        <w:rPr/>
      </w:pPr>
      <w:bookmarkStart w:id="128" w:name="__RefHeading___Toc11131739_73709187"/>
      <w:bookmarkStart w:id="129" w:name="_Toc44"/>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الأيمان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لغةً 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الجارحة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البركة والقوّة،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عندنا باليمين، أي بالمنزلة الحُسنى‌، قَدِم على أيمن اليمين، أي على اليُمْنِ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القَسَم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وتُطلق شرعاً على ما ذكره غير واحدٍ</w:t>
      </w:r>
      <w:r>
        <w:rPr>
          <w:rStyle w:val="FootnoteAnchor"/>
          <w:rtl w:val="true"/>
        </w:rPr>
        <w:footnoteReference w:id="510"/>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باللّه أو بأسمائه الخاصّة لتحقيق ما يُحتمل الموافقة والمخالفة في الاستقبال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بكونه شرعاً ليس ثبوت الحقيقة الشرعيّة أو المتشرّعيّة لها، بل ما يترتّب عليه الحَنْث والكفّارة ونحوهما من الأحكام التي رتّبها الشارع على اليمين، وإلّا فهي يمينٌ لغةً قطعاً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بلى واللّه وكلّا واللّه، لا يَعقدُ عليها أو لا يعقد على شيء</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النصوص أنّ لها مصداقاً آخر، لاحظ ما ورد في مرسل ابن أبي عُمير،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نزلتْ في جماعةٍ حَلف بعضهم أن لا ينام في اللّيل أبداً، وحَلف آخر على أن لا يفطر في اليوم أبداً، وثالث أن لا ينكح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صلى الله عليه و آله المنبر وحَمد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يُحرِّمون على أنفسهم الطيّبات، ألا إنّي أنامُ باللّيل، وأنكح، وأفطر في النهار،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حلفنا على ذلك‌؟</w:t>
      </w:r>
    </w:p>
    <w:p>
      <w:p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كَسَبَتْ قُلُوبُكُمْ وَ اَللّهُ غَفُورٌ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بجميع معانيها ليست محرّمة، ولا يؤاخذ بها،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يمين الغَموس، وهي على ما هو المعهود بين الفقهاء وأهل اللّغة،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الماضي كاذباً متعمِّداً، بأنْ يحلف أنّه ما فَعَل وقد كان فعل، أو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وفسّرها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الحَلفُ على الماضى والحال مع 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على ما ذَكره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على 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الماضي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تعمّد الكذب، وهي محرّمة بلا خلافٍ‌، والنصوص بها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المستفيض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تَذَرُ الدِّيار بلاقع من أهلها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الغَمُوس تنتظرُ بها أربعين ليلة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تثقل الرّحم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أي تقطع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يُبارَز به اللّه تعالى‌</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من الكبائر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كفّارة فيها سوى الاستغفار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بعدما حكم بكراهة الأيمان الصادقة،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 الكراهية في الغَموس على اليسير من المال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على اليمين الصادقة على الماضي، وهو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تحلفوا باللّه كاذبين ولا صادقين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سلّام المتعبّد،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 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من حَلَف باللّه كاذباً كفر، ومن حَلَف باللّه صادقاً أثم، إنّ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الاستدلال لكراهة اليمين الصادقة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إطلاقه، لما ثَبَت أنّ النبيّ صلى الله عليه و آله حَلَف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صلى الله عليه و آله لما حَكى عن سليمان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لأطوفنّ اللّيلة على سبعين امرأة كلّها تأتي بفارس يقاتل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والذي نفسُ محمّدٍ بيده، لو قالوا إنْ شاء اللّه لجاهدوا في سبيل اللّه فُرساناً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 في زيد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واللّه إنْ كان خليقاً بالإمارة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الأيمان المرويّة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ذيل كلامه اختار أنّها مكروهة إذا كثرت،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تُحمل الآية، وفي العرضة تنبيه عليه، وكالحلف على القليل من المال، ولا كراهة في غير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بيان حكم اليمين الصادقة من حيث هي، مع قطع النظر عن العوارض الخارجيّة، وما ورد عن المعصومين عليهم السلام من الأيمان، لعلّها كانت مقترنة بما يزيل مرجوحيّتها الّتي لا تصدرُ عنهم، كما يشير إليه خبر عليّ بن مهزيار،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إلى أبي جعفر عليه السلام يحكي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ذلك، وإنّي لأكره أن أقول واللّه في حالٍ من الأحوال، ولكن غمّني أن يقال ما لم يكن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هي الكراهة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الكراهة إذا كانت على اليسير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لمرسل عليّ بن الحكم،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اُدّعي عليك مالٌ ولم يكن له عليك، فأراد أن يَحلفك، فإنْ بلغ مقدار ثلاثين درهماً فاعطه ولا تَحلف، وإنْ كان أكثر من ذلك فاحلف ولا تُعطه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ما في ذيله من الأمر بالحَلف على المال الكثير، على عدم شدّة الكراهة، بقرينة النبويّ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تضمّن دفع زين العابدين عليه السلام إلى امرأته التي ادّعت عليه صِداقها أربعمائة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أجللتُ اللّه عزّ وجلّ أنْ أحلف به يمين صبر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الخبر الأوّل تحديد اليسير بمقدار ثلاثين درهماً، ولكن المصنّف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يختلف باختلاف الشخص والحال،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اليسير من المال، ولا بأس به بضميمة مناسبة الحكم والموضوع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الكراهة أيضاً مع إكثارها، للكتاب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منها في حاجةٍ لتوكيد كلامٍ أو تعظيم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لا يملّ حتّى يملّوا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تعلمون ما أعلم لضحكتم قليلاً ولبكيتم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ما ورد عنه صلى الله عليه و آله من الأيمان، راجعٌ إلى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 الأكثر عدم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الأيمان باعتبار العوارض الخارجيّة إلى الأحكام الخمسة، كما قسّمها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يَحرُم كما إذا أوجبَ إضراراً بمؤمنٍ‌، أو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كما في استنقاذ نفسٍ محترمةٍ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يُستحبُّ‌، كما إذا توقّف دفع ظالمٍ عن ماله المُجحف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يُكره زيادةً على كراهته كما إذا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تَجبُ اليمين الكاذبة التي تكون محرّمة كما مرَّ، كما إذا توقّف عليها حفظ نفسه، أو نفسٍ محترمة، أو حفظ ماله أو مال غيره، وقد ورد بذلك أخبار عديدة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الأشعري، عن أبي الحسن الرّضا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مال أخيك</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ممّن يَحسن التورية وَرّى وجوباً، وإنْ لم يُحسنها جاز الحلف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النصوص المتقدّمة جواز الحَلف كاذباً لنجاة نفسه، أو نفسٍ محترمة، أو مالٍ محترم له أو لغيره، من دون إشارة إلى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التورية أيضاً من الكذب المحرّم، ولأجله لم ينبّه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التورية عبارة عن إلقاء المتكلّم كلاماً له ظهورٌ في معنى، وهو يريد منه غير ذلك المعنى، ويكون المعنى المراد مطابقاً للواقع دون المعنى الظاهر، كما إذا استأذن رجلٌ بالباب وقال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هاهنا، مشيراً إلى موضعٍ خالٍ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صدق التورية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بحسب المتفاهم العرفي ظاهراً في غير ما أفاده المتكلّم، فلو كان ظاهراً فيه، ولكن المخاطب لقصور فهمه لم يتنبّه له، لم يكن ذلك من التورية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إرادة ذلك المعنى من ذلك اللّفظ صحيحة، بأن تكون بينهما علاقة، فلو كان استعماله فيه غير صحيح، لما كان من التورية،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زيداً خمسين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به درهماً واحداً، وقد أعطاه في الواقع درهماً، لم يكن ذلك من التورية، وعلى هذا فالتوريةُ خارجةٌ عن الكذب الذي هو عبارة عن عدم مطابقة المعنى المراد للواقع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عن الإيراد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الإشارة إلى التورية في الأخبار إنّما هو لأجل أنّ طبع المتكلّم في بيان مراداته بالألفاظ، إنّما هو بإلقاء الألفاظ الظاهرة فيها، ولا يمكن له التورية إلّا بالتروّي، وهو في مقام الخوف والإكراه عَسِرٌ جدّاً، وحَرجٌ شديد، ولذلك لم ينبّه عليها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إنْ كان يحسن التورية من دون أن يكون فيها حَرجٌ وعسرٌ لا يجوز الحلف كاذباً، وإلّا جاز، بل كان راجحاً في بعض الموارد، وواجباً في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يستفاد من النصوص الوجوب لورود الأمر بها فيها موقع توهّم الحظر، فلا يستفاد منها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قول الإمام الباقر عليه السلام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فاحلف لهم، فهو أحلى من الَّتمر والزّبد</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يُستفاد الرّجحان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فالحكم بالوجوب متوقّفٌ على توقّف واجبٍ عليها كحفظ نفسٍ محترمة، فلو توقّف عليها حفظ مال الغير، لا تكون واجبة، لما صرّحوا به من عدم وجوب الدفاع عن المال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30" w:name="pg11828_104989"/>
    </w:p>
    <w:p>
      <w:pPr>
        <w:pStyle w:val="BookText"/>
        <w:rPr/>
      </w:pPr>
      <w:bookmarkEnd w:id="130"/>
      <w:r>
        <w:rPr>
          <w:rFonts w:ascii="Amiri" w:hAnsi="Amiri" w:eastAsia="Amiri" w:cs="Amiri"/>
          <w:color w:val="111111"/>
          <w:sz w:val="28"/>
          <w:sz w:val="28"/>
          <w:szCs w:val="28"/>
          <w:rtl w:val="true"/>
          <w:lang w:bidi="ar-SA"/>
        </w:rPr>
        <w:t>لا ينعقدُ اليمين بغير أسماء اللّه تعالى‌،</w:t>
      </w:r>
    </w:p>
    <w:p>
      <w:pPr>
        <w:pStyle w:val="Heading3"/>
        <w:numPr>
          <w:ilvl w:val="2"/>
          <w:numId w:val="1"/>
        </w:numPr>
        <w:rPr/>
      </w:pPr>
      <w:bookmarkStart w:id="131" w:name="__RefHeading___Toc11131741_73709187"/>
      <w:bookmarkStart w:id="132" w:name="_Toc45"/>
      <w:bookmarkEnd w:id="131"/>
      <w:r>
        <w:rPr>
          <w:rtl w:val="true"/>
        </w:rPr>
        <w:t>الفصل الأوّل في ما ينعقدُ به اليمين</w:t>
      </w:r>
      <w:bookmarkEnd w:id="132"/>
    </w:p>
    <w:p>
      <w:pPr>
        <w:pStyle w:val="Heading4"/>
        <w:numPr>
          <w:ilvl w:val="3"/>
          <w:numId w:val="1"/>
        </w:numPr>
        <w:rPr/>
      </w:pPr>
      <w:bookmarkStart w:id="133" w:name="__RefHeading___Toc11131743_73709187"/>
      <w:bookmarkStart w:id="134" w:name="_Toc46"/>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ينعقد به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اليمين بغير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المخلوقات المعظّمة، والأماكن المشرّفة كالنبيّ صلى الله عليه و آله والأئمّة عليهم السلام، والحَرم والكعبة، فضلاً عن غيرها، كما هو المشهور بين الأصحاب شهرة عظيمة</w:t>
      </w:r>
      <w:r>
        <w:rPr>
          <w:rStyle w:val="FootnoteAnchor"/>
          <w:rtl w:val="true"/>
        </w:rPr>
        <w:footnoteReference w:id="538"/>
      </w:r>
      <w:r>
        <w:rPr>
          <w:rFonts w:ascii="Amiri" w:hAnsi="Amiri" w:eastAsia="Amiri" w:cs="Amiri"/>
          <w:color w:val="111111"/>
          <w:sz w:val="28"/>
          <w:sz w:val="28"/>
          <w:szCs w:val="28"/>
          <w:rtl w:val="true"/>
          <w:lang w:bidi="ar-SA"/>
        </w:rPr>
        <w:t>، وتشهد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وما أشبه‌؟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يقسم من خلقه بما شاء، وليس لخلقه أن يقسموا إلّا به عزّ وجلّ‌</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نهى أن يحلف الرَّجل بغير اللّه، 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أن يقسم من خلقه بما شاء، وليس لخلقه أن يقسموا إلّابه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للرَّجل أن يَحلف إلّاباللّه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نصوصٌ متضمّنة لحلفهم عليهم السلام، أو حلف غيرهم، بغير اللّه تعالى وعدم منعهم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جرير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انقطاعي إلى أبيك ثم إليك، ثمّ حلفتُ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رسولِ اللّه وحقّ فلانٍ وفلان حتّى انتهيتُ إليه أنّه لا يخرجُ ما تخبرني به إلى أحدٍ من الناس، وسألته عن أبيه أحيٌّ هو أم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العزيز بن مسلم، عن الإمام الرّضا عليه السلام في حديثٍ طويل في صفة الإمام، والرّد على من يجوز اختياره،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تعدّوا وبيت اللّه الحقّ‌، ونَبَذوا كتاب اللّه وراء ظهورهم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لأبي جعفر عليه السلام إلى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 وحياتك</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النصوص إنّما يكون بحمل الأُولى على الحكم الوضعي، لو لم تكن بأنفسها ظاهرة فيه، وهو عدم انعقاد اليمين بغير اللّه تعالى‌،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ظهوره، ما دلّ على أنّ اليمين بغير اللّه لا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ونحو ذلك</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ميسرة، عن أمير المؤمنين عليه السلام بعدما سأله من كان حَلَف بغير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أكفّر عن يميني يا أمير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حلفت بغير اللّه تعالى‌</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اليمين بما عظّم اللّه من الحقوق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رسول اللّه، وحقّ القرآن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القَسَم بشيء يستلزم تعظيماً له، ولما لم يكن مستحقّاً للتعظيم المُطلق وبالذّات سوى اللّه تعالى‌، لم يَجُز القَسَم إلّا به، ووجهه احتمالاً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بأنّ مراده جواز الحَلف بغير اللّه تعالى‌، وأنّه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5" w:name="pg11828_104992"/>
    </w:p>
    <w:p>
      <w:pPr>
        <w:pStyle w:val="BookText"/>
        <w:rPr/>
      </w:pPr>
      <w:bookmarkEnd w:id="135"/>
      <w:r>
        <w:rPr>
          <w:rFonts w:ascii="Amiri" w:hAnsi="Amiri" w:eastAsia="Amiri" w:cs="Amiri"/>
          <w:color w:val="111111"/>
          <w:sz w:val="28"/>
          <w:sz w:val="28"/>
          <w:szCs w:val="28"/>
          <w:rtl w:val="true"/>
          <w:lang w:bidi="ar-SA"/>
        </w:rPr>
        <w:t>لا ينبغي ترك الوفاء مع منافاته لتعظيم ما اُريد تعظيمه شرعاً، بل لابدّ منه مع فرض الإهانة في بعض الأحوال</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131745_73709187"/>
      <w:bookmarkStart w:id="137" w:name="_Toc47"/>
      <w:bookmarkEnd w:id="136"/>
      <w:r>
        <w:rPr>
          <w:rtl w:val="true"/>
        </w:rPr>
        <w:t>أقسام اليمين باللّه تعالى وأحكامها</w:t>
      </w:r>
      <w:bookmarkEnd w:id="1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النصوص المتقدّمة جواز الحلف باللّه وانعقاده به، إنّما الكلام فى أنّه هل ينعقد بكلّ ما يصدق عليه أنّه حَلفٌ باللّه تعالى‌، أم يختصّ بقسمٍمخصوصٍ منه‌؟</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أقسام اليمين باللّه تعالى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بما يفهم منه ذاته المقدّسة، ولا يحتمل غيره، من غير أن يأتي باسم مفرد أو مضاف من أسمائه الحسنى‌،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بالأسماء المختصّة به تعالى‌، الّتي لا تُطلق على غيره كاللّه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بما يُطلق في حقّ اللّه تعالى وفي حقّ غيره، لكن الغالب استعماله في حقّ اللّه تعالى‌، وأن يقيّد في حقّ غيره بضربٍ من التقييد، كالرحيم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وكلّ هذه تُستعمل في حقّ غير اللّه تعالى‌،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رحيمُ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إطلاقها ينصرف إلى اللّه تعالى‌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بما يطلق في حقّه وحقّ غيره، ولا يغلب استعماله في أحد الطرفين، كالشيء، والموجود، والحَيّ‌، والسميع، والبصير، والكريم، وما أشبهها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انعقاد الأقسام الثلاثة الأُول، وعدم انعقاد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الحلف بلفظ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انعقاده بالسميع والبصير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انعقاد القسم الرابع منها، مع قصد الحالف به الذّات المقدّسة، وخصوصاً مع القرينة الحاليّة أو المقاليّة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في الاقسام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والأدلّة المتقدّمة جملة منها، لصدق الحلف باللّه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تبادر الحلف بلفظ الجلالة من النصوص الآمرة بالحلف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جملةٍ من النصوص وَقَع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 لا بإلّا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صحيح عليّبن مهزيار ومحمّدبن مسلم، وعليه فيندفع خصوصيّة اللّفظ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بما أنّه مُعرِبٌ عن المُسمّى‌، وكاشفٌ عنه، ويكون فانياً فيه، فكلّ ما عُلّق حكمٌ على الاسم، يكون ظاهراً في تعليقه على المسمّى، أو على كلّ ما هو مُعرِبٌ عنه، وعليه فما في النصوص من عدم الحلف إلّاباللّه ظاهرٌ في إرادة الذّات المقدّسة، لا خصوص هذه اللّفظة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في الصحيح الآتي لانعقاد اليمين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باللّه عزّ وجلّ كالصريح في عدم الخصوصيّة للَّفظ، فلا إشكال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8" w:name="pg11828_104994"/>
    </w:p>
    <w:p>
      <w:pPr>
        <w:pStyle w:val="BookText"/>
        <w:rPr/>
      </w:pPr>
      <w:bookmarkEnd w:id="138"/>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لعدم انعقاده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وإنْ نوى به الحلف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بسبب اشتراكه بين الخالق والمخلوق إطلاقاً واحداً، ليس له حرمة ولا عظم، فلا ينعقد به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قصد الحالف بتلك اليمين الذّات المقدّسة، وخصوصاً مع ذكر القرينة، يصدق عليها اليمين باللّه تعالى‌، فتشملها النصوص، والوجه الاعتباري المزبور لا يقيّد الإطلاق، مع أنّ خبر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المُصحف فحَنَث فعليه كفّارة واحدة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على الانعقاد، 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تعالى وصاحبه الذي هو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فلا يُصغى إلى ما قيل من إنّها كالعقود اللّازمة، لا يجوزُ عقدها إلّا باللّفظ الصريح، خصوصاً بعدما عرفت في كتاب النكاح ما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الانعقاد، ويُحمل كلمات المُجمعين على إرادتهم الحلف بها على الإطلاق، لا مع خصوص قصد الذّات بها، فضلاً عن ذكر ما يدلّ على إرادة ذلك منها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131747_73709187"/>
      <w:bookmarkStart w:id="140" w:name="_Toc48"/>
      <w:bookmarkEnd w:id="139"/>
      <w:r>
        <w:rPr>
          <w:rtl w:val="true"/>
        </w:rPr>
        <w:t>فروع اليمين</w:t>
      </w:r>
      <w:bookmarkEnd w:id="14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التي يقسم بها عند أهل اللِّسان، هي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الباء الموحّدة، والواو، والتاء وأصلها الباء، وهي صلة الحلف والقَسَم، </w:t>
      </w:r>
    </w:p>
    <w:p>
      <w:pPr>
        <w:pStyle w:val="BookText"/>
        <w:rPr/>
      </w:pPr>
      <w:r>
        <w:rPr>
          <w:rFonts w:ascii="Amiri" w:hAnsi="Amiri" w:eastAsia="Amiri" w:cs="Amiri"/>
          <w:color w:val="111111"/>
          <w:sz w:val="28"/>
          <w:sz w:val="28"/>
          <w:szCs w:val="28"/>
          <w:rtl w:val="true"/>
          <w:lang w:bidi="ar-SA"/>
        </w:rPr>
        <w:t>وكأنّ الحالف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أو أقسمتُ باللّه، ثمّ لمّا كَثُر الاستعمال وفُهِم المقصود حُذف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وتلي الباء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قصورها من الباء أنّ الباء تدخلُ على المُضمر كما تدخلُ على المظهر،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وبه لأفعلنّ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وبخلاف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وتلي الواو التاء، وقد يُقام التاء مقام الواو،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الوخامة، ومن قولهم وَرِث، وآية قصورها أنّها لا تدخل من الأسماء إلّاعلى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حذف حروف القَسَم، وقال اللّهِ بالجَرّ لأفعلنّ‌، ونوى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اليمين، لوروده في اللّغة والحديث، ومنه قول النبيّ صلى الله عليه و آله لِرُكَانَة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ما أردتُ إلّاواحدة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الجرّ مشعرٌ بالصلة الخافضة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استمرار العادة بالحَلف كذلك، وعدم المعرفة به إلّامن خواصّ الناس، مضافاً إلى الأصل السليم للمعارضة، سوى ما مرّ من الورود في الحديث واللّغة، وفي الاستناد إليهما مناقشة سيّما مع عدم معلوميّة سند الرواية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استمرار العادة لا يصلحُ لتقييد إطلاق الأدلّة بعد صدق القَسَم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باللّه عليه، كما أنّ عدم معرفة الناس بذلك غيرُ مانعٍ‌، والأصل لا يصلُح لمعارضة الإطلاق، وعليه فالأظهر هو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منشئاً بذلك الحَلف، كان يميناً بلا كلامٍ‌،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إنشائه بذلك 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بيمينٍ‌، لأنّ لفظ الشهادة لا يُسمّى يميناً، ولم يطَّرد به عرف اللّغة ولا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اليمين كان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لورود الشرع باليمين باللّفظ المزبور،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نَشْهَدُ إِنَّكَ لَرَسُولُ اَللّهِ‌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والمراد نحلف، ولذلك قال اللّه تعالى على أثر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لجعل ذلك منهم يميناً، مع عدم ذكر لفظ الجلالة، بل هو محمولٌ على ظاهره، وهو الشهادة بالرسالة، وما في أثر ذلك وإنْ كان دالّاً على صدور اليمين منهم، لكن يتعيّن حمله على إرادة صدورها بغير هذا اللّفظ</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فالأولى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تعارف اليمين به في العُرف، واستعمل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أيمان اللِّعان، فيصدق عليه الحَلف باللّه، فيشمله العمومات، ولا فرق في ذلك بين ما لو أطلق، أو ذكر قرينةً‌، أو كانت قرينة حاليّة دالّة على نيّة الحلف فيما بينه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كلامه عليه في الظاهر مع الإطلاق، فبعيدٌ بعد اشتراكه بين اليمين وغيره باعتبار احتمال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بوحدانيّة اللّه تعالى‌، ثُمّ يبتدئ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كذا، وهذا بخلاف لفظ القَسَم والحلف وما شاكل، فإنّها كالصريحة في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من ألفاظ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العُرف لم يُطَّرد بجعله يميناً، ولا ورد الشرع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لم يرد قَسَماً إلّاللطلب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عليكَ لما فعلتُ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فلا تنعقد به اليمين حينئذٍ، وإنْ قصدها، فضلاً عن الإطلاق المحتمل لذلك، وللإخبار عن عزمه أو الوعد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الحلف بالطلاق والظِهار وما شاكل بلا خلافٍ‌، والنصوصُ المستفيضة</w:t>
      </w:r>
      <w:r>
        <w:rPr>
          <w:rStyle w:val="FootnoteAnchor"/>
          <w:rtl w:val="true"/>
        </w:rPr>
        <w:footnoteReference w:id="568"/>
      </w:r>
      <w:r>
        <w:rPr>
          <w:rFonts w:ascii="Amiri" w:hAnsi="Amiri" w:eastAsia="Amiri" w:cs="Amiri"/>
          <w:color w:val="111111"/>
          <w:sz w:val="28"/>
          <w:sz w:val="28"/>
          <w:szCs w:val="28"/>
          <w:rtl w:val="true"/>
          <w:lang w:bidi="ar-SA"/>
        </w:rPr>
        <w:t>شاهدة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من ضروريّ مذهب الشيعة في الطلاق والعتاق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بالبراءة منه، أو من أحدِ الأنبياء أو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ينطق بلفظ الجلالة، لم ينعقد يمينه قطعاً، وإن نواها، لعدم صدق الحَلف باللّه، ففي خبر السكوني، عن الإمام الصادق عليه السلام،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أقسمتُ أو حلفتُ فليس بشيء حتّى يقول أقسمتُ باللّه، أو حلفت باللّه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لفظ الجلالة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قدّمناه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أحد الأنبياء أو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لها الكفّارة أم لا؟</w:t>
      </w:r>
    </w:p>
    <w:p>
      <w:pPr>
        <w:pStyle w:val="BookText"/>
        <w:rPr/>
      </w:pPr>
      <w:r>
        <w:rPr>
          <w:rFonts w:ascii="Amiri" w:hAnsi="Amiri" w:eastAsia="Amiri" w:cs="Amiri"/>
          <w:color w:val="111111"/>
          <w:sz w:val="28"/>
          <w:sz w:val="28"/>
          <w:szCs w:val="28"/>
          <w:rtl w:val="true"/>
          <w:lang w:bidi="ar-SA"/>
        </w:rPr>
        <w:t>فيه كلامٌ سيأتي في كتاب الكفّارات</w:t>
      </w:r>
      <w:r>
        <w:rPr>
          <w:rStyle w:val="FootnoteAnchor"/>
          <w:rtl w:val="true"/>
        </w:rPr>
        <w:footnoteReference w:id="571"/>
      </w:r>
      <w:r>
        <w:rPr>
          <w:rFonts w:ascii="Amiri" w:hAnsi="Amiri" w:eastAsia="Amiri" w:cs="Amiri"/>
          <w:color w:val="111111"/>
          <w:sz w:val="28"/>
          <w:sz w:val="28"/>
          <w:szCs w:val="28"/>
          <w:rtl w:val="true"/>
          <w:lang w:bidi="ar-SA"/>
        </w:rPr>
        <w:t>مفصّلاً إنْ شاء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41" w:name="pg11828_104999"/>
    </w:p>
    <w:p>
      <w:pPr>
        <w:pStyle w:val="BookText"/>
        <w:rPr/>
      </w:pPr>
      <w:bookmarkEnd w:id="141"/>
      <w:r>
        <w:rPr>
          <w:rFonts w:ascii="Amiri" w:hAnsi="Amiri" w:eastAsia="Amiri" w:cs="Amiri"/>
          <w:color w:val="111111"/>
          <w:sz w:val="28"/>
          <w:sz w:val="28"/>
          <w:szCs w:val="28"/>
          <w:rtl w:val="true"/>
          <w:lang w:bidi="ar-SA"/>
        </w:rPr>
        <w:t>ويُشترط في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والقصد، والاختيار</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131749_73709187"/>
      <w:bookmarkStart w:id="143" w:name="_Toc49"/>
      <w:bookmarkEnd w:id="142"/>
      <w:r>
        <w:rPr>
          <w:rtl w:val="true"/>
        </w:rPr>
        <w:t>بيان ما يعتبر في الحالف</w:t>
      </w:r>
      <w:bookmarkEnd w:id="14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الحالف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والقصد،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شيء من تلكم، بل على اعتبار القصد إلى مدلول اليمين الإجماع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xml:space="preserve">وغيرها،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اشتراط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ما دلّ على رفع القلم</w:t>
      </w:r>
      <w:r>
        <w:rPr>
          <w:rStyle w:val="FootnoteAnchor"/>
          <w:rtl w:val="true"/>
        </w:rPr>
        <w:footnoteReference w:id="575"/>
      </w:r>
      <w:r>
        <w:rPr>
          <w:rFonts w:ascii="Amiri" w:hAnsi="Amiri" w:eastAsia="Amiri" w:cs="Amiri"/>
          <w:color w:val="111111"/>
          <w:sz w:val="28"/>
          <w:sz w:val="28"/>
          <w:szCs w:val="28"/>
          <w:rtl w:val="true"/>
          <w:lang w:bidi="ar-SA"/>
        </w:rPr>
        <w:t>عن الصَّبي والمجنون، الشامل للأحكام التكليفيّة، منها الأحكام المترتّبة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فنُخبة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للحالف بحسب قصده اللّفظ وقصد معناه أحوالاً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اللّفظ صادراً عنه عن غير قصدٍ، كاللّفظ الصادر من النائم أو الغالط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اللّفظ مقصوداً له دون معناه،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 تاللّهِ لأفعلنّ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حروف القَسَم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مقصوداً له بالإرادة الاستعماليّة، دون الإرادة الجديّة، كما إذا أنشأ الحَلف، بمعنى استعمل الصيغة في معناه من دون أن يكون هناك اعتبارٌ نفساني، والتزام كذلك، ونظيره في الأخبار ما إذا أخبر عن شيء وحكى عنه بداعي الهَزل لا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مقصوداً بالإرادة الجديّة، ولكنّه لم يكن عن طيب نفسٍ بذلك، بل صَدَر عنه في حال الغضب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القصد بالمعنى الأوّل من القضايا التي قياساتها معها، وبالمعنى الثاني تشهد به الآية والنصوص المتقدّمة في يمين اللَّغو، بل هي تدلّ على اعتبار القصد بالمعنى الثالث أيضاً، لاحظ قوله في موثّق مسعدة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 قولُ الرّجل لا واللّه وبلى واللّه، ولا يعقدُ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يعقدُ عليها أو لا يعقد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لاعتباره بصحيح الأشعري،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حلف وضميره على غير ما حلف‌؟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صفوان بن يحيى‌</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يُؤاخِذُكُمْ بِما كَسَبَتْ قُلُوبُكُمْ‌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يُؤاخِذُكُمْ بِما عَقَّدْتُمُ اَلْأَيْمانَ‌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القصد بالمعنى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اعتباره خبر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غضب، ولا في قطيعة رحم، ولا في جبرٍ، ولا في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فرق بين الجبر والإكراه‌؟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ويكون الإكراه من الزّوجة، والاُمّ والأب، وليس ذلك بشيء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فيه الإكراه المانع عن الانعقاد، بما يكون من الزوجة، مع أنّه ليس هو الإكراه المصطلح، لعدم خوف ترتّب الضرر على مخالفتها، مع أنّه معتبرٌ في صدق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اعتبار القصد بالمعنى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تظهر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 xml:space="preserve">وغيره من الجمع بين اعتبار النيّة والقصد، متينٌ‌، فإنّ مرادهم بالنيّة القصد بالمعنى الثالث، وبالقصد المعنى الرابع، ولذلك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النيّة من الاُمور المعتبرة الصيغة، والقصد، ممّا يعتبر في الحالف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ذكره جماعة</w:t>
      </w:r>
      <w:r>
        <w:rPr>
          <w:rStyle w:val="FootnoteAnchor"/>
          <w:rtl w:val="true"/>
        </w:rPr>
        <w:footnoteReference w:id="583"/>
      </w:r>
      <w:r>
        <w:rPr>
          <w:rFonts w:ascii="Amiri" w:hAnsi="Amiri" w:eastAsia="Amiri" w:cs="Amiri"/>
          <w:color w:val="111111"/>
          <w:sz w:val="28"/>
          <w:sz w:val="28"/>
          <w:szCs w:val="28"/>
          <w:rtl w:val="true"/>
          <w:lang w:bidi="ar-SA"/>
        </w:rPr>
        <w:t>من أنّه لو ادّعى عدم القصد منه، يُسمعا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وإنْ كان اللّفظ صريحاً، مع أنّه لا يُسمع دعوى عدم النيّة في سائر العقود والإيقاعات إذا كان الإنشاء بالصريح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 يمين اللَّغو، كلّ يمينٍ لفظاً لم يقرن بها نيّتها، كسبق اللّسان بعادةٍ أو غير عادة، أو جاهلاً بالمعنى، أو للغضب المُسقِط للقصد، أو لمجرّد الإثبات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لاعتباره عموم ما دلّ على رفع ما استكرهوا عليه</w:t>
      </w:r>
      <w:r>
        <w:rPr>
          <w:rStyle w:val="FootnoteAnchor"/>
          <w:rtl w:val="true"/>
        </w:rPr>
        <w:footnoteReference w:id="585"/>
      </w:r>
      <w:r>
        <w:rPr>
          <w:rFonts w:ascii="IRNazanin" w:hAnsi="IRNazanin" w:eastAsia="IRNazanin"/>
          <w:color w:val="111111"/>
          <w:sz w:val="28"/>
          <w:sz w:val="28"/>
          <w:szCs w:val="28"/>
          <w:rtl w:val="true"/>
          <w:lang w:bidi="fa-IR"/>
        </w:rPr>
        <w:t>، وخبر عبداللّه بن سنان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الحالف الإسلام، بحيث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والحِلّي</w:t>
      </w:r>
      <w:r>
        <w:rPr>
          <w:rStyle w:val="FootnoteAnchor"/>
          <w:rtl w:val="true"/>
        </w:rPr>
        <w:footnoteReference w:id="5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يعتبر، فيصحّ منه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وأتباعه</w:t>
      </w:r>
      <w:r>
        <w:rPr>
          <w:rStyle w:val="FootnoteAnchor"/>
          <w:rtl w:val="true"/>
        </w:rPr>
        <w:footnoteReference w:id="589"/>
      </w:r>
      <w:r>
        <w:rPr>
          <w:rFonts w:ascii="Amiri" w:hAnsi="Amiri" w:eastAsia="Amiri" w:cs="Amiri"/>
          <w:color w:val="111111"/>
          <w:sz w:val="28"/>
          <w:sz w:val="28"/>
          <w:szCs w:val="28"/>
          <w:rtl w:val="true"/>
          <w:lang w:bidi="ar-SA"/>
        </w:rPr>
        <w:t>، وأكثر المتأخّرين</w:t>
      </w:r>
      <w:r>
        <w:rPr>
          <w:rStyle w:val="FootnoteAnchor"/>
          <w:rtl w:val="true"/>
        </w:rPr>
        <w:footnoteReference w:id="59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أنّه الأشهر؟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يفصّل بين ما كان كفره باعتبار جهله باللّه تعالى‌، وعدم علمه به، فلاينعقد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يمينه، وبين من كان كفره باعتبار جَحده بالنبوّة، أو فريضة، فينعقد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تقويته واختياره، ونسبته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صحّة الحلف، الحَلفُ باللّه، والكافر لايعرف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أخصّ من المدّعى، فإنّ الكافر المعتقد باللّه الجاحد للنبوّة يَعرف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الأمرين اللّذين ركّب منهما دليله لا ينطبقان على موردٍ، فإنّ شرط الصحّة الحلف باللّه بلا كلامٍ‌، كما مرّ، وهذا لا يتوقّف على الاعتراف باللّه ومعرفته، بل يمكن أن يحلف به مع عدم المعرفة،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الأدلّة وعمومها كتاباً وسُنّةً‌، اللّذين لا ينافيهما كفره، بعد كون الكفّار مخاطبين بالفروع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وبالنصوص</w:t>
      </w:r>
      <w:r>
        <w:rPr>
          <w:rStyle w:val="FootnoteAnchor"/>
          <w:rtl w:val="true"/>
        </w:rPr>
        <w:footnoteReference w:id="593"/>
      </w:r>
      <w:r>
        <w:rPr>
          <w:rFonts w:ascii="Amiri" w:hAnsi="Amiri" w:eastAsia="Amiri" w:cs="Amiri"/>
          <w:color w:val="111111"/>
          <w:sz w:val="28"/>
          <w:sz w:val="28"/>
          <w:szCs w:val="28"/>
          <w:rtl w:val="true"/>
          <w:lang w:bidi="ar-SA"/>
        </w:rPr>
        <w:t>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توجّه اليمين على الكافر، وإنْ كان جاحداً، ولا قائل بالفصل، بل يدلّ انعقادها في مثل ذلك في الفروج والدّماء والأموال على انعقادها في غيرها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إحلاف الكافر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المِلل يستحلفون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تحلّفوهم إلّاباللّه عزّ وجلّ‌</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جرّاح المدائني،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بغير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والنصراني والمجوسي لا تحلّفوهم إلّاباللّه عزّ وجلّ‌</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يصلح لأحدٍ أن يُحلِّف أحداً من اليهود والنصارى والمجوس بآلهتهم‌؟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لأحدٍ أن يُحلّف أحداً إلّاباللّه عزّ وجلّ‌</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خطابات الكتاب بالمشافهين، وورود النصوص لبيان أحكامٍ اُخر، فلا إطلاق لهما،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 من أنّ خطابات القرآن من قبيل القضايا الحقيقيّة المجعولة لعامّة المكلّفين إلى يوم القيامة، وإنكار إطلاق بعض النصوص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إيراده على 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باختصاص النصوص بالمعترفين باللّه تعالى‌، ولا تشمل غيرهم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 في ذيل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لأحدٍ أن يُحلّف أحداً إلّاباللّه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مع ذلك كلّه دعوى اختصاص جميع تلك الأدلّة بالكافر المعتقد باللّه تعالى قريبة، إذ مَنْ لا يعتقدُ به، لا يكون حلفه به حلفاً باللّه تعالى‌، إذ المراد بالحلف باللّه ليس هو الحلف بالاسم خاصّة، بل بما أنّه يكون مُعرِباً عن ذاته المقدّسة، فالمُنكِر لا يحلف باللّه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الثالث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فائدة الصحّة في بقاء اليمين لو أسلم في المطلّقة، أو قبل خروج وقت المؤقّتة، وفي العقاب على متعلّقها لو مات على كفره لما يفعله، لا في تدارك الكفّارة، ولو سبق الحَنث الإسلام، لأنّها تسقط عنه به،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وهو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التكفير منه في حال الكفر لو قلنا بصحّة يمين الكافر وحَنَث في يمينه، ووجبتْ عليه الكفّارة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صحّة العبادة من الكافر، لتمكّنه من قصد القُربة، وإنْ لم يحصل له القرب إلى اللّه تعالى‌، وعدمها، وقد تقدّم تحقيق ذلك في غير موردٍ ممّا تقدّم كالحجّ والصوم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عدم كون بعض أفراد الكفّارة كالإطعام عبادة، فسيجيء الكلام فيه في باب الكفّارات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4" w:name="pg11828_105006"/>
    </w:p>
    <w:p>
      <w:pPr>
        <w:pStyle w:val="BookText"/>
        <w:rPr/>
      </w:pPr>
      <w:bookmarkEnd w:id="144"/>
      <w:r>
        <w:rPr>
          <w:rFonts w:ascii="Amiri" w:hAnsi="Amiri" w:eastAsia="Amiri" w:cs="Amiri"/>
          <w:color w:val="111111"/>
          <w:sz w:val="28"/>
          <w:sz w:val="28"/>
          <w:szCs w:val="28"/>
          <w:rtl w:val="true"/>
          <w:lang w:bidi="ar-SA"/>
        </w:rPr>
        <w:t>وإنّما ينعقدُ على فعل الواجب أو المندوب أو المباح مع الأولويّة، أو ترك الحرام، أو ترك المكروه، أو ترك المباح مع الأولويّة، ولو تساوى متعلّق اليمين وعدمه في الدِّين والدُّنيا، وَجَب العمل بمقتضى اليمين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131751_73709187"/>
      <w:bookmarkStart w:id="146" w:name="_Toc50"/>
      <w:bookmarkEnd w:id="145"/>
      <w:r>
        <w:rPr>
          <w:rtl w:val="true"/>
        </w:rPr>
        <w:t>يعتبر في متعلّق اليمين عدم المرجوحيّة</w:t>
      </w:r>
      <w:bookmarkEnd w:id="146"/>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فعل الواجب، أو المندوب، أو المباح مع الأولويّة، أو ترك الحرام، أو ترك المكروه، أو ترك المباح مع الأولويّة، ولو تساوى متعلّق اليمين وعدمه في الدِّين والدُّنيا، وجَب العمل بمقتضى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قريبٌ من ما في المتن إلى مذهب الأصحاب،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وضابطه ما كان راجحاً أو متساوي الطرفين، ومتى كان الرّجحان في نقيضه ديناً أو دنياً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ينعقد اليمين على فعل الواجب أو المندوب أو المباح إذا تساوى فعله وتركه في المصالح الدينيّة، أو كان فعله أرجح، أو على ترك الحرام أو </w:t>
      </w:r>
    </w:p>
    <w:p>
      <w:pPr>
        <w:pStyle w:val="BookText"/>
        <w:rPr/>
      </w:pPr>
      <w:r>
        <w:rPr>
          <w:rFonts w:ascii="Amiri" w:hAnsi="Amiri" w:eastAsia="Amiri" w:cs="Amiri"/>
          <w:color w:val="111111"/>
          <w:sz w:val="28"/>
          <w:sz w:val="28"/>
          <w:szCs w:val="28"/>
          <w:rtl w:val="true"/>
          <w:lang w:bidi="ar-SA"/>
        </w:rPr>
        <w:t>المكروه أو المرجوح في الدِّين والدُّنيا من المباح، فإنْ خالف أثِمَ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على فعل حرامٍ أو مكروهٍ أو المرجوح من المباح، أو على ترك واجبٍ أو مندوبٍ لم تنعقد اليمين، ولا كفّارة بالترك، بل قد يجبُ الترك كما في فعل الحرام وترك الواجب، وينبغي كغيرها مثل أن يحلف على أنْ لا يتزوّج على امرأة لا يتسرّى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أشكل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مباحاً يتساوى طرفاه بحسب الدُّنيا، فإنّه استشكل في الحكم بانعقاد اليمين فيه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الاعتراف باتّفاق الأصحاب على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مرجوحاً دِيناً وراجحاً دُنياً، أو بالعكس، فقد استشكل في الحكم بالانعقاد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المباح مرجوحاً دُنياً، فقد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في عدم انعقاد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انعقاد اليمين المتعلّقة بالراجح دُنياً أو دِيناً، أو متساوي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بن الحجّاج،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يمينٍ فيها كفّارة، أمّا ما كان فيها ممّا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عليه السلام كان حلف على بعض اُمّهات أولاده أن لا يسافر بها، فإنْ سافر بها فعليه أن يعتق نسمةً تبلغ مائة دينار، فأخرجها معه، وأمرني فاشتريتُ نسمةً بمائة دينار فأعتقها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أنّه لو لم يكن ينعقد، لما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الأعرج،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يحلف على اليمين، فيرى أنّ تركها أفضل، وإن لم يتركها خَشى أن يأثم، أيتركها؟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بالمفهوم يدلّ على الانعقاد في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حَلف عليه أن لا يفعلها ممّا له فيه منفعة في الدُّنيا والآخرة، فلا كفّارة عليه، وإنّما الكفّارة في أن يحلف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أزني، واللّهِ لا أشرب الخمر، واللّهِ لا أسرق، واللّهِ لا أخون، وأشباه هذا، ولا أعصي، ثمّ فَعَل، فعليه الكفّارة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البالغة حَدّ الاستفاضة بل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الانعقاد إذا تعلّق بمباحٍ متساوي الطرفين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عزّ وجلّ‌، فليس بشيء، في طلاقٍ أو عتقٍ أو غيره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كما تراها متطابقة على انعقاد اليمين إذا كان متعلقها راجحاً دِيناً أو دُنياً، وعدم انعقادها إذا كان مرجوحاً دُنياً، إنّما الخلاف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المباح المتساوى الطرفين، غير الرّاجح شيءٌ منهما دُنياً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فالأصحاب اتّفقوا على انعقادها، واستشكل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تبعاً للروضة، نظراً إلى الطائفة الثانية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صحيح الحلبي إنّما يدلّ على اشتراط القُربة في اليمين نفسها، لا في متعلّقها، أو على أنّه لابدّ وأن يكون اليمين باللّه تعالى‌، وعلى التقديرين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خبرا عبداللّه بن سنان وأبي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يدلّان على عدم انعقاد اليمين في تحريم حلالٍ‌، ومن حَلِف على أن يفعل المباح أو يتركه لم يحلف على تحريم حلالٍ‌، فإنّ الحَلف على الفعل أو الترك في المباح غير الحلف على حرمةً ما هو حلالٌ‌،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حمران، وصحيح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أنّهما يدلّان على عدم الانعقاد،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يمكن أن يقال فيهما إنّه إذا انعقدت اليمين على شيء، كان فيه البِرّ والطاعة للّه، فمعنى هذه الأخبار أنّه لا يتحقّق يمينٌ على شيء لا يكون فيه بِرٌّ ولا طاعة ولا معصية، فإنّه متساوٍ، أو يرجّح الفعل أو الترك دُنياً أو دِيناً، فإذا حَلِف عليه انعقدت اليمين، ووجب الوفاء، فكان فيه البِرُّ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يعارضان مع صحيحي الأعرج وعبدالرحمن وما شابههما، والترجيح مع تلك النصوص، لموافقتها لفتوى الأصحاب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المباح مرجوحاً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في عدم انعقاد اليمين المتعلّقة به، نظراً إلى المرسل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مرسلٌ ومتضمّنٌ لنقل قضيّة في واقعة، لا تصلحُ المقاومة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متعلّق اليمين راجحاً دِيناً، ومرجوحاً دُنياً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انعقاد 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لتعارض الأخبار، وظاهر الأصحاب الانعقاد نظراً إلى قول أبي عبداللّه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لك فيه منفعة في أمر دينٍ أو دُنياً فلا حنث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الخبرين المتبادر منهما عند الإطلاق، هو المرجوحيّة من جهةٍ لا يعارضها رجحانٌ من اُخرى‌، ولا يشملان لمحلّ الفرض من تعارض الرجحان من جهةٍ والمرجوحيّة من اُخرى‌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غريبٌ‌؛ فإنّه لم يدّعِ دلالة الخبرين على حكم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بل يدّعي أنّهما يدلّان على كفاية الرجحان من إحدى الجهتين في الانعقاد، فيعارضان حينئذٍ مع ما دلّ من النصوص المتقدّمة الدالّة على أنّ المرجوح ديناً أو دنياً لا ينعقد اليمين المتعلّقة به، فيتعارضان، وهو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الجواب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الرجحان الدنيوي لا يصلحُ للمعارضة مع الرجحان الديني، فإنّ الآخرة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الأصحاب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المتعلّق حين اليمين راجحاً، ثمّ صار مرجوحاً ديناً، أو كان مرجوحاً حين اليمين، فصار راجحاً بعده، فهل ينحلّ اليمين في الأوّل ويعود في الثاني أم لا، أم يفصّل بين الموردين‌؟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الرجحان حين العمل لا حين اليمين، فإنْ كان حين اليمين راجحاً، ولكن في ظرف العمل صار مرجوحاً، لا ينعقد هذا اليمين، بل لعلّ ظاهر قول النبيّ صلى الله عليه و آله في صحيح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هو هذه الصورة، ولا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مرسل ابن فضّال،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فرأى ما هو خيرٌ منها، فليأتِ الذي هو خيرٌ منها، وله حسنة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ظاهرٌ من ذلك كما لا يخفى‌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إذا كان حين اليمين مرجوحاً، ولكن صار راجحاً حين العمل، يكشف ذلك عن انعقاد يمينه، وإنْ كان هو لا يعلم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المعتبر هو عدم المرجوحيّة في المتعلّق من حيث هو لا بالقياس إلى أمرٍ آخر، فلو حلف أن يعطي زيداً ديناراً، وكان إعطاء عمروٍ إيّاه أرجح من إعطائه لزيد، ينعقد اليمين، كما لا يخفى‌</w:t>
      </w:r>
      <w:r>
        <w:rPr>
          <w:rFonts w:eastAsia="Amiri" w:cs="Amiri" w:ascii="Amiri" w:hAnsi="Amiri"/>
          <w:color w:val="111111"/>
          <w:sz w:val="28"/>
          <w:szCs w:val="28"/>
          <w:rtl w:val="true"/>
          <w:lang w:bidi="ar-SA"/>
        </w:rPr>
        <w:t>.</w:t>
      </w:r>
      <w:bookmarkStart w:id="147" w:name="pg11828_105013"/>
    </w:p>
    <w:p>
      <w:pPr>
        <w:pStyle w:val="BookText"/>
        <w:rPr/>
      </w:pPr>
      <w:bookmarkEnd w:id="147"/>
      <w:r>
        <w:rPr>
          <w:rFonts w:ascii="Amiri" w:hAnsi="Amiri" w:eastAsia="Amiri" w:cs="Amiri"/>
          <w:color w:val="111111"/>
          <w:sz w:val="28"/>
          <w:sz w:val="28"/>
          <w:szCs w:val="28"/>
          <w:rtl w:val="true"/>
          <w:lang w:bidi="ar-SA"/>
        </w:rPr>
        <w:t>ولا يتعلّق بفعل الغير</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131753_73709187"/>
      <w:bookmarkStart w:id="149" w:name="_Toc51"/>
      <w:bookmarkEnd w:id="148"/>
      <w:r>
        <w:rPr>
          <w:rtl w:val="true"/>
        </w:rPr>
        <w:t>حكم اليمين على فعل الغير والماضي والمستحيل</w:t>
      </w:r>
      <w:bookmarkEnd w:id="14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المسمّاة بيمين المناشدة، فلو حَلِف كذلك لا تنعقد اليمين في حقّ المقسم عليه ولا المقسم، بل عليه إجماعنا كما في الشرح للسيّد</w:t>
      </w:r>
      <w:r>
        <w:rPr>
          <w:rStyle w:val="FootnoteAnchor"/>
          <w:rtl w:val="true"/>
        </w:rPr>
        <w:footnoteReference w:id="614"/>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المقسم عليه لم يَحْلِف كي يترتّب عليه أحكامه، والمقسم حَلَف في حقّ غيره، وهو فعلٌ غير اختياري له فلا يجبُ باليمين، ولا حَنْث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يقسم على الرّجل في الطعام يأكل معه فلم يأكل، هل عليه في ذلك كفّارة‌؟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حفص وغيره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يقسم على أخيه‌؟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إنّما أراد إكرامه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مرسل ابن سنان، عن رجلٍ‌،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أقسم الرّجل </w:t>
      </w:r>
    </w:p>
    <w:p>
      <w:pPr>
        <w:pStyle w:val="BookText"/>
        <w:rPr/>
      </w:pPr>
      <w:r>
        <w:rPr>
          <w:rFonts w:ascii="Amiri" w:hAnsi="Amiri" w:eastAsia="Amiri" w:cs="Amiri"/>
          <w:color w:val="111111"/>
          <w:sz w:val="28"/>
          <w:sz w:val="28"/>
          <w:szCs w:val="28"/>
          <w:rtl w:val="true"/>
          <w:lang w:bidi="ar-SA"/>
        </w:rPr>
        <w:t>ولا بالماضي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أخيه فلم يبرّ قسمه، فعلى المُقسِم كفّارة يمين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فلإرساله، وعدم عمل الأصحاب به، واحتمال إرادة القَسَم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الإغماض عن ذلك كلّه، لا يصلحُ للمقاومة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للمُقسِم عليه إبرار القَسَم، للنبويّ الآمر بسبعٍ عَدّ ذلك منها، المحمول على الاستحباب، لضعف السند، واتّفاق الأصحاب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اليمين المتعلّقة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كانت أو مثبتة، فلا يجبُ بالحَنث فيها الكفّارة، وإنْ تعمّد الكذب،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المسمّاة بيمين الغموس، إذا تعمّد الكذب بل مطلقاً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لعدم انعقادها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المتقدّمة، الحاصرة لليمين التي فيها الكفّارة فيما إذا تعلّقت بواجبٍ أو مندوبٍ أو ترك حرامٍ أو مكروه، أو مباحٍ ليفعله أو يتركه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حديد،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الأيمان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ليس فيها كفّارة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فاليمين التي ليس فيها كفّارة، الرَّجل يحلف على باب بِرٍّ أن لا يفعله،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فكفّارته أن يفعله، واليمين التي تجبُ فيها الكفّارة، الرَّجل يحلفُ على باب معصيةٍ أنْ لا يفعله فيفعله، فيجب عليه الكفّارة، واليمين الغَموس الّتى توجب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وقوّى السَّكوني، عنه، عن أمير المؤمنين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قيل له فعلت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فعلته، وقد فعله‌؟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كَذِبها يستغفر اللّه منها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عقوبتها دخول النار، فهو أن يحلف الرّجل على مال إمرئ مسلمٍ‌، أو على حقّه ظُلماً، فهذه يمين غَموس، توجبُ النّار، ولا كفّارة عليه في الدُّنيا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حكمها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عادةً أو شرعاً أو شخصاً، بلا خلافٍ في شيء من تلكم، لأنّ الحلف عبارة عن الالتزام بفعلٍ أو ترك مقروناً بالقسم باللّه تعالى‌، مع أنّ الكفّارة إنّما رُتّبت على الحنث والمخالفة غير الصادقين في الفرض، أضف إلى ذلك كلّه، النصوص المتقدّمة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الميزان كما عرفت هو القدرة حال العمل كما في سائر 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تجدّد العجزُ عن الممكن انحلّت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يحلف على خلاف الواقع، مع تضمّن المصلحة والتورية إنْ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تجدّد العَجز عن الممكن، انحلّت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تجدّدت القدرة في ظرف العمل وجبَ‌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يحلف على خلاف الواقع، مع تضمّن المصلحة، والتورية إنْ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ضمن بيان حكم يمين الغَموس التكليفي</w:t>
      </w:r>
      <w:r>
        <w:rPr>
          <w:rFonts w:eastAsia="Amiri" w:cs="Amiri" w:ascii="Amiri" w:hAnsi="Amiri"/>
          <w:color w:val="111111"/>
          <w:sz w:val="28"/>
          <w:szCs w:val="28"/>
          <w:rtl w:val="true"/>
          <w:lang w:bidi="ar-SA"/>
        </w:rPr>
        <w:t>.</w:t>
      </w:r>
      <w:bookmarkStart w:id="150" w:name="pg11828_105017"/>
    </w:p>
    <w:p>
      <w:pPr>
        <w:pStyle w:val="BookText"/>
        <w:rPr/>
      </w:pPr>
      <w:bookmarkEnd w:id="150"/>
      <w:r>
        <w:rPr>
          <w:rFonts w:ascii="Amiri" w:hAnsi="Amiri" w:eastAsia="Amiri" w:cs="Amiri"/>
          <w:color w:val="111111"/>
          <w:sz w:val="28"/>
          <w:sz w:val="28"/>
          <w:szCs w:val="28"/>
          <w:rtl w:val="true"/>
          <w:lang w:bidi="ar-SA"/>
        </w:rPr>
        <w:t>ولو استثنى بالمشيئة انحلّت اليمين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131755_73709187"/>
      <w:bookmarkStart w:id="152" w:name="_Toc52"/>
      <w:bookmarkEnd w:id="151"/>
      <w:r>
        <w:rPr>
          <w:rtl w:val="true"/>
        </w:rPr>
        <w:t>الإستثناء بالمشيئة</w:t>
      </w:r>
      <w:bookmarkEnd w:id="15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على فعلٍ أو تركٍ‌،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بالمشيئة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قال بعد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جاز إجماعاً، فتوى ونصّاً، مستفيضاً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تنعقد،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لو لم يكن المَحلُوف عليه فعل الواجب أو المندوب أو ترك الحرام أو المكروه، فلا يَحنث حينئذٍ، ولا تجبُ عليه الكفّارة، وعليه أكثر أصحابنا، وإنْ كان متعلّقها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الحكم بعدم الانعقاد على المُجمع عليه دون غيره، 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وكاشف اللّثام</w:t>
      </w:r>
      <w:r>
        <w:rPr>
          <w:rStyle w:val="FootnoteAnchor"/>
          <w:rtl w:val="true"/>
        </w:rPr>
        <w:footnoteReference w:id="626"/>
      </w:r>
      <w:r>
        <w:rPr>
          <w:rFonts w:ascii="IRNazanin" w:hAnsi="IRNazanin" w:eastAsia="IRNazanin"/>
          <w:color w:val="111111"/>
          <w:sz w:val="28"/>
          <w:sz w:val="28"/>
          <w:szCs w:val="28"/>
          <w:rtl w:val="true"/>
          <w:lang w:bidi="fa-IR"/>
        </w:rPr>
        <w:t>، والمستند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قويّ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استثنى في اليمين، فلا حنث ولا كفّارة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فلا حَنث عليه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المنجبران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المراد من الخبر الذي رواه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على اليمين ويستثنى،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استثنى</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هو الإيقاف مطلقاً، كما هو المشهور، وعلّل المصنّف رحمه الله ما اختاره، بأنّ الواجب والمندوب ممّا يشاء قطعاً، وقد نزل إطلاق الأصحاب والأخبار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كالاجتهاد في مقابلة النّص، مع أنّه يمكن منع العلم بتعلّق المشيئة بها على الإطلاق، فقد لا يشاؤها في حقّ هذا الحالف، لعارضٍ 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يورد على المصنّف رحمه الله وتابعيه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هي المشيئة التشريعيّة، لزم عدم صحّة الاستثناء في المباح، لأنّ اللّه لم يشأه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المشيئة التكوينيّة، كما هو الظاهر بالمعنى المعقول منه غير المستلزم للجبر، فهي بالنسبة إلى الواجب والمندوب والمباح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الاستثناء المانع عن الانعقاد أُمور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يتلفّظ بكلمة الاستثناء، فلو نواها بقلبه لم يندفع الحَنث والكفّارة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لإطلاق الأدلّة المقتصر في تقييده على موضع النّص، وهو ما لو تلفّظ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وتبعه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على ما حُكي الاكتفاء بالنيّة،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النيّة في انعقاد اليمين، فإذا لم ينو فعل المَقسم عليه إلّامعلّقاً على المشيئة، فلم ينو الحلف عليه مطلقاً، فلم ينعقد إلّامعلّقاً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عبداللّه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يستثني ما بينه وبين أربعين يوماً إذا نسي</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مشيئة اللّه تعالى ليست عبارة عن إرادته التي تكون إذا أراد شيئاً يقول له كُن فيكون، بل عبارة عن إعطاء الحياة والقدرة وما شاكل، ومع بقاء ذلك يظهر مشيئته تعالى‌، والتعليق على مثل ذلك لا يضرّ، وإنّما بُني على الإيقاف مع التلفّظ للتعبّد المحض غير الثابت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الاكتفاء بالنيّة، بل على اعتبار التلفّظ، غاية الأمر يدلّ على أنّ الفصل بينهما غير مضرٍّ،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قاصداً إلى التلفّظ بها كاليمين، فلو سبق لسانه إليها من غير قصدٍ، لم يعتدّ بها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من القضايا التي قياساتها معها، كاعتبار القصد بهذا المعنى في جميع العقود والإيقاعات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الاستثناء متّصلة باليمين، لا يتخلّلها كلامٌ ولا سكوتٌ‌، إلّاأن يكون بما جرت العادة به في الكلام الواحد، كالتنفّس والتثوّب والسّعال ونحوها ممّا لا يخلّ بالمتابعة العرفيّة، بلا خلافٍ في ذلك فتوىً‌، لإطلاق أدلّة حكم اليمين، والخارج عنها خصوص ما إذا استثنى متّصلاً بها، فإنّه المتيقّن من دليل الاستثناء لو لم يكن ظاهره،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أثّر مطلقاً لم يتحقّق حنثٌ إلّافي واجبٍ أو مندوبٍ أو غفلة عنه رأساً، لجواز أن يستثنى إذا شاء أن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واستثنائه الواجب والمندوب إنّما هو لما ذهب إليه تبعاً للمصنّف من اختصاص الاستثناء بالمباح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فيلزم عدم الحنث مطلقاً، إلّامع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ميمون المتقدّم، ونحوه خبر حُسين القلانسي، أو بعض أصحابه</w:t>
      </w:r>
      <w:r>
        <w:rPr>
          <w:rStyle w:val="FootnoteAnchor"/>
          <w:rtl w:val="true"/>
        </w:rPr>
        <w:footnoteReference w:id="635"/>
      </w:r>
      <w:r>
        <w:rPr>
          <w:rFonts w:ascii="Amiri" w:hAnsi="Amiri" w:eastAsia="Amiri" w:cs="Amiri"/>
          <w:color w:val="111111"/>
          <w:sz w:val="28"/>
          <w:sz w:val="28"/>
          <w:szCs w:val="28"/>
          <w:rtl w:val="true"/>
          <w:lang w:bidi="ar-SA"/>
        </w:rPr>
        <w:t>الدالّان على الاكتفاء بها لو نسى التلفّظ بها إلى أربعين يوماً، فهما غير صريحين في التأثير مع التأخير، وإنّما يدلّان على بقاء رجحان الاستثناء في اليمين في صورة النسيان إلى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دلالتهما عليه، يتعيّن طرحهما، أو حملهما على خلاف ظاهرهما، لعدم عمل أحدٍ من أصحابنا بهما، بل ولا من العامّة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ومثلهما النصوص</w:t>
      </w:r>
      <w:r>
        <w:rPr>
          <w:rStyle w:val="FootnoteAnchor"/>
          <w:rtl w:val="true"/>
        </w:rPr>
        <w:footnoteReference w:id="636"/>
      </w:r>
      <w:r>
        <w:rPr>
          <w:rFonts w:ascii="Amiri" w:hAnsi="Amiri" w:eastAsia="Amiri" w:cs="Amiri"/>
          <w:color w:val="111111"/>
          <w:sz w:val="28"/>
          <w:sz w:val="28"/>
          <w:szCs w:val="28"/>
          <w:rtl w:val="true"/>
          <w:lang w:bidi="ar-SA"/>
        </w:rPr>
        <w:t>المتضمنّة لورود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 xml:space="preserve">) </w:t>
      </w:r>
      <w:r>
        <w:rPr>
          <w:rStyle w:val="FootnoteAnchor"/>
        </w:rPr>
        <w:footnoteReference w:id="63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اليمين، وأنّ من حلف ونَسي أن يستثني فليستثنِ إذا ذكر من دون التحديد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الحكم بالإيقاف بها قصد التعليق، فلو قصد بالمشيئة الترك، لم يحكم به، اقتصاراً فيما خالف الأصل على المتيقّن، وفي غيره يرجع إلى قواعد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بعضها والمنجبر غيره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بينهما، كما صرّح به جدّه رحمه 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باعتبار أن يكون عازماً عليه من ابتداء اليمين، فلو عزم عليه في الأثناء أو بعدها بلا فصلٍ‌، لم يحكم بالإيقاف، اقتصاراً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إطلاقها عدم اعتبار تأخيره عنها، بل لا فرق بينه وبين تقديمه وتوسّطه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3" w:name="pg11828_105022"/>
    </w:p>
    <w:p>
      <w:pPr>
        <w:pStyle w:val="BookText"/>
        <w:rPr/>
      </w:pPr>
      <w:bookmarkEnd w:id="153"/>
      <w:r>
        <w:rPr>
          <w:rFonts w:ascii="Amiri" w:hAnsi="Amiri" w:eastAsia="Amiri" w:cs="Amiri"/>
          <w:color w:val="111111"/>
          <w:sz w:val="28"/>
          <w:sz w:val="28"/>
          <w:szCs w:val="28"/>
          <w:rtl w:val="true"/>
          <w:lang w:bidi="ar-SA"/>
        </w:rPr>
        <w:t>وللوالد، والزّوج، والمولى حَلّ يمين الولد والزوجة والعبد في غير الواجب</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131757_73709187"/>
      <w:bookmarkStart w:id="155" w:name="_Toc53"/>
      <w:bookmarkEnd w:id="154"/>
      <w:r>
        <w:rPr>
          <w:rtl w:val="true"/>
        </w:rPr>
        <w:t>حكم يمين الولد والزوجة</w:t>
      </w:r>
      <w:bookmarkEnd w:id="15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تنعقد انعقاداً تامّاً غير متزلزلٍ يمين الولد والزوجة والمملوك، مع الوالد والزّوج والمولى، بلا خلافٍ فيه في الجملة،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الإجماع عليه، إنّما الخلاف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تصحّ يمين هؤلاء وتنعقد وأنّ للوليّ الحَلّ‌، كما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وللوالد والزوج والمولى حَلّ يمين الولد والزوجة والعبد في غير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p>
    <w:p>
      <w:pPr>
        <w:pStyle w:val="BookText"/>
        <w:rPr/>
      </w:pPr>
      <w:r>
        <w:rPr>
          <w:rFonts w:ascii="Amiri" w:hAnsi="Amiri" w:eastAsia="Amiri" w:cs="Amiri"/>
          <w:color w:val="111111"/>
          <w:sz w:val="28"/>
          <w:sz w:val="28"/>
          <w:szCs w:val="28"/>
          <w:rtl w:val="true"/>
          <w:lang w:bidi="ar-SA"/>
        </w:rPr>
        <w:t>أو أنّها لاتصحّ بدون الإذن، كما اختاره الشهيدالثاني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 وقبلهما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وبعدهما غيرهما؟</w:t>
      </w:r>
    </w:p>
    <w:p>
      <w:pPr>
        <w:pStyle w:val="BookText"/>
        <w:rPr/>
      </w:pPr>
      <w:r>
        <w:rPr>
          <w:rFonts w:ascii="Amiri" w:hAnsi="Amiri" w:eastAsia="Amiri" w:cs="Amiri"/>
          <w:color w:val="111111"/>
          <w:sz w:val="28"/>
          <w:sz w:val="28"/>
          <w:szCs w:val="28"/>
          <w:rtl w:val="true"/>
          <w:lang w:bidi="ar-SA"/>
        </w:rPr>
        <w:t>وتظهر الثمرة فيما لو مات الزوج أو الأب قبل الحَلّ في المطلق، أو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ينعقد اليمين، وعلى الثاني تكون باطلة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تظهر الثمرة فيما إذا لم يطّلع الأب أو الزوج إلى أن مضى الوقت، فإنّه على </w:t>
      </w:r>
    </w:p>
    <w:p>
      <w:pPr>
        <w:pStyle w:val="BookText"/>
        <w:rPr/>
      </w:pPr>
      <w:r>
        <w:rPr>
          <w:rFonts w:ascii="Amiri" w:hAnsi="Amiri" w:eastAsia="Amiri" w:cs="Amiri"/>
          <w:color w:val="111111"/>
          <w:sz w:val="28"/>
          <w:sz w:val="28"/>
          <w:szCs w:val="28"/>
          <w:rtl w:val="true"/>
          <w:lang w:bidi="ar-SA"/>
        </w:rPr>
        <w:t>الأوّل يحنُث، وليس كذلك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بعمومات الآيات الدالّة على وجوب الوفاء باليمين،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يُؤاخِذُكُمْ بِما 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كَفّارَةُ أَيْمانِكُمْ إِذا حَلَفْتُمْ وَ اِحْفَظُوا أَيْمانَكُمْ‌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وما شابهها من النصوص، فإنّها تعمّ صورة النزاع، خَرج منه ما إذا حَلّ الأب والزوج،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وتبعه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بامتثال مقتضى اليمين وحفظها موقوفٌ على وقوعها صحيحة إجماعاً، وكون اليمين في المسألة منها أوّل الكلام، ودعواه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أمرٌ انتزاعي تنتزع من مطابقة ما وجد في الخارج لما هو طرفُ اعتبار الشارع، فتكون متأخّره عن الجعل والتشريع، فلا يعقل أخذها قيداً في المرتبة السابقة وفي المتعلّق، بل مقتضى هذه العمومات كالعمومات في سائر المقامات، عدم دخل كلّ ما يُحتمل دخله في الحكم إلّاما دلّ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فإنكار دلالة العمومات على ما ذكر، غريبٌ‌، فلا إشكال في تماميّة هذا الوجه، لكنّها متوقّفة على عدم دلالة النّص الخاص على اعتبار الإذن، وسيجيء الكلام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للولد مع والده، ولا للمملوك مع مولاه، ولا للمرأة مع زوجها، ولا نذر في معصيةٍ‌، ولا يمين في قطيعة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القدّاح،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 ولا للمرأة مع زوجها، ولا للمملوك مع سيّده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نفي الصحّة، لأنّه أقرب المجازات إلى نفي الحقيقة، لأنّ نفيها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السياق في الصحيح، حيث زيد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نذر في معصيةٍ‌، ولا يمين في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النفي فيهما راجع إلى الصحّة إجماعاً، فليكن النفي المتقدّم عليهما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تقريب الاستدلال بها بوجهٍ أحسن من ذلك، وهو أنّ النفي نفيٌ تشريعي لا تكويني، فتدلّ النصوص على خروج يمين هؤلاء عن عالم التشريع، فيكون النفيّ لحقيقةٍ كما هو ظاهره، وتدلّ على عدم الصحّة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وجودهما، وإلّا لزم عدم الصحّة حتّى مع إذنهما التي لا خلاف في الصحّة حينئذٍ بين الأصحاب، بل الإجماع ظاهراً عليها، وليس في النصوص ما يدلّ على 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من تقديرٍ، وعليه فكما يمكن أن يقدّر ما يشهد بعدم الصحّة معه، كذلك يمكن أن يقدّر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النصوص على أنّ يمين الولد والزوجة تخرجُ عن عالم التشريع، وتصير فاسدة مع معارضة الوالد والزوج، وأمّا بدونها وإنْ لم يأذنا، فهذه النصوص ساكتة عن حكمها، فيرجع فيه إلى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تقدير ذلك للشهرة والعمومات، وإنّ منشأ ذلك تقديم طاعة الوالد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التقدير حتّى لو اُريد وجود الزوج والوالد، وعلى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لا تكون النصوص ظاهرة في عدم الصحّة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مجملة، والمتيقّن منها ذلك، فيرجع فى غيره إلى العمومات المقتضية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لهذا القول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اليمين إيقاعٌ‌، وهو لا يقع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أنّها لا تقع موقوفة، بل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الأمر فيها كونها صحيحة لكن صحّة متزلزلة وأنّ للوالد والزوج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الأوّل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المصنّف وكذا غيره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فعل الواجب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ترك القبيح،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تجبُ الكفّارة بترك ما يجبُ فعله، أو فعل ما يجبُ تركه باليمين لا بالغموس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بأنّ‌النّص مطلقٌ‌، ولا دليل على إخراج هذا الفرد، وتعيّن الفعل عليه وجوداً وعدماً لا يقتضي ترتّب آثار انعقاد الحلف عليه في ترتّب الكفّارة على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في ذلك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والمحقّق السبزواري</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ضوئهما عرفت من أنّ غاية ما يُستفاد من الأخبار أنّ للزوج والوالد حَلّ اليمين، وإنّما يكون ذلك فيما لهما من الأمر به، ليكون طاعتهما مقدّمةً على وجوب العمل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موردٍ ليس لهما ذلك، ولا يجبُ إطاعتهما على الولد والزوجة، فلايكون مورداً للأخبار، والأمر بترك الواجب وفعل الحرام من هذا القبيل،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مختصّة بموردٍ لهما المعارضة، وفي الأمر بترك الواجب أو فعل الحرام ليس لهما المعارضة، فلا تشملها النصوص، ويكون من قبيل السالبة بانتفاء الموضوع،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الاستثناء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تجبُ الكفّارة بترك ما يجبُ فعله، أو فعل ما يجبُ تركه باليمين لا بالغَموس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الكلام فيه مستوفى في المسألة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أن يحلف إلّامع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يحلف إلّامع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نظير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الفاضل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شرحهما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العلم بما يحلف عليه من صومٍ أو صلاةٍ أو صدقةٍ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أن يكون المراد به العلم بوقوع ما يحلف عليه، لأنّ المستقبل لا يُعلم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باقي الفقهاء هذا الشرط، وإنّما ذكروه في اليمين المتوجّهة إلى المنكر، أو المدّعي مع الشاهد، وعليه تُحمل النصوص التي ذكرها المحدِّث الحُرّ العاملي في المقام كصحيح هشام بن سالم،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الرّجل إلّاعلى علمه</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تحمل على أنّ جواز اليمين على الماضي مشروطٌ بالعلم به، فلا يجوزُ الحلف عليه مع عدمه لكونه كذباً حينئذٍ</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مراد المصنّف رحمه الله ما أفاده الأعلام، فيردّه أنّه لا دليل عليه، فلو حلف على أن يفعل ما يقترحه صديقه مع العلم بالقدرة عليه، وواجديّته لسائر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6" w:name="pg11828_105028"/>
    </w:p>
    <w:p>
      <w:pPr>
        <w:pStyle w:val="BookText"/>
        <w:rPr/>
      </w:pPr>
      <w:bookmarkEnd w:id="156"/>
      <w:r>
        <w:rPr>
          <w:rFonts w:ascii="Amiri" w:hAnsi="Amiri" w:eastAsia="Amiri" w:cs="Amiri"/>
          <w:color w:val="111111"/>
          <w:sz w:val="28"/>
          <w:sz w:val="28"/>
          <w:szCs w:val="28"/>
          <w:rtl w:val="true"/>
          <w:lang w:bidi="ar-SA"/>
        </w:rPr>
        <w:t>وينعقدُ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أو باللّهِ‌، أو بربّ الكعبة، أو تاللّهِ‌، أو أيمُ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الشرائط، صَحّ وانعقد، وإنْ لم يعلم نوعه، وأنّه هل هو الصدقة أو الصوم أو غيرهما، لإطلاق الأدلّة، ولا قرينة لحمل النصوص المشار إليها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مراده الجزم بالعمل بمقتضى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متينٌ‌، وتشهد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يُؤاخِذُكُمْ بِما عَقَّدْتُمُ اَلْأَيْمانَ‌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يُؤاخِذُكُمْ بِما كَسَبَتْ قُلُوبُكُمْ‌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والعقد وكسب القلب عبارتان عن القصد الجزمي، ولا يبعدُ حمل النصوص على ذلك</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1131759_73709187"/>
      <w:bookmarkStart w:id="158" w:name="_Toc54"/>
      <w:bookmarkEnd w:id="157"/>
      <w:r>
        <w:rPr>
          <w:rtl w:val="true"/>
        </w:rPr>
        <w:t>بعض صيغ القسم</w:t>
      </w:r>
      <w:bookmarkEnd w:id="15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يعتبر في صيغة القَسَم الحَلف باللّه، ومع إسقاط اسمه جَلّ جلاله لا يصحّ ولا ينعقد، كما عرفت حكم 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وعدمه، وأنّ حروف القَسَم تقوم مقامها ونحو ذلك من المباحث المتعلّقة بصيغة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جملةٍ من الصيغ</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أيمن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أيمنُ اللّه تردّدٌ من حيث هو جمعُ يمين، ولعلّ الانعقاد أشبه لأنّه موضوع للقسم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اسمٌ لا حرف، خلافاً للزّجاج والرُّماني، واختلفوا في أنّه مفردٌ مشتقٌّ من اليمين، أو جمعُ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فالبصريّون على الأوّل، والكوفيّون على الثاني، وهمزته همزة وصلٍ على الأوّل، وقطعٍ على الثاني، واعتُرِض على القائل بجمعه بجواز كسر همزته وفتح ميمه، ولا يجوز مثل ذلك في الجمع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وأكلب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رحمه الله تردّد في انعقاد اليمين به، من حيث إنّه جمعُ يمينٍ على قولٍ‌، فالقسم به 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الآخر، فالقسمُ بوصفٍ من أوصاف اللّه، وهو يمينه وبركته لا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موضوعٌ للقَسَم عرفاً، والقسم بالوصف الذاتي للّه كالقسم به لكبرياء اللّه وعظمته 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جواز القَسَم به بعد تعارفه، وبعد دلالة النّص الصحيح على جواز القَسَم بأيمُ اللّه، الذي هو مقتضبٌ من أيمن تخفيفاً بحذف بعض حروفه وإبداله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الفاضل اللّغوي ابن آوى في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الكلمات إحدى وعشرين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لعَمر اللّه، أو أُقسمُ باللّه، أو أحلِفُ بربّ المُصحف،</w:t>
      </w:r>
    </w:p>
    <w:p>
      <w:pPr>
        <w:pStyle w:val="BookText"/>
        <w:rPr/>
      </w:pPr>
      <w:r>
        <w:rPr>
          <w:rFonts w:ascii="Amiri" w:hAnsi="Amiri" w:eastAsia="Amiri" w:cs="Amiri"/>
          <w:color w:val="111111"/>
          <w:sz w:val="28"/>
          <w:sz w:val="28"/>
          <w:szCs w:val="28"/>
          <w:rtl w:val="true"/>
          <w:lang w:bidi="ar-SA"/>
        </w:rPr>
        <w:t xml:space="preserve">أربع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وكسرها، مع ضَمّ النون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المكسورة والمفتوحة، والنون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 لغات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وكسرها، مع ضمّ الميم، وبفتح الهمزة مع فَتح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وضمّها، مع كسر الهمزة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والنون وفتحها وكسرها،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ففي 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لرجلٍ أن يحلف إلّاباللّه، فأمّا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شانيك، فإنّه قولُ أهل الجاهليّة، ولو حلف الناس بهذا أو أشباهه لترك الحلف باللّه، وأمّا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هنا ويا هناه، فإنّما ذلك لطلب الاسم، ولا أرى به بأساً،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هاهُ‌، فإنّما ذلك باللّه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ظهر أنّه ينعقد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لعَمر اللّه، أو أقسم باللّه، أو أحلف بربّ المُصحف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ورود الخبر في خصوص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وحقّ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وقوع القَسَم، بحقّ اللّه تعالى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وحقّ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وسبقهما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على ما حُكي عدم الوقوع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وغيرها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الحقّ مشتركٌ بين أُمور كثيرة، لا ينعقد بها اليمين، كالعبادات التي أمر بها لإطلاقه عليها في الخبر الذي سُئل فيه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على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يشركوا به شيئاً، ويعبدوه، ويقيموا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عرفت وقوع القَسَم بالألفاظ المشتركة بين اللّه تعالى وغيره إذا قصد بها اللّه تعالى‌، سيّما مع إقامة القرينة عليه، فالأظهر هو الوقوع، لأنّ الحقّ إذا اُضيف إلى اللّه تعالى كان وصفاً كسائر صفات ذاته، من العظمة والعِزّة ونحوهما 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قصد به للّه الحقّ والمستحقّ للإلهيّة دون ما إذا قصد به المعاني الاُولى‌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أنّه لا يعتبر العربيّة في القَسَم، وأنّه يتحقّق بجميع اللّغات</w:t>
      </w:r>
      <w:r>
        <w:rPr>
          <w:rFonts w:eastAsia="Amiri" w:cs="Amiri" w:ascii="Amiri" w:hAnsi="Amiri"/>
          <w:color w:val="111111"/>
          <w:sz w:val="28"/>
          <w:szCs w:val="28"/>
          <w:rtl w:val="true"/>
          <w:lang w:bidi="ar-SA"/>
        </w:rPr>
        <w:t>.</w:t>
      </w:r>
      <w:bookmarkStart w:id="159" w:name="pg11828_105033"/>
    </w:p>
    <w:p>
      <w:pPr>
        <w:pStyle w:val="BookText"/>
        <w:rPr/>
      </w:pPr>
      <w:bookmarkEnd w:id="159"/>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والعهود</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131761_73709187"/>
      <w:bookmarkStart w:id="161" w:name="_Toc55"/>
      <w:bookmarkEnd w:id="160"/>
      <w:r>
        <w:rPr>
          <w:rtl w:val="true"/>
        </w:rPr>
        <w:t>الفصل الثاني النذر</w:t>
      </w:r>
      <w:bookmarkEnd w:id="161"/>
    </w:p>
    <w:p>
      <w:pPr>
        <w:pStyle w:val="Heading4"/>
        <w:numPr>
          <w:ilvl w:val="3"/>
          <w:numId w:val="1"/>
        </w:numPr>
        <w:rPr/>
      </w:pPr>
      <w:bookmarkStart w:id="162" w:name="__RefHeading___Toc11131763_73709187"/>
      <w:bookmarkStart w:id="163" w:name="_Toc56"/>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والعهود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أوّلاً في النذر، ثمّ 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في الماضي، وبكسرها وضمّها في المضارع، فهو لغةً الوعد بخيرٍ أو شرّ، بشرطٍ أو مطلقاً هكذا ذكره جمعٌ‌</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على نفسه ما ليس بواحب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فمعناه الشرعي من مصاديق معناه اللّغوي، غاية الأمر جَعل له الشارع قيوداً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التزامُ قربةٍ لم يتعيّن أو مطلقاً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الالتزام بالفعل أو الترك على وجهٍ مخصوص،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التزام الكامل المسلم المختار غير المحجور عليه بفعلٍ أو تركٍ بقول اللّه تعالي‌، ناوياً القُربة،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164" w:name="pg11828_105034"/>
    </w:p>
    <w:p>
      <w:pPr>
        <w:pStyle w:val="BookText"/>
        <w:rPr/>
      </w:pPr>
      <w:bookmarkEnd w:id="164"/>
      <w:r>
        <w:rPr>
          <w:rFonts w:ascii="Amiri" w:hAnsi="Amiri" w:eastAsia="Amiri" w:cs="Amiri"/>
          <w:color w:val="111111"/>
          <w:sz w:val="28"/>
          <w:sz w:val="28"/>
          <w:szCs w:val="28"/>
          <w:rtl w:val="true"/>
          <w:lang w:bidi="ar-SA"/>
        </w:rPr>
        <w:t>ويُشترط في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والاختيار، والقصد،</w:t>
      </w:r>
    </w:p>
    <w:p>
      <w:pPr>
        <w:pStyle w:val="BookText"/>
        <w:rPr/>
      </w:pPr>
      <w:r>
        <w:rPr>
          <w:rFonts w:ascii="Amiri" w:hAnsi="Amiri" w:eastAsia="Amiri" w:cs="Amiri"/>
          <w:color w:val="111111"/>
          <w:sz w:val="28"/>
          <w:sz w:val="28"/>
          <w:szCs w:val="28"/>
          <w:rtl w:val="true"/>
          <w:lang w:bidi="ar-SA"/>
        </w:rPr>
        <w:t>والكلُّ ترجعُ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شرعيّته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والنصوص المتواترة الّتي ستمرّ عليك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131765_73709187"/>
      <w:bookmarkStart w:id="166" w:name="_Toc57"/>
      <w:bookmarkEnd w:id="165"/>
      <w:r>
        <w:rPr>
          <w:rtl w:val="true"/>
        </w:rPr>
        <w:t>بيان ما يعتبر في الناذر</w:t>
      </w:r>
      <w:bookmarkEnd w:id="166"/>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والاختيار، والقصد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اعتباره حديث رفع القلم</w:t>
      </w:r>
      <w:r>
        <w:rPr>
          <w:rStyle w:val="FootnoteAnchor"/>
          <w:rtl w:val="true"/>
        </w:rPr>
        <w:footnoteReference w:id="680"/>
      </w:r>
      <w:r>
        <w:rPr>
          <w:rFonts w:ascii="Amiri" w:hAnsi="Amiri" w:eastAsia="Amiri" w:cs="Amiri"/>
          <w:color w:val="111111"/>
          <w:sz w:val="28"/>
          <w:sz w:val="28"/>
          <w:szCs w:val="28"/>
          <w:rtl w:val="true"/>
          <w:lang w:bidi="ar-SA"/>
        </w:rPr>
        <w:t>عن الصَّبي والمجنون، الشامل لكلّ عبادةٍ ومعاملةٍ‌، ومن العبادات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 عبادات الصَّبي تمرينيّة محضة لا شرعيّة كعبادات المكلّفين، ولا مشروعة لمصلحة التمرين، فالأمر أوضح، وقد مرَّ الكلام في المبنى في كتاب الحجّ مفصّلاً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فإنْ‌اُريد به مايُقابل الإكراه، فيدلّ‌على اعتباره مادلّ‌عليرفع مااستكره عليه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اُريد به ما يقابل النسيان، فيدلّ على اعتباره ما دلّ على رفع النسيان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اُريد به ما يقابل الإلجاء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لمصلحته ونفعه، فلا دليل على اعتباره، لأنّ حديث الرفع الدالّ على رفع عدّة اُمور، منها ما اضطرّوا إليه، إنّما يكون في مقام الامتنان، ولا منّة في رفع الحكم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لذلك، فيدلّ عليه ما دلّ على رفع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اعتباره ما مرّ في اليمين الدالّ على اعتباره فيها، حتّى القصد بالمعنى الرابع الذي اعتبرناه في اليمين، وعليه بنينا على عدم انعقاد اليمين من الغضبان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في المقام الخبر الذي رواه محمّد بن بشير،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جَعلتُ للّه عليَّ أن لا أقبل من بني عمّي صِلة، ولا أخرج متاعي في سوق مِنى تلك الأيّام‌؟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جعلت ذلك شكراً ففِ به، وإنْ كنت إنّما قلت ذلك من غَضَبٍ فلا شيء عليك</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على اعتبار القصد، عدم صحّة النذر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والإسلام،</w:t>
      </w:r>
    </w:p>
    <w:p>
      <w:pPr>
        <w:pStyle w:val="BookText"/>
        <w:rPr/>
      </w:pPr>
      <w:r>
        <w:rPr>
          <w:rFonts w:ascii="Amiri" w:hAnsi="Amiri" w:eastAsia="Amiri" w:cs="Amiri"/>
          <w:color w:val="111111"/>
          <w:sz w:val="28"/>
          <w:sz w:val="28"/>
          <w:szCs w:val="28"/>
          <w:rtl w:val="true"/>
          <w:lang w:bidi="ar-SA"/>
        </w:rPr>
        <w:t>المُكرَه، وهذا يدلّ على ارادته من القصد ما يعمّ المعنى الرابع، فلا وجه للإيراد عليه بأنّ المكرَه لا طيب نفس له بمضمون الصيغة، لا أنّه غير قاصدٍ لمدلولها، وتمام الكلام في محلّه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الناذر، فلا يصحّ نذر الكافر، كما هو المشهور بين المتأخّرين من الأصحاب شهرة عظيمة‌؟</w:t>
      </w:r>
    </w:p>
    <w:p>
      <w:pPr>
        <w:pStyle w:val="BookText"/>
        <w:rPr/>
      </w:pPr>
      <w:r>
        <w:rPr>
          <w:rFonts w:ascii="Amiri" w:hAnsi="Amiri" w:eastAsia="Amiri" w:cs="Amiri"/>
          <w:color w:val="111111"/>
          <w:sz w:val="28"/>
          <w:sz w:val="28"/>
          <w:szCs w:val="28"/>
          <w:rtl w:val="true"/>
          <w:lang w:bidi="ar-SA"/>
        </w:rPr>
        <w:t xml:space="preserve">أم لا يعتبر، فيصحّ نذره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وتبعه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قوّةٍ إنْ لم يكن الإجماع على خلافه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مبنيّان على أنّ عبادات الكافر صحيحة أم لا؟</w:t>
      </w:r>
    </w:p>
    <w:p>
      <w:pPr>
        <w:pStyle w:val="BookText"/>
        <w:rPr/>
      </w:pPr>
      <w:r>
        <w:rPr>
          <w:rFonts w:ascii="Amiri" w:hAnsi="Amiri" w:eastAsia="Amiri" w:cs="Amiri"/>
          <w:color w:val="111111"/>
          <w:sz w:val="28"/>
          <w:sz w:val="28"/>
          <w:szCs w:val="28"/>
          <w:rtl w:val="true"/>
          <w:lang w:bidi="ar-SA"/>
        </w:rPr>
        <w:t>فعلى الأوّل يصحّ‌، وعلى الثاني لا يصحّ‌، وقد مرّ الكلام في المبنى في كتاب الحجّ‌</w:t>
      </w:r>
      <w:r>
        <w:rPr>
          <w:rStyle w:val="FootnoteAnchor"/>
          <w:rtl w:val="true"/>
        </w:rPr>
        <w:footnoteReference w:id="690"/>
      </w:r>
      <w:r>
        <w:rPr>
          <w:rFonts w:ascii="Amiri" w:hAnsi="Amiri" w:eastAsia="Amiri" w:cs="Amiri"/>
          <w:color w:val="111111"/>
          <w:sz w:val="28"/>
          <w:sz w:val="28"/>
          <w:szCs w:val="28"/>
          <w:rtl w:val="true"/>
          <w:lang w:bidi="ar-SA"/>
        </w:rPr>
        <w:t>، ولكن الأظهر هي الصحّة مطلقاً، لعدم كون النذر بنفسه من العبادات، ومراد القوم من اعتبار القُربة فيه كون الدّاعي إليه التسبّب به إلى إتيان متعلّقه قُربةً إلى اللّه تعالى‌، لما ستعرف من أنّه مكروه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مانع من صحّة نذر الكافر كيمينه،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فيه من جهة الإجماع في غير محلّه، إذ لم نظفر بمن تعرّض لحكم نذرِ الكافر نفياً أو إثباتاً قبل المصنّف والمحقّق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من التفصيل في اليمين بين كون الكافر معتقداً بالصانع وعدمه،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67" w:name="pg11828_105037"/>
    </w:p>
    <w:p>
      <w:pPr>
        <w:pStyle w:val="BookText"/>
        <w:rPr/>
      </w:pPr>
      <w:bookmarkEnd w:id="167"/>
      <w:r>
        <w:rPr>
          <w:rFonts w:ascii="Amiri" w:hAnsi="Amiri" w:eastAsia="Amiri" w:cs="Amiri"/>
          <w:color w:val="111111"/>
          <w:sz w:val="28"/>
          <w:sz w:val="28"/>
          <w:szCs w:val="28"/>
          <w:rtl w:val="true"/>
          <w:lang w:bidi="ar-SA"/>
        </w:rPr>
        <w:t>وإذن الزّوج والمولى في الزّوجة والعبد، في 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 هنا أيضاً لعين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في حال الكفر وخالف، ثمّ أسلَم، سَقَطتِ الكفّارة عنه، لأنّ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ووقتُ العمل باقٍ‌، فهل يَسقط وجوب الوفاء به، ولا تجبُ الكفّارة بالمخالفة، لعموم حديث الجُبّ‌</w:t>
      </w:r>
      <w:r>
        <w:rPr>
          <w:rStyle w:val="FootnoteAnchor"/>
          <w:rtl w:val="true"/>
        </w:rPr>
        <w:footnoteReference w:id="691"/>
      </w:r>
      <w:r>
        <w:rPr>
          <w:rFonts w:ascii="Amiri" w:hAnsi="Amiri" w:eastAsia="Amiri" w:cs="Amiri"/>
          <w:color w:val="111111"/>
          <w:sz w:val="28"/>
          <w:sz w:val="28"/>
          <w:szCs w:val="28"/>
          <w:rtl w:val="true"/>
          <w:lang w:bidi="ar-SA"/>
        </w:rPr>
        <w:t>، أم لا يسقط لانصرافه عن المقام‌؟</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وقد مرّ الكلام فيه مفصّلاً في كتاب الحَجّ‌</w:t>
      </w:r>
      <w:r>
        <w:rPr>
          <w:rStyle w:val="FootnoteAnchor"/>
          <w:rtl w:val="true"/>
        </w:rPr>
        <w:footnoteReference w:id="692"/>
      </w:r>
      <w:r>
        <w:rPr>
          <w:rFonts w:ascii="Amiri" w:hAnsi="Amiri" w:eastAsia="Amiri" w:cs="Amiri"/>
          <w:color w:val="111111"/>
          <w:sz w:val="28"/>
          <w:sz w:val="28"/>
          <w:szCs w:val="28"/>
          <w:rtl w:val="true"/>
          <w:lang w:bidi="ar-SA"/>
        </w:rPr>
        <w:t xml:space="preserve">، وعلى ذلك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من أنّه رُوي أنّ عمر قال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نذرتُ اعتكاف ليلة في الجاهليّة،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 بنذرك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محمولٌ على ظاهره من الوجوب، ولا وجه لحمله على الاستحباب، كما فيها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1131767_73709187"/>
      <w:bookmarkStart w:id="169" w:name="_Toc58"/>
      <w:bookmarkEnd w:id="168"/>
      <w:r>
        <w:rPr>
          <w:rtl w:val="true"/>
        </w:rPr>
        <w:t>اعتبار إذن الزوج</w:t>
      </w:r>
      <w:bookmarkEnd w:id="1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قيل باعتباره في صحّة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الزوج والمولى في الزوجة والعبد في 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المشهور بين الأصحاب، سيّما المتأخّرين كما قيل، </w:t>
      </w:r>
    </w:p>
    <w:p>
      <w:pPr>
        <w:pStyle w:val="BookText"/>
        <w:rPr/>
      </w:pPr>
      <w:r>
        <w:rPr>
          <w:rFonts w:ascii="Amiri" w:hAnsi="Amiri" w:eastAsia="Amiri" w:cs="Amiri"/>
          <w:color w:val="111111"/>
          <w:sz w:val="28"/>
          <w:sz w:val="28"/>
          <w:szCs w:val="28"/>
          <w:rtl w:val="true"/>
          <w:lang w:bidi="ar-SA"/>
        </w:rPr>
        <w:t>وألحق بذلك المصنّف في بعض كتبه</w:t>
      </w:r>
      <w:r>
        <w:rPr>
          <w:rStyle w:val="FootnoteAnchor"/>
          <w:rtl w:val="true"/>
        </w:rPr>
        <w:footnoteReference w:id="695"/>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فأوقفا نذره على إذن الأب كاليمين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لإلحاق النذر باليمين في هذا الحكم ليشمل الولد أيضاً، فمن يرى اعتبار إذن الزوج والوالد في صحّة اليمين وانعقادها يقول بذلك في المقام، ومن يرى عدم الاشتراط وإنّما لهما حَلّ اليمين، يلتزم في المقام بذلك أيضاً، بأنّ المراد باليمين في الأخبار ما يشمل النذر لإطلاقها عليه في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أُطلق فيهما في كلام الإمام عليه السلام اليمين على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جعل عليه أيماناً أن يمشي إلى الكعبة، أو صدقةً أو نذراً أو هدياً إنْ هو كلّم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معصية اللّه، إنّما اليمين الواجبة التي ينبغي لصاحبها أن يفي بها، ما جعل اللّه عليه في الشكر إنْ هو عافاه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شكراً، فهذا الواجب على صاحبه الذي ينبغي لصاحبه أن يفي به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السندي بن محمّد،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على نفسي مشياً إلى بيت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فانما جَعلت على نفسك يميناً وما جعلته للّه ففِ به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أُطلق فيها اليمين على النذر فى كلام الراوي، وقرّره المعصوم عليه السلام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مسعدة بن صدقة،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بالنذر ونيّته في يمينه التي حلف عليها درهم أو أقلّ؟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يجعل للّه فليس بشيء</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بن عليّ‌،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ليس لها منّي مكان ولا ناحية، وهي تحتمل الثمن، إلّا إنّي كنتُ حَلفت فيها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 ولي إلى ثمنها حاجة مع تخفيف المؤونة‌؟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السائي،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أتزوّج المتعة، فكرهتها وتشاءمتُ بها، فأعطيت اللّه عهداً بين الركن والمقام وجَعلتُ عليَّ في ذلك نذراً أو صياماً أن لا أتزوّجها، ثمّ إنّ ذلك شقَّ عليَّ‌، وندمتُ على يميني، ولم يكن بيدي من القوّة ما أتزوّج به في العلانية‌؟</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تطيعه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في تقريب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ثبت إطلاق اليمين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النذر، فإمّا أن يكون على سبيل الحقيقة أو المجاز والاستعارة، وعلى كلا التقديرين، فدلالة المعتبرين على المقصود واضحة، لكون النذر على الأوّل من جملة أفراد الحقيقة المتعيّنة، وعلى الثاني مشاركاً لها في الأحكام الشرعيّة، ومنها انتفائها عند عدم إذن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التأييد بالاستقراء والتتبّع التام الكاشف عن اشتراك النذر واليمين في كثيرٍ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المنشأ فيهما واحدٌ، وهو وجوب طاعة الزّوج، وكونه قيّماً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إذا لم يكن على وجه الحقيقة، لا وجه لاستفادة الحكم حينئذٍ، لعدم دلالة الإطلاق عليه والاستعمال فيه على كونه بلحاظ الحكم، كي يُدّعى أنّ مقتضى الإطلاق ثبوت جميع أحكامها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إنْ كان متضمّناً لتنزيل شيء منزلة آخر،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 كان مقتضى الإطلاق ثبوت جميع أحكام المنزّل عليه للمنزّل، وإنْ كان على وجه استعمال اللّفظ الموضوع لمعنى في معنى آخر مجازاً، ليترتّب عليه حكمٌ‌، لا يكون هناك تنزيلٌ وتشبيه حتّى يستدلّ بعموم المنزلة، وهذا واضحٌ جدّاً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التتبّع يشهد باختلافهما في كثيرٍ من الأحكام، كرجحان المتعلّق، ونيّة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لا يدلّ الاشتراك في جملةٍ من الأحكام على الاشتراك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لعدم كون العلّة منصوصة، بل هي 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دعوى الإلحاق بواسطة النصوص المتضمنّة للإطلاق عليه قريبة، فإنّ إطلاق اليمين على النذر في النصوص المُشار إليها وهي كثيرة من دون قرينةٍ دالّة عليه، كاشفٌ عن كون الموضوع له لها هو 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يكشف عن كون المراد بها عند الإطلاق هو المعنى الأعمّ‌، فتأمّل فإنّ في النفس مع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لاعتبار إذن الزوج في صحّة نذر الزوجة، الخبر الصحيح الذي رواه ابن سنان،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مع زوجها أمرٌ في عتقٍ ولا صدقةٍ ولا تدبيرٍ ولا هبةٍ ولا نذرٍ في مالها إلّابإذن زوجها، إلّافي حجّ أو زكاةٍ أو بِرّ والديها أو صلة رحمها</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ما لا نقول به من الاُمور المزبورة، والاستثناء الذي قد يقال بمنافاتها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الاستثناء من التصرّف في مالها، ولا ريب في جواز ذلك لها، بل وجوبه في الحجّ الواجب، والزّكاة الواجبة، وصلة الرّحم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العمل ببعض الخبر لمعارضته فيه بما هو أقوى سنداً أو دلالةً‌، لا يكون مانعاً عن العمل ببعضها الآخر الذي لا معارض له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نفي اليمين لها مع الزوج، بناءً على ما بيّناه من أنّها تدلّ على أنّ للزوج أن يحلّ اليمين بعد انعقادها، وبناءً على شمول اليمين للنذر، فالظاهر شمولها للمقام، كما لا يخفى‌، فله حَلّ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يحلّه، أو قلنا بأنّه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متعلّق النذر الرّجحان حين العمل، وهذا النذر لا رجحان لمتعلّقه في ظرف العمل، بل هو مرجوحٌ‌، لكونه منافياً لحقّ الزوج، فلا يجب عليها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النذر حين ما انعقد لم يكن هناك مانعٌ‌، وصار سبباً لوجوب العمل في ظرفه، وفي ظرف العمل ليس للزوج المنع عنه،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يصير المتعلّق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الرجحان إنّما هو رجحان العمل في نفسه، لا الرجحان حتّى بلحاظ الملازمات والمقارنات، والعملُ في الفرض راجحٌ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فالنذر منعقدٌ، ويجبُ العمل به، وليس للزّوج على هذا المبنى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وفي جملةٍ من الفروع المناسبة قد تقدّم في كتاب الحجّ في مبحث نذر الحجّ‌، فراجع</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70" w:name="pg11828_105043"/>
    </w:p>
    <w:p>
      <w:pPr>
        <w:pStyle w:val="BookText"/>
        <w:rPr/>
      </w:pPr>
      <w:bookmarkEnd w:id="170"/>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شُكرٌ،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المريض فللّه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زَجْرٌ،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محرّماً فللّه عَليَّ كذا، وإنْ لم أفعل الطاعة فللَّه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تبرّعٌ‌،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131769_73709187"/>
      <w:bookmarkStart w:id="172" w:name="_Toc59"/>
      <w:bookmarkEnd w:id="171"/>
      <w:r>
        <w:rPr>
          <w:rtl w:val="true"/>
        </w:rPr>
        <w:t>صيغة النذر وكيفيّة انعقاده</w:t>
      </w:r>
      <w:bookmarkEnd w:id="172"/>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إمّا بِرٌّ،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المريض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زَجْرٌ،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محرّماً فللّه عَليَّ كذا، وإنْ لم أفعل الطاعة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تبرّعٌ‌،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ينقسم إلى نذر بِرٍّ وطاعة، وإلى نذر لجاجٍ وزجر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ونذر البِرّ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مجازات، وهو أن يلتزم قُربةً في مقابلة حدوث نعمةٍ أو اندفاع بليّة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ونذر تبرّعٍ‌، أي التزامُ شيء ابتداءً من غير أن يعلّقه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واحدٍ من المزجور عنه والمُجازى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طاعة، أو معصية، أو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يكون مَنْ فَعَله أو فَعَل غيره أو خارجاً عنهما، لكونه من فِعل اللّه تعالى كشفاء المريض، ومتعلّقه إمّا فعلٌ أو ترك، فهذه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والجزاء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فللّه عَليَّ صوم يوم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وفّقني اللّه للصلاة صمتُ شُكراً، والزّجر عنها كذلك، إلّاأنّه قصد الزَّجر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الخَمر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لنفسه عنه، أو شكراً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والمايز القصد كذلك، فالأوّل منهما منعقدٌ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اُصلِّ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أشرب الخمر فللّه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قَصَد في الأوّل الزّجر، وفي الثاني الشُّكر على توفيقه له، انعقد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الأمر إنْ نفياً وإثباتاً،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أو لم آكل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حصوله، أو على كسر الشهوة، أو 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الأقسام كلّها في فعل الغير،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أقسامه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وضابط المنعقد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طاعةً وقَصَد بالجزاء الشكر، أو تركها وقَصَد الزَّجر، وبالعكس في المعصية وفيما خرج عن فعله يتصوّر الشكر دون الزَّجر، وفي المباح الرّاجح دِيناً يتصوّر الشكر، وفي المرجوح الزَّجر وعكسه </w:t>
      </w:r>
    </w:p>
    <w:p>
      <w:pPr>
        <w:pStyle w:val="BookText"/>
        <w:rPr/>
      </w:pPr>
      <w:r>
        <w:rPr>
          <w:rFonts w:ascii="Amiri" w:hAnsi="Amiri" w:eastAsia="Amiri" w:cs="Amiri"/>
          <w:color w:val="111111"/>
          <w:sz w:val="28"/>
          <w:sz w:val="28"/>
          <w:szCs w:val="28"/>
          <w:rtl w:val="true"/>
          <w:lang w:bidi="ar-SA"/>
        </w:rPr>
        <w:t>كالطاعة، وفي المتساوي الطرفين يتصوّر الأمران،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فلاناً فللّه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إنْ رَزَقني اللّه رؤيته فهو نذرُ بِرّ، وإنْ أراد كراهة رؤيته فهو نذر 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وإنْ كان مفيداً من حيث تشقيق صور المسألة، إلّاأنّه لم يبيّن الضابط الصحيح لما ينعقد، ولما لا ينعقد، ولم يذكر وجه الانعقاد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النذر إنْ كان واجباً أو مندوباً أو مباحاً، له فيه نفعٌ دنيوي، أو فعلُ الغير، أو الموجودات الخارجيّة الاُخر كذلك، أو كان ترك الحرام أو المكروه أو المباح أو فعل الغير أو الموجود الخارجي الذي له نفعٌ فيه، وجَعَل المنذور شكراً له انعقد، وإنْ جَعَله زجراً عنه، لم ينعقد، والفارق بين الشكر والزَّجر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عليه أيماناً أن يمشي إلى الكعبة، أو صدقة، أو نذراً، أو هدياً إنْ هو كلّم أباه أو اُمّه أو أخاه أو ذا رحمٍ‌، أو قطع قرابة، أو مأثماً يقيم عليه، أو أمراً لا يصلح له فَعَله‌؟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معصية اللّه، إنّما اليمين في الواجبة التي ينبغي لصاحبها أن يفي بها، ما جَعَل للّه عليه في الشكر إنْ هو عافاه اللّه من مرضه، أو عافاه من أمرٍ يخافه، أو رَدّ عليه ماله، أو رَدّه من سفرٍ، أو رَزَقه رزقاً،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وكذا شُكراً، فهذا الواجب على صاحبه الذي ينبغي لصاحبه أنْ يفي به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صريحٌ في اعتبار أن يكون ما يَجعل عليه للّه شُكراً، 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فِعْلُ محرّمٍ أو مكروهٍ‌، أو تركُ واجبٍ أو مندوبٍ‌، وجَعَل المنذور للّه عليه زجراً صحّ‌، وإنْ جَعَله شُكراً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صحّته شكراً، فلأنّه لا يقبل أن يجعل في مقابله شكراً، إذ الشكر إنّما يكون على النعمة أعمّ من الدنيويّة والاُخرويّة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تصدّقت بما لها على المساكين إنْ خرجت مع زوجها، ثمّ خرجت معه‌؟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 عن رجلٍ جعل عليه مشياً إلى بيت اللّه الحرام، وكلّ مملوكٍ له حُرّ إنْ خرج مع عمّته إلى مكّة، ولا تَكارى لها ولا صَحِبها؟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ليكاري لها وليخرج معها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صحّته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الإجماع عليها، والوجه فيها أنّ الزَّجر عن المعصية والمخالفة طاعة، فيشمله ما دلّ على انعقاد النذر إذا كان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الشرط تركُ مباحٍ‌، أو أمرٍ له فيه منفعة، فعدم صحّته شُكراً واضحٌ‌، لأنّه لا يكون قابلاً للشكر، ولا يتصوّر فيه الزَّجر، فلا ينعقد النذر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الشرط أمراً مباحاً متساوي الطرفين، ولا يعود نفعه إليه، وحاله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3" w:name="pg11828_105047"/>
    </w:p>
    <w:p>
      <w:pPr>
        <w:pStyle w:val="BookText"/>
        <w:rPr/>
      </w:pPr>
      <w:bookmarkEnd w:id="173"/>
      <w:r>
        <w:rPr>
          <w:rFonts w:ascii="Amiri" w:hAnsi="Amiri" w:eastAsia="Amiri" w:cs="Amiri"/>
          <w:color w:val="111111"/>
          <w:sz w:val="28"/>
          <w:sz w:val="28"/>
          <w:szCs w:val="28"/>
          <w:rtl w:val="true"/>
          <w:lang w:bidi="ar-SA"/>
        </w:rPr>
        <w:t>بالنسبة إليه سواءٌ من تلك الجهة، أو كان أمراً خارجيّاً كذلك، ولم يكن فيه نفعٌ عائدٌ إلى المجتمع، فالظاهر عدم صحّة النذر، لعدم قابليّة ذلك للشكر، هذا كلّه في نذر الشرط</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131771_73709187"/>
      <w:bookmarkStart w:id="175" w:name="_Toc60"/>
      <w:bookmarkEnd w:id="174"/>
      <w:r>
        <w:rPr>
          <w:rtl w:val="true"/>
        </w:rPr>
        <w:t>حكم نذر التبرّع</w:t>
      </w:r>
      <w:bookmarkEnd w:id="175"/>
    </w:p>
    <w:p>
      <w:pPr>
        <w:pStyle w:val="BookText"/>
        <w:rPr/>
      </w:pPr>
      <w:r>
        <w:rPr>
          <w:rFonts w:ascii="Amiri" w:hAnsi="Amiri" w:eastAsia="Amiri" w:cs="Amiri"/>
          <w:color w:val="111111"/>
          <w:sz w:val="28"/>
          <w:sz w:val="28"/>
          <w:szCs w:val="28"/>
          <w:rtl w:val="true"/>
          <w:lang w:bidi="ar-SA"/>
        </w:rPr>
        <w:t>وأمّا نذر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ينذر مبتدئاً بغير شرطٍ،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ففي انعقاده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الانعقاد، وهو اختيار 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وعليه الإجماع،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فأطلق نذرها ولم يذكر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عبدالملك بن عمرو، عن أبي عبداللّه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للّه عليه أن لا يركب مُحرّماً سمّاه فركبه‌؟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للّه عليَّ فكفّارة يمين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الأيمان والنذور واليمين التي هي للّه 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للّه عليه في طاعةٍ فليقضه، فإنْ جَعَل للّه شيئاً من ذلك ثمّ لم يفعل فليكفّر عن يمينه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الجمّال، عن أبي عبداللّه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جعلته للّه ففِ به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 خالد،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 نذران، فما كان للّه ففِ به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هو للّه طاعة يجعله الرّجل عليه، إلّاينبغي له أن يفي به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 المرتّبة للحكم على الصيغة المزبورة بدون الشرط</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للنصوص، لعدم ورودها في مقام البيان من هذه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وجوب الوفاء بكلا القسمين، وأنّ النذر الشرعي أعمٌّ من النذر اللّغوي، وحَصر الملزم في اليمين والعهد والنذر وإنْ كان تامّاً، إلّاأن المحصور فيه النذر الشرعي لا النذر اللّغوي،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تماميّة دلالة النصوص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النذر لغةً هو الوعد بشرط كما عن تغلب، والشرع نَزَل بلسانهم، والأصل عدم النقل</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وعدٌ بغير شرط، ولو سُلّم فقد المعارض من اللّغة، واتّفاق أهلها على ما ذكره، يعارض بالعرف المتقدّم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22"/>
      </w:r>
      <w:r>
        <w:rPr>
          <w:rFonts w:ascii="Amiri" w:hAnsi="Amiri" w:eastAsia="Amiri" w:cs="Amiri"/>
          <w:color w:val="111111"/>
          <w:sz w:val="28"/>
          <w:sz w:val="28"/>
          <w:szCs w:val="28"/>
          <w:rtl w:val="true"/>
          <w:lang w:bidi="ar-SA"/>
        </w:rPr>
        <w:t>فيه، بمنع معلوميّة كونه كذلك في زمن صدور الإطلاقات كتاباً وسنّةً‌، في غير محلّها لأنّه إذا كان لفظٌ بحسب المتفاهم العرفي ظاهراً في معنى فعلاً، يبنى على كونه كذلك في زمان الشارع للاستصحاب القهقري، المبنيّ عليه السيرة القطعيّة، وإلّا لزم التوقّف في العمل بالظهورات في كثيرٍ من المقامات، ولزم منه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بعض النصوص مطلق ليس فيه كلمة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هذا الوجه، دعوى الإجماع،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منصور بن حازم،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المشي إلى بيت اللّه، وهو مُحْرِمٌ بحجّةٍ‌، أو عليَّ هَديُ كذا وكذا،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أحرم بحجّةٍ‌،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وكذا إن لم أفعل كذا وكذا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عليه أيماناً أن يمشي إلى الكعبة، أو صدقة أو نذراً، أو هدياً إنْ هو كلّم أباه أو اُمّه أو أخاه أو ذا رحمٍ‌، أو قطع قرابةً‌، أو مأثماً يقيم عليه، أو أمراً لا يصلح له فعله‌؟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معصية اللّه، إنّما اليمين الواجبة التي ينبغي لصاحبها أن يفي بها، ما جَعَل للّه عليه في الشكر إنْ هو عافاه اللّه من مرضه، أو عافاه من أمرٍ يخافه، أو رَدّ عليه ماله، أو رَدّه في سفر، أو رَزَقه رزقاً،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وكذا الشكر، فهذا الواجب على صاحبه الذي ينبغي لصاحبه أن يفي به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الأوّل بمفهوم الشرط، والثاني بمفهوم الحَصر يدلّان على عدم صحّة النذر غير المعلّق على شرط، وبهما يقيّد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منهما بيان لزوم ذكر اللّه تعالى في النذر، وعدم تعلّقه بالمحرّم، لا لزوم التعليق، فلا عِبرة بمفهومهما، مع احتمال ورود التعليق فيهما مورد الغالب، فإنّ الغالب في النذر ذلك لا المطلق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القيد على الغالب لا لبيان خصوصيّة في الحكم خلاف الظاهر، لا يُصار إليه إلّامع القرينة، ولو كان المقصود منهما خصوص ما أشار إليه لما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وجهٌ لذكر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الإيراد على الاستدلال بهما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القيد في الصحيح يحتمل أن يكون راجعاً إلى الجملة الثانية، بل قد يقال إنّ الظاهر منه ذلك، وعليه فهو يدلّ على القول الأوّل لا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بقرينة السؤال واردٌ في مقام بيان أنّ النذر لشُكرٍ إنّما هو فيما كان قابلاً لأن يُشكر عليه، فمفهومه عدم صحّة النذر لشكر إذا كان الشرط غير قابلٍ لذلك، فهو أجنبيٌّ عن لزوم التعليق، بل لعلّ نذر الشكر أعمٌّ من المعلّق، كما لو أنعم اللّه تعالى على إنسانٍ نعمة، ويريد شكرها بنذرِ بعض العبادات، ففي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أنعم اللّه عليه نعمةً إمّا أن يكون مريضاً أو ابتلاه ببليّةٍ فعافاه من تلك البليّة، فَجَعَل على نفسه أن يُحرِم بخراسان كان عليه أن يُتمّ‌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هذا الخبر كالصريح في صحّة النذر غير المعلّق، لفرض كون الشرط فيه متحقّقاً قبل النذر، فلا ينبغي التوقّف في صحّة نذر التبرّع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6" w:name="pg11828_105052"/>
    </w:p>
    <w:p>
      <w:pPr>
        <w:pStyle w:val="BookText"/>
        <w:rPr/>
      </w:pPr>
      <w:bookmarkEnd w:id="176"/>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ولم يَقُل للّه لم يَجِب</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131773_73709187"/>
      <w:bookmarkStart w:id="178" w:name="_Toc61"/>
      <w:bookmarkEnd w:id="177"/>
      <w:r>
        <w:rPr>
          <w:rtl w:val="true"/>
        </w:rPr>
        <w:t>اعتبار النُطق باسم اللّه تعالى</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النذر، النطق باسم اللّه تعالى‌،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ولم يَقُل للّه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ابن حمزة</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 إنْ 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الوفاء ولا كفّارة،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الوفاء، لا ينافي ذلك،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بنائه على عدم صحّة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الشيخين</w:t>
      </w:r>
      <w:r>
        <w:rPr>
          <w:rStyle w:val="FootnoteAnchor"/>
          <w:rtl w:val="true"/>
        </w:rPr>
        <w:footnoteReference w:id="728"/>
      </w:r>
      <w:r>
        <w:rPr>
          <w:rFonts w:ascii="Amiri" w:hAnsi="Amiri" w:eastAsia="Amiri" w:cs="Amiri"/>
          <w:color w:val="111111"/>
          <w:sz w:val="28"/>
          <w:sz w:val="28"/>
          <w:szCs w:val="28"/>
          <w:rtl w:val="true"/>
          <w:lang w:bidi="ar-SA"/>
        </w:rPr>
        <w:t>، والقاضي</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الانعقاد بمجرّد النيّة من دون ذكر شيء أصلاً، فهو أيضاً خلافٌ في مسألة اُخرى‌، وهي أنّه هل يُكتفى في انعقاد النذر بالبناء القلبي والاعتبار النفساني، أم يعتبر التلفّظ بألفاظ مُعرِبة عمّا في الضمير؟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النذر جعل العمل للّه على نفسه، وإلّا فلا يصحّ‌، والنصوص الدالّة عليه كثيرة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منصور بن حازم المتقدّم، بناءً على ما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نذر؟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النذر بشيء حتّى يُسمّي شيئاً للّه صياماً أو صدقةً أو هَدْياً أو حَجّاً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ركعتين اُصلّيهما في السفر والحضر، فأُصلّيهما في السفر بالنهار؟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الإيجاب أن يوجب الرّجل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أجعلهما للّه عليَّ إنّما جَعلتُ ذلك على نفسي اُصلّيهما شكراً للّه، ولم أوجبهما على نفسي، أفأدعهما إذا شئتُ؟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يقل للّه عليَّ فليس بشيء</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تواتر من أنّ مناط الوجوب تعليق النذر بقول للّه،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خصوص لفظ الجلالة، كما عن الأكثر، أم يكتفي بأحد أسمائه الخاصّة، كما في اليمين،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لما عرفت في اليمين من أنّ الاسم بما أنّه مُعرِبٌ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المسمّى‌، فكلّ اسمٍ اُخذ في الموضوع ظاهرٌ في نفسه في كون المراد المسمّى، بلا خصوصيّة لهذا الاسم،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يُسمّى شيئاً للّه، ظاهرٌ في إرادة أنّ النذر حقيقته تمليك العمل لذاته المقدّسة، سواءٌ ذكر ذلك بلفظ الجلالة أو بغيره من أسمائه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فينعقد النذر وإن أبدل لفظ الجلالة بمرادفه من الألفاظ غير العربيّة،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وبنى في نفسه أنّه إنْ كان كذا فللّه تعالى كذا، ولم يتلفّظ باسمه تعالى‌، بل نواه في ضميره خاصّة،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أشهرهما بين المتأخّرين، وفاقاً للإسكافي</w:t>
      </w:r>
      <w:r>
        <w:rPr>
          <w:rStyle w:val="FootnoteAnchor"/>
          <w:rtl w:val="true"/>
        </w:rPr>
        <w:footnoteReference w:id="737"/>
      </w:r>
      <w:r>
        <w:rPr>
          <w:rFonts w:ascii="Amiri" w:hAnsi="Amiri" w:eastAsia="Amiri" w:cs="Amiri"/>
          <w:color w:val="111111"/>
          <w:sz w:val="28"/>
          <w:sz w:val="28"/>
          <w:szCs w:val="28"/>
          <w:rtl w:val="true"/>
          <w:lang w:bidi="ar-SA"/>
        </w:rPr>
        <w:t>والحِلّي</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739"/>
      </w:r>
      <w:r>
        <w:rPr>
          <w:rFonts w:ascii="Amiri" w:hAnsi="Amiri" w:eastAsia="Amiri" w:cs="Amiri"/>
          <w:color w:val="111111"/>
          <w:sz w:val="28"/>
          <w:sz w:val="28"/>
          <w:szCs w:val="28"/>
          <w:rtl w:val="true"/>
          <w:lang w:bidi="ar-SA"/>
        </w:rPr>
        <w:t>، والقاضي</w:t>
      </w:r>
      <w:r>
        <w:rPr>
          <w:rStyle w:val="FootnoteAnchor"/>
          <w:rtl w:val="true"/>
        </w:rPr>
        <w:footnoteReference w:id="740"/>
      </w:r>
      <w:r>
        <w:rPr>
          <w:rFonts w:ascii="Amiri" w:hAnsi="Amiri" w:eastAsia="Amiri" w:cs="Amiri"/>
          <w:color w:val="111111"/>
          <w:sz w:val="28"/>
          <w:sz w:val="28"/>
          <w:szCs w:val="28"/>
          <w:rtl w:val="true"/>
          <w:lang w:bidi="ar-SA"/>
        </w:rPr>
        <w:t>، وابن حمزة</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ينعقد، ووجبَ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في الأصل وَعْدٌ بشرطٍ أو بدونه، والوعد لفظي، والأصل عدم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المتبادر من النذر في العرف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وبالشكّ في كون المجرّد عن اللّفظ نذراً حقيقيّاً أُمرنا بالوفاء به شرعاً، ومعه لايمكن الخروج من الأصل القطعى السليم بحسب الظاهر عمّا يصلح للمعارضة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79" w:name="pg11828_105055"/>
    </w:p>
    <w:p>
      <w:pPr>
        <w:pStyle w:val="BookText"/>
        <w:rPr/>
      </w:pPr>
      <w:bookmarkEnd w:id="17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وبظواهر النصوص المتقدّمة، الدالّة على اعتبار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يرجع إليه مع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النذر كسائر عناوين العقود والإيقاعات من مقولة المعنى، ومن الاعتبارات النفسانيّة، وكذلك الوعد، غاية الأمر أنّ الوعد إنْ كان مع غير اللّه، لابدّ وأن يُظهر ليعرف ذلك الشخص، وإنْ كان مع اللّه العالم بالضمائر، فلا يعتبر ذلك فيه، مع أنّ دليل مشروعيّة النذر لايختصّ بما تضمّن هذا اللّفظ، بل هو مشروعٌ بعنوان جعل شيء للّه تعالى‌، وكون الجعل من مقولة المعنى أوضح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التبادر بعد كون اللّفظ كاشفاً 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الأدلّة يرفع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في مقام بيان اعتبار الجعل للّه تعالى‌، وأنّه لا يكفي الجعل المطلق، وإنّما ذُكر التسمية والتلفّظ تبعاً للنذور الغالبة حيث إنّها ملفوظة لا منويّة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قوّة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والتسالم على اعتبار المُظهِر في العقود والإيقاعات وإنْ كان لا كلام فيه، ولذلك بنينا على اعتباره فيها، إلّاأنّه إنّما يعتبر ليكون دالّاً على الإعلام عمّا في الضمير، والعقد هنا مع اللّه تعالى العالم بالسَّرائر، فلا يعتبر فيه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1131775_73709187"/>
      <w:bookmarkStart w:id="181" w:name="_Toc62"/>
      <w:bookmarkEnd w:id="180"/>
      <w:r>
        <w:rPr>
          <w:rtl w:val="true"/>
        </w:rPr>
        <w:t>عدم اعتبار قصد القُربة في النذر</w:t>
      </w:r>
      <w:bookmarkEnd w:id="18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كلماتهم باعتبار القُربة في النذر،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الخلاف في أنّ المراد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هو صدور النذر عن قصد القُربة، بجعلها غايةً للفعل، بأن يقول بعد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كسائر العبادات‌؟</w:t>
      </w:r>
    </w:p>
    <w:p>
      <w:pPr>
        <w:pStyle w:val="BookText"/>
        <w:rPr/>
      </w:pPr>
      <w:r>
        <w:rPr>
          <w:rFonts w:ascii="Amiri" w:hAnsi="Amiri" w:eastAsia="Amiri" w:cs="Amiri"/>
          <w:color w:val="111111"/>
          <w:sz w:val="28"/>
          <w:sz w:val="28"/>
          <w:szCs w:val="28"/>
          <w:rtl w:val="true"/>
          <w:lang w:bidi="ar-SA"/>
        </w:rPr>
        <w:t>أم يكون المراد بها جعل العمل المنذور للّه تعالى؟</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بنيّة القُربة أن يقصد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معناه، بمعنى أنّه لا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يقصد به معناه، وإلّا فالقُربة حاصلة من جعله للّه، ولا يشترط معه أمرٌ آخر كما قرّرناه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الصيغة أنّ القُربة المعتبرة في النذر إجماعاً، لا يشترط كونها غايةً للفعل كغيره من العبادات، بل يكفي تضمّن الصيغة لها، وهو هنا موجودٌ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وإنْ لم يتبعها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 أو للّه،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صرّح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على ما حُكي، وجعله أقرب،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الصيغة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بالمنذور وإنْ كان النذر مجّاناً اتّفاقاً، للأصل والنصوص، ويعطيها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ولا حاجة إلى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المستفاد من النصوص، أنّه يكفي في القُربة ذكر لفظ الجلالة مع النيّة، من غير اشتراط جعل القُربة غايةً بعد الصيغة، فلا يحتاج بعدها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وبه صرّح الشهيدان</w:t>
      </w:r>
      <w:r>
        <w:rPr>
          <w:rStyle w:val="FootnoteAnchor"/>
          <w:rtl w:val="true"/>
        </w:rPr>
        <w:footnoteReference w:id="749"/>
      </w:r>
      <w:r>
        <w:rPr>
          <w:rFonts w:ascii="Amiri" w:hAnsi="Amiri" w:eastAsia="Amiri" w:cs="Amiri"/>
          <w:color w:val="111111"/>
          <w:sz w:val="28"/>
          <w:sz w:val="28"/>
          <w:szCs w:val="28"/>
          <w:rtl w:val="true"/>
          <w:lang w:bidi="ar-SA"/>
        </w:rPr>
        <w:t>وغيرهما خلافاً لنادر</w:t>
      </w:r>
      <w:r>
        <w:rPr>
          <w:rStyle w:val="FootnoteAnchor"/>
          <w:rtl w:val="true"/>
        </w:rPr>
        <w:footnoteReference w:id="750"/>
      </w:r>
      <w:r>
        <w:rPr>
          <w:rFonts w:ascii="Amiri" w:hAnsi="Amiri" w:eastAsia="Amiri" w:cs="Amiri"/>
          <w:color w:val="111111"/>
          <w:sz w:val="28"/>
          <w:sz w:val="28"/>
          <w:szCs w:val="28"/>
          <w:rtl w:val="true"/>
          <w:lang w:bidi="ar-SA"/>
        </w:rPr>
        <w:t>فاشتراطه ووجهه مع ندرته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كلماتهم المتّفقة على عدم اعتبار قصد الامتثال في إجراء الصيغة، وأنّ المعتبر جعل العمل للّه، وتمليكه إيّاه، وليس في كلماتهم تشويشٌ‌، ومرجع الجميع إلى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لاعتبارها بالمعنى الأوّل في النذر، وبعبارة اُخرى كون النذر من العبادات،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النذر وهي قول الناذر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 فإنّ مفاده الالتزام بالترك أو الفعل للّه تعالى‌، وليست القربة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كون فعلٍ للّه تعالى بمعنى قصد امتثال الأمر به والتقرّب به إليه تعالى‌، وبين كونه له بحيثُ يصير اللّه تعالى مالكاً لذلك الفعل بالمعنى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عليه صيغة النذر، هو الثاني، وقصد القُربة الموجب لكون العمل عبادةً هو الأوّل،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جملةٍ من النصوص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وجه اللّه عزّ وجلّ فليس بشي</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عليَّ المشي إلى بيت اللّه وهو مُحْرِمٌ بحجّة، أو عليَّ هديُ كذا وكذا،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أحرم بحجّة،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وكذا إن لم أفعل كذا وكذا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تعالى ركعتين اُصلّيهما في السَّفر والحَضر، أفأُصلّيهما في السَّفر بالنهار؟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الأخبار المذكورة كصحيح منصور تدلّ على عدم انعقاد النذر إلّاأن يقول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وجملةٌ منها كموثّق إسحاق تدلّ على انعقاد النذر إذا كان متعلّقه الطاعة، وجملة منها كصحيح الحلبي تدلّ على اعتبار أن يكون النذر له تعالى لا لغيره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اعتبار نيّة القُربة في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يستدلّ على عدم اعتبارها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فإنّه يشكّ في اعتبارها وعدمه، والأصل يقتضي عدمه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النذر، بناءً على ما هو الحقّ من إمكان أخذ قصد القربة في متعلّق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هو القول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حكاه جماعة</w:t>
      </w:r>
      <w:r>
        <w:rPr>
          <w:rStyle w:val="FootnoteAnchor"/>
          <w:rtl w:val="true"/>
        </w:rPr>
        <w:footnoteReference w:id="754"/>
      </w:r>
      <w:r>
        <w:rPr>
          <w:rFonts w:ascii="Amiri" w:hAnsi="Amiri" w:eastAsia="Amiri" w:cs="Amiri"/>
          <w:color w:val="111111"/>
          <w:sz w:val="28"/>
          <w:sz w:val="28"/>
          <w:szCs w:val="28"/>
          <w:rtl w:val="true"/>
          <w:lang w:bidi="ar-SA"/>
        </w:rPr>
        <w:t>وهو كالثالث، إلّاأنّه أطلق فيه جواز نذر المباح في الشقّ الثاني، وقال بصحّته مطلقاً، ولو كان متساوي الطرفين، ولم يظفر الفقهاء بقائله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النصوص الدالّة على لزوم جعل المنذور للّه تعالى‌، إذ لا معنى لجعل العمل المباح، فضلاً عن المكروه والحرام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إتيان عملٍ شكراً على نعمةٍ مثلاً، إنّما يصحّ إذا كان في نفسه مطلوباً له تعالى‌، كي يكون قابلاً لأن يشكر به، والمباح غير قابلٍ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هو للّه طاعة يجعله الرّجل عليه، إلّاينبغي له أن يفي به، وليس من رجلٍ جعل للّه عليه مشياً في معصية اللّه، إلّاأنّه ينبغي له أن يتركه إلى طاعة اللّه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بناءً‌على أنّ‌المراد ممّا في صدره التحديد عليوجهٍ يكون جميع قيوده 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النذر بشيء حتّى يُسمّي شيئاً للّه صياماً أو صدقةً أو هَدْياً أو حجّاً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وموثّق سماعة 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يسمّي شيئاً ويقول عليَّ صومٌ للّه، أو يتصدّق أو يعتق أو يَهدي هدياً، فإنْ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أهدي هذا الطعام، فليس هذا بشيء، إنّما تهدى البدن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وذيل هذا الخبر كالصريح في أنّ النذر ليس بنفسه من الموجبات لتعلّق الأمر بشيء، وإنّما هو ملزمٌ لما أمر به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لصحة نذر المباح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بعمومات الوفاء بالنذر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وبطائفة من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عليّ‌،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جاريةٍ حَلَف منها بيمين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بقولك</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والبيع مباح إذا لم يقترن بعوارض مرجّحة، وإطلاقه أعمّ من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آخر</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أبي العلاء، عن مولانا الصادق، عن أبيه عليهما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نذرت أن تُقاد مزمومة بزمام في أنفها، فوقع بعيرٌ فخرم أنفها فأتت عليّاً عليه السلام تخاصم فأبطله،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نذرتِ للّه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المباح المقترن بما يقتضي رجحانه في الدين، كالأكل للتقوّي للعبادة، هل حكمه حكم الراجح لنفسه ليجوز نذره، أم يكون حكمه حكم المباح المتساوي الطرفين فلا يجوز؟</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إنْ لم يكن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عساه يظهر من نفي الإشكال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الإشكال في انعقاد النذر على المباح المقترن بما يقتضي رجحانه في الدين كالأكل للتقوّي للعبادة مثلاً، لظهور النصوص والفتاوى في العبادات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يدّعي الشهرة على عدم انعقاد النذر المتعلّق بالمباح، ولو كان راجحاً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فالحقّ أن يقال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المباح المقترن بما يقتضي رجحانه، إنْ كان من قبيل ما لو كان العنوان الراجح منطبقاً على نفس ذلك المباح، ولم يكن له وجودٌ خارجيٌ سوى وجود ذلك المباح، انعقد النذر قطعاً، فيما إذا قَصَد ذلك العنوان، فإنّ المتعلّق حينئذٍ هو الأمر الراجح الديني لا المباح، لعدم الفرق في ذلك بين كون الفعل راجحاً بالعنوان الأوّلي، أم كان من العناوين الثانويّة، وإنْ كان له وجودٌ خارجي ممتازٌ عن وجود المباح، لم يصحّ نذر المباح، بل يصحّ نذر نفس ذلك العنوان، ولا يخفى أنّ غاية ما يستفاد من النصوص اعتبار كون المنذور راجحاً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كونه أرجح من غيره، أو عدم كونه مرجوحاً بالنسبة إلى آخر، أو كون أوصافه ومشخّصاته راجحة، فلا دليل على شيء من ذلك، فلو نَذَر الصلاة في مكانٍ معيّن، بحيث كان النذر متعلّقاً بالصلاة في ذلك المكان، لا بخصوصيّةٍ إيقاعها فيه، أو الصلاة في زمانٍ خاصٍ كذلك، أو نَذَر الصّدقة بمالٍ مخصوص، أو نَذَر إيقاع صلاته في مسجد المحلّة مع إمكان إيقاعها في المسجد الجامع وما شاكل، صَحّ النذر وانعقد، ويجب الخصوصيّات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دعوى أنّ المستحبّ هو الصلاة المطلقة، أو الصدقة كذلك، أو إيقاع الصلاة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خصوصيّة المال والمكان فمباحة، فكما لا ينعقد ولو خلصت الإباحة، فكذا إذا تضمّنها النذر فإنّها تندفع بأنّ المنذور هو الفعل المقيّد على نحو دخول التقيد وخروج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التوأمة من الطبيعة لتلك الخصوصيّات، والحصّة التوأمة متمحّضة في الرجحان، وإنْ كانت حصّة اُخرى أرجح منها، وعليه فيتعيّن عليه الإتيان بذلك المقيّد، فلو أتى بغير تلك الحصّة لم يمتثل أمر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نَذَر إيقاع صلاة الظهر في محلّ خاص، سواءٌ نذر الإتيان بها فيه، أو بخصوصيّة المحلّ‌، فصلّى في غيره، فإنّه لا إشكال في كونه حانثاً للنذر، فهل يصحّ صلاته ويسقط الأمر بالظهر؟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ذلك، فإنّ الأمر بالشيء لا يقتضي النهي عن ضدّه، فالفرد الآخر من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أيضاً من مصاديق الطبيعة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أتى به، وإنْ كان له أمرٌ آخر، ولكنّه لا يقتضي النهي عمّا أتى به، فيصحّ لو قصد به الأمر بالطبيعة </w:t>
      </w:r>
      <w:bookmarkStart w:id="182" w:name="pg11828_105063"/>
    </w:p>
    <w:p>
      <w:pPr>
        <w:pStyle w:val="BookText"/>
        <w:rPr/>
      </w:pPr>
      <w:bookmarkEnd w:id="182"/>
      <w:r>
        <w:rPr>
          <w:rFonts w:ascii="IRNazanin" w:hAnsi="IRNazanin" w:eastAsia="IRNazanin"/>
          <w:color w:val="111111"/>
          <w:sz w:val="28"/>
          <w:sz w:val="28"/>
          <w:szCs w:val="28"/>
          <w:rtl w:val="true"/>
          <w:lang w:bidi="fa-IR"/>
        </w:rPr>
        <w:t>مقدوراً للناذر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محذور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يندفع بأنّه يمكن أن يكون الشخص بحيث لا ينبعث من أمرٍ واحد، وينبعثُ لو تأكّد ذلك، بل فحين ينبعث من أمرٍ واحد لا إشكال في أنّ باعثيّة الأمرين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محذور من هذه الناحية أيضاً، فيصحّ نذر الواجب أو المستحبّ بلا إشكال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1131777_73709187"/>
      <w:bookmarkStart w:id="184" w:name="_Toc63"/>
      <w:bookmarkEnd w:id="183"/>
      <w:r>
        <w:rPr>
          <w:rtl w:val="true"/>
        </w:rPr>
        <w:t>اعتبار كون المتعلّق مقدوراً</w:t>
      </w:r>
      <w:bookmarkEnd w:id="18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اعتبار أن يكون 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 للناذر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فلاينعقد على غير المقدور عقلاً كاجتماع النقيضين، ولا غير المقدور عادةً كالصعود إلى السّماء، وإنّما يعتبر ذلك حين العمل، ولا عبرة بالقدرة حين النذر، فإن كان النذر موقّتاً يعتبر القدرة في الوقت، وإنْ كان مطلقاً يعتبر القدرة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أنّه لو كان قادراً حين النذر، ولكن تجدّد العجز حين العمل، سقط التكليف به عنه، ولا حنث ولا كفّارة عليه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مضافاً إلى وضوحه، من جهة اعتبار القدرة في متعلّق التكليف، وعدم حصول الحنث بترك غير المقدور، وعدم ثبوت الكفّارة، لأنّها مترتّبة على الحنث والمخالفة، يشهد به الخبر المنجبر ضعفه بصفوان، وعمل الأعيان، عن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للّه شيئاً فبلغ جُهده، فليس عليه شيء</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وسيأتي تمام الكلام في ذلك عند تعرّض المصنّف رحمه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ألف سنةٍ‌، أو حَجّ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البطلان لتعذّره عادةً‌، والصحّة لإمكان بقائه بالنظر إلى قدرة اللّه تعالى‌، ووجوب المنذور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القدرة على متعلّق النذر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البقاء فيستصحب، فيجبُ عليه العمل بمقتضاه، غاية الأمر إنْ مات وكان قد خالف النذر، لا كفّارة عليه، لانكشاف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كون ذكر الألف للمبالغة، والمراد به مدّة عمره، كما إذا نذر صوم الدّهر، فإنّه يجبُ عليه صوم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المنذور عبادات متعدّدة، فيجبُ الممكنة منها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تقوية الأخير،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مبنى البطلان على كون المنذور عبادة واحدة، وهو ممنوعٌ‌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لأنّ احتمال كون المنذور متعدّداً، يدفعه ظاهر الدليل، فإنّ النذر واحدٌ، والمنذر هو المجموع، وكونه في نفسه مركّباً من عبادات متعدّدة، كلّ واحدة منها متعلّقة لأمرٍ واحد غير مربوط بما يكون متعلّقاً بالأفراد الاُخر، لاينافي تعلّق أمرٍ واحدٍ آخر بالمجموع، بحيث يكون كلّ واحد منهما جزءاً من هذا المأمور به لا مستقلّاً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5" w:name="pg11828_105065"/>
    </w:p>
    <w:p>
      <w:pPr>
        <w:pStyle w:val="BookText"/>
        <w:rPr/>
      </w:pPr>
      <w:bookmarkEnd w:id="185"/>
      <w:r>
        <w:rPr>
          <w:rFonts w:ascii="Amiri" w:hAnsi="Amiri" w:eastAsia="Amiri" w:cs="Amiri"/>
          <w:color w:val="111111"/>
          <w:sz w:val="28"/>
          <w:sz w:val="28"/>
          <w:szCs w:val="28"/>
          <w:rtl w:val="true"/>
          <w:lang w:bidi="ar-SA"/>
        </w:rPr>
        <w:t>واحتمال كون ذكر الألف للمبالغة، خلاف ظاهر العبارة، وإنّما نلتزم بنذر صوم مدّة العمر لو نذر صوم الدهر، لانصرافه إلى دهر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البقاء إلى ألف سنة بقدرة اللّه تعالى‌، لا ينافي العلم العادي المانع عن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فالاحتمال الأوّل هو الأقوى‌</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1131779_73709187"/>
      <w:bookmarkStart w:id="187" w:name="_Toc64"/>
      <w:bookmarkEnd w:id="186"/>
      <w:r>
        <w:rPr>
          <w:rtl w:val="true"/>
        </w:rPr>
        <w:t>حكم ما لو كان المنذور ترك المحرّم أو المكروه</w:t>
      </w:r>
      <w:bookmarkEnd w:id="18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يتعرّضوا في المقام صريحاً لحكم ما لو كان المنذور ترك الحرام أو المكروه بل ظاهر كلماتهم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فضابطه أن يكون طاعة مقدوراً للناذر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إذاً يختصّ بالعبادات كالحجّ والصوم والصلاة والهَدي والصدقة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ونحوها ممّا هو مأمورٌ به واجباً أو مندوباً على وجهٍ يكون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 ما كان طاعةً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مأموراً بها وجوباً أو استحباباً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بالطّاعة ما يشتمل على القُربة من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عباراتهم الموهمة لذلك، لكنّهم في مسائل العتق في مسألة ما لو نَذَر أن لا يبيع مملوكاً، صرّحوا بانعقاد النذر إنْ كان عدم البيع راجحاً، فيُستكشف من ذلك أنّ مرادهم بالطّاعة في المقام، هو موافقة الوظيفة المجعولة تركاً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فيشهد لصحّة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وإلى ما دلّ على أنّ الضابط كونه طاعة، الشاملة لترك المحرّم أو المكروه كما مرّ، ويشعر به جَعْلُ ذلك في مقابل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 الكناني المتقدّم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هو للّه تعالى طاعة يجعله الرّجل عليه، إلّاينبغي له أن يفي به، وليس من رجلٍ جَعَل للّه عليه شيئاً في معصية اللّه تعالى، إلّاأنّه ينبغي له أن يتركه إلى طاعة اللّه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الخبرين</w:t>
      </w:r>
      <w:r>
        <w:rPr>
          <w:rStyle w:val="FootnoteAnchor"/>
          <w:rtl w:val="true"/>
        </w:rPr>
        <w:footnoteReference w:id="773"/>
      </w:r>
      <w:r>
        <w:rPr>
          <w:rFonts w:ascii="Amiri" w:hAnsi="Amiri" w:eastAsia="Amiri" w:cs="Amiri"/>
          <w:color w:val="111111"/>
          <w:sz w:val="28"/>
          <w:sz w:val="28"/>
          <w:szCs w:val="28"/>
          <w:rtl w:val="true"/>
          <w:lang w:bidi="ar-SA"/>
        </w:rPr>
        <w:t>الواردين فيمن نَذَر ترك بيع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عبدالملك بن عمرو،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للّه عليه أن لا يركب محرّماً سمّاه فركبه‌؟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أعلمه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بشير،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جَعلتُ للّه عليَّ أن لا أقبل من بني عمّي صلةً ولا أخرجُ متاعي في سوق مِنى تلك الأيّام‌؟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جعلت ذلك شكراً ففِ به، وإنْ كنت إنّما قلت ذلك من غضبٍ فلا شيء عليك</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صحّة نذر ترك المكروه أو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نذر ترك المباح هو الكلام في نذر فعله، والأظهر عدم انعقاده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8" w:name="pg11828_105068"/>
    </w:p>
    <w:p>
      <w:pPr>
        <w:pStyle w:val="BookText"/>
        <w:rPr/>
      </w:pPr>
      <w:bookmarkEnd w:id="188"/>
      <w:r>
        <w:rPr>
          <w:rFonts w:ascii="Amiri" w:hAnsi="Amiri" w:eastAsia="Amiri" w:cs="Amiri"/>
          <w:color w:val="111111"/>
          <w:sz w:val="28"/>
          <w:sz w:val="28"/>
          <w:szCs w:val="28"/>
          <w:rtl w:val="true"/>
          <w:lang w:bidi="ar-SA"/>
        </w:rPr>
        <w:t>ولو نَذَر فِعْلُ طاعةٍ ولم يعيّن، تصدّق بشيء، أو صَلّى ركعتين، أو صام يوماً</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1131781_73709187"/>
      <w:bookmarkStart w:id="190" w:name="_Toc65"/>
      <w:bookmarkEnd w:id="189"/>
      <w:r>
        <w:rPr>
          <w:rtl w:val="true"/>
        </w:rPr>
        <w:t>حكم ما لو نذر فعل طاعةٍ ولم يعيّن</w:t>
      </w:r>
      <w:bookmarkEnd w:id="190"/>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قد تقدّم في كتاب الصوم تفصيل المسائل المتعلّقة بنذر الصوم، كما أنّه قد تقدّم في كتاب الحجّ المسائل المتعلّقة بنذر الحَجّ والعُمرة والهَدْي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الكلام في المقام في جملةٍ من مسائل النذر الّتي لم نتعرّض لها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فِعْلُ طاعةٍ ولم يعيّن، تصدّق بشيء، أو صَلّى ركعتين، أو صام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ممّايصدق عليه أنّه طاعة، وهذا ممّا لا خلاف فيه، ويشهد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 نذرٌ مشروع، ويحصل البراءة منه بإتيان كلّ ما يصدق عليه أنّه طاعة من الاُمور المذكورة، وعيادة المريض، وتشييع الجنازة، وإفشاء السّلام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بن عبدالملك، عن أبي عبداللّه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نذر ولم يُسمّ شيئاً؟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صَلّى ركعتين، وإنْشاء صام يوماً، وإنْ شاء تصدّق برغيفٍ‌</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فإنّ الرواية واردة فيما إذا نذر ولم يُسمّ شيئاً، وقد وردت روايات كثيرة على أنّ مثل هذا النذر باطلٌ‌، ومحلّ الكلام ما لو نَذَر وسَمّى فعلُ طاعةٍ مطلقاً، </w:t>
      </w:r>
    </w:p>
    <w:p>
      <w:pPr>
        <w:pStyle w:val="BookText"/>
        <w:rPr/>
      </w:pPr>
      <w:r>
        <w:rPr>
          <w:rFonts w:ascii="Amiri" w:hAnsi="Amiri" w:eastAsia="Amiri" w:cs="Amiri"/>
          <w:color w:val="111111"/>
          <w:sz w:val="28"/>
          <w:sz w:val="28"/>
          <w:szCs w:val="28"/>
          <w:rtl w:val="true"/>
          <w:lang w:bidi="ar-SA"/>
        </w:rPr>
        <w:t>من دون التقييد بشيء، فالخبر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إطلاق الأدلّة، ولا ينافيه النصوص المتضمنّة أنّه إنْ نذر ولم يُسمّ شيئاً لم ينعقد، لأنّ المفروض في المسألة التسمية إجمالاً، فكما لو نذر وسمّى نوعاً له أفراد كثيرة يجزي، كذلك لو نَذَر وسمّى عنواناً أعمّ منه، وهذا ممّا لا إشكال فيه ولا خلاف، إنّما الخلاف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بركعة الوتر، هل يجزي في امتثال النذر أم لا؟</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الاجتزاء بمفردة الوتر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 وفاقاً للحِلّي</w:t>
      </w:r>
      <w:r>
        <w:rPr>
          <w:rStyle w:val="FootnoteAnchor"/>
          <w:rtl w:val="true"/>
        </w:rPr>
        <w:footnoteReference w:id="779"/>
      </w:r>
      <w:r>
        <w:rPr>
          <w:rFonts w:ascii="Amiri" w:hAnsi="Amiri" w:eastAsia="Amiri" w:cs="Amiri"/>
          <w:color w:val="111111"/>
          <w:sz w:val="28"/>
          <w:sz w:val="28"/>
          <w:szCs w:val="28"/>
          <w:rtl w:val="true"/>
          <w:lang w:bidi="ar-SA"/>
        </w:rPr>
        <w:t>وجماعة، لأنّها من حيث انفرادها عن ركعتي الشفع بتكبيرة وتسليمة عندنا صلاة مستقلّة، فيشملها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خلافاً للشيخين</w:t>
      </w:r>
      <w:r>
        <w:rPr>
          <w:rStyle w:val="FootnoteAnchor"/>
          <w:rtl w:val="true"/>
        </w:rPr>
        <w:footnoteReference w:id="781"/>
      </w:r>
      <w:r>
        <w:rPr>
          <w:rFonts w:ascii="Amiri" w:hAnsi="Amiri" w:eastAsia="Amiri" w:cs="Amiri"/>
          <w:color w:val="111111"/>
          <w:sz w:val="28"/>
          <w:sz w:val="28"/>
          <w:szCs w:val="28"/>
          <w:rtl w:val="true"/>
          <w:lang w:bidi="ar-SA"/>
        </w:rPr>
        <w:t>، وابن بابويه</w:t>
      </w:r>
      <w:r>
        <w:rPr>
          <w:rStyle w:val="FootnoteAnchor"/>
          <w:rtl w:val="true"/>
        </w:rPr>
        <w:footnoteReference w:id="78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للنهي في النبويّ‌</w:t>
      </w:r>
      <w:r>
        <w:rPr>
          <w:rStyle w:val="FootnoteAnchor"/>
          <w:rtl w:val="true"/>
        </w:rPr>
        <w:footnoteReference w:id="784"/>
      </w:r>
      <w:r>
        <w:rPr>
          <w:rFonts w:ascii="Amiri" w:hAnsi="Amiri" w:eastAsia="Amiri" w:cs="Amiri"/>
          <w:color w:val="111111"/>
          <w:sz w:val="28"/>
          <w:sz w:val="28"/>
          <w:szCs w:val="28"/>
          <w:rtl w:val="true"/>
          <w:lang w:bidi="ar-SA"/>
        </w:rPr>
        <w:t xml:space="preserve">عن البتراء، المفسّر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بأنّ الوِتر ركعة واحدة، وللخبر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خبر مسمع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لعدم الاجتزاء بها بوجوه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إطلاقه بما دلّ على مشروعيّة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بغير صورة النذر، فتلك الصورة داخلة تحت الإطلاق، مجازفة لا تستحقّ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 فالمحكي عن بعض في تفسير البتراء أنّه هو الذي شُرّع في ركعتين، فأتمّ الأُولى وقَطَع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بدعوى التصريح فيه بركعتين، فهو يدلّ على عدم الاجتزاء بالركعة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مورده غير مفروض المسألة،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اقتصاره عليه السلام على الركعتين، لا يدلّ على عدم الاجتزاء بالركعة، كما أنّ اقتصاره على التصدّق برغيفٍ‌، لا يدلّ على عدم الاجتزاء بما دونه، والاقتصار على الثلاثة لا يدلّ على عدم الاجتزاء بغيرها من العبادات، فالمراد منه بيان أمثلة لما يُمتثل به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الوتر اسمٌ للرّكعات الثلاث، لا لخصوص المفردة، ومشروعيّة فعلها على الانفراد غير ثابتة، وقد مرّ الكلام حول هذا المبنى سابقاً في بدايات هذا الشرح، والكلام في المقام مبنيٌ على جواز الإتيان به منفردة عن ركعتي الشفع، وعليه فالأظهر هو الاجتزاء بها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بركعةٍ من الصلاة غير ركعة الوتر، هل يجتزيء بها، أم لا؟ فيه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للحِلّي</w:t>
      </w:r>
      <w:r>
        <w:rPr>
          <w:rStyle w:val="FootnoteAnchor"/>
          <w:rtl w:val="true"/>
        </w:rPr>
        <w:footnoteReference w:id="786"/>
      </w:r>
      <w:r>
        <w:rPr>
          <w:rFonts w:ascii="Amiri" w:hAnsi="Amiri" w:eastAsia="Amiri" w:cs="Amiri"/>
          <w:color w:val="111111"/>
          <w:sz w:val="28"/>
          <w:sz w:val="28"/>
          <w:szCs w:val="28"/>
          <w:rtl w:val="true"/>
          <w:lang w:bidi="ar-SA"/>
        </w:rPr>
        <w:t>، والمحقّق</w:t>
      </w:r>
      <w:r>
        <w:rPr>
          <w:rStyle w:val="FootnoteAnchor"/>
          <w:rtl w:val="true"/>
        </w:rPr>
        <w:footnoteReference w:id="787"/>
      </w:r>
      <w:r>
        <w:rPr>
          <w:rFonts w:ascii="Amiri" w:hAnsi="Amiri" w:eastAsia="Amiri" w:cs="Amiri"/>
          <w:color w:val="111111"/>
          <w:sz w:val="28"/>
          <w:sz w:val="28"/>
          <w:szCs w:val="28"/>
          <w:rtl w:val="true"/>
          <w:lang w:bidi="ar-SA"/>
        </w:rPr>
        <w:t xml:space="preserve">، وتبعهما جماعة فيما لو نذر صلاة ولم يعيّن، الذي يكون المدرك فيه مع المدرك في المقام واحداً،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في هذا المسألة في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تُجزيه من الصلاة ركعة، وفيه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في ذيل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في الصلاة المجزية هنا ما يعتبر في المنذورة بخصوصها من كونها ركعتين، والاجتزاء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حُقّق في محلّه من أنّ النافلة لا تكون مشروعة إلّاركعتين، ولا يجوز النقيصة إلّافي صلاة الوتر، ولا الزيادة إلّافي صلاة الأعرابيّ‌، لا ينبغي التوقّف في عدم الاجتزاء بها، لعدم كونها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تصير طاعة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شمول النذر لها متوقّفٌ على كونها طاعة، ولو توقّفت الطاعة عليه لزم الدور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ملزِمٌ لا مشرّع، ومشروعيّة الوِتر في مقام خاصّ لاتستلزمُ مشروعيّتها على الإطلاق، وما دلّ‌</w:t>
      </w:r>
      <w:r>
        <w:rPr>
          <w:rStyle w:val="FootnoteAnchor"/>
          <w:rtl w:val="true"/>
        </w:rPr>
        <w:footnoteReference w:id="791"/>
      </w:r>
      <w:r>
        <w:rPr>
          <w:rFonts w:ascii="Amiri" w:hAnsi="Amiri" w:eastAsia="Amiri" w:cs="Amiri"/>
          <w:color w:val="111111"/>
          <w:sz w:val="28"/>
          <w:sz w:val="28"/>
          <w:szCs w:val="28"/>
          <w:rtl w:val="true"/>
          <w:lang w:bidi="ar-SA"/>
        </w:rPr>
        <w:t>على صحّة النذر في نذر الإحرامم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الميقات، والصوم في السّفر، إنّما يدلّ عليذلك في خصوص الموردين، ويُستشكف من دليلهما كون العَمَلين راجحين بشرط النذر، فلا وجه للتعدّي إلى سائر الموارد، وعليه فالإتيان بها 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عدم صحّة النذر لو نذر الإتيان بركعة خاصّة،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قيّده بركعة واحدة، فالأقرب الانعقاد،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صَلّى في فرض المسألة ثلاث ركعات أو أزيد في غير الفريضة، لا تجزي بها لعدم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انعقاد نذر الخَمس فصاعداً بتسليمةٍ‌، غير تامّ‌، ومن الغريب أنّه جزم قبل ذلك بأنّه لو نَذَر هيئة غير مشروعة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فصّل بين الأزيد من الركعتين بالتسليم، ففي شرعيّة ما بعد الركعتين بنيّة النذر وجهان، ثمّ اختار الأوّل إذا قصد الزائد ابتداءً‌، نظراً إلى كون الواجب أمراً كليّاً، ودخول بعض أفراده في بعضٍ لا يُخرج الزائد عن أن يكون فرداً للكلّي، ومثّل لذلك بالركعتين والأربع في مواضع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أتى بالركعتين وسَلّم، انطبق عليهما المنذور، وسقط التكليف، لأنّ إجزاء المأتي به عن أمره قهري غير قابل للعدم، فلا أمر بالزائد، إلّاعلى القول بجواز تبديل الامتثال، فيأتي به ويرفع اليد عمّا أتى به، وهو خلاف القاعدة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بنينا على عدم جواز التخيير بين الأقلّ والأكثر، وما ذكره من المثال ليس من هذا القبيل، فإنّ الركعتين اللّتين هما طرف التخيير، مقيّدتان بوقوع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بعد التشهّد الأوّل، والأربع مقيّدة بعدم وقوعه بعده، فهما من قبيل التخيير بين المتباينين لا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إتيان الصلاة جالساً بدون السورة، وماشياً وراكباً وما شاكل من الخصوصيّات الجائزة في النافلة دون الفريضة‌؟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تقوية الثاني، نظراً إلى أنّ المنذور طبيعة الصلاة، لا النافلة منها خاصّة، ضرورة كون النفل والفرض من عوارض الصلاة لا من مقوّماتها، فيجبُ فيها المتيقّن على تقديري النفل والفرض، فلا يجوز تلك الخصوصيّات الجائزة في النفل خاصّة، مع أنّها بالنذر تخرج عن كونها نافلة، فلايجوز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المنذور إذا كان هي طبيعة الصلاة بنحوٍ كان عنوان النافلة خارجاً عن المنذور، ولو بنحو البدليّة، بطل النذر، لعدم كونها مشروعة في نفسها، فإنّ المشروع هي النافلة والفريضة والطبيعة الجامعة المعرّاة عن كلتا الخصوصيّتين غير مشروعة، فلا يصحّ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كون النفل والفرض لا بهذين العنوانين، بل بما هما معرّفان لما هو المأمور به بالأمر الندبي أو الوجوبي داخلين في المنذور، فالمتّجه الاكتفاء بما يجوزُ في النافلة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بالنذر تخرجُ عن كونها نافلة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جواز تلكم الاُمور في النافلة، ظاهرٌ في جوازها في النافلة بما أنّها صلاة، وإنْ صارت فريضةً بالعنوان الثانوي كالنذر واليمين وإطاعة الوالد والإجارة وما شاكل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1" w:name="pg11828_105074"/>
    </w:p>
    <w:p>
      <w:pPr>
        <w:pStyle w:val="BookText"/>
        <w:rPr/>
      </w:pPr>
      <w:bookmarkEnd w:id="191"/>
      <w:r>
        <w:rPr>
          <w:rFonts w:ascii="Amiri" w:hAnsi="Amiri" w:eastAsia="Amiri" w:cs="Amiri"/>
          <w:color w:val="111111"/>
          <w:sz w:val="28"/>
          <w:sz w:val="28"/>
          <w:szCs w:val="28"/>
          <w:rtl w:val="true"/>
          <w:lang w:bidi="ar-SA"/>
        </w:rPr>
        <w:t>ولو نَذَر صوم حينٍ‌، كان عليه ستّة أشهر، ولو قال زماناً، فخمسة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تلكم الاُمور، وحصول الامتثال بالصّلاة مع تلك الخصوصيّات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131783_73709187"/>
      <w:bookmarkStart w:id="193" w:name="_Toc66"/>
      <w:bookmarkEnd w:id="192"/>
      <w:r>
        <w:rPr>
          <w:rtl w:val="true"/>
        </w:rPr>
        <w:t>نذر صوم حين أو زمان</w:t>
      </w:r>
      <w:bookmarkEnd w:id="19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صومٌ حين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 ولو قال زماناً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فيهما، إلّاعن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ويشهد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عبداللّه، عن آبائه،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نذر أن يصوم زماناً؟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خمسة أشهر، والحين ستّة أشهر،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الربيع الشّامي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من أجمعت العصابة على تصحيح ما يصحّ عنه، وهو الحسن بن محبوب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حيناً، وذلك في شُكرٍ؟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اُتي عليّ عليه السلام بمثل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ستّة أشهر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ستّة أشهر</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نَذَر الصَّدقة بمالٍ كثير، فثمانون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والإيراد عليهما بضعف السند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سبطه</w:t>
      </w:r>
      <w:r>
        <w:rPr>
          <w:rStyle w:val="FootnoteAnchor"/>
          <w:rtl w:val="true"/>
        </w:rPr>
        <w:footnoteReference w:id="797"/>
      </w:r>
      <w:r>
        <w:rPr>
          <w:rFonts w:ascii="Amiri" w:hAnsi="Amiri" w:eastAsia="Amiri" w:cs="Amiri"/>
          <w:color w:val="111111"/>
          <w:sz w:val="28"/>
          <w:sz w:val="28"/>
          <w:szCs w:val="28"/>
          <w:rtl w:val="true"/>
          <w:lang w:bidi="ar-SA"/>
        </w:rPr>
        <w:t>بأنّ حال السكوني معلومٌ‌، وفي طريق الثاني جهالة، في غير محلّه، لأنّ السكوني يعتمد على روايته، وادّعى الشيخ الإجماع على قبول روايته</w:t>
      </w:r>
      <w:r>
        <w:rPr>
          <w:rStyle w:val="FootnoteAnchor"/>
          <w:rtl w:val="true"/>
        </w:rPr>
        <w:footnoteReference w:id="798"/>
      </w:r>
      <w:r>
        <w:rPr>
          <w:rFonts w:ascii="Amiri" w:hAnsi="Amiri" w:eastAsia="Amiri" w:cs="Amiri"/>
          <w:color w:val="111111"/>
          <w:sz w:val="28"/>
          <w:sz w:val="28"/>
          <w:szCs w:val="28"/>
          <w:rtl w:val="true"/>
          <w:lang w:bidi="ar-SA"/>
        </w:rPr>
        <w:t xml:space="preserve">، وأبو الربيع وكذا الرّاوي عنه وهو خالد بن حريز، وإنْ كانا مجهولين، إلّاأنّ الراوي عنهما من أصحاب الإجماع، مع أنّه لو كان ضعفٌ في السند، فهو منجبرٌ بالعمل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ينو شيئاً غير هذا، وإلّا فالمعتبر ما نواه،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الصَّدقة بمالٍ كثير،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فسأله رجلٌ عن رجلٍ مرض فنذر للّه شكراً إنْ عافاه اللّه أن يتصدّق من ماله بشيء كثير، ولم يُسمّ شيئاً فما تقول‌؟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بثمانين درهماً، فإنّه يُجزيه، وذلك بيّنٌ في كتاب اللّه، إذ يقول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والكثيرة في كتاب اللّه ثمانون</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ابن أبي عُمير،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نذر أن يتصدّق بمالٍ كثير؟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 فما زاد، لقول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ثمانين موطناً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المتوكّل سُمَّ فنذرَ إنْ عُوفي أن يتصدّق بمالٍ كثير، فأرسل إلى الهادي عليه السلام فسأله عن حَدّ المال الكثير،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عبداللّه الزيادي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وقريبٌ منه خبر يوسف بن السخت، الحاكي لقضيّة المتوكّل،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بثمانين درهماً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أصل الحكم، إنّما الكلام في أنّه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يتعيّن ثمانون درهماً مطلقاً، كما في المتن وعن الشيخين</w:t>
      </w:r>
      <w:r>
        <w:rPr>
          <w:rStyle w:val="FootnoteAnchor"/>
          <w:rtl w:val="true"/>
        </w:rPr>
        <w:footnoteReference w:id="804"/>
      </w:r>
      <w:r>
        <w:rPr>
          <w:rFonts w:ascii="Amiri" w:hAnsi="Amiri" w:eastAsia="Amiri" w:cs="Amiri"/>
          <w:color w:val="111111"/>
          <w:sz w:val="28"/>
          <w:sz w:val="28"/>
          <w:szCs w:val="28"/>
          <w:rtl w:val="true"/>
          <w:lang w:bidi="ar-SA"/>
        </w:rPr>
        <w:t>، وسلّار</w:t>
      </w:r>
      <w:r>
        <w:rPr>
          <w:rStyle w:val="FootnoteAnchor"/>
          <w:rtl w:val="true"/>
        </w:rPr>
        <w:footnoteReference w:id="805"/>
      </w:r>
      <w:r>
        <w:rPr>
          <w:rFonts w:ascii="Amiri" w:hAnsi="Amiri" w:eastAsia="Amiri" w:cs="Amiri"/>
          <w:color w:val="111111"/>
          <w:sz w:val="28"/>
          <w:sz w:val="28"/>
          <w:szCs w:val="28"/>
          <w:rtl w:val="true"/>
          <w:lang w:bidi="ar-SA"/>
        </w:rPr>
        <w:t>، والقاضي</w:t>
      </w:r>
      <w:r>
        <w:rPr>
          <w:rStyle w:val="FootnoteAnchor"/>
          <w:rtl w:val="true"/>
        </w:rPr>
        <w:footnoteReference w:id="806"/>
      </w:r>
      <w:r>
        <w:rPr>
          <w:rFonts w:ascii="Amiri" w:hAnsi="Amiri" w:eastAsia="Amiri" w:cs="Amiri"/>
          <w:color w:val="111111"/>
          <w:sz w:val="28"/>
          <w:sz w:val="28"/>
          <w:szCs w:val="28"/>
          <w:rtl w:val="true"/>
          <w:lang w:bidi="ar-SA"/>
        </w:rPr>
        <w:t>، وابن سعيد</w:t>
      </w:r>
      <w:r>
        <w:rPr>
          <w:rStyle w:val="FootnoteAnchor"/>
          <w:rtl w:val="true"/>
        </w:rPr>
        <w:footnoteReference w:id="80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تُردّ إلى المتعامل به درهماً أو ديناراً، كما عن الحِلّي</w:t>
      </w:r>
      <w:r>
        <w:rPr>
          <w:rStyle w:val="FootnoteAnchor"/>
          <w:rtl w:val="true"/>
        </w:rPr>
        <w:footnoteReference w:id="8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يفصّل بين نذر المال المطلق فالأوّل، والمقيّد بنوعٍ فالثمانون منه،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تفصيلٌ آخر بين النذر به من ماله فالأوّل، والنذر بمالٍ كثير بقول مطلق، فالتوقّف، ونزل الأقوال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هو القول الأوّل؛ لأنّ الظاهر من النصوص بقرينة مناسبة الحكم والموضوع، والاستدلال بالآية الكريمة، أنّ الكثير الواقع في النذر عبارة عن ثمانين مطلقاً، غاية الأمر حيث كان المنذور في مورد الأخبار المال الكثير، المنصرف إلى النقدين، فإنّهما المعيار والميزان في الماليّة، وهما المال المحض، فقد فسّره عليه السلام بثمانين درهماً من باب أنّه أقلّ الفردين، وأقلّ المُجزي، ولذلك قال في الخبر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وجود فردٍ آخر له وهو ثمانون ديناراً، وأطلق في مرسل ابن أبي عمير، فيُستكشف من ذلك أنّه إنْ نذر الصدقة بمالٍ كثير، كان أقلّ المجزى ثمانون درهماً، وله ردّها إلى ما يتعامل به، فإنّ ظاهر النصوص أنّ أقلّ المُجزى هذا المقدار من الماليّة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المنذور نوعاً آخر، وأضاف الكثير إليه،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الصدقة بكتبٍ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عليه ثمانون كتاباً، وهكذا كما لا يخفى‌، وبذلك يظهر ما في كلمات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4" w:name="pg11828_105078"/>
    </w:p>
    <w:p>
      <w:pPr>
        <w:pStyle w:val="BookText"/>
        <w:rPr/>
      </w:pPr>
      <w:bookmarkEnd w:id="194"/>
      <w:r>
        <w:rPr>
          <w:rFonts w:ascii="Amiri" w:hAnsi="Amiri" w:eastAsia="Amiri" w:cs="Amiri"/>
          <w:color w:val="111111"/>
          <w:sz w:val="28"/>
          <w:sz w:val="28"/>
          <w:szCs w:val="28"/>
          <w:rtl w:val="true"/>
          <w:lang w:bidi="ar-SA"/>
        </w:rPr>
        <w:t>ولو عَجَز عمَّا نذر سَقَط فرضه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1131785_73709187"/>
      <w:bookmarkStart w:id="196" w:name="_Toc67"/>
      <w:bookmarkEnd w:id="195"/>
      <w:r>
        <w:rPr>
          <w:rtl w:val="true"/>
        </w:rPr>
        <w:t>حكم ما لو عجز عمّا نذر</w:t>
      </w:r>
      <w:bookmarkEnd w:id="19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عمّا نذر، سقط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وقضاءً‌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لقبح التكليف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وللخبر المتقدّم في مسألة اعتبار القدرة حين العمل في متعلّق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للّه شيئاً فبلغ جُهده فليس عليه شيء</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في خصوص نذر الصوم والحجّ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أخبار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بدل كلّ يومٍ مُدّاً</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مُدين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الحَجّ فيمن نذر المشي إلى بيت اللّه الحرام، فمشى نصف الطريق أو أقلّ أو أكثر،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ينفق من ذلك الموضع فيتصدّق به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الكلام في المسألتين الأُولى في كتاب الصوم</w:t>
      </w:r>
      <w:r>
        <w:rPr>
          <w:rStyle w:val="FootnoteAnchor"/>
          <w:rtl w:val="true"/>
        </w:rPr>
        <w:footnoteReference w:id="818"/>
      </w:r>
      <w:r>
        <w:rPr>
          <w:rFonts w:ascii="Amiri" w:hAnsi="Amiri" w:eastAsia="Amiri" w:cs="Amiri"/>
          <w:color w:val="111111"/>
          <w:sz w:val="28"/>
          <w:sz w:val="28"/>
          <w:szCs w:val="28"/>
          <w:rtl w:val="true"/>
          <w:lang w:bidi="ar-SA"/>
        </w:rPr>
        <w:t>، والثانية في كتاب الحجّ‌</w:t>
      </w:r>
      <w:r>
        <w:rPr>
          <w:rStyle w:val="FootnoteAnchor"/>
          <w:rtl w:val="true"/>
        </w:rPr>
        <w:footnoteReference w:id="819"/>
      </w:r>
      <w:r>
        <w:rPr>
          <w:rFonts w:ascii="Amiri" w:hAnsi="Amiri" w:eastAsia="Amiri" w:cs="Amiri"/>
          <w:color w:val="111111"/>
          <w:sz w:val="28"/>
          <w:sz w:val="28"/>
          <w:szCs w:val="28"/>
          <w:rtl w:val="true"/>
          <w:lang w:bidi="ar-SA"/>
        </w:rPr>
        <w:t>، وبيّنا لزوم حملها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نذرٍ نذره، فكفّارته كفّارة يمين</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عنه في باب الكفّارات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نَذَر أن يتصدّق بجميع ما يملكه، وخاف الضَّرر، قوّمه وتصدّق شيئاً فشيئاً حتّى يوفي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أن يتصدّق بجميع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نذره وإنْ تضرّر، وذلك لما عرفت من أنّ المعتبر في متعلّق النذر، كونه طاعةً في نفسه، والصدقة بجميع المال كذلك، وإنْ كان مكروهاً، لأنّه من الكراهة في العبادة غير المنافية للرّجحان، ومجرّد تضرّره به لا يكون موجباً لسلب الرجحان، أو عروض عدمه، ما لم ينطبق عليه عنوانٌ مرجوحٌ‌، فيجبُ عليه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نذر الصَّدقة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وشَقّ عليه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 شيئاً فشيئاً حتّى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قطع به الأصحاب، واعترف به جماعة منهم، مؤذنين بدعوى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ابن يحيى الخثمعي،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عبداللّه عليه السلام جماعة إذ دخل عليه رجلٌ من موالي أبي جعفر عليه السلام فسلّم عليه، ثمّ جلس وبكا،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أعطيت اللّه عهداً إنْ عافاني اللّه من شيءٍ كنتُ أخافه على نفسي، أن أتصدّق بجميع ما أملك، وإنّ اللّه تعالى عافاني منه، وقد حوّلت عيالي من منزلي إلى قُبّةٍ في خراب الأنصار، وقد حَمَلتُ كلّ ما أملك، فأنا بائعٌ داري وجميع ما أملك فأتصدّق به‌؟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وقوِّم منزلك، وجميع متاعك، وما تملك بقيمة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عادلة، واعرف ذلك، ثمّ اعمد إلى صحيفة بيضاء، فاكتب فيها جملة ما قوّمت، ثمّ أنظر إلى أوثق الناس في نفسك فادفع إليه الصحيفة، وأوصه ومُرْه إنْ حَدَث بك حَدثُ الموت أن يبيع منزلك وجميع ماتملك فيتصدّق به عنك، ثمّ ارجع إلى منزلك، وقُم في مالك على ما كنتَ فيه، فكُلْ أنتَ وعيالك مثلَ ما كنتَ تأكل، ثمّ انظر كلّ شيء تصدّق به فيما يُستقبل من صدقة أو صلة قرابة، أو في وجوه البِرّ، فاكتب ذلك كلّه واحصه، فإذا كان إلى رأس السنة فانطلق إلى الرّجل الذي أوصيتَ إليه فَمُره أن يخرج إليك الصحيفة، ثمّ اكتب فيها جملة ما تصدّقت وأخرجت من صدقةٍ أو بِرّ في تلك السنة، ثمّ افعل ذلك في كلّ سنةٍ حتّى تفي للّه بجميع ما نذرت فيه، ويبقى لك منزلك ومالك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يابن رسول اللّه، جَعَلني اللّه فداك</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للقواعد لأنّ ظاهره وروده مورد حصول الضرر على الناذر بالصدقة بجميع ماله، ولم يحكم عليه السلام ببطلان النذر في شيءٍ منه، وإنّما دفع عنه الضرر بتقويمه على نفسه، والصدقة به على التدريج، وهذا حكمٌ خارج عن قاعدة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لم يأمره بالصدقة بما لا تضرّه الصدقة به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فالمنذور صدقة جميع ما يملكه بعينه، فقد حكم عليه السلام بإجزاء القيمة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صحيحٌ سنداً، والأصحاب تلقّوه بالقبول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فلا وجه للإيراد عليه بما ذكر، إذ كم خبرٍ مخالفٍ للقواعد يعمل به، بل لعلّ أكثر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من هذا القبيل، فاستشكال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لا وجه له كفتوى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يلحق بمورد النّص ما خرج عنه من النذر ببعض المال مع خوف الضرر، أم لا؟</w:t>
      </w:r>
    </w:p>
    <w:p>
      <w:pPr>
        <w:pStyle w:val="BookText"/>
        <w:rPr/>
      </w:pPr>
      <w:r>
        <w:rPr>
          <w:rFonts w:ascii="Amiri" w:hAnsi="Amiri" w:eastAsia="Amiri" w:cs="Amiri"/>
          <w:color w:val="111111"/>
          <w:sz w:val="28"/>
          <w:sz w:val="28"/>
          <w:szCs w:val="28"/>
          <w:rtl w:val="true"/>
          <w:lang w:bidi="ar-SA"/>
        </w:rPr>
        <w:t xml:space="preserve">وجهان بل قولان، اختار أوّلهما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28"/>
      </w:r>
      <w:r>
        <w:rPr>
          <w:rFonts w:ascii="Amiri" w:hAnsi="Amiri" w:eastAsia="Amiri" w:cs="Amiri"/>
          <w:color w:val="111111"/>
          <w:sz w:val="28"/>
          <w:sz w:val="28"/>
          <w:szCs w:val="28"/>
          <w:rtl w:val="true"/>
          <w:lang w:bidi="ar-SA"/>
        </w:rPr>
        <w:t xml:space="preserve">، والثاني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فردٍ من افراد ماله على تقدير نذر الجميع منذورُ الصدقة، وبالفحوى بناءً على أنّ النذر بجميع المال أضرّ من النذر ببعضه، فلزوم الوفاء به يستلزم لزومه 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بعد ذكر هذا الوجه لمختاره،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اللّازم من هذا إنّما هو ثبوت الانعقاد، لا جواز التقويم والإخراج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على خلاف القاعدة، فيقتصر فيه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المذكورة في النّص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انعقاد النذر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وجوب تعجيل الإخراج</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وجواز التقويم وإعطاء القيمة بدلاً عن منذور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وفق القاعدة، فإنّ المنذور طاعة، وكونه مضرّاً بحاله لا ينافيه رجحانه، بل وإنْ كان هناك عنوانٌ آخر مرجوح ديني ملازمٌ للتضرّر، فإنّ المعتبر كما عرفت كون المتعلّق بنفسه راجحاً، وهذا راجحٌ في نفسه وإنْ كان غيره أرجح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لتطبيق حديث لا ضرر</w:t>
      </w:r>
      <w:r>
        <w:rPr>
          <w:rStyle w:val="FootnoteAnchor"/>
          <w:rtl w:val="true"/>
        </w:rPr>
        <w:footnoteReference w:id="831"/>
      </w:r>
      <w:r>
        <w:rPr>
          <w:rFonts w:ascii="Amiri" w:hAnsi="Amiri" w:eastAsia="Amiri" w:cs="Amiri"/>
          <w:color w:val="111111"/>
          <w:sz w:val="28"/>
          <w:sz w:val="28"/>
          <w:szCs w:val="28"/>
          <w:rtl w:val="true"/>
          <w:lang w:bidi="ar-SA"/>
        </w:rPr>
        <w:t>في المقام، بعد كون الحكم مجعولاً في مورد الضرر، وهو استحباب الصدقة بجميع المال، فلا يرفع استحبابه قاعدة لا ضرر، وقد دلّ الدليل الخاص على انعقاده، فانعقاد النذر إنّما يكون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وجوب التعجيل، فهو أيضاً كذلك، لعدم كون المنذور إلّاالصّدقة بالمال، ومقتضى الأصل عدم وجوب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إلي هذين الحكمين يتعدّى إلي نذر البعض، بلا حاجةٍ إلى الفحوى واُختها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المنذور هو التصدّق به عيناً أو قيمةً‌، فهو أيضاً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التصدّق به عيناً، يكون هذا الحكم على خلاف القاعدة، فبالنسبة إليه لا يتعدّى عن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والفحوى ممنوعة، لعدم معلوميّة المناط، وعلى فرض كون المناط هو التضرّر، فالتضرّر بالتصدّق بجميع المال أكثر من التضرّر ببعضه، فلا أولويّة، وكون البعض منذور الصدقة على تقدير نذر المجموع، لا يوجبُ التعدّي بعد احتمال دخل المجموع في الحكم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التعدّي، نعم له التصدّق به شيئاً فشيئاً حتّى يوفي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7" w:name="pg11828_105083"/>
    </w:p>
    <w:p>
      <w:pPr>
        <w:pStyle w:val="BookText"/>
        <w:rPr/>
      </w:pPr>
      <w:bookmarkEnd w:id="197"/>
      <w:r>
        <w:rPr>
          <w:rFonts w:ascii="Amiri" w:hAnsi="Amiri" w:eastAsia="Amiri" w:cs="Amiri"/>
          <w:color w:val="111111"/>
          <w:sz w:val="28"/>
          <w:sz w:val="28"/>
          <w:szCs w:val="28"/>
          <w:rtl w:val="true"/>
          <w:lang w:bidi="ar-SA"/>
        </w:rPr>
        <w:t>ومع الإطلاق لا يتقيّد بوقتٍ‌، ولو قيّده بوقتٍ أو مكانٍ لزم</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131787_73709187"/>
      <w:bookmarkStart w:id="199" w:name="_Toc68"/>
      <w:bookmarkEnd w:id="198"/>
      <w:r>
        <w:rPr>
          <w:rtl w:val="true"/>
        </w:rPr>
        <w:t>لو نذر وقيّده بمكانٍ أو وقت</w:t>
      </w:r>
      <w:bookmarkEnd w:id="19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 القُربة كالصّدقة أو الصوم أو الصلاة وما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مطلقاً غير مقيّدٍ بوقتٍ أو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مقيّداً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مشروطاً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الإطلاق لا يتقيّد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بمكانٍ‌، ووقته تمام العمر، ومكانه جميع الأرض، ولا يتضيّق إلّابظنّ الوفاة، لكونه من الواجبات الموسّعة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قيّده بوقتٍ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الصدقة في يوم الجمعة، أو الصلاة فيها، أو نذر الصَّدقة في مسجدٍ خاص، والصلاة في المسجد الجامع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اشتمل على مزيّة أم لا، من غير فرقٍ بين الصدقة وغيرها، لما عرفت من أنّه لا يعتبر الرّجحان في الخصوصيّات، بل المعتبر هو كون المنذور راجحاً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نذر الخصوصيّة، كما لو نذر إيقاع الصلاة في مكانٍ خاصّ لابدّ من أن يكون لها مزيّة وفضيلة، وإنْكانت الخصوصيّة الاُخرى أفضل منها، ومع عدم المزيّة لم ينعقد النذر كما مرّ الكلام في ذلك مفصّلاً في ضابط متعلّق النذر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اتّفقوا على هذا الحكم</w:t>
      </w:r>
      <w:r>
        <w:rPr>
          <w:rStyle w:val="FootnoteAnchor"/>
          <w:rtl w:val="true"/>
        </w:rPr>
        <w:footnoteReference w:id="832"/>
      </w:r>
      <w:r>
        <w:rPr>
          <w:rFonts w:ascii="Amiri" w:hAnsi="Amiri" w:eastAsia="Amiri" w:cs="Amiri"/>
          <w:color w:val="111111"/>
          <w:sz w:val="28"/>
          <w:sz w:val="28"/>
          <w:szCs w:val="28"/>
          <w:rtl w:val="true"/>
          <w:lang w:bidi="ar-SA"/>
        </w:rPr>
        <w:t xml:space="preserve">في ما لو قيّد الصلاة بوقتٍ‌، وما </w:t>
      </w:r>
    </w:p>
    <w:p>
      <w:pPr>
        <w:pStyle w:val="BookText"/>
        <w:rPr/>
      </w:pPr>
      <w:r>
        <w:rPr>
          <w:rFonts w:ascii="Amiri" w:hAnsi="Amiri" w:eastAsia="Amiri" w:cs="Amiri"/>
          <w:color w:val="111111"/>
          <w:sz w:val="28"/>
          <w:sz w:val="28"/>
          <w:szCs w:val="28"/>
          <w:rtl w:val="true"/>
          <w:lang w:bidi="ar-SA"/>
        </w:rPr>
        <w:t>ولو نَذَر صوم يومٍ بعينه فاتّفق له السفر أفطر وقضاه، وكذا لو حاضتِ المرأة أو نَفَستْ‌، ولو كان عيداً أفطر ولا قضاء، وكذا لو عَجَز عن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الأدلّة عدم التضيّق، إلّاعلى القول بدلالة الأمر على الفور، ومعها لا وجه للفرق بين المطلق والمشروط، وقد حُقّق في محلّه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التضيّق، فلا حَنث ولا كفّارة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صوم يومٍ بعينه فاتّفق له السفر أفطر وقضاه، وكذا لو حاضتِ المرأة أو نَفستْ‌، ولو كان عيداً أفطر ولا قضاء، وكذا لو عَجَز عن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جميع ذلك في كتاب الصوم من هذا الشرح</w:t>
      </w:r>
      <w:r>
        <w:rPr>
          <w:rStyle w:val="FootnoteAnchor"/>
          <w:rtl w:val="true"/>
        </w:rPr>
        <w:footnoteReference w:id="833"/>
      </w:r>
      <w:r>
        <w:rPr>
          <w:rFonts w:ascii="Amiri" w:hAnsi="Amiri" w:eastAsia="Amiri" w:cs="Amiri"/>
          <w:color w:val="111111"/>
          <w:sz w:val="28"/>
          <w:sz w:val="28"/>
          <w:szCs w:val="28"/>
          <w:rtl w:val="true"/>
          <w:lang w:bidi="ar-SA"/>
        </w:rPr>
        <w:t>، فلا نطيل الكلام بإعادة ما ذكرناه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00" w:name="pg11828_105085"/>
    </w:p>
    <w:p>
      <w:pPr>
        <w:pStyle w:val="BookText"/>
        <w:rPr/>
      </w:pPr>
      <w:bookmarkEnd w:id="200"/>
      <w:r>
        <w:rPr>
          <w:rFonts w:ascii="Amiri" w:hAnsi="Amiri" w:eastAsia="Amiri" w:cs="Amiri"/>
          <w:color w:val="111111"/>
          <w:sz w:val="28"/>
          <w:sz w:val="28"/>
          <w:szCs w:val="28"/>
          <w:rtl w:val="true"/>
          <w:lang w:bidi="ar-SA"/>
        </w:rPr>
        <w:t>والعَهدُ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أنّه متى كان كذا فعلَيَّ كذا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131789_73709187"/>
      <w:bookmarkStart w:id="202" w:name="_Toc69"/>
      <w:bookmarkEnd w:id="201"/>
      <w:r>
        <w:rPr>
          <w:rtl w:val="true"/>
        </w:rPr>
        <w:t>العهد</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بالشيء ومراعاته على ما قيل</w:t>
      </w:r>
      <w:r>
        <w:rPr>
          <w:rStyle w:val="FootnoteAnchor"/>
          <w:rtl w:val="true"/>
        </w:rPr>
        <w:footnoteReference w:id="834"/>
      </w:r>
      <w:r>
        <w:rPr>
          <w:rFonts w:ascii="Amiri" w:hAnsi="Amiri" w:eastAsia="Amiri" w:cs="Amiri"/>
          <w:color w:val="111111"/>
          <w:sz w:val="28"/>
          <w:sz w:val="28"/>
          <w:szCs w:val="28"/>
          <w:rtl w:val="true"/>
          <w:lang w:bidi="ar-SA"/>
        </w:rPr>
        <w:t xml:space="preserve">، فصيغته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أنّه متى كان كذا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هذه العبارة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عدم وقوعه إلّامشروطاً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المحكيّ عن جماعةٍ منهم المصنّف رحمه الله في جملةٍ من كتبه</w:t>
      </w:r>
      <w:r>
        <w:rPr>
          <w:rStyle w:val="FootnoteAnchor"/>
          <w:rtl w:val="true"/>
        </w:rPr>
        <w:footnoteReference w:id="837"/>
      </w:r>
      <w:r>
        <w:rPr>
          <w:rFonts w:ascii="Amiri" w:hAnsi="Amiri" w:eastAsia="Amiri" w:cs="Amiri"/>
          <w:color w:val="111111"/>
          <w:sz w:val="28"/>
          <w:sz w:val="28"/>
          <w:szCs w:val="28"/>
          <w:rtl w:val="true"/>
          <w:lang w:bidi="ar-SA"/>
        </w:rPr>
        <w:t xml:space="preserve">وقوعه مطلقاً أيضاً، بل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دعوى الإجماع عليه، وهذا هو الأظهر، لإطلاقات الكتاب والسُّنة، بناءً على صدقه على المتبرّع به عرفاً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أخبار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عاهد اللّه في غير معصية، ما عليه إن لم يفِ للّه بعهده‌؟ </w:t>
      </w:r>
    </w:p>
    <w:p>
      <w:pPr>
        <w:pStyle w:val="BookText"/>
        <w:rPr/>
      </w:pPr>
      <w:r>
        <w:rPr>
          <w:rFonts w:ascii="Amiri" w:hAnsi="Amiri" w:eastAsia="Amiri" w:cs="Amiri"/>
          <w:color w:val="111111"/>
          <w:sz w:val="28"/>
          <w:sz w:val="28"/>
          <w:szCs w:val="28"/>
          <w:rtl w:val="true"/>
          <w:lang w:bidi="ar-SA"/>
        </w:rPr>
        <w:t>وهو لازمٌ‌،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عليه عهد اللّه وميثاقه في أمرٍ للّه فيه طاعة فَحَنث، فعليه عتق رقبةٍ أو صيام شهرين متتابعين أو إطعام ستّين مسكيناً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بن عيسى‌، عن أبي جعفر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عاهد اللّه عند الحِجْر أن لا يقرب محرّماً أبداً، فلمّا رجع عاد إلى المحرّم‌؟</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أو يصوم أو يتصدّق على ستّين مسكيناً، وما ترك من الأمر أعظم يستغفر اللّه ويتوب إليه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الأدلّة كما ترى ليس في شيء منها اعتبار كونه مشروطاً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لأصالة اللّزوم، وعدم ما يدلّ على جواز الرجوع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وحكمه حكمُ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عبارات الأصحاب في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فالمصنف رحمه الله</w:t>
      </w:r>
      <w:r>
        <w:rPr>
          <w:rStyle w:val="FootnoteAnchor"/>
          <w:rtl w:val="true"/>
        </w:rPr>
        <w:footnoteReference w:id="846"/>
      </w:r>
      <w:r>
        <w:rPr>
          <w:rFonts w:ascii="Amiri" w:hAnsi="Amiri" w:eastAsia="Amiri" w:cs="Amiri"/>
          <w:color w:val="111111"/>
          <w:sz w:val="28"/>
          <w:sz w:val="28"/>
          <w:szCs w:val="28"/>
          <w:rtl w:val="true"/>
          <w:lang w:bidi="ar-SA"/>
        </w:rPr>
        <w:t>، والمحقّق</w:t>
      </w:r>
      <w:r>
        <w:rPr>
          <w:rStyle w:val="FootnoteAnchor"/>
          <w:rtl w:val="true"/>
        </w:rPr>
        <w:footnoteReference w:id="847"/>
      </w: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حُكم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فينعقد فيما ينعقد فيه، ويبطل فيما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w:t>
      </w:r>
      <w:r>
        <w:rPr>
          <w:rStyle w:val="FootnoteAnchor"/>
          <w:rtl w:val="true"/>
        </w:rPr>
        <w:footnoteReference w:id="848"/>
      </w:r>
      <w:r>
        <w:rPr>
          <w:rFonts w:ascii="Amiri" w:hAnsi="Amiri" w:eastAsia="Amiri" w:cs="Amiri"/>
          <w:color w:val="111111"/>
          <w:sz w:val="28"/>
          <w:sz w:val="28"/>
          <w:szCs w:val="28"/>
          <w:rtl w:val="true"/>
          <w:lang w:bidi="ar-SA"/>
        </w:rPr>
        <w:t>والشهيد</w:t>
      </w:r>
      <w:r>
        <w:rPr>
          <w:rStyle w:val="FootnoteAnchor"/>
          <w:rtl w:val="true"/>
        </w:rPr>
        <w:footnoteReference w:id="849"/>
      </w:r>
      <w:r>
        <w:rPr>
          <w:rFonts w:ascii="Amiri" w:hAnsi="Amiri" w:eastAsia="Amiri" w:cs="Amiri"/>
          <w:color w:val="111111"/>
          <w:sz w:val="28"/>
          <w:sz w:val="28"/>
          <w:szCs w:val="28"/>
          <w:rtl w:val="true"/>
          <w:lang w:bidi="ar-SA"/>
        </w:rPr>
        <w:t>جعلا حكمه حكم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أنّه لا دليل على مساواة العهد لليمين أو النذر كي يقال حكمه حكمه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عليّ بن جعفر المتقدّم، حيث علّق الكفّارة على العهد في غير معصية، فيشمل المباح، ليكون حكمه حكم اليمين، وهو وإنْ شمل المكروه والمباح الرّاجح تركه، إلّاأن ذلك خارجٌ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بمساواته له في الكفّارة الكبيرة المخيّرة، كما دلّ عليه خبر أبي بصير وأحمد بن محمّد المتقدّمان، وبجعل مورده الطاعة في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عدم تماميّة شيء من هذه الوجوه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جعل مورده الطاعة في خبر أبي بصير، إنّما هو في السؤال لا في الجواب، كي يدلّ على الحصر، والمساواة في الكفّارة أعمّ من الاتّحاد في جميع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3" w:name="pg11828_105088"/>
    </w:p>
    <w:p>
      <w:pPr>
        <w:pStyle w:val="BookText"/>
        <w:rPr/>
      </w:pPr>
      <w:bookmarkEnd w:id="203"/>
      <w:r>
        <w:rPr>
          <w:rFonts w:ascii="Amiri" w:hAnsi="Amiri" w:eastAsia="Amiri" w:cs="Amiri"/>
          <w:color w:val="111111"/>
          <w:sz w:val="28"/>
          <w:sz w:val="28"/>
          <w:szCs w:val="28"/>
          <w:rtl w:val="true"/>
          <w:lang w:bidi="ar-SA"/>
        </w:rPr>
        <w:t>ولا ينعقدُ النذر والعهد إلّاباللّفظ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دابّته، أو عبده، أو جاريته هَدْياً لبيت اللّه تعالى‌، أو أحد المشاهد،</w:t>
      </w:r>
    </w:p>
    <w:p>
      <w:pPr>
        <w:pStyle w:val="BookText"/>
        <w:rPr/>
      </w:pPr>
      <w:r>
        <w:rPr>
          <w:rFonts w:ascii="Amiri" w:hAnsi="Amiri" w:eastAsia="Amiri" w:cs="Amiri"/>
          <w:color w:val="111111"/>
          <w:sz w:val="28"/>
          <w:sz w:val="28"/>
          <w:szCs w:val="28"/>
          <w:rtl w:val="true"/>
          <w:lang w:bidi="ar-SA"/>
        </w:rPr>
        <w:t xml:space="preserve">وعليه، فالحقّ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في كلّ حكمٍ من المراجعة إلى أدلّته، وقد مرّ أنّ مقتضى إطلاق النصوص صحّة العهد المطلق، كما أنّ مقتضاه صحّة العهد على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كونها الكبرى المخيّرة، إذ لا معارض لذلك سوى إطلاق الصدقة في خبر عليّ بن جعفر، ويمكن حمله على إرادة الصدقة على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إذن الوالد والزوج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فيه، لا بمعنى أنّ له حَلّ العهد، ولا بمعنى اشتراط صحّته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يُدّعى صدق اليمين عليه،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النذر والعهد إلّاباللّفظ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انعقاد النذر بدون اللّفظ، والخلاف في العهد كالخلاف فيه، والمختار المختار، والدليل الدليل، فلا حاجة إلى التعرّض له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131791_73709187"/>
      <w:bookmarkStart w:id="205" w:name="_Toc70"/>
      <w:bookmarkEnd w:id="204"/>
      <w:r>
        <w:rPr>
          <w:rtl w:val="true"/>
        </w:rPr>
        <w:t>جعل الدابّة هدياً</w:t>
      </w:r>
      <w:bookmarkEnd w:id="2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مسألة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دابّته أو عبده أو جاريته هَدياً لبيت اللّه تعالى، أو أحد المشاهد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وصُرِف الثمن في مصالح البيت، أو المشهد الذي جُعل له، وفي معونة الحاجّ والزائرين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وصُرِف الثمن في مصالح البيت أو المشهد الذي جُعل له، وفي معونة الحاجّ والزائرين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صُرِف ما يُهدى إلى المشهد ويُنذر له إلى مصالحه ومعونة الزائرين حَسنٌ‌، وعليه عمل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المُهدى إلى بيت اللّه إلى مساكين الحرم كالهَدي من النعم إذا لم يعيّن له في نذره مصرفاً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وولده</w:t>
      </w:r>
      <w:r>
        <w:rPr>
          <w:rStyle w:val="FootnoteAnchor"/>
          <w:rtl w:val="true"/>
        </w:rPr>
        <w:footnoteReference w:id="856"/>
      </w:r>
      <w:r>
        <w:rPr>
          <w:rFonts w:ascii="Amiri" w:hAnsi="Amiri" w:eastAsia="Amiri" w:cs="Amiri"/>
          <w:color w:val="111111"/>
          <w:sz w:val="28"/>
          <w:sz w:val="28"/>
          <w:szCs w:val="28"/>
          <w:rtl w:val="true"/>
          <w:lang w:bidi="ar-SA"/>
        </w:rPr>
        <w:t>، والشهيد</w:t>
      </w:r>
      <w:r>
        <w:rPr>
          <w:rStyle w:val="FootnoteAnchor"/>
          <w:rtl w:val="true"/>
        </w:rPr>
        <w:footnoteReference w:id="857"/>
      </w:r>
      <w:r>
        <w:rPr>
          <w:rFonts w:ascii="Amiri" w:hAnsi="Amiri" w:eastAsia="Amiri" w:cs="Amiri"/>
          <w:color w:val="111111"/>
          <w:sz w:val="28"/>
          <w:sz w:val="28"/>
          <w:szCs w:val="28"/>
          <w:rtl w:val="true"/>
          <w:lang w:bidi="ar-SA"/>
        </w:rPr>
        <w:t xml:space="preserve">على ما حُكي،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59"/>
      </w:r>
      <w:r>
        <w:rPr>
          <w:rFonts w:ascii="Amiri" w:hAnsi="Amiri" w:eastAsia="Amiri" w:cs="Amiri"/>
          <w:color w:val="111111"/>
          <w:sz w:val="28"/>
          <w:sz w:val="28"/>
          <w:szCs w:val="28"/>
          <w:rtl w:val="true"/>
          <w:lang w:bidi="ar-SA"/>
        </w:rPr>
        <w:t>والمتن اختصاص هذا الحكم بالثلاثة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المنذور هدياً إنْ كان من النعم، وكان للكعبة، انصرف إلى الهَدي النُسكي، وتعيّن نقله إلى مكّة والذبح إمّا بها أو بمِنى على ما تقدّم في كتاب الحجّ‌</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 غير النعم، سواءٌ كان دابّة أو عبداً أو جارية، أو غير ذلك، كان ممّا يُنقل أو كان ممّا لا ينقل كالدار، صَحّ النذر وانعقد، لأنّ الذي يختصّ بالنعم هو الهَدي النُسُكي لا الإهداء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الدالّة على أنّ الطعام لا يُهدى، وحَصْر الهدي في البُدن والنِعم، تختصُّ بالهدي المعتبر شرعاً، لا مطلق الإهداء، وإلّا ففي صحيح عليّبن جعفر عليه السلام، عن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جاريته هدياً للكعبة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أتاه رجلٌ جَعَل جاريته هَدياً للكعبة،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الجارية أو بِعها، ثمّ مُر مُنادياً يقوم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طريقه، أو نفد طعامه، فليأتِ فلان ابن فلان، وأمَرَهُ أن يعطي أوّلاً فأوّلاً حتّى ينفد بثمن الجارية</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الصيرفي</w:t>
      </w:r>
      <w:r>
        <w:rPr>
          <w:rStyle w:val="FootnoteAnchor"/>
          <w:rtl w:val="true"/>
        </w:rPr>
        <w:footnoteReference w:id="862"/>
      </w:r>
      <w:r>
        <w:rPr>
          <w:rFonts w:ascii="Amiri" w:hAnsi="Amiri" w:eastAsia="Amiri" w:cs="Amiri"/>
          <w:color w:val="111111"/>
          <w:sz w:val="28"/>
          <w:sz w:val="28"/>
          <w:szCs w:val="28"/>
          <w:rtl w:val="true"/>
          <w:lang w:bidi="ar-SA"/>
        </w:rPr>
        <w:t>، والمرويّ عن قرب الإسناد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خصوصيّة للجارية، فيكون غيرهاكذلك، لعدم الفارق،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للإجماع على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خبرٌ آخر لعليّ بن جعفر عليه السلام توهّم الشهيد الثاني</w:t>
      </w:r>
      <w:r>
        <w:rPr>
          <w:rStyle w:val="FootnoteAnchor"/>
          <w:rtl w:val="true"/>
        </w:rPr>
        <w:footnoteReference w:id="86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أنّه يدلّ على أنّ المنذور إنْ كان دابّةً لا ينعقدُ النذر،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يقول هو يهدي إلى الكعبة كذا وكذا، ما عليه إذا كان لا يقدر على ما يهديه‌؟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جَعَله نذراً ولا يملكه، فلا شيء عليه، وإنْ كان ممّا يُملك غلامٌ أو جاريةٌ أو شبهه، باعه واشترى بثمنه طيباً يطيّب به الكعبة، وإنْ كانت دابّة فليس عليه شيء</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اشتباه منهما، فإنّ المفروض في الخبر أنّ الناذر قد نذر شيئاً للكعبة ولا يملكه، فأجاب عليه السلام بأنّه إنْ كان يُملك غلاماً أو جارية أو شبهه باعه ويتمكّن بثمنه من الوفاء بالنذر، وإنْ كان دابّة لا يجبُ عليه أن يبيعها فيصير متمكّناً من الوفاء بالنذر، وعليه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النذر وانعقاده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الخبر الأخير، لزوم صرفه في ما يرجع إلى البيت من التعظيم ونحوه، فبالأولويّة يدلّ على جواز صرفه في البناء ونحوه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الأُول تدلّ على لزوم صرفه في معونة الحاجّ‌، ولا معارضة بين الأخبار، فالنصوص تدلّ على أنّ المصرف إمّا ما يرجع إلى البيت، أو إلى الحجّاج، والظاهر أنّ ذلك حكمُ النذر للمشاهد المشرّفة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من نسبة الصرف في مصالح البيت أو المشهد أو في معونة الحاجّ والزائر إلى الرواية حَسَنٌ‌، ويكون نظره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النذر للبيت أو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نذر لمن في المشهد من الأئمّة الهُداة، والأولياء البَررة، فالظاهر إرادة صرفه في سبيل الخير، بقصد رجوع ثوابه إليهم، من غير فرقٍ بين الصدقة على المساكين والزائرين، وغير الصدقة من وجوه الخير التي يرجع ثوابها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قصدٍ من الناذر ينافيه، وإلّا اُتبع قَصده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6" w:name="pg11828_105093"/>
    </w:p>
    <w:p>
      <w:pPr>
        <w:pStyle w:val="BookText"/>
        <w:rPr/>
      </w:pPr>
      <w:bookmarkEnd w:id="206"/>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131793_73709187"/>
      <w:bookmarkStart w:id="208" w:name="_Toc71"/>
      <w:bookmarkEnd w:id="207"/>
      <w:r>
        <w:rPr>
          <w:rtl w:val="true"/>
        </w:rPr>
        <w:t>الفصل الثالث الكفّارات</w:t>
      </w:r>
      <w:bookmarkEnd w:id="208"/>
    </w:p>
    <w:p>
      <w:pPr>
        <w:pStyle w:val="Heading4"/>
        <w:numPr>
          <w:ilvl w:val="3"/>
          <w:numId w:val="1"/>
        </w:numPr>
        <w:rPr/>
      </w:pPr>
      <w:bookmarkStart w:id="209" w:name="__RefHeading___Toc11131795_73709187"/>
      <w:bookmarkStart w:id="210" w:name="_Toc72"/>
      <w:bookmarkEnd w:id="209"/>
      <w:r>
        <w:rPr>
          <w:rtl w:val="true"/>
        </w:rPr>
        <w:t>اشارة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اسمٌ للتكفير، وأصلها السّتر لأنّها تستر الذّنب، ومنه الكافر لأنّه يَسترُ الحقّ‌، وقد ورد في الكتاب والسُّنة لفظ الكفّارة، وسيمرّان عليك، ولذلك جرى فيها النزاع المعروف، 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لها حقيقة شرعيّة أو متشرّعيّة أم لا؟</w:t>
      </w:r>
    </w:p>
    <w:p>
      <w:pPr>
        <w:pStyle w:val="BookText"/>
        <w:rPr/>
      </w:pPr>
      <w:r>
        <w:rPr>
          <w:rFonts w:ascii="Amiri" w:hAnsi="Amiri" w:eastAsia="Amiri" w:cs="Amiri"/>
          <w:color w:val="111111"/>
          <w:sz w:val="28"/>
          <w:sz w:val="28"/>
          <w:szCs w:val="28"/>
          <w:rtl w:val="true"/>
          <w:lang w:bidi="ar-SA"/>
        </w:rPr>
        <w:t>وفي أنّها اسمٌ للأعمّ أو الصحيح‌؟</w:t>
      </w:r>
    </w:p>
    <w:p>
      <w:pPr>
        <w:pStyle w:val="BookText"/>
        <w:rPr/>
      </w:pPr>
      <w:r>
        <w:rPr>
          <w:rFonts w:ascii="Amiri" w:hAnsi="Amiri" w:eastAsia="Amiri" w:cs="Amiri"/>
          <w:color w:val="111111"/>
          <w:sz w:val="28"/>
          <w:sz w:val="28"/>
          <w:szCs w:val="28"/>
          <w:rtl w:val="true"/>
          <w:lang w:bidi="ar-SA"/>
        </w:rPr>
        <w:t>وغير ذينك من المباحث المحرّرة في الاُصول</w:t>
      </w:r>
      <w:r>
        <w:rPr>
          <w:rStyle w:val="FootnoteAnchor"/>
          <w:rtl w:val="true"/>
        </w:rPr>
        <w:footnoteReference w:id="869"/>
      </w:r>
      <w:r>
        <w:rPr>
          <w:rFonts w:ascii="Amiri" w:hAnsi="Amiri" w:eastAsia="Amiri" w:cs="Amiri"/>
          <w:color w:val="111111"/>
          <w:sz w:val="28"/>
          <w:sz w:val="28"/>
          <w:szCs w:val="28"/>
          <w:rtl w:val="true"/>
          <w:lang w:bidi="ar-SA"/>
        </w:rPr>
        <w:t>، ولا أثر لشيء منها في المقام، لأنّه في كلّ موردٍ اُمرنا بالكفّارة قد بيّن الشارع المراد بها ومصداقها، فلا ثمرة لتلكم المباحث في المقام، كما لا أثر لإتعاب النفس لبيان تعريف جامعٍ ومانع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عرّفها بعضهم بأنّها طاعة مخصوصة مسقطة للعقوبة، أو مخفّفة غالباً، وقيّد بالأغلبيّة لتدخل كفّارة قتل الخطاء فيها، فإنّها ليست عقوبة، وينتقض في طرده بالتوبة، فإنّها طاعة مخصوصة، بل هو من أعظم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يكون مسقطة للذنب، كما إذا كان الذّنب حقّ اللّه تعالى‌، ولم يجب قضاءه، وقد يكون مُخفِّفة له، كما إذا اقترنت بوجوب القضاء أو رَدّ الحقّ ونحوه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ينتقض بقضاء العبادات، فإنّه طاعة مسقطة للذّنب المترتّب على </w:t>
      </w:r>
    </w:p>
    <w:p>
      <w:pPr>
        <w:pStyle w:val="BookText"/>
        <w:rPr/>
      </w:pPr>
      <w:r>
        <w:rPr>
          <w:rFonts w:ascii="Amiri" w:hAnsi="Amiri" w:eastAsia="Amiri" w:cs="Amiri"/>
          <w:color w:val="111111"/>
          <w:sz w:val="28"/>
          <w:sz w:val="28"/>
          <w:szCs w:val="28"/>
          <w:rtl w:val="true"/>
          <w:lang w:bidi="ar-SA"/>
        </w:rPr>
        <w:t>التهاون في الفعل إلى أن خرج الوقت، أو مخفّفة له من حيث افتقار سقوطه إلى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المهمّ هو البحث فيما وقع الخلاف فيه،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الكفّارة، هل يكون على الفور أو التراخي‌؟</w:t>
      </w:r>
    </w:p>
    <w:p>
      <w:pPr>
        <w:pStyle w:val="BookText"/>
        <w:rPr/>
      </w:pPr>
      <w:r>
        <w:rPr>
          <w:rFonts w:ascii="Amiri" w:hAnsi="Amiri" w:eastAsia="Amiri" w:cs="Amiri"/>
          <w:color w:val="111111"/>
          <w:sz w:val="28"/>
          <w:sz w:val="28"/>
          <w:szCs w:val="28"/>
          <w:rtl w:val="true"/>
          <w:lang w:bidi="ar-SA"/>
        </w:rPr>
        <w:t>أو يفصّل بين الكفّارة الواجبة عن ذنبٍ فالأُولى‌، وبين الواجبة لا عن ذنبٍ ككفّارة قتل الخطاء فالثاني‌؟</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أنّ محلّ الخلاف هو القسم الأوّل، وأمّا القسم الثاني فوجوبها على التراخي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لوجوب الفور فيما إذا كانت الكفّارة عن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كالتوبة الواجبة لذلك، لوجوب الندم علي كلّ قبيح أو إخلالٍ بواجب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في معنى التوبة، من حيث أنّها مسقطة للذّنب أو مخفّفة، والتوبة واجبة على الفور، وكذلك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لا تُسقط استحقاق العقاب، بل لابدّ معها من التوبة المشتملة على ترك الذنب في الحال، والنَّدم على فعله فيما سلف، والعَزم على عدم العود إليه في المستقبل إلّافي بعض الموارد الذي نشير إليه في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بوجوب الندم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درك العقل حُسن الكفّارة المُسقِطة للعقاب، من جهة أنّ بها يدفع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 هذا المُدرَك العقلاني لا يصلح منشئاً للوجوب الجعلي الشرعي، فإنّه من قبيل الحكم بوجوب الطاعة وحرمة المعصية، فإنّه عبارة عن درك ترتّب العقاب لو لم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أنّ العقل يُدرك حُسن الكفّارة، كما يُدرك حُسن الندامة، والعزم على عدم العود إلى المعصية، مع قطع النظر عن وجوب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بنحوٍ يُستكشف منه وجوب ذلك، كما لا يُستكشف من دركه قبح العزم على المعصية حرمتها، ولذا لا شيء على العزم عليها وإنْ كان من مساوئ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ما في الوجه الثاني، مع أنّه لا يلزم من مشاركتها للتوبة في ذلك مساواتها لها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الكفّارة إذا كانت من قبيل الحقوق الماليّة كالإطعام، كان وجوبها على الفور، لأنّ الأصل في الحقوق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لشخصٍ معيّن أو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إلّامع الإذن من صاحب الحقّ‌،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الأمانات الشرعيّة إلى أهلها فوراً، وأداء الخُمس والزكاة وغيرها، وكأنّه متّفقٌ عليه،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تأخير الحقّ عن مستحقّيه، مع حاجتهم إليه من الظلم المحرّم عقلاً ونقلاً، ومن الإضرار المنهيّ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الماليّة على أقسام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العين الشخصيّة للغير، وفي هذا القسم يجبُ الرَّد فوراً، لأنّ إبقائها غصبٌ محرّم إلّامع الإذن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11" w:name="pg11828_105096"/>
    </w:p>
    <w:p>
      <w:pPr>
        <w:pStyle w:val="BookText"/>
        <w:rPr/>
      </w:pPr>
      <w:bookmarkEnd w:id="211"/>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ومخيّرة، وما يجتمع فيه الأمران، وكفّارة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تعلّق الحقّ بالعين الشخصيّة كالزكاة والخمس، والكلام في أنّه هل يجبُ الأداء فوراً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بالذّمة، وفي مثل ذلك فيما دلّ دليلٌ خاص على وجوب رَدّه فوراً فلا كلام، وإلّا لا دليل على كون الوجوب فوريّاً، وقاعدة لا ضرر حيث تكون نافية لا مثبتة، لا تصلحُ لأن تكون منشئاً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تأخير الحقّ عن مستحقّيه مع حاجتهم إليه من الظلم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إنْ كان على الفور كان ما اُفيد تامّاً، وأمّا إنْ كان على نحو التراخي، كما إذا كان للغير دينٌ في ذمّته مؤجّلاً، ولم يحين الأجل، فإنّ تأخير الحقّ عن مستحقّه لا يكون من الظلم المُحرّم، فإثبات الفوريّة بذلك دورٌ واضح،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ما أفاده الشهيدالثاني رحمه الله من عدم كون الوجوب على الفور</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1131797_73709187"/>
      <w:bookmarkStart w:id="213" w:name="_Toc73"/>
      <w:bookmarkEnd w:id="212"/>
      <w:r>
        <w:rPr>
          <w:rtl w:val="true"/>
        </w:rPr>
        <w:t>كفّارة الظهار</w:t>
      </w:r>
      <w:bookmarkEnd w:id="2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في هذا الفصل في مقصدين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الكفّارة، وبيان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ومخيّرة، وما يجتمع فيه الأمران، وكفّارة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فأقسامها أربعة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كفّارة الظهار، وكفّارة قَتْل الخطاء، ويجبُ فيهما عِتقُ رقبة، فإنْ عَجَز صام شهرين متتابعين، فإنْ عَجَز 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المصداق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قتل الخَطاء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فيهما عتق رقبةٍ‌، فإنْ عَجَز صام شهرين متتابعين، فإنْ عَجَز أطعم ستّين مسيكناً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شهرة عظيمة، بل بلا خلافٍ في الأوّل، وعن جماعةٍ دعوى الإجماع عليه</w:t>
      </w:r>
      <w:r>
        <w:rPr>
          <w:rStyle w:val="FootnoteAnchor"/>
          <w:rtl w:val="true"/>
        </w:rPr>
        <w:footnoteReference w:id="873"/>
      </w:r>
      <w:r>
        <w:rPr>
          <w:rFonts w:ascii="Amiri" w:hAnsi="Amiri" w:eastAsia="Amiri" w:cs="Amiri"/>
          <w:color w:val="111111"/>
          <w:sz w:val="28"/>
          <w:sz w:val="28"/>
          <w:szCs w:val="28"/>
          <w:rtl w:val="true"/>
          <w:lang w:bidi="ar-SA"/>
        </w:rPr>
        <w:t>، ويشهد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الأُولى نصٌّ في الأُولى، والثانية في الثانية بالنسبة إلى العتق والصيام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في البابين وقد تقدّمت النصوص في الظهار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ظاهرتُ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امرأتي‌؟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فاطعم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المرسل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صام شهراً من كفّارة الظهار، ثمّ وجد نسمة‌؟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 ولا يعتد بالصوم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منهما النصوص</w:t>
      </w:r>
      <w:r>
        <w:rPr>
          <w:rStyle w:val="FootnoteAnchor"/>
          <w:rtl w:val="true"/>
        </w:rPr>
        <w:footnoteReference w:id="879"/>
      </w:r>
      <w:r>
        <w:rPr>
          <w:rFonts w:ascii="Amiri" w:hAnsi="Amiri" w:eastAsia="Amiri" w:cs="Amiri"/>
          <w:color w:val="111111"/>
          <w:sz w:val="28"/>
          <w:sz w:val="28"/>
          <w:szCs w:val="28"/>
          <w:rtl w:val="true"/>
          <w:lang w:bidi="ar-SA"/>
        </w:rPr>
        <w:t>الواردة فى تفسير الآية، بل وغيرها من النصوص المتقدّمة، ومثلها النصوص الواردة فى القتل، كصحيح عبداللّه بن سنان،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خطأ أدّى ديته إلى أوليائه، ثمّ أعتق رقبة، فإنْ لم يجد صام شهرين متتابعين، فإن لم يستطع أطعم ستّين مسكيناً مُدّاً مُدّاً</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الخلاف عن أحدٍ في 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فالنصوص الظاهرة في كون الكفّارة بنحو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المظاهر؟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رقبة، أو صيام شهرين متتابعين،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غيره، لابدّ من حَمْل ما فيها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التخيير في نفسها،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4" w:name="pg11828_105099"/>
    </w:p>
    <w:p>
      <w:pPr>
        <w:pStyle w:val="BookText"/>
        <w:rPr/>
      </w:pPr>
      <w:bookmarkEnd w:id="214"/>
      <w:r>
        <w:rPr>
          <w:rFonts w:ascii="Amiri" w:hAnsi="Amiri" w:eastAsia="Amiri" w:cs="Amiri"/>
          <w:color w:val="111111"/>
          <w:sz w:val="28"/>
          <w:sz w:val="28"/>
          <w:szCs w:val="28"/>
          <w:rtl w:val="true"/>
          <w:lang w:bidi="ar-SA"/>
        </w:rPr>
        <w:t>وكفّارة من أفطر يوماً من قضاء شهر رمضان بعد الزوال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فإنْ عَجَز صام ثلاثة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أو من نذرٍ معيّن، أو خالف نذراً، أو عهداً على‌</w:t>
      </w:r>
    </w:p>
    <w:p>
      <w:pPr>
        <w:pStyle w:val="BookText"/>
        <w:rPr/>
      </w:pPr>
      <w:r>
        <w:rPr>
          <w:rFonts w:ascii="Amiri" w:hAnsi="Amiri" w:eastAsia="Amiri" w:cs="Amiri"/>
          <w:color w:val="111111"/>
          <w:sz w:val="28"/>
          <w:sz w:val="28"/>
          <w:szCs w:val="28"/>
          <w:rtl w:val="true"/>
          <w:lang w:bidi="ar-SA"/>
        </w:rPr>
        <w:t xml:space="preserve">على إرادة الترتيب، ولعلّ ذلك ممّا يقتضيه الجمع العرفي بينهما وبين النصوص المتقدّمة والآية،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لغير التخيير أيضاً، وإنْ أبيت عن ذلك فهي شاذّة 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882"/>
      </w:r>
      <w:r>
        <w:rPr>
          <w:rFonts w:ascii="Amiri" w:hAnsi="Amiri" w:eastAsia="Amiri" w:cs="Amiri"/>
          <w:color w:val="111111"/>
          <w:sz w:val="28"/>
          <w:sz w:val="28"/>
          <w:szCs w:val="28"/>
          <w:rtl w:val="true"/>
          <w:lang w:bidi="ar-SA"/>
        </w:rPr>
        <w:t>، وسلّار</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الأصحاب في كفّارة قتل الخطاء، والتزامهما بأنّ كفّارته مخيّرة لا مرتّبة، ولم يظفر الأساطين من الفقهاء بمستندهما، وعليه فالمذهب هو الأوّل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من أفطر يوماً من قضاء شهر رمضان بعد الزوال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مساكين، فإنْ عَجَز صام ثلاثة أيّام 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 ذلك مفصّلاً في كتاب الصوم من هذا الشرح</w:t>
      </w:r>
      <w:r>
        <w:rPr>
          <w:rStyle w:val="FootnoteAnchor"/>
          <w:rtl w:val="true"/>
        </w:rPr>
        <w:footnoteReference w:id="885"/>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1131799_73709187"/>
      <w:bookmarkStart w:id="216" w:name="_Toc74"/>
      <w:bookmarkEnd w:id="215"/>
      <w:r>
        <w:rPr>
          <w:rtl w:val="true"/>
        </w:rPr>
        <w:t>كفّارة مخالفة العهد وحنث النذر</w:t>
      </w:r>
      <w:bookmarkEnd w:id="216"/>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فلها أيضاً موارد جمعها المصنّف رحمه الله في قوله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يوماً من شهر رمضان، أو من نذر معيّن، أو خالف نذراً، أو عهداً على‌ </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باب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كفّارة يمين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في العهد والنذر، فإنْكان صوماً فأفطره فكفّارة رمضان، وإلّا فكفّارة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أفتى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كفّارة يمين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يمكن أن يكون مدركاً لكون كفّارتها كفّارة اليمين، والجواب عنه، فما يُشعر به عبارته في المقام من التردّد في كون كفّارته كبيرة مخيّرة مطلقاً، لنسبة ذلك إلى قولٍ في غير محلّه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حَنْث النذر، ففيها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ككفّارة رمضان مطلقاً، وهي الكبيرة المخيّرة، ذهب إليه الشيخان</w:t>
      </w:r>
      <w:r>
        <w:rPr>
          <w:rStyle w:val="FootnoteAnchor"/>
          <w:rtl w:val="true"/>
        </w:rPr>
        <w:footnoteReference w:id="887"/>
      </w:r>
      <w:r>
        <w:rPr>
          <w:rFonts w:ascii="IRNazanin" w:hAnsi="IRNazanin" w:eastAsia="IRNazanin"/>
          <w:color w:val="111111"/>
          <w:sz w:val="28"/>
          <w:sz w:val="28"/>
          <w:szCs w:val="28"/>
          <w:rtl w:val="true"/>
          <w:lang w:bidi="fa-IR"/>
        </w:rPr>
        <w:t>، وأتباعهما</w:t>
      </w:r>
      <w:r>
        <w:rPr>
          <w:rStyle w:val="FootnoteAnchor"/>
          <w:rtl w:val="true"/>
        </w:rPr>
        <w:footnoteReference w:id="888"/>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والمحقّق،</w:t>
      </w:r>
      <w:r>
        <w:rPr>
          <w:rStyle w:val="FootnoteAnchor"/>
          <w:rtl w:val="true"/>
        </w:rPr>
        <w:footnoteReference w:id="890"/>
      </w:r>
      <w:r>
        <w:rPr>
          <w:rFonts w:ascii="Amiri" w:hAnsi="Amiri" w:eastAsia="Amiri" w:cs="Amiri"/>
          <w:color w:val="111111"/>
          <w:sz w:val="28"/>
          <w:sz w:val="28"/>
          <w:szCs w:val="28"/>
          <w:rtl w:val="true"/>
          <w:lang w:bidi="ar-SA"/>
        </w:rPr>
        <w:t>وأكثر المتأخّرين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كفّارة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لاحقاً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ذهب إليه الصدوق،</w:t>
      </w:r>
      <w:r>
        <w:rPr>
          <w:rStyle w:val="FootnoteAnchor"/>
          <w:rtl w:val="true"/>
        </w:rPr>
        <w:footnoteReference w:id="891"/>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على ما حُكي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إذا كان النذر لصومٍ فأفطره فكفّارة رمضان، وإنْ كان لغير ذلك، فكفّارة يمين، ذهب إليه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 في بعض كتبه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895"/>
      </w:r>
      <w:r>
        <w:rPr>
          <w:rFonts w:ascii="Amiri" w:hAnsi="Amiri" w:eastAsia="Amiri" w:cs="Amiri"/>
          <w:color w:val="111111"/>
          <w:sz w:val="28"/>
          <w:sz w:val="28"/>
          <w:szCs w:val="28"/>
          <w:rtl w:val="true"/>
          <w:lang w:bidi="ar-SA"/>
        </w:rPr>
        <w:t>وهو التفصيل بين المتمكّن من إحدى الخصال، فكفّارة رمضان، والعاجز عنها فكفّارة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سلّار</w:t>
      </w:r>
      <w:r>
        <w:rPr>
          <w:rStyle w:val="FootnoteAnchor"/>
          <w:rtl w:val="true"/>
        </w:rPr>
        <w:footnoteReference w:id="896"/>
      </w:r>
      <w:r>
        <w:rPr>
          <w:rFonts w:ascii="Amiri" w:hAnsi="Amiri" w:eastAsia="Amiri" w:cs="Amiri"/>
          <w:color w:val="111111"/>
          <w:sz w:val="28"/>
          <w:sz w:val="28"/>
          <w:szCs w:val="28"/>
          <w:rtl w:val="true"/>
          <w:lang w:bidi="ar-SA"/>
        </w:rPr>
        <w:t>والكراجُكي</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كفّارته كفّارة الظهار أي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اُخر نادرة، ومنشأ الاختلاف اختلاف النصوص، فإنّها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 كصحيح عبدالملك بن عمرو،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جعل للّه عليه أن لا يركب مُحرّماً سمّاه فركبه‌؟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أعلمه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 كحسن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حفص بن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كفّارة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الخبر العجز عن المنذور، لا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الطائفة الثالثة تعيّن الرقبة مع التمكّن منها، وهذا يقتضي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الطائفة الأُولى على إرادة الترتيب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نفسها وإنْ كانت ظاهرة في التعيّن من جهة ظهور الأمر فيه، إلّا أنّه بواسطة الطائفتين الأوليين تُحمل على إرادة التخيير، وأنّ ذلك يُجزي في الكفّارة لا أنّه متعيّن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 قدس سره</w:t>
      </w:r>
      <w:r>
        <w:rPr>
          <w:rStyle w:val="FootnoteAnchor"/>
          <w:rtl w:val="true"/>
        </w:rPr>
        <w:footnoteReference w:id="901"/>
      </w:r>
      <w:r>
        <w:rPr>
          <w:rFonts w:ascii="Amiri" w:hAnsi="Amiri" w:eastAsia="Amiri" w:cs="Amiri"/>
          <w:color w:val="111111"/>
          <w:sz w:val="28"/>
          <w:sz w:val="28"/>
          <w:szCs w:val="28"/>
          <w:rtl w:val="true"/>
          <w:lang w:bidi="ar-SA"/>
        </w:rPr>
        <w:t>بأنّه تُحمل الطائفة الأُولى على نذر الصوم، والثانية على نذر غيره للمناسبة، وارتضاه المصنّف رحمه الله في بعض كتبه، لكنّه لا شاهد له، بل قيل إنّ ظاهر صحيح عبدالملك نذر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فيدور الأمر بين القولين الأولين، وحيث أنّ القول الأوّل مشهورٌ بين الأصحاب، بل لم نظفر بقائل بالثاني من المتقدّمين إلّاالصدوق، والشهرة أوّل المرجّحات، فتقدّم الطائفة الأُولى‌، ويؤيّده أنّها 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أطنب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في ترجيح الطائفة الثانية سنداً ودلالةً‌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عبدالملك لم يوثّق صريحاً في كتب الرجال، وإنّما مدحوه مدحاً بعيداً عن التعديل، وغايته أن يكون حَسَناً، والتعبير بالصحيح عن خبره من جهة وثاقة رجال إسناده إلى عبدالملك، فهي صحّة إضافيّة مستعملة في اصطلاحهم كثيراً، فلا يترجّح خبره على الأخبار الاُخر، بل الترجيح معها، لأنّ حسن الحلبي في ذلك الجانب، وهو من أعلى مراتب الحسن، لأنّ حسنه باعتبار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 إبراهيم بن هاشم في طريقه، وهو من أجلّاء الأعيان، بخلاف تلك الرواية، فإنّ الظاهر أنّها لا تلحق أدنى مراتب الحُسن فضلاً عمّا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حسن الحلبي صحيح ابن مهزيار المتقدّم، وخبر حفص الذي قال الشيخ رحمه الله إنّ كتابه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روايات العامّة التي صحّحوها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عبدالملك،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أعلمه إلّاقال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يُشعر بتردّد الراوي في مقول الإمام عليه السلام، وإنْ كان قد أتى بلفظ العلم الدالّ على الجزم، إلّا أنّ قرينة المقام تقتضي أن يريد بالعلم ما يشمل الظنّ‌، وإلّا لقال ابتداءً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مواقع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أفاده بالنسبة إلى عبدالملك،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وولده،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خبره صحيحاً، وحمله على الصحّة الإضافيّة بعيدٌ غايته، وقد سعى المولى الوحيد إثبات وثاقة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عنه في هذا الخبر اثنان من أصحاب الإجماع؛ وهما ابن أبي عُمير، وجميل بن درّاج، ومثل هذا الخبر كلّ فقيه يبني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صفات الراوي إنّما هو بعد عدم وجود المرجّح الأوّل، وهو الشهرة، وقد مرّ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ذكره من تأييد حَسَن الحلبي بروايات العامّة، فهو من الغرائب، فإنّ المخالفة للعامّة جُعلت من المرجّحات لا الموافقة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أفاده من حيث الدلالة</w:t>
      </w:r>
      <w:r>
        <w:rPr>
          <w:rFonts w:eastAsia="Amiri" w:cs="Amiri" w:ascii="Amiri" w:hAnsi="Amiri"/>
          <w:color w:val="111111"/>
          <w:sz w:val="28"/>
          <w:szCs w:val="28"/>
          <w:rtl w:val="true"/>
          <w:lang w:bidi="ar-SA"/>
        </w:rPr>
        <w:t xml:space="preserve">: </w:t>
      </w:r>
      <w:bookmarkStart w:id="217" w:name="pg11828_105104"/>
    </w:p>
    <w:p>
      <w:pPr>
        <w:pStyle w:val="BookText"/>
        <w:rPr/>
      </w:pPr>
      <w:bookmarkEnd w:id="217"/>
      <w:r>
        <w:rPr>
          <w:rFonts w:ascii="Amiri" w:hAnsi="Amiri" w:eastAsia="Amiri" w:cs="Amiri"/>
          <w:color w:val="111111"/>
          <w:sz w:val="28"/>
          <w:sz w:val="28"/>
          <w:szCs w:val="28"/>
          <w:rtl w:val="true"/>
          <w:lang w:bidi="ar-SA"/>
        </w:rPr>
        <w:t>وما يجتمع فيه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اليمين، عتقُ رقبةٍ‌، أو إطعام عشرة مساكين أو كسوتهم، فإنْ عَجَز صام ثلاثة أيّام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العلم هو الجزم، ولعلّ هذا النحو من التعبير آكد من التعبير بأنّه قال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ترجيح الطائفة الأُولى للشهرة ولمخالفة العامّة، فالقول الأوّل أظهر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1131801_73709187"/>
      <w:bookmarkStart w:id="219" w:name="_Toc75"/>
      <w:bookmarkEnd w:id="218"/>
      <w:r>
        <w:rPr>
          <w:rtl w:val="true"/>
        </w:rPr>
        <w:t>كفّارة اليمين</w:t>
      </w:r>
      <w:bookmarkEnd w:id="219"/>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يجتمع فيه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والترتيب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 أو إطعام عشرة مساكين، أو كِسوتهم، فإنْ عَجَز صام ثلاثة أيّام متواليات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 في هذه الكفّارة محلّ وفاقٍ بين المسلمين، من حيث أنّها منصوصة في القرآن،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والنصوص به مع ذلك مستفيضة ولا معارض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الجمع في قتل المؤمن عمداً ظُلماً، عتقُ رقبةٍ مؤمنة، وصيامُ شهرين متتابعين، وإطعامُ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هذه الكفّارة التي تجمع فيها التخيير والترتيب، فالأوّل في الخصال الثلاث، والثاني في الصيام، فإنّه مرتّبٌ على العجز عن الثلاث السابقة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فإنّه يمين فتشمله الآية الشريفة والنصوص،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 المؤمن عمداً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 مؤمنة، وصيام شهرين متتابعين، وإطعام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المسلم، ومن بحكمه كولده الصغير والمجنون، ولا فرق بين الذكر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القتل مباشرةً لا تسببياً، وسيأتي تفصيل القول في ذلك وسائر فروع المسألة في بابه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كفّارة من أفطر على مُحرّمٍ في شهر رمضان، على قولٍ تقدّم ذكره في كتاب الصوم</w:t>
      </w:r>
      <w:r>
        <w:rPr>
          <w:rStyle w:val="FootnoteAnchor"/>
          <w:rtl w:val="true"/>
        </w:rPr>
        <w:footnoteReference w:id="905"/>
      </w:r>
      <w:r>
        <w:rPr>
          <w:rFonts w:ascii="Amiri" w:hAnsi="Amiri" w:eastAsia="Amiri" w:cs="Amiri"/>
          <w:color w:val="111111"/>
          <w:sz w:val="28"/>
          <w:sz w:val="28"/>
          <w:szCs w:val="28"/>
          <w:rtl w:val="true"/>
          <w:lang w:bidi="ar-SA"/>
        </w:rPr>
        <w:t>من هذا الشرح خلافاً للأكثر فالتخيير، وقد مرّ ما هو الأظهر عندنا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20" w:name="pg11828_105106"/>
    </w:p>
    <w:p>
      <w:pPr>
        <w:pStyle w:val="BookText"/>
        <w:rPr/>
      </w:pPr>
      <w:bookmarkEnd w:id="220"/>
      <w:r>
        <w:rPr>
          <w:rFonts w:ascii="Amiri" w:hAnsi="Amiri" w:eastAsia="Amiri" w:cs="Amiri"/>
          <w:color w:val="111111"/>
          <w:sz w:val="28"/>
          <w:sz w:val="28"/>
          <w:szCs w:val="28"/>
          <w:rtl w:val="true"/>
          <w:lang w:bidi="ar-SA"/>
        </w:rPr>
        <w:t>وقيل من حَلَف بالبراءة فعليه كفّارة ظهار، فإنْ عَجز فكفّارة اليمين</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1131803_73709187"/>
      <w:bookmarkStart w:id="222" w:name="_Toc76"/>
      <w:bookmarkEnd w:id="221"/>
      <w:r>
        <w:rPr>
          <w:rtl w:val="true"/>
        </w:rPr>
        <w:t>كفّارة الحلف بالبراءة من اللّه تعالى</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بالمقام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والقائل الشيخان</w:t>
      </w:r>
      <w:r>
        <w:rPr>
          <w:rStyle w:val="FootnoteAnchor"/>
          <w:rtl w:val="true"/>
        </w:rPr>
        <w:footnoteReference w:id="906"/>
      </w:r>
      <w:r>
        <w:rPr>
          <w:rFonts w:ascii="Amiri" w:hAnsi="Amiri" w:eastAsia="Amiri" w:cs="Amiri"/>
          <w:color w:val="111111"/>
          <w:sz w:val="28"/>
          <w:sz w:val="28"/>
          <w:szCs w:val="28"/>
          <w:rtl w:val="true"/>
          <w:lang w:bidi="ar-SA"/>
        </w:rPr>
        <w:t>وجماعة</w:t>
      </w:r>
      <w:r>
        <w:rPr>
          <w:rStyle w:val="FootnoteAnchor"/>
          <w:rtl w:val="true"/>
        </w:rPr>
        <w:footnoteReference w:id="907"/>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شأنه، أو مِنْ رسوله صلى الله عليه و آله، أو من الأئمّة عليهم السلام على الاجتماع أو 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كفّارة ظهار، فإنْ عَجَز فكفّارة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بمجرّده، كما عن الشيخ الطوسي</w:t>
      </w:r>
      <w:r>
        <w:rPr>
          <w:rStyle w:val="FootnoteAnchor"/>
          <w:rtl w:val="true"/>
        </w:rPr>
        <w:footnoteReference w:id="909"/>
      </w:r>
      <w:r>
        <w:rPr>
          <w:rFonts w:ascii="Amiri" w:hAnsi="Amiri" w:eastAsia="Amiri" w:cs="Amiri"/>
          <w:color w:val="111111"/>
          <w:sz w:val="28"/>
          <w:sz w:val="28"/>
          <w:szCs w:val="28"/>
          <w:rtl w:val="true"/>
          <w:lang w:bidi="ar-SA"/>
        </w:rPr>
        <w:t>، والسيّد المرتضى</w:t>
      </w:r>
      <w:r>
        <w:rPr>
          <w:rStyle w:val="FootnoteAnchor"/>
          <w:rtl w:val="true"/>
        </w:rPr>
        <w:footnoteReference w:id="910"/>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الحَنث، كما عن المفيد</w:t>
      </w:r>
      <w:r>
        <w:rPr>
          <w:rStyle w:val="FootnoteAnchor"/>
          <w:rtl w:val="true"/>
        </w:rPr>
        <w:footnoteReference w:id="912"/>
      </w:r>
      <w:r>
        <w:rPr>
          <w:rFonts w:ascii="Amiri" w:hAnsi="Amiri" w:eastAsia="Amiri" w:cs="Amiri"/>
          <w:color w:val="111111"/>
          <w:sz w:val="28"/>
          <w:sz w:val="28"/>
          <w:szCs w:val="28"/>
          <w:rtl w:val="true"/>
          <w:lang w:bidi="ar-SA"/>
        </w:rPr>
        <w:t>، والديلمي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كفّارة نذر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الصَّدوق</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ثلاثة أيّام، ويتصدّق على عشرة 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أن يُطعم عشرة مساكين، لكلّ مسكينٍ مُدّ، ويستغفر اللّه شأنه،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والحِلّي</w:t>
      </w:r>
      <w:r>
        <w:rPr>
          <w:rStyle w:val="FootnoteAnchor"/>
          <w:rtl w:val="true"/>
        </w:rPr>
        <w:footnoteReference w:id="921"/>
      </w:r>
      <w:r>
        <w:rPr>
          <w:rFonts w:ascii="Amiri" w:hAnsi="Amiri" w:eastAsia="Amiri" w:cs="Amiri"/>
          <w:color w:val="111111"/>
          <w:sz w:val="28"/>
          <w:sz w:val="28"/>
          <w:szCs w:val="28"/>
          <w:rtl w:val="true"/>
          <w:lang w:bidi="ar-SA"/>
        </w:rPr>
        <w:t>،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يأثم ولاكفّارة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أجده في أصل الحرمة، وادّعى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قيام الإجماع بقسميه عليها، من غير فرقٍ بين الصدق والكذب، والحنث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فخر المحقّقين</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العلم على عدم جوازه، ويشهد به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رسول اللّه صلى الله عليه و آله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دين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برئت من دين محمّدٍ فعلى دين 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رسول اللّه صلى الله عليه و آله حتّى مات</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مرسل الصدوق</w:t>
      </w:r>
      <w:r>
        <w:rPr>
          <w:rStyle w:val="FootnoteAnchor"/>
          <w:rtl w:val="true"/>
        </w:rPr>
        <w:footnoteReference w:id="925"/>
      </w:r>
      <w:r>
        <w:rPr>
          <w:rFonts w:ascii="Amiri" w:hAnsi="Amiri" w:eastAsia="Amiri" w:cs="Amiri"/>
          <w:color w:val="111111"/>
          <w:sz w:val="28"/>
          <w:sz w:val="28"/>
          <w:szCs w:val="28"/>
          <w:rtl w:val="true"/>
          <w:lang w:bidi="ar-SA"/>
        </w:rPr>
        <w:t>، وتأمّل فإنّهما في البراءة من الدِّين، لا في الحلف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بالبراءة منه،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ظبيان،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تحلف بالبراءة منّا، فإنّه مَن حَلِف بالبراءة منّا صادقاً أو كاذباً فقد بريء منّا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محمّد بن الحسن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حَلف بالبراءة من اللّه ورسوله فحنث، ما توبته وكفّارته‌؟</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 لكلّ مسكين مُد، ويستغفر اللّه عزّ وجلّ‌</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المفضّل،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يعني به البراءة من الأئمّة عليهم السلام، يحلف بها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عند اللّه عظيم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ويُحتمل الكفر في بعض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يشيرُ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التلفّظ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علّقه على محالٍ‌، لا يُخرجه عن الإسلام، لأنّ حكم المعلّق حكم المعلّق به، وإنْ علّقه على ممكنٍ‌، فهل يخرج به عن الإسلام أم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نعم، لقيام الدليل على وجوب الثبات على الاعتقاد الصحيح، وامتناع الانتقال عنه، فإذا علّق على ممكن، والممكن جائز الوقوع فيقع المعلّق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كان المتلفّظ يعلم معنى التعليق، كَفر في الحال،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ما عن المحقّق الكركي رحمه الله</w:t>
      </w:r>
      <w:r>
        <w:rPr>
          <w:rStyle w:val="FootnoteAnchor"/>
          <w:rtl w:val="true"/>
        </w:rPr>
        <w:footnoteReference w:id="932"/>
      </w:r>
      <w:r>
        <w:rPr>
          <w:rFonts w:ascii="Amiri" w:hAnsi="Amiri" w:eastAsia="Amiri" w:cs="Amiri"/>
          <w:color w:val="111111"/>
          <w:sz w:val="28"/>
          <w:sz w:val="28"/>
          <w:szCs w:val="28"/>
          <w:rtl w:val="true"/>
          <w:lang w:bidi="ar-SA"/>
        </w:rPr>
        <w:t>من أنّه إنْ أراد بذلك المبالغة في المنع لا يَكفُر، وإنْ قصد معنى التعليق يكفر، لمنافاة التعليق للجزم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933"/>
      </w:r>
      <w:r>
        <w:rPr>
          <w:rFonts w:ascii="Amiri" w:hAnsi="Amiri" w:eastAsia="Amiri" w:cs="Amiri"/>
          <w:color w:val="111111"/>
          <w:sz w:val="28"/>
          <w:sz w:val="28"/>
          <w:szCs w:val="28"/>
          <w:rtl w:val="true"/>
          <w:lang w:bidi="ar-SA"/>
        </w:rPr>
        <w:t>باباً لجواز استحلاف الظالم بالبراءة من حول اللّه وقوته، وظاهره الفتوى به،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احلفوا الظالم إذا أردتم يمينه بأنّه بريء من حول اللّه وقوّته، فإنّه إذا حلف بها كاذباً عُوجل، وإذا حلف باللّه الذي لا إله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يعاجل، لأنّه قد وَحَدّ اللّه سبحانه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صفوان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المنصور قال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أنّ مولاك المُعلّى بن خنيس يدعو إليك ويجمع لك الأموال‌؟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أجمعُ بينك وبين من سَعى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فجاء بالرَّجل الذي سعى به،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أتحلف‌؟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الذي لا إله إلّاهو، عالم الغيب والشهادة هو الرحمن الرحيم، لقد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تُبجِّل اللّه فيستحي من تعذيبك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برئتُ من حَول اللّه وقوّته، والتجأتُ إلى حولي وقوّتي، فحلف بها الرّجل فلم يُتمّها حتّى وقع 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اُصدّق عليك بعد هذا أبداً، وأحسن جائزته</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المرويّ عن الإمام الرّضا عليه السلام عن أبيه، ورواه المفيد</w:t>
      </w:r>
      <w:r>
        <w:rPr>
          <w:rStyle w:val="FootnoteAnchor"/>
          <w:rtl w:val="true"/>
        </w:rPr>
        <w:footnoteReference w:id="936"/>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أجد من أفتى بذلك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الاحتياط يقتضي تركه إلّافي مهدور الدّم من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كفّارته كما عرفت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الأقوال الثلاثة الأُول فلم أظفر بما يصلح أن يُستشهد به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الصدوق فقد استدلّ له بخبر عمرو بن حُريث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 ذا قرابةٍ له، فعليه المشي إلى بيت اللّه، وكلّ ما يملكه في سبيل اللّه، ولو برأ من دين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ويتصدّق على عشرة مساكين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السند لمفضّل بن صالح أبي جميلة، مع أنّه لم يعمل به غير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 يحتمل أن يكون المراد بيان كفّارة إيقاع النذر لغير اللّه تعالى‌، ويكون سبيله سبيل خبر عمر بن خالد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 نذران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ففِ به، وما كان لغير اللّه فكفّارته كفّارة يمين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المصنّف وجماعة فيشهد له مكاتبة الصفّار الصحيحة المتقدّمة،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سلّار</w:t>
      </w:r>
      <w:r>
        <w:rPr>
          <w:rStyle w:val="FootnoteAnchor"/>
          <w:rtl w:val="true"/>
        </w:rPr>
        <w:footnoteReference w:id="941"/>
      </w:r>
      <w:r>
        <w:rPr>
          <w:rFonts w:ascii="Amiri" w:hAnsi="Amiri" w:eastAsia="Amiri" w:cs="Amiri"/>
          <w:color w:val="111111"/>
          <w:sz w:val="28"/>
          <w:sz w:val="28"/>
          <w:szCs w:val="28"/>
          <w:rtl w:val="true"/>
          <w:lang w:bidi="ar-SA"/>
        </w:rPr>
        <w:t>، والحِلّي</w:t>
      </w:r>
      <w:r>
        <w:rPr>
          <w:rStyle w:val="FootnoteAnchor"/>
          <w:rtl w:val="true"/>
        </w:rPr>
        <w:footnoteReference w:id="94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كفّارة الظهار، وعن الثاني منهما 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 xml:space="preserve">، وظاهر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 والفخر</w:t>
      </w:r>
      <w:r>
        <w:rPr>
          <w:rStyle w:val="FootnoteAnchor"/>
          <w:rtl w:val="true"/>
        </w:rPr>
        <w:footnoteReference w:id="947"/>
      </w:r>
      <w:r>
        <w:rPr>
          <w:rFonts w:ascii="Amiri" w:hAnsi="Amiri" w:eastAsia="Amiri" w:cs="Amiri"/>
          <w:color w:val="111111"/>
          <w:sz w:val="28"/>
          <w:sz w:val="28"/>
          <w:szCs w:val="28"/>
          <w:rtl w:val="true"/>
          <w:lang w:bidi="ar-SA"/>
        </w:rPr>
        <w:t xml:space="preserve">، وثاني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وسبطه</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المقام إلّارواية واحدة، هي رواية خالد بن سُدير أخي حنان ابن سدير،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شقّ ثوبه على أبيه أو على أُمّه أو على أخيه أو على قريبٍ 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الجيوب، قد شَقّ موسى بن عمران على أخيه هارون، ولا يشقّ الوالد على ولده، ولا زوج على امرأته، وتشقّ المرأة على زوجها، وإذا شقّ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زوجٌ على امرأته، أو والدٌ على ولده فكفّارته حنث يمين، ولا صلاة لهما حتّى يُكفّرا، أو يتوبا من ذلك، فإذا خَدَشتِ المرأة وجهها، أو جَزّت شعرها أو نتفته، ففي جَزّ الشعر عتق رقبة، أو صيام شهرين متتابعين، أو إطعام ستّين مسكيناً، وفي الخدش إذا دميت، وفي النتف كفّارة حنث يمينٍ‌، ولا شيء في اللَّطم على الخدود سوى الاستغفار والتوبة، ولقد شَقَقن الجيوب، ولَطَمْنَ الخدود الفاطميّات على الحُسين بن عليّ عليهما السلام، وعلى مثله تُلطم الخدود، وتُشقّ الجيوب</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كما ترى ظاهرة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 الرواية ضعفٌ‌، فإنّ خالد بن سُدير غير موثّق، وقال الصدوق</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موضوعٌ‌، وفي طريقه أيضاً محمّد بن عيسى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يعمل بها جمعٌ من المتأخّرين، واستندوا إلى الأصل في عدم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اعتمدوا عليها، وهذا يوجبُ جَبر الضعف قطعاً، فلا إشكال في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الصدوق بأنّ كتابه موضوعُ شهادة بالكذب، وعدم النقل من المعصوم عليه السلام، ومثل هذا الخبر الثابت كذبه لا يَنجبرُ ضعفه بالعمل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الشهيد رحمه الله إلى الصدوق، فهو نقل ذلك عن شيخه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الوليد في حقّ خالد بن عبداللّه بن سَدير، لا في خالد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وَضَعه محمّد بن موسى الهمداني، مع أنّ ذلك إنّما هو بالنسبة إلى كتابه، وهذا الخبر يرويه عنه جعفر بن عيسى لا عن كتابه، فلا محيص عن القول بوجوب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أنّها تخييريّة أو مرتّبة‌؟</w:t>
      </w:r>
    </w:p>
    <w:p>
      <w:pPr>
        <w:pStyle w:val="BookText"/>
        <w:rPr/>
      </w:pPr>
      <w:r>
        <w:rPr>
          <w:rFonts w:ascii="IRNazanin" w:hAnsi="IRNazanin" w:eastAsia="IRNazanin"/>
          <w:color w:val="111111"/>
          <w:sz w:val="28"/>
          <w:sz w:val="28"/>
          <w:szCs w:val="28"/>
          <w:rtl w:val="true"/>
          <w:lang w:bidi="fa-IR"/>
        </w:rPr>
        <w:t>ظاهر الخبر هو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بمعونة فتوى الجماعة على بيان الجنس على التفصيل، لا كونها 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الأكثر أنّها مخيّرة لا مرتّبة، فلا معدّل عن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بالتخيير أظهر، نعم الأحوط رعاية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وإنْ كان لم يقيّد ذلك في الخبر بكونه في المصاب، ولكن سياقه شاهدٌ بالتقييد به كما قيّد به المصنّف رحمه 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الأولويّة ممنوعة، لأنّ في جَزّ الشعر في المصيبة إشعاراً بعدم الرّضا بقضاء اللّه تعالى‌، نعم لا فرق في المصاب بين القريب والبعيد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يفرّق بين جَزّ الكلّ أو البعض‌؟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إطلاق الرواية العدم، واستقربه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جَزّ الشَّعر، وشعرها عرفاً بالبعض، وهو أحوط، بل لعلّه أقرب، لكون جَزّ الكلّ نادراً، فيبعد أن يُحمل النّص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يلحق بالجَزّ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 لصريح الرواية، ولا القرض بالسِّن،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23" w:name="pg11828_105114"/>
    </w:p>
    <w:p>
      <w:pPr>
        <w:pStyle w:val="BookText"/>
        <w:rPr/>
      </w:pPr>
      <w:bookmarkEnd w:id="223"/>
      <w:r>
        <w:rPr>
          <w:rFonts w:ascii="Amiri" w:hAnsi="Amiri" w:eastAsia="Amiri" w:cs="Amiri"/>
          <w:color w:val="111111"/>
          <w:sz w:val="28"/>
          <w:sz w:val="28"/>
          <w:szCs w:val="28"/>
          <w:rtl w:val="true"/>
          <w:lang w:bidi="ar-SA"/>
        </w:rPr>
        <w:t>وفي نتفه، أو خَدش وجهها، أو شَقّ الرّجل ثوبه في موت ولده أو زوجته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اندراجه في موضوع اللّفظ، وعدم الفحوى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إلحاق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البناء عليه، ولم يستبعده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الجمود على ظاهر اللّفظ، يمنُع من الإلحاق، وكذلك في الإحراق</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1131805_73709187"/>
      <w:bookmarkStart w:id="225" w:name="_Toc77"/>
      <w:bookmarkEnd w:id="224"/>
      <w:r>
        <w:rPr>
          <w:rtl w:val="true"/>
        </w:rPr>
        <w:t>كفّارة نتف الشَّعر، وشَقّ الثوب، وخَدش الوجه</w:t>
      </w:r>
      <w:bookmarkEnd w:id="22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نتف المرأة شعرها وهو قلعه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الجَزّ وهو القص والقرض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خَدش وجهها، أو شَقّ الرّجل ثوبه في موتِ ولده أو زوجته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إلّاعن بعض متأخّري المتأخّرين،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9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دعوى إجماع أصحابنا عليه، ويشهد به خبر خالدبن سدير المتقدّم، الذي عرفت أنّ ضعف سنده منجبرٌ بعمل الأصحاب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تقييد ذلك بالمصاب، وفي الاجتزاء ببعض الشَّعر، ما تقدّم في الجَزّ، وقد قيّد الخَدش في الخبر بالمُدْمي، فإذا لم يُدمِ لا يثبت الكفّارة، ولعلّ إطلاق الأصحاب منزّلٌ على الغالب من ملازمة الخدش للإدماء</w:t>
      </w:r>
      <w:r>
        <w:rPr>
          <w:rFonts w:eastAsia="Amiri" w:cs="Amiri" w:ascii="Amiri" w:hAnsi="Amiri"/>
          <w:color w:val="111111"/>
          <w:sz w:val="28"/>
          <w:szCs w:val="28"/>
          <w:rtl w:val="true"/>
          <w:lang w:bidi="ar-SA"/>
        </w:rPr>
        <w:t xml:space="preserve">. </w:t>
      </w:r>
      <w:bookmarkStart w:id="226" w:name="pg11828_105115"/>
    </w:p>
    <w:p>
      <w:pPr>
        <w:pStyle w:val="BookText"/>
        <w:rPr/>
      </w:pPr>
      <w:bookmarkEnd w:id="226"/>
      <w:r>
        <w:rPr>
          <w:rFonts w:ascii="Amiri" w:hAnsi="Amiri" w:eastAsia="Amiri" w:cs="Amiri"/>
          <w:color w:val="111111"/>
          <w:sz w:val="28"/>
          <w:sz w:val="28"/>
          <w:szCs w:val="28"/>
          <w:rtl w:val="true"/>
          <w:lang w:bidi="ar-SA"/>
        </w:rPr>
        <w:t>ولو تزوّج بامرأةٍ في عِدّتها، فارقها، وكفَّر بخمسة أصوع من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 سوى الإدماء كالبلوغ حَدّ الخارصة وغيره، فإنّ مقتضى إطلاقه الاكتفاء بقطع شيء من جلده ومزقه وخمشه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من التصريح بعدم اعتبار الإدماء، معترفاً ظهور الخبر فيه،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يعتبر خدش جميع الوجه للإطلاق، كما لا عبرة بخدش غيره وإدمائه، ولا بشقّ ثوبها على ولدها أو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بشقّ الثوب الملبوس، أم يعمّ شَقّ المنزوع‌؟</w:t>
      </w:r>
    </w:p>
    <w:p>
      <w:pPr>
        <w:pStyle w:val="BookText"/>
        <w:rPr/>
      </w:pPr>
      <w:r>
        <w:rPr>
          <w:rFonts w:ascii="Amiri" w:hAnsi="Amiri" w:eastAsia="Amiri" w:cs="Amiri"/>
          <w:color w:val="111111"/>
          <w:sz w:val="28"/>
          <w:sz w:val="28"/>
          <w:szCs w:val="28"/>
          <w:rtl w:val="true"/>
          <w:lang w:bidi="ar-SA"/>
        </w:rPr>
        <w:t>الأظهر هو الأوّل؛ لأنّه الذي يُشقّ في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بين الاستيعاب وعدمه، ولا فرق بين الولد مع الواسطة أو بلا واسطة، كما لا فرق بين الذكر والاُنثى‌، كما لا فرق في الزوجة بين الدائمة والمنقطعة، كلّ ذلك للإطلاق</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1131807_73709187"/>
      <w:bookmarkStart w:id="228" w:name="_Toc78"/>
      <w:bookmarkEnd w:id="227"/>
      <w:r>
        <w:rPr>
          <w:rtl w:val="true"/>
        </w:rPr>
        <w:t>كفّارة التزويج في العِدَّة</w:t>
      </w:r>
      <w:bookmarkEnd w:id="22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بامرأةٍ في عِدّتها 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 بخمسة أصوعٍ من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جماعة، إنّما الكلام والخلاف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واجبٌ كما عن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وصريح ابن حمزة</w:t>
      </w:r>
      <w:r>
        <w:rPr>
          <w:rStyle w:val="FootnoteAnchor"/>
          <w:rtl w:val="true"/>
        </w:rPr>
        <w:footnoteReference w:id="9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وفخر المحقّقين</w:t>
      </w:r>
      <w:r>
        <w:rPr>
          <w:rStyle w:val="FootnoteAnchor"/>
          <w:rtl w:val="true"/>
        </w:rPr>
        <w:footnoteReference w:id="964"/>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 xml:space="preserve">أم تكون هذه الكفّارة مستحبّة،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66"/>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تزوّجها رجلٌ فوجد لها زوجاً؟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الجَلد، وعليها الرجم، لأنّه قد تقدّم بعلمٍ‌، وتقدّمت هي بعلم، وكفّارته إنْ لم يُقدم إلى الإمام أن يتصدّق بخمسة أصوع دقيقاً</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يتزوج المرأة ولها زوج‌؟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يرفع إلى الإمام، فعليه أن يتصدّق بخمسة أصوع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يفارقها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وإنْ وردا في ذات البعل، إلّاأنّ ذات العِدّة الرجعيّة بحكمها بل منها، ولا فرق في المعتدّة بين الرجعيّة والبائنة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تضمّنه الخبران لم يفتِ الأصحاب به، ولم يتعرّضوا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29" w:name="pg11828_105117"/>
    </w:p>
    <w:p>
      <w:pPr>
        <w:pStyle w:val="BookText"/>
        <w:rPr/>
      </w:pPr>
      <w:bookmarkEnd w:id="229"/>
      <w:r>
        <w:rPr>
          <w:rFonts w:ascii="Amiri" w:hAnsi="Amiri" w:eastAsia="Amiri" w:cs="Amiri"/>
          <w:color w:val="111111"/>
          <w:sz w:val="28"/>
          <w:sz w:val="28"/>
          <w:szCs w:val="28"/>
          <w:rtl w:val="true"/>
          <w:lang w:bidi="ar-SA"/>
        </w:rPr>
        <w:t>ولو نامَ عن العِشاء الآخرة حتّى خَرج الوقت، أصبح صائماً ويصلّيها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وما أفتوا به ليس في الخبرين،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قيل من ضعف السند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معمول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مستند الأصحاب هذين الخبرين، لم يحسن الرجوع عمّا فيهما من المزوّجة إلى فرض المسألة في المعتدّة، المُلحق بعض مصاديقها بالمزوّجة، ثمّ إنّهما مشتملان لقيدٍ لم يجد الأساطين العامل به، وهذا موهنٌ آخر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البناء على الاستحباب في المزوّجة والمعتدّة الرجعيّة بواسطة الخبرين، لا بأس به، ثمّ يُبنى عليه في البائنة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يكفّر بخمسة دراهم، 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إذ لم يفتِ أحدٌ بذلك غيره، ولذلك حَمَله بعضهم على إرادة القول الأوّل، ولكن يجزي عن الصاع بدرهم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الدقيق في ظاهر النّص والفتوى مطلق، ولكن ربما يخصّ بنوعٍ يجوزُ إخراجه كفّارة وهو دقيق الشعير والحنطة، ولا بأس به للانصراف</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1131809_73709187"/>
      <w:bookmarkStart w:id="231" w:name="_Toc79"/>
      <w:bookmarkEnd w:id="230"/>
      <w:r>
        <w:rPr>
          <w:rtl w:val="true"/>
        </w:rPr>
        <w:t>كفّارة النوم عن العشاء الآخرة</w:t>
      </w:r>
      <w:bookmarkEnd w:id="2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نام عن العشاء الآخرة حتّى خرج الوقت، أصبح صائماً ويصلّيها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مدّعياًعليه الإجماع، وكذا عن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 واختاره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كالصحيح والمرويّ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نام عن العُتمَة فلم يقم إلى انتصاف اللّيل‌؟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ويصبح صائماً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مرسلٌ‌، ومع ذلك لا يدلّ على الوجوب إذ لا أمر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إرساله لا يضرّ بالحُجيّة، بعد كون المُرسِل من أصحاب الإجماع، وهو عبداللّه بن المُغيرة، والجملة الخبريّة أظهر في الوجوب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تعرّض الخبر لقضاء ذلك اليوم لو فرض تعذّر حصوله شرعاً بعذرٍ كحيضٍ أو سفرٍ أو مرضٍ أو غير ذلك، وعدم التعرّض لحكمه لو أفطره عامداً،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فالإنصاف أنّ الخبر سنداً ودلالةً لا إشكال فيه، إلّامن جهة إعراض المشهور عنه، إذ لم نظفر بمن أفتى بالوجوب غير من تقدّمت الإشارة إليهم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السيّدين</w:t>
      </w:r>
      <w:r>
        <w:rPr>
          <w:rStyle w:val="FootnoteAnchor"/>
          <w:rtl w:val="true"/>
        </w:rPr>
        <w:footnoteReference w:id="977"/>
      </w:r>
      <w:r>
        <w:rPr>
          <w:rFonts w:ascii="Amiri" w:hAnsi="Amiri" w:eastAsia="Amiri" w:cs="Amiri"/>
          <w:color w:val="111111"/>
          <w:sz w:val="28"/>
          <w:sz w:val="28"/>
          <w:szCs w:val="28"/>
          <w:rtl w:val="true"/>
          <w:lang w:bidi="ar-SA"/>
        </w:rPr>
        <w:t>الإجماع، فالظاهر كونها من قبيل ادّعاء الإجماع على مقتضى الدليل، اللّهُمَّ إلّاأن يقال إنّ قدماء الأصحاب عبّروا في كتبهم بما هو عبارةق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عَجَز عن صوم يومٍ نذره، تصدّق بمُدين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الكاشف ذلك عن عدم إعراضهم عنه، إلّامن جهة أنّه متضمّنٌ للنوم إلى بعد انتصاف اللّيل، وهو إنّما يتمّ إذا بنينا على خروج وقت العشاء الآخرة بانتصاف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 وقتها إلى طلوع الفخر لا يتمّ‌، اللّهُمَّ إلّاأن يقال إنّ هذا حكمٌ تعبّدي ليس من باب الكفّارة عن ذنب، ولذا ورد في النوم عنها الشامل لغير العمدي منه، فلا مانع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الخبر إلّامن جهة أنّ ظاهر كلمات جماعةٍ وصريح آخرين أنّ ذلك مستحبٌّ لا واجب، ولذلك نحن من المتوقّفين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فرق بين النائم كذلك عمداً أو سهواً لإطلاق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الحكم بالنائم عن العشاء الآخرة، فلا يلحق به النائم عن غيرها، ولا السكران، ولا المتعمّد تركها، ولا الناسي لها من غير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أفطر ذلك اليوم لعُذرٍ أو لغير عذر، فالأظهر عدم وجوب قضائه لعدم الدليل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عن صوم يومٍ نذره، تصدّق بمُدين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xml:space="preserve">، وتبعه جماعة منهم المصنّف رحمه الله،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979"/>
      </w:r>
      <w:r>
        <w:rPr>
          <w:rFonts w:ascii="Amiri" w:hAnsi="Amiri" w:eastAsia="Amiri" w:cs="Amiri"/>
          <w:color w:val="111111"/>
          <w:sz w:val="28"/>
          <w:sz w:val="28"/>
          <w:szCs w:val="28"/>
          <w:rtl w:val="true"/>
          <w:lang w:bidi="ar-SA"/>
        </w:rPr>
        <w:t>، لخبر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عليه صياماً في نذر، فلا يقوى‌؟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في كلّ يوم مُدين</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متروكٌ لضعف سنده، ودلالته على كون مُدين بإزاء أن يصوم عنه، لا كون إعطائهما بعنوان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الخبر لا عامل به، وما في الفتوى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ومعارضته بما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نَذَر صياماً، فثَقُل الصيام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لكلّ يوم بمُدٍ من حنطة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يستند إليه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بالبناء على الاستحباب، وما بين الخبرين من الاختلاف، على الاختلاف في مراتب الاستحباب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32" w:name="pg11828_105121"/>
    </w:p>
    <w:p>
      <w:pPr>
        <w:pStyle w:val="BookText"/>
        <w:rPr/>
      </w:pPr>
      <w:bookmarkEnd w:id="232"/>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الصِّيام في المرتَّبة، وجبَ الإطعام</w:t>
      </w:r>
    </w:p>
    <w:p>
      <w:pPr>
        <w:pStyle w:val="Heading4"/>
        <w:numPr>
          <w:ilvl w:val="3"/>
          <w:numId w:val="1"/>
        </w:numPr>
        <w:rPr/>
      </w:pPr>
      <w:bookmarkStart w:id="233" w:name="__RefHeading___Toc11131811_73709187"/>
      <w:bookmarkStart w:id="234" w:name="_Toc80"/>
      <w:bookmarkEnd w:id="233"/>
      <w:r>
        <w:rPr>
          <w:rtl w:val="true"/>
        </w:rPr>
        <w:t>الإطعام وأحكامه</w:t>
      </w:r>
      <w:bookmarkEnd w:id="234"/>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خصال الكفّارة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إلّاأنّ المهمّ الذي لابدّ من التعرّض لذكره في المقام، وذكره المصنّف رحمه الله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الخصال الأربع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العتق، والإطعام، والكسوة،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العتق لا موضوع له في هذا الزمان، فالإعراض عن بيان أحكامه أولى‌، ولذلك نسقط المسائل الثلاث الأُول التي ذكرها المصنّف رحمه الله، ونبدأ بالمسائل التي تليها، وهي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يقتضي 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الصيام وقد مرّ الكلام فيها في مبحث الصوم</w:t>
      </w:r>
      <w:r>
        <w:rPr>
          <w:rStyle w:val="FootnoteAnchor"/>
          <w:rtl w:val="true"/>
        </w:rPr>
        <w:footnoteReference w:id="982"/>
      </w:r>
      <w:r>
        <w:rPr>
          <w:rFonts w:ascii="Amiri" w:hAnsi="Amiri" w:eastAsia="Amiri" w:cs="Amiri"/>
          <w:color w:val="111111"/>
          <w:sz w:val="28"/>
          <w:sz w:val="28"/>
          <w:szCs w:val="28"/>
          <w:rtl w:val="true"/>
          <w:lang w:bidi="ar-SA"/>
        </w:rPr>
        <w:t>، وبيّنا هناك أحكامها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الإطعام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ولا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عن الصيام في المرتبة وجبَ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والسُّنة كما مرّ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في المخيّرة لو تعذّر غيره من الأفراد كما هو الشأن في جميع </w:t>
      </w:r>
    </w:p>
    <w:p>
      <w:pPr>
        <w:pStyle w:val="BookText"/>
        <w:rPr/>
      </w:pPr>
      <w:r>
        <w:rPr>
          <w:rFonts w:ascii="Amiri" w:hAnsi="Amiri" w:eastAsia="Amiri" w:cs="Amiri"/>
          <w:color w:val="111111"/>
          <w:sz w:val="28"/>
          <w:sz w:val="28"/>
          <w:szCs w:val="28"/>
          <w:rtl w:val="true"/>
          <w:lang w:bidi="ar-SA"/>
        </w:rPr>
        <w:t>الواجبات المخيّرة، فإنّه إذا تعذّر أحد الفردين فيها تعيّن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الموجب للانتقال إلى الإطعام الذي هو في المرتبة المتأخّرة، خصوص العجز عن الصوم، أو ينتقل الفرض إليه مع جواز الإفطار لأحد الأسباب المجوّزة للإفطار في الواجب المعيّن كخوف الضرر؟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الصوم بخلاف صوم شهر رمضان، فلا يجوز الإفطار من الصحيح لخوف المرض، لعموم الأمر بصومه، وتعليق التأخير إلى أيّام اُخر على المرض مع أنّه لا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المسوّغة للإفطار مع خوف الضرر، مختصّة بصوم شهر رمضان، إلّاأنّ النصوص الدالّة على جواز الإفطار معه عامّة لغيره من أفراد الصيام الواجبة، ولكن يبقى الكلام في أنّه إذا جاز الإفطار لخوفِ الضرر، فمعنى جوازه جواز الصوم أيضاً، فإذا انتقل إلى الإطعام، لزم منه التخيير بين الصوم والإطعام، مع أنّ الإطعام مرتّب على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بأن الترتيب إنّما هو بين وجوب الصوم تعييناً، ووجوب الإطعام، لا بين الاجتزاء بالصوم وبين وجوب الإطعام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بأنّه لا يجتزي بالصوم في هذا الفرض، لانتقال الفرض إلى الإطعام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أظهر، لأنّ الظاهر من الأدلّة تعيّن الإطعام في فرض وجوبه، فالاجتزاء بغيره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رواية تدلّ على انتقال الفرض من الصوم إلى الإطعام، بمجرّد وجود مسوّغ الإفطار، وهي صحيحة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أو عطاش</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وما شابهها من النصوص، أنّ الموجب للانتقال من الصوم إلى الإطعام، هو عدم الاستطاعة من الصوم بقول مطلق، فلو لم يستطع منه في زمانٍ‌، وعلم بأنّه يرتفع المانع بعد مدّة، لا يجوز له البدار إلى الإطعام، إذ المعلّق عليه ليس هو عدم الاستطاعة في زمان خاص، أو مكان مخصوص، بل عدم الاستطاعة في المدّة المضروبة لهذا الفعل، وهو تمام العمر، بناءً على عدم وجوب الفور كما مرّ، فمع العلم بالزوال لا ينتقل الفرض إلى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الاحتمال، فيمكن البناء على جواز البدار جوازاً ظاهراً بالاستصحاب بقاء العذر، بناءً على ما هو الحقّ من جريان الاستصحاب في الاُمور الاستقباليّة، غاية الأمر أنّه إذا زال العذر، انكشف عدم الانتقال واقعاً، فيجبُ الصوم حينئذٍ، كما أنّه في صورة العلم بالبقاء أيضاً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يدلّ على الاكتفاء بالمانع عن الصوم فعلاً ولو رجى زواله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الإمام الصادق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ظاهرتُ من امرأتي‌؟</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فصُم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فأطعم ستّين مسكيناً</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بواسطة ترك الاستفصال، يدلّ على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والنصوص</w:t>
      </w:r>
      <w:r>
        <w:rPr>
          <w:rStyle w:val="FootnoteAnchor"/>
          <w:rtl w:val="true"/>
        </w:rPr>
        <w:footnoteReference w:id="988"/>
      </w:r>
      <w:r>
        <w:rPr>
          <w:rFonts w:ascii="Amiri" w:hAnsi="Amiri" w:eastAsia="Amiri" w:cs="Amiri"/>
          <w:color w:val="111111"/>
          <w:sz w:val="28"/>
          <w:sz w:val="28"/>
          <w:szCs w:val="28"/>
          <w:rtl w:val="true"/>
          <w:lang w:bidi="ar-SA"/>
        </w:rPr>
        <w:t>الدالّة على أنّ العاجز عن العتق إذا صام ثمّ قَدَر عليه يُجزيه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أحدهما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صام فأصاب مالاً فليمض الذي ابتدأ به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من الظهار ثمّ أيسر، وبقى عليه يومان أو ثلاثة من صومه‌؟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شهراً، ثمّ دخل في الثاني أجزأه الصوم، فليتمّ صومه ولا عتق عليه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ما دلّ‌</w:t>
      </w:r>
      <w:r>
        <w:rPr>
          <w:rStyle w:val="FootnoteAnchor"/>
          <w:rtl w:val="true"/>
        </w:rPr>
        <w:footnoteReference w:id="991"/>
      </w:r>
      <w:r>
        <w:rPr>
          <w:rFonts w:ascii="Amiri" w:hAnsi="Amiri" w:eastAsia="Amiri" w:cs="Amiri"/>
          <w:color w:val="111111"/>
          <w:sz w:val="28"/>
          <w:sz w:val="28"/>
          <w:szCs w:val="28"/>
          <w:rtl w:val="true"/>
          <w:lang w:bidi="ar-SA"/>
        </w:rPr>
        <w:t>على أنّه يعتق ولا يعتدّ بالصوم، لتعيّن حمله على الاستحباب جمعاً، كما أفاده الشيخ رحمه الله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5" w:name="pg11828_105125"/>
    </w:p>
    <w:p>
      <w:pPr>
        <w:pStyle w:val="BookText"/>
        <w:rPr/>
      </w:pPr>
      <w:bookmarkEnd w:id="23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وإنْ كانا في العاجز عن العتق، لكن بواسطة عدم القول بالفصل يتمّ المطلوب، ولكن حيث لا إطلاق لشيء منها، لأنّ الأوّل قضيّةٌ في واقعة، والأخيرين في مقام بيان الاجزاء بعدما شرع في الصوم على وجهٍ جائز، فلا تدلّ على الجواز حتّى ما لو علم بزوال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منها صورة الشكّ والاحتمال، فلو علم بزوال المانع لا وجه للانتقال إلى الإطعام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131813_73709187"/>
      <w:bookmarkStart w:id="237" w:name="_Toc81"/>
      <w:bookmarkEnd w:id="236"/>
      <w:r>
        <w:rPr>
          <w:rtl w:val="true"/>
        </w:rPr>
        <w:t>كيفيّة الإطعام ومقدار الطعام</w:t>
      </w:r>
      <w:bookmarkEnd w:id="237"/>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انتقل الفرض إلى الإطعام، يتخيّر فيه بين إطعام المستحقّ وبين التسليم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يُشبعهم مرّة واحدة</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ونحوه غيره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الدالّة على أنّه إن أطعم صغاراً وكباراً فليزوّد الصغير بقدر ما أكل الكبير الآتية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اختار الإطعام، فلا يتقدّر بقدرٍ، بل حَدّه أن يُشبع مرّةً كما صرّح به في صحيح أبي بصير، ومعه لا وجه لما قيل إنّه يُشبع طول يومه، لأنّ ما ذكر في وجهه اجتهادٌ في مقابل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مسكينٍ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اختيار التسليم،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المشهور، خصوصاً بين المتأخّرين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له مُدّان مع القدرة، ومُدٌّ مع العجز،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بل عن صريح الأوّل وظاهر الرابع والخامس الإجماع عليه‌؟</w:t>
      </w:r>
    </w:p>
    <w:p>
      <w:pPr>
        <w:pStyle w:val="BookText"/>
        <w:rPr/>
      </w:pPr>
      <w:r>
        <w:rPr>
          <w:rFonts w:ascii="Amiri" w:hAnsi="Amiri" w:eastAsia="Amiri" w:cs="Amiri"/>
          <w:color w:val="111111"/>
          <w:sz w:val="28"/>
          <w:sz w:val="28"/>
          <w:szCs w:val="28"/>
          <w:rtl w:val="true"/>
          <w:lang w:bidi="ar-SA"/>
        </w:rPr>
        <w:t>أم يجبُ المُدّ وزيادةً عليه بقدر ما يكون لطحنه وخُبزه وإدامه‌؟</w:t>
      </w:r>
    </w:p>
    <w:p>
      <w:pPr>
        <w:pStyle w:val="BookText"/>
        <w:rPr/>
      </w:pPr>
      <w:r>
        <w:rPr>
          <w:rFonts w:ascii="IRNazanin" w:hAnsi="IRNazanin" w:eastAsia="IRNazanin"/>
          <w:color w:val="111111"/>
          <w:sz w:val="28"/>
          <w:sz w:val="28"/>
          <w:szCs w:val="28"/>
          <w:rtl w:val="true"/>
          <w:lang w:bidi="fa-IR"/>
        </w:rPr>
        <w:t>وجوهٌ وأقوال، منشأها اختلاف النصوص</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w:t>
      </w:r>
      <w:r>
        <w:rPr>
          <w:rStyle w:val="FootnoteAnchor"/>
          <w:rtl w:val="true"/>
        </w:rPr>
        <w:footnoteReference w:id="1002"/>
      </w:r>
      <w:r>
        <w:rPr>
          <w:rFonts w:ascii="Amiri" w:hAnsi="Amiri" w:eastAsia="Amiri" w:cs="Amiri"/>
          <w:color w:val="111111"/>
          <w:sz w:val="28"/>
          <w:sz w:val="28"/>
          <w:szCs w:val="28"/>
          <w:rtl w:val="true"/>
          <w:lang w:bidi="ar-SA"/>
        </w:rPr>
        <w:t>المستفيضة أو المتواترة الواردة في كفّارة اليمين، المتمّمة بعدم القول بالفصل، وما ورد في كفّارة القتل خطأ</w:t>
      </w:r>
      <w:r>
        <w:rPr>
          <w:rStyle w:val="FootnoteAnchor"/>
          <w:rtl w:val="true"/>
        </w:rPr>
        <w:footnoteReference w:id="1003"/>
      </w:r>
      <w:r>
        <w:rPr>
          <w:rFonts w:ascii="Amiri" w:hAnsi="Amiri" w:eastAsia="Amiri" w:cs="Amiri"/>
          <w:color w:val="111111"/>
          <w:sz w:val="28"/>
          <w:sz w:val="28"/>
          <w:szCs w:val="28"/>
          <w:rtl w:val="true"/>
          <w:lang w:bidi="ar-SA"/>
        </w:rPr>
        <w:t>، وكفّارة شهر رمضان من الخمسة عشر صاعاً</w:t>
      </w:r>
      <w:r>
        <w:rPr>
          <w:rStyle w:val="FootnoteAnchor"/>
          <w:rtl w:val="true"/>
        </w:rPr>
        <w:footnoteReference w:id="1004"/>
      </w:r>
      <w:r>
        <w:rPr>
          <w:rFonts w:ascii="Amiri" w:hAnsi="Amiri" w:eastAsia="Amiri" w:cs="Amiri"/>
          <w:color w:val="111111"/>
          <w:sz w:val="28"/>
          <w:sz w:val="28"/>
          <w:szCs w:val="28"/>
          <w:rtl w:val="true"/>
          <w:lang w:bidi="ar-SA"/>
        </w:rPr>
        <w:t>، وما في حديث الأنصاري</w:t>
      </w:r>
      <w:r>
        <w:rPr>
          <w:rStyle w:val="FootnoteAnchor"/>
          <w:rtl w:val="true"/>
        </w:rPr>
        <w:footnoteReference w:id="1005"/>
      </w:r>
      <w:r>
        <w:rPr>
          <w:rFonts w:ascii="Amiri" w:hAnsi="Amiri" w:eastAsia="Amiri" w:cs="Amiri"/>
          <w:color w:val="111111"/>
          <w:sz w:val="28"/>
          <w:sz w:val="28"/>
          <w:szCs w:val="28"/>
          <w:rtl w:val="true"/>
          <w:lang w:bidi="ar-SA"/>
        </w:rPr>
        <w:t>الذي دَفَع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النبيّ صلى الله عليه و آله مكتل التمر الذي فيه خمسة عشر صاعاً،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الظهار؟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ستّين مسكيناً، ثلاثين صاعاً، مُدّين مُدّين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الظهار يُطعم ستّين مسكيناً كلّ مسكين نصف صاع</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مُدُّ وحفنة</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مُدٌّ مُدٌّ من حنطة، وحفنة لتكون الحفنة في طحنه وحطبه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الشيخ قدس سره</w:t>
      </w:r>
      <w:r>
        <w:rPr>
          <w:rStyle w:val="FootnoteAnchor"/>
          <w:rtl w:val="true"/>
        </w:rPr>
        <w:footnoteReference w:id="1010"/>
      </w:r>
      <w:r>
        <w:rPr>
          <w:rFonts w:ascii="Amiri" w:hAnsi="Amiri" w:eastAsia="Amiri" w:cs="Amiri"/>
          <w:color w:val="111111"/>
          <w:sz w:val="28"/>
          <w:sz w:val="28"/>
          <w:szCs w:val="28"/>
          <w:rtl w:val="true"/>
          <w:lang w:bidi="ar-SA"/>
        </w:rPr>
        <w:t>بين الأوليين بحمل الأُولى على العاجز، والثانية على القادر، لكنّه تبرّعيٌ لا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يكن مخالفاً للإجماع، كان المتعيّن الاقتصار في الطائفة الثانية على موردها، وهو كفّارة الظهار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صورة العجز، ولكن الظاهر التسالم على عدم الفرق في ذلك بين كفّارة الظهار وكفّارة غيره، وعليه فيتعيّن حمل الثانية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8" w:name="pg11828_105128"/>
    </w:p>
    <w:p>
      <w:pPr>
        <w:pStyle w:val="BookText"/>
        <w:rPr/>
      </w:pPr>
      <w:bookmarkEnd w:id="238"/>
      <w:r>
        <w:rPr>
          <w:rFonts w:ascii="Amiri" w:hAnsi="Amiri" w:eastAsia="Amiri" w:cs="Amiri"/>
          <w:color w:val="111111"/>
          <w:sz w:val="28"/>
          <w:sz w:val="28"/>
          <w:szCs w:val="28"/>
          <w:rtl w:val="true"/>
          <w:lang w:bidi="ar-SA"/>
        </w:rPr>
        <w:t>الاستحباب، جمعاً بين الطائفتين، وكذا الطائفة الثالثة تُحمل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للتصريح في الطائفة الأُولى بالمُدّ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خبر محمّد بن مسلم</w:t>
      </w:r>
      <w:r>
        <w:rPr>
          <w:rStyle w:val="FootnoteAnchor"/>
          <w:rtl w:val="true"/>
        </w:rPr>
        <w:footnoteReference w:id="1011"/>
      </w:r>
      <w:r>
        <w:rPr>
          <w:rFonts w:ascii="Amiri" w:hAnsi="Amiri" w:eastAsia="Amiri" w:cs="Amiri"/>
          <w:color w:val="111111"/>
          <w:sz w:val="28"/>
          <w:sz w:val="28"/>
          <w:szCs w:val="28"/>
          <w:rtl w:val="true"/>
          <w:lang w:bidi="ar-SA"/>
        </w:rPr>
        <w:t>أنّ التقدير بالمُدّ مع أنّ في الأهل من قوّته من دون المُدّ للطحن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الاجتزاء بالمُدّ، ويستحبّ الزيادة، وأقلّها الحفنة، وأعلاها المُدّ، وبذلك يُجمع بين جميع النصوص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من المُدّ الوزن لا الكيل عندنا، لأنّ المُدّ الشرعي مركّبٌ من الرِّطل، والرِّطل مركّبٌ من الدرهم، والدرهم مركّبٌ من وزن الحبّات، ويُسمّى درهم الكيل، ويتركّب من المُدّ الصّاع، ومن الصّاع الوَسَق، فالوزنُ أصلُ الجميع، وإنّما عُدل إلى الكيل في بعض المواضع تخفيفاً، وتظهر الثمرة في اعتبار الشعر بالكيل والوزن، فإنّهما مختلفان جدّاً بالنسبة إلى مقدار البُرّ من الكيل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131815_73709187"/>
      <w:bookmarkStart w:id="240" w:name="_Toc82"/>
      <w:bookmarkEnd w:id="239"/>
      <w:r>
        <w:rPr>
          <w:rtl w:val="true"/>
        </w:rPr>
        <w:t>وجوب استيفاء العدد مع التمكّن، وحكم ما لو تعذّر</w:t>
      </w:r>
      <w:bookmarkEnd w:id="24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بيننا في أنّه مع التمكّن لابدّ من استيفاء العدد، ولايكفي إعطاء ما دونه وإنْ راعى العدد في الدفع، بأن دفع إلى مسكين واحد في ستّين يوم، لأنّ المأمور به هو إطعام الستّين مسكيناً، وهو يشتمل على وصفٍ وهو المسكنة، وعددٍ وهو الستّون، فكما لايجوز الإخلال بالوصف، كذلك لايجوز الإخلال بالعدد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تعذّر العَدد جاز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إطعام عشرة مساكين أو إطعام ستّين مسكيناً، أيجمع ذلك لإنسانٍ واحد يعطاه‌؟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يعطى إنساناً إنساناً كما قال اللّه تعالى‌</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كون العدد مجتمعين في بلدٍ أو بلدان كثيرة، مع التمكّن من الوصول إليهم، فيجب السعي على إطعام العدد، لتوقّف الواجب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تعذّر العَدد جاز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بل لم أقف على مخالفٍ صريح يعتدّ به، كما اعترف به غيرنا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في الكفّارة إلّاالرّجل والرجلين، فيكرّر عليهم حتّى يستكمل العشرة، يعطيهم اليوم ثمّ يعطيهم غداً</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 واحتمال التقيّة لوروده موافقاً لمذهب 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حنيفة، مع كون الراوي من قضاة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الأظهر قبول روايات السكوني، بل عن الشيخ الإجماع على ذلك، مع أنّه منجبرٌ بالعمل، واحتمال التقيّة لا يصلحُ رافعاً لحجيّة الخبر، فإنّ مخالفة العامّة من مرجّحات إحدى الحجّتين على الاُخرى بعد فقد جملةٍ من المرجّحات، لا من مميّزات الحُجّة عن اللّاحجّة، مع أنّ مذهب أبي حنيفة الإطلاق لا في خصوص صورة التعذّر،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الخبر رعاية التعدّد في الأيّام، فلابدّ من رعاية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المتعدّد ما دون العدد المعتبر كثلاثين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رعاية العدد لكي لا يجوز التكرار على واحدٍ، بل لابدّ من استيفاء العدد الموجود؟</w:t>
      </w:r>
    </w:p>
    <w:p>
      <w:pPr>
        <w:pStyle w:val="BookText"/>
        <w:rPr/>
      </w:pPr>
      <w:r>
        <w:rPr>
          <w:rFonts w:ascii="Amiri" w:hAnsi="Amiri" w:eastAsia="Amiri" w:cs="Amiri"/>
          <w:color w:val="111111"/>
          <w:sz w:val="28"/>
          <w:sz w:val="28"/>
          <w:szCs w:val="28"/>
          <w:rtl w:val="true"/>
          <w:lang w:bidi="ar-SA"/>
        </w:rPr>
        <w:t>أم لا يجبُ ذلك، بل يجوز التكرار على الواحد؟</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الآية والنصوص الدالّة على اعتبار العدد لا تشمل الفرض، وقاعدة الميسور قد حقّقنا في محلّه</w:t>
      </w:r>
      <w:r>
        <w:rPr>
          <w:rStyle w:val="FootnoteAnchor"/>
          <w:rtl w:val="true"/>
        </w:rPr>
        <w:footnoteReference w:id="1018"/>
      </w:r>
      <w:r>
        <w:rPr>
          <w:rFonts w:ascii="Amiri" w:hAnsi="Amiri" w:eastAsia="Amiri" w:cs="Amiri"/>
          <w:color w:val="111111"/>
          <w:sz w:val="28"/>
          <w:sz w:val="28"/>
          <w:szCs w:val="28"/>
          <w:rtl w:val="true"/>
          <w:lang w:bidi="ar-SA"/>
        </w:rPr>
        <w:t>عدم تماميّتها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الكفّارة، ولكن الخبر دلّ على قيام عدد الأيّام مقام عدد الأشخاص، وحيث لا إطلاق له كي يشمل الاكتفاء بذلك حتّى مع تعدّد المساكين، فالأحوط رعاية العدد الموجود، لأنّ به يحصل الامتثال قطعاً، وبإعطاء الواحد يُشكّ فيه، فأصالة الاشتغال مقتضية لذلك، والمسألة غير محرّرة في كلماتهم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41" w:name="pg11828_105131"/>
    </w:p>
    <w:p>
      <w:pPr>
        <w:pStyle w:val="BookText"/>
        <w:rPr/>
      </w:pPr>
      <w:bookmarkEnd w:id="241"/>
      <w:r>
        <w:rPr>
          <w:rFonts w:ascii="Amiri" w:hAnsi="Amiri" w:eastAsia="Amiri" w:cs="Amiri"/>
          <w:color w:val="111111"/>
          <w:sz w:val="28"/>
          <w:sz w:val="28"/>
          <w:szCs w:val="28"/>
          <w:rtl w:val="true"/>
          <w:lang w:bidi="ar-SA"/>
        </w:rPr>
        <w:t>هذا كلّه في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ولا إشكال في جواز الإعطاء لواحدٍ، وإنْ تمكّن من الغير، من غير فرقٍ بين الإشباع والتسليم، فيحتسب إشباع مسكينٍ في اليوم مرّتين بمسكينين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الشهيد الثاني رحمه الله</w:t>
      </w:r>
      <w:r>
        <w:rPr>
          <w:rStyle w:val="FootnoteAnchor"/>
          <w:rtl w:val="true"/>
        </w:rPr>
        <w:footnoteReference w:id="1019"/>
      </w:r>
      <w:r>
        <w:rPr>
          <w:rFonts w:ascii="Amiri" w:hAnsi="Amiri" w:eastAsia="Amiri" w:cs="Amiri"/>
          <w:color w:val="111111"/>
          <w:sz w:val="28"/>
          <w:sz w:val="28"/>
          <w:szCs w:val="28"/>
          <w:rtl w:val="true"/>
          <w:lang w:bidi="ar-SA"/>
        </w:rPr>
        <w:t>في الإشباع مرّتين في يومٍ واحد،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يرى إنّه في صورة الإشباع يجبُ في كلّ كفّارةٍ الإشباع في طول اليوم، كما عن جماعةٍ‌، المستلزم للإشباع مرّتين، لابدّ له من البناء على عدم احتسابهما بمسكينين، ولعلّ ترديد الشهيد رحمه الله منشأه التردّد في ذلك، وقد مرّ ضعف المبنى‌</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131817_73709187"/>
      <w:bookmarkStart w:id="243" w:name="_Toc83"/>
      <w:bookmarkEnd w:id="242"/>
      <w:r>
        <w:rPr>
          <w:rtl w:val="true"/>
        </w:rPr>
        <w:t>جنس كفّارة الإطعام</w:t>
      </w:r>
      <w:bookmarkEnd w:id="243"/>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جنس كفّارة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الفقهاء فيه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مدّعياً عليه الوفاق،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ما يُسمّى طعاماً، ونفى عنه البأس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ويُطْعَم غالب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منهم المصنّف</w:t>
      </w:r>
      <w:r>
        <w:rPr>
          <w:rStyle w:val="FootnoteAnchor"/>
          <w:rtl w:val="true"/>
        </w:rPr>
        <w:footnoteReference w:id="1024"/>
      </w:r>
      <w:r>
        <w:rPr>
          <w:rFonts w:ascii="Amiri" w:hAnsi="Amiri" w:eastAsia="Amiri" w:cs="Amiri"/>
          <w:color w:val="111111"/>
          <w:sz w:val="28"/>
          <w:sz w:val="28"/>
          <w:szCs w:val="28"/>
          <w:rtl w:val="true"/>
          <w:lang w:bidi="ar-SA"/>
        </w:rPr>
        <w:t>، والمحقّق</w:t>
      </w:r>
      <w:r>
        <w:rPr>
          <w:rStyle w:val="FootnoteAnchor"/>
          <w:rtl w:val="true"/>
        </w:rPr>
        <w:footnoteReference w:id="1025"/>
      </w:r>
      <w:r>
        <w:rPr>
          <w:rFonts w:ascii="Amiri" w:hAnsi="Amiri" w:eastAsia="Amiri" w:cs="Amiri"/>
          <w:color w:val="111111"/>
          <w:sz w:val="28"/>
          <w:sz w:val="28"/>
          <w:szCs w:val="28"/>
          <w:rtl w:val="true"/>
          <w:lang w:bidi="ar-SA"/>
        </w:rPr>
        <w:t xml:space="preserve">، وقبلهما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غالب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غالب قوت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أرجع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27"/>
      </w:r>
      <w:r>
        <w:rPr>
          <w:rFonts w:ascii="Amiri" w:hAnsi="Amiri" w:eastAsia="Amiri" w:cs="Amiri"/>
          <w:color w:val="111111"/>
          <w:sz w:val="28"/>
          <w:sz w:val="28"/>
          <w:szCs w:val="28"/>
          <w:rtl w:val="true"/>
          <w:lang w:bidi="ar-SA"/>
        </w:rPr>
        <w:t xml:space="preserve">هذا القول إلى القول الأوّل، وهو غير صحيح، بل لعلّ مرجع هذا القول إلى القول الثالث، وهو 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الحنطة والشعير والدقيق والخبز، فإنّ ذلك قوت غالب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الشهيدان</w:t>
      </w:r>
      <w:r>
        <w:rPr>
          <w:rStyle w:val="FootnoteAnchor"/>
          <w:rtl w:val="true"/>
        </w:rPr>
        <w:footnoteReference w:id="1029"/>
      </w:r>
      <w:r>
        <w:rPr>
          <w:rFonts w:ascii="Amiri" w:hAnsi="Amiri" w:eastAsia="Amiri" w:cs="Amiri"/>
          <w:color w:val="111111"/>
          <w:sz w:val="28"/>
          <w:sz w:val="28"/>
          <w:szCs w:val="28"/>
          <w:rtl w:val="true"/>
          <w:lang w:bidi="ar-SA"/>
        </w:rPr>
        <w:t>بإجزاء 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030"/>
      </w:r>
      <w:r>
        <w:rPr>
          <w:rFonts w:ascii="Amiri" w:hAnsi="Amiri" w:eastAsia="Amiri" w:cs="Amiri"/>
          <w:color w:val="111111"/>
          <w:sz w:val="28"/>
          <w:sz w:val="28"/>
          <w:szCs w:val="28"/>
          <w:rtl w:val="true"/>
          <w:lang w:bidi="ar-SA"/>
        </w:rPr>
        <w:t>، والحِلّي</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خصوص كفّارة اليمين يجبُ الإطعام من أوسط ما يطعم به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كفّارة اليمين، فلا ينبغي التوقّف في إجزاء إطعام كلّ ما يُسمّى طعاماً، بلا خصوصيّةٍ لطعام خاصّ لإطلاق الأدلّة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الآية الكريمة ما أفاده المفيد والحِلّي، ولكن فُسِّرت الآية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التوسّط في المقدار، كصحيح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Style w:val="FootnoteAnchor"/>
          <w:rtl w:val="true"/>
        </w:rPr>
        <w:footnoteReference w:id="10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أن يكون في البيت من يأكل المُدّ، ومنهم من يأكل أكثر من المُدّ، ومنهم من يأكل أقلّ من المُدّ، فبين ذلك، وإنْ شئت جعلت لهم أُدماً والأُدم أدناه ملحٌ وأوسطه الخَلّ والزيت، وأرفعه اللّحم</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التوسط في الجنس، كصحيح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تقوتون به عيالكم من أوسط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أوسط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والزيت والّتمر والخُبز يُشبعهم مرّة واحدة</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إرادتهما معاً من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الطائفة الأُولى صريحة في عدم لزوم رعاية الوسط في الجنس، لقوله عليه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جعلت لهم أُدماً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الآية والنصوص الواردة في تفسيرها اعتبار شيء زائداً على ما يُسمّى طعاماً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خصوص الحنطة والشعير والدقيق والخبز، للنصوص الحاصرة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مسكين مُدّ من حنطةٍ أو مُدّ من دقيق وحفنة</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الثمالي،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قال واللّه، ثُمّ لم يفِ به‌؟</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إطعام عشرة مساكين مُدّاً مُدّاً دقيق أو حنطة</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أيضاً ذلك، فإنّه اُضيف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لأهل المكفّر وغيره، فيراد من أوسط ما تطعمه النّاس وهو 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 في الآية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تفسير الأوسط بالأوسط في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تعليق الجمع على الجمع إرادة التوزيع، ألا ترى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ذلك أنّه يجبُ على كلّ فردٍ مسح رأسه نفسه، لا مسح رأس الجميع، وكذلك في المقام فإنّ ظاهر الآية أنّه يجبُ أن يكفّر كلّ فرد بأوسط ما يُطعم به أهله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مفهوم لها، كي تدلّ على عدم إجزاء غير الحنطة والدقيق، ولذا ليس في النصوص ذكرٌ للشعير مع أنّه يُجتزي به، سيّما وأنّها في مقام بيان حكمٍ آخر وهو بيان المقدار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الأدام،</w:t>
      </w:r>
    </w:p>
    <w:p>
      <w:pPr>
        <w:pStyle w:val="BookText"/>
        <w:rPr/>
      </w:pPr>
      <w:r>
        <w:rPr>
          <w:rFonts w:ascii="Amiri" w:hAnsi="Amiri" w:eastAsia="Amiri" w:cs="Amiri"/>
          <w:color w:val="111111"/>
          <w:sz w:val="28"/>
          <w:sz w:val="28"/>
          <w:szCs w:val="28"/>
          <w:rtl w:val="true"/>
          <w:lang w:bidi="ar-SA"/>
        </w:rPr>
        <w:t>أضف إلى ذلك التصريح في بعض النصوص بإجزاء الخبز واللّحم والزيت والتمر، كصحيح أبي بصير المتقدّم وخبر زرارة</w:t>
      </w:r>
      <w:r>
        <w:rPr>
          <w:rStyle w:val="FootnoteAnchor"/>
          <w:rtl w:val="true"/>
        </w:rPr>
        <w:footnoteReference w:id="103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في الإشباع دون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الفرق بينهما في ذلك في كلمات الأصحاب سوى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زرارة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الاكتفاء بكلّ ما يكون طعاماً، والأحوط اختيار الحنطة أو الشعير أو الدقيق أو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واجباً كما هو المشهور بين الأصحاب، ويشهد به 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039"/>
      </w:r>
      <w:r>
        <w:rPr>
          <w:rFonts w:ascii="Amiri" w:hAnsi="Amiri" w:eastAsia="Amiri" w:cs="Amiri"/>
          <w:color w:val="111111"/>
          <w:sz w:val="28"/>
          <w:sz w:val="28"/>
          <w:szCs w:val="28"/>
          <w:rtl w:val="true"/>
          <w:lang w:bidi="ar-SA"/>
        </w:rPr>
        <w:t>وسلّار</w:t>
      </w:r>
      <w:r>
        <w:rPr>
          <w:rStyle w:val="FootnoteAnchor"/>
          <w:rtl w:val="true"/>
        </w:rPr>
        <w:footnoteReference w:id="1040"/>
      </w:r>
      <w:r>
        <w:rPr>
          <w:rFonts w:ascii="Amiri" w:hAnsi="Amiri" w:eastAsia="Amiri" w:cs="Amiri"/>
          <w:color w:val="111111"/>
          <w:sz w:val="28"/>
          <w:sz w:val="28"/>
          <w:szCs w:val="28"/>
          <w:rtl w:val="true"/>
          <w:lang w:bidi="ar-SA"/>
        </w:rPr>
        <w:t xml:space="preserve">وجوبه، لصحيح أبي بصير المتقدّم، المحمول على الاستحباب بقرينة صحيح الحلبي، مع 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الآية الشريفة بالخَلّ والزيت والتمر والخبز، وظاهره الاكتفاء بكلّ واحدٍ من المذكورات، فلا يدلّ على وجوب الإدام زائداً عن الخبز</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بالإدام ما جرت العادة بأكله مع الخبز، مايعاً كان كالزيت والدّبس وماء اللّحم، أو جامداً كالجُبُنّ واللّحم، وهو بحسب الجنس يختلف نفاسته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4" w:name="pg11828_105136"/>
    </w:p>
    <w:p>
      <w:pPr>
        <w:pStyle w:val="BookText"/>
        <w:rPr/>
      </w:pPr>
      <w:bookmarkEnd w:id="244"/>
      <w:r>
        <w:rPr>
          <w:rFonts w:ascii="Amiri" w:hAnsi="Amiri" w:eastAsia="Amiri" w:cs="Amiri"/>
          <w:color w:val="111111"/>
          <w:sz w:val="28"/>
          <w:sz w:val="28"/>
          <w:szCs w:val="28"/>
          <w:rtl w:val="true"/>
          <w:lang w:bidi="ar-SA"/>
        </w:rPr>
        <w:t>وأعلاه اللَّحم، وأوسطه الخَلّ‌، وأدناه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إطعام الصغار إلّامنضمّين إلى الرجال، فإنْ انفردوا احتُسِب الإثنان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وأعلاه اللّحم، وأوسطه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بذلك في صحيح الحلبي المتقدّم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131819_73709187"/>
      <w:bookmarkStart w:id="246" w:name="_Toc84"/>
      <w:bookmarkEnd w:id="245"/>
      <w:r>
        <w:rPr>
          <w:rtl w:val="true"/>
        </w:rPr>
        <w:t>عدم إجزاء إطعام الصغار منفردين</w:t>
      </w:r>
      <w:bookmarkEnd w:id="246"/>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إطعام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إطعام الصغار إلّامنضمّين إلى الرِّجال، فإنْ انفردوا احتسب الاثنان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الإطعام قد يكون بالتسليم، وقد يكون بالإشباع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التسليم إليهم في الجملة، وأنّه لا فرق بين الكبير والصغير في اعتبار المُدّ،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التسليم إليهم، ولو لم يأذن الولي ليبرأ الذمّة بذلك‌؟</w:t>
      </w:r>
    </w:p>
    <w:p>
      <w:pPr>
        <w:pStyle w:val="BookText"/>
        <w:rPr/>
      </w:pPr>
      <w:r>
        <w:rPr>
          <w:rFonts w:ascii="Amiri" w:hAnsi="Amiri" w:eastAsia="Amiri" w:cs="Amiri"/>
          <w:color w:val="111111"/>
          <w:sz w:val="28"/>
          <w:sz w:val="28"/>
          <w:szCs w:val="28"/>
          <w:rtl w:val="true"/>
          <w:lang w:bidi="ar-SA"/>
        </w:rPr>
        <w:t>أم يعتبر إذن الوليّ؟</w:t>
      </w:r>
    </w:p>
    <w:p>
      <w:pPr>
        <w:pStyle w:val="BookText"/>
        <w:rPr/>
      </w:pPr>
      <w:r>
        <w:rPr>
          <w:rFonts w:ascii="Amiri" w:hAnsi="Amiri" w:eastAsia="Amiri" w:cs="Amiri"/>
          <w:color w:val="111111"/>
          <w:sz w:val="28"/>
          <w:sz w:val="28"/>
          <w:szCs w:val="28"/>
          <w:rtl w:val="true"/>
          <w:lang w:bidi="ar-SA"/>
        </w:rPr>
        <w:t>أم لا يجوز حتّى مع إذن الوليّ؟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الصَّبي محجورٌ، فكما لا عبرة بعباراته لا عبرة بقبضه، فتعيين الكفّارة في المُدّ الشخصي الذي اُعطي للصبي لا يوجبُ التعيّن، فتبقى الكفّارة </w:t>
      </w:r>
    </w:p>
    <w:p>
      <w:pPr>
        <w:pStyle w:val="BookText"/>
        <w:rPr/>
      </w:pP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صحّة تصرّفات الصَّبي مع إذن الوليّ‌، فيصحّ قبضه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التسليم إلى الصغير، صحيح يونس بن عبدالرحمن،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كفّارة إطعام عشرة مساكين، أيعطي الصغار والكبار سواء، والنساء والرّجال، أو يفضّل الكبار على الصّغار، والرّجال على النساء؟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من جهة عدم وروده لبيان هذا الحكم، لا إطلاق له كي يعمّ صورة 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اعتبار إذن الأولياء في ذلك، من غير فرقٍ بين أن يأذن الولي المُعطي في إقباضه، أو يأذن الصغير في قبضه، وبذلك يستند القبض إلى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والآية مطلقة شاملة للصغير والكبير، ومقتضي إطلاقها عدم اعتبار الإذن، لا تنفع بعد دلالة الدليل على عدم جواز تصرفات الصَّبي مستقلّاً، ومنها القبض، وإنْ كان المقبوض مِلْكاً لشخصه فضلاً عمّا إذا كان للعنوان الكلّي الذي هو أحد مصاديقه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الإشباع، فلا يعتبر إذن الولي، لأنّ المأمور به ما هو فعل المكفّر، وليس لفعل الصَّبي دخلٌ فيه، ومقتضى إطلاق الأدلّة كفاية إشباع الصغير والاجتزاء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فما عن المفيد</w:t>
      </w:r>
      <w:r>
        <w:rPr>
          <w:rStyle w:val="FootnoteAnchor"/>
          <w:rtl w:val="true"/>
        </w:rPr>
        <w:footnoteReference w:id="1042"/>
      </w:r>
      <w:r>
        <w:rPr>
          <w:rFonts w:ascii="Amiri" w:hAnsi="Amiri" w:eastAsia="Amiri" w:cs="Amiri"/>
          <w:color w:val="111111"/>
          <w:sz w:val="28"/>
          <w:sz w:val="28"/>
          <w:szCs w:val="28"/>
          <w:rtl w:val="true"/>
          <w:lang w:bidi="ar-SA"/>
        </w:rPr>
        <w:t>من عدم الاجتزاء به ضعيفٌ ولكن المشهور بين الأصحاب أنّه إن أطعم الصغار مع الكبار، يحتسب الصغار من العدد، وإن انفردوا بالأكل احتسب الاثنان منهم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 الاثنين بواحد مطلقاً، ومال إليه السيّد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الإسكافي</w:t>
      </w:r>
      <w:r>
        <w:rPr>
          <w:rStyle w:val="FootnoteAnchor"/>
          <w:rtl w:val="true"/>
        </w:rPr>
        <w:footnoteReference w:id="1045"/>
      </w:r>
      <w:r>
        <w:rPr>
          <w:rFonts w:ascii="Amiri" w:hAnsi="Amiri" w:eastAsia="Amiri" w:cs="Amiri"/>
          <w:color w:val="111111"/>
          <w:sz w:val="28"/>
          <w:sz w:val="28"/>
          <w:szCs w:val="28"/>
          <w:rtl w:val="true"/>
          <w:lang w:bidi="ar-SA"/>
        </w:rPr>
        <w:t>، والصَّدوق</w:t>
      </w:r>
      <w:r>
        <w:rPr>
          <w:rStyle w:val="FootnoteAnchor"/>
          <w:rtl w:val="true"/>
        </w:rPr>
        <w:footnoteReference w:id="1046"/>
      </w:r>
      <w:r>
        <w:rPr>
          <w:rFonts w:ascii="Amiri" w:hAnsi="Amiri" w:eastAsia="Amiri" w:cs="Amiri"/>
          <w:color w:val="111111"/>
          <w:sz w:val="28"/>
          <w:sz w:val="28"/>
          <w:szCs w:val="28"/>
          <w:rtl w:val="true"/>
          <w:lang w:bidi="ar-SA"/>
        </w:rPr>
        <w:t>في خصوص كفّارة اليمين، وأمّا في غيرها فيجتزي بهم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مقابل إطلاق الأدلّة الدالّة على الاجتزاء بهم واحتسابهم من العدد مطلقاً، هو موثّق غياث بن إبراهيم،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إطعام الصغير في كفّارة اليمين، ولكن صغيرين بكبير</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مختصٌّ بكفّارة اليمين، وأعمٌّ من إطعام الصغار منفردين أو مختلطين مع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باستبعاد الفرق مع اتّحاد الأمر في الجميع بإطعام المسكين المؤيّد بالشهرة العظيمة على عدم الفرق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الخبر في إرادة بيان كيفيّة الإطعام في جميع الكفّارات وإن ذكر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وقلّته، بحيث يُقارب أكل المتوسّط من الكبار، ولعلّ بلوغ عشر سنين يقارب ذلك غالباً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لأنّ الظاهر من الصغير في لسان الشارع هو الصغير الشرعي، وهو غير البالغ، كما يظهر من ملاحظة الأحكام المرتّبة في النصوص على عنوان الصغير في باب النكاح والطلاق والحَجْر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نقصان المستحقّ عن المُدّ على تقدير التسليم، وإنْ كَثُر المستحقّون، وضاق العدد، فلو دفع الستّين إلى مائة وعشرين، أجزأ عنه نصف المخرج، ووجب أن يكمل الستّين منهم مُدّاً كلّ واحدٍ نصف مُدّ، لظهور النصوص في اعتبار أن يعطي كلّ مسكين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إعطاء مُدّين لمسكينٍ واحد، كذلك لا يجوز إعطاء مُدٍّ لمسكينين لاعتبار العدد، كما أنّ الظاهر عدم الاجتزاء بالقيمة لظاهر النصوص</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050"/>
      </w:r>
      <w:r>
        <w:rPr>
          <w:rFonts w:ascii="Amiri" w:hAnsi="Amiri" w:eastAsia="Amiri" w:cs="Amiri"/>
          <w:color w:val="111111"/>
          <w:sz w:val="28"/>
          <w:sz w:val="28"/>
          <w:szCs w:val="28"/>
          <w:rtl w:val="true"/>
          <w:lang w:bidi="ar-SA"/>
        </w:rPr>
        <w:t>، والمحقّق</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الثوب الواحد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بما يَستر به في الصلاة، فيعتبر للمرأة درعٌ وخِمار، ويجزي للرجل ثوبٌ يجزيه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053"/>
      </w:r>
      <w:r>
        <w:rPr>
          <w:rFonts w:ascii="Amiri" w:hAnsi="Amiri" w:eastAsia="Amiri" w:cs="Amiri"/>
          <w:color w:val="111111"/>
          <w:sz w:val="28"/>
          <w:sz w:val="28"/>
          <w:szCs w:val="28"/>
          <w:rtl w:val="true"/>
          <w:lang w:bidi="ar-SA"/>
        </w:rPr>
        <w:t>، وسلّار</w:t>
      </w:r>
      <w:r>
        <w:rPr>
          <w:rStyle w:val="FootnoteAnchor"/>
          <w:rtl w:val="true"/>
        </w:rPr>
        <w:footnoteReference w:id="105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 والصدوق</w:t>
      </w:r>
      <w:r>
        <w:rPr>
          <w:rStyle w:val="FootnoteAnchor"/>
          <w:rtl w:val="true"/>
        </w:rPr>
        <w:footnoteReference w:id="1056"/>
      </w:r>
      <w:r>
        <w:rPr>
          <w:rFonts w:ascii="Amiri" w:hAnsi="Amiri" w:eastAsia="Amiri" w:cs="Amiri"/>
          <w:color w:val="111111"/>
          <w:sz w:val="28"/>
          <w:sz w:val="28"/>
          <w:szCs w:val="28"/>
          <w:rtl w:val="true"/>
          <w:lang w:bidi="ar-SA"/>
        </w:rPr>
        <w:t>، وابن حمزة</w:t>
      </w:r>
      <w:r>
        <w:rPr>
          <w:rStyle w:val="FootnoteAnchor"/>
          <w:rtl w:val="true"/>
        </w:rPr>
        <w:footnoteReference w:id="1057"/>
      </w:r>
      <w:r>
        <w:rPr>
          <w:rFonts w:ascii="Amiri" w:hAnsi="Amiri" w:eastAsia="Amiri" w:cs="Amiri"/>
          <w:color w:val="111111"/>
          <w:sz w:val="28"/>
          <w:sz w:val="28"/>
          <w:szCs w:val="28"/>
          <w:rtl w:val="true"/>
          <w:lang w:bidi="ar-SA"/>
        </w:rPr>
        <w:t>، والكيدري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ثوبين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اختلاف الأخبار،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فيه اعتبار ثوبين، كصحيح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 لكلّ مسكين مُدين من حنطة ومُدّ من دقيق وحفنة، أو كسوتهم لكلّ إنسان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أخبار عليّبن أبي حمزة</w:t>
      </w:r>
      <w:r>
        <w:rPr>
          <w:rStyle w:val="FootnoteAnchor"/>
          <w:rtl w:val="true"/>
        </w:rPr>
        <w:footnoteReference w:id="1059"/>
      </w:r>
      <w:r>
        <w:rPr>
          <w:rFonts w:ascii="Amiri" w:hAnsi="Amiri" w:eastAsia="Amiri" w:cs="Amiri"/>
          <w:color w:val="111111"/>
          <w:sz w:val="28"/>
          <w:sz w:val="28"/>
          <w:szCs w:val="28"/>
          <w:rtl w:val="true"/>
          <w:lang w:bidi="ar-SA"/>
        </w:rPr>
        <w:t>، وأبي جميلة</w:t>
      </w:r>
      <w:r>
        <w:rPr>
          <w:rStyle w:val="FootnoteAnchor"/>
          <w:rtl w:val="true"/>
        </w:rPr>
        <w:footnoteReference w:id="1060"/>
      </w:r>
      <w:r>
        <w:rPr>
          <w:rFonts w:ascii="Amiri" w:hAnsi="Amiri" w:eastAsia="Amiri" w:cs="Amiri"/>
          <w:color w:val="111111"/>
          <w:sz w:val="28"/>
          <w:sz w:val="28"/>
          <w:szCs w:val="28"/>
          <w:rtl w:val="true"/>
          <w:lang w:bidi="ar-SA"/>
        </w:rPr>
        <w:t>، والقمّاط</w:t>
      </w:r>
      <w:r>
        <w:rPr>
          <w:rStyle w:val="FootnoteAnchor"/>
          <w:rtl w:val="true"/>
        </w:rPr>
        <w:footnoteReference w:id="1061"/>
      </w:r>
      <w:r>
        <w:rPr>
          <w:rFonts w:ascii="Amiri" w:hAnsi="Amiri" w:eastAsia="Amiri" w:cs="Amiri"/>
          <w:color w:val="111111"/>
          <w:sz w:val="28"/>
          <w:sz w:val="28"/>
          <w:szCs w:val="28"/>
          <w:rtl w:val="true"/>
          <w:lang w:bidi="ar-SA"/>
        </w:rPr>
        <w:t>، وزرارة</w:t>
      </w:r>
      <w:r>
        <w:rPr>
          <w:rStyle w:val="FootnoteAnchor"/>
        </w:rPr>
        <w:footnoteReference w:id="106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وابن سنان</w:t>
      </w:r>
      <w:r>
        <w:rPr>
          <w:rStyle w:val="FootnoteAnchor"/>
          <w:rtl w:val="true"/>
        </w:rPr>
        <w:footnoteReference w:id="10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ثوبان لكلّ رجلٍ‌، كخبر ابن سنان</w:t>
      </w:r>
      <w:r>
        <w:rPr>
          <w:rStyle w:val="FootnoteAnchor"/>
          <w:rtl w:val="true"/>
        </w:rPr>
        <w:footnoteReference w:id="1064"/>
      </w:r>
      <w:r>
        <w:rPr>
          <w:rFonts w:ascii="Amiri" w:hAnsi="Amiri" w:eastAsia="Amiri" w:cs="Amiri"/>
          <w:color w:val="111111"/>
          <w:sz w:val="28"/>
          <w:sz w:val="28"/>
          <w:szCs w:val="28"/>
          <w:rtl w:val="true"/>
          <w:lang w:bidi="ar-SA"/>
        </w:rPr>
        <w:t>، وخبر سماعة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ثوب واحدٌ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كسوتهم‌؟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في حديث كفّارة اليمين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 الكسوة‌؟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يُواري عورته</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معمّر بن عمر، عمّن وجب عليه الكسوة في كفّارة اليمين،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ثوبٌ يواري عورته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 في الظهار صبي ممّن ولد في الإسلام، وفي كفّارة اليمين ثوبٌ يواري عورته</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نصوص اُخر،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الجمع بين الطائفتين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1071"/>
      </w:r>
      <w:r>
        <w:rPr>
          <w:rFonts w:ascii="Amiri" w:hAnsi="Amiri" w:eastAsia="Amiri" w:cs="Amiri"/>
          <w:color w:val="111111"/>
          <w:sz w:val="28"/>
          <w:sz w:val="28"/>
          <w:szCs w:val="28"/>
          <w:rtl w:val="true"/>
          <w:lang w:bidi="ar-SA"/>
        </w:rPr>
        <w:t>من حمل الطائفة الاُولى على القادر، وحمل الثانية على من لا يقدر إلّاعلى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لا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ترجيح الثوبين مطلقاً، بأنّ خبرهما الصحيح أصحّ من خبر أبي بصير، لاشتراك أبي بصير بين الثقة وغيره، وصحّته إضافيّة كما بيّناه مراراً، بخلاف صحيح الحلبي، وباقي الأخبار شواهد لأنّها ضعيفة الإسناد أو مرسلة، فإنّ محمّد بن قيس الذي يروي عن الباقر مشتركٌ بين الثقة وغيره، وخبر حسين بن سعيد مراده النبويّ مرسلٌ‌، ومعمّر بن عثمان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المرجّحات إنّما هو بعد عدم إمكان الجمع العرفي، وستعرف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صفات الراوي إنّما هو في المرتبة المتأخّرة عن الشهرة الموافقة للطائفة الثانية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أصحيّة صحيح الحلبي غير ظاهرة، فإنّ أبا بصير وإنْ كان مشتركاً بين الثقة وغيره، ولكن بقرينة الرواة عنه يكون الراوي لهذا الخبر هو الثقة، وخبر حسين بن سعيد لوجود المُجمع على تصحيح رواياته في طريقه وهو البزنطي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يضرّ إرساله، وكذا خبر معمّر، ومحمّد بن قيس راوي الخبر المتقدّم هو البَجَليّ الثقة بقرينة رواية عاصم بن حميد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الثوب أسانيدها في غاية الاعتماد، ومع ذلك معتضدة بالشهرة المتأخّرة وغيرها، فعلى فرض عدم إمكان الجمع العرفي بينهما تقدّم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والأجود حمل الأولة على الفضيلة، أو ما إذا لم يحصل بالواحد سَتر العورة، ولذا قيّد بالستر في أكثر ما مرّ من المعتبرة، بخلاف الأخبار الأولة وهذا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الجمع بحمل الأُولى على الفضيلة هو المتعيّن لكونه جمعاً عرفيّاً،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النبويّ الذي عرفت اعتباره بعد الحكم بإجزاء ثوب يواري عورته،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الساتريّة في الثوب الواحد، فهو قيدٌ زائد دلّ على اعتباره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في الثوب الواحد، وليس في نصوص الثوبين ما يدلّ على اعتبارها، وعليه فالمعتبر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ما يصدق عليه الكسوة والثوب بشرط كونه ساتراً للعورة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ثوبان وإن لم يكونا ساترين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قيل بالجمع بين النصوص باختلاف الفقراء مكاناً وزماناً، فمنهم من يجزيه الثوب، ومنهم الثوبان كان وجهاً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لشهادة خبر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وافقت بها الشتاء، فكسوتهم لكلّ مسكينٍ إزار ورداء، وللمرأة ما يوارى ما يحرم منها إزارٌ وخِمار ودرع</w:t>
      </w:r>
      <w:r>
        <w:rPr>
          <w:rStyle w:val="FootnoteAnchor"/>
          <w:rtl w:val="true"/>
        </w:rPr>
        <w:footnoteReference w:id="1075"/>
      </w:r>
      <w:r>
        <w:rPr>
          <w:rFonts w:ascii="Amiri" w:hAnsi="Amiri" w:eastAsia="Amiri" w:cs="Amiri"/>
          <w:color w:val="111111"/>
          <w:sz w:val="28"/>
          <w:sz w:val="28"/>
          <w:szCs w:val="28"/>
          <w:rtl w:val="true"/>
          <w:lang w:bidi="ar-SA"/>
        </w:rPr>
        <w:t>، مضافاً إلى معلوميّة اختلاف الكسوة بالنسبة إلى الفقراء كاختلاف الأكل، ضرورة ظهور الإضافة في إرادة كسوتهم اللّائقة بحالهم، باعتبار الحقارة وغيرها، لا مطلق مُسمّى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الجمع المذكور لا شاهد له، إذ اجزاء ثوبٍ واحدٍ لبعض الفقراء دون آخر لا يشهد بالتفصيل والفرق، كما أنّ اختلافهم في جنس الكسوة اللّائقة بحالهم لا يوجبُ الفرق من تلك الجهة، ولذا في الطعام لم يفرّق بين أفراد الفقراء، مع أنّهم فيه مختلفون، وشهادة خبر محمّد بن مسلم لم تظهر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الجمع غيرُ تامّ فالصحيح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العمل به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نظفر بمدركه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فتمام البحث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الكسوة صدق تلك وصدق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صدق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فللأمر بها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فللنصوص المتقدّمة، ولعلّ الثاني أخصّ‌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يجزي الخُفّ‌، والقلنسوة، والعِمامة، والنعل، والمنطقة، وما شاكل، ويجزي القميص والجُبّة والقباء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الرِّداء والإزار والسَّراويل إشكالٌ‌، وإنْ جَزَم بإجزائها الشهيدان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السَّراويل، لعدم صدق الكسوة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جنس الثوب بين القطن والصوف والكتّان والحرير الممزوج والخالص والشعر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 أن يكون ممّا يجوزُ الصلاة فيه كما عن أبي عليّ‌</w:t>
      </w:r>
      <w:r>
        <w:rPr>
          <w:rStyle w:val="FootnoteAnchor"/>
          <w:rtl w:val="true"/>
        </w:rPr>
        <w:footnoteReference w:id="1078"/>
      </w: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باعتبار أن يكون ممّا يجوزُ لبسه، لم يكن بعيداً، لأنّ المأمور به هو ما يكسو به المسكين عورته، فإذا كان ممنوعاً من ذلك لم يجز، فلا يجوزُ إعطاء الحرير الخالص للرّجل، كما صرّح به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من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الاجتزاء بتمليك الثوب أو الثوبين، فيتحقّق الامتثال حينئذٍ بدفعه للرّجل، وإنْ حرم عليهم لبسه، لكنّه صالحٌ للابدال، وجائزٌ لبسه للضرورة والحرب وللبيع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الآية والنصوص هو إعطاء ما يجوز للمسكين لبسه في حال الاختيار لا قيمته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كسوة الصغار وإنْ كانوا رُضَّعاً، وإن انفردوا عن الرجال،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المكنة من كسوة الكبار،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تعذّرت العَشَرة انتظر، وما دلّ على التكرار على الممكن في الأيّام مختصٌّ بالإطعام، والقياس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الإطعام أنّه إنْ كان بالإشباع لا يعتبر إذن الولي في إطعام الصغير، وإنْ كان بالتسليم يعتبر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التسليم يملك المكفّر الكفّارة، والصغير لا أهليّة له للقبول إلّامع الإذن، وفي الإشباع لا يعتبر التمليك، فلا مانع منه بدون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الكسوة فحيثُ إنّها تكون بالتمليك دائماً، فيعتبر فيها إذن الوليّ لما مرّ في التسليم في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82"/>
      </w:r>
      <w:r>
        <w:rPr>
          <w:rFonts w:ascii="Amiri" w:hAnsi="Amiri" w:eastAsia="Amiri" w:cs="Amiri"/>
          <w:color w:val="111111"/>
          <w:sz w:val="28"/>
          <w:sz w:val="28"/>
          <w:szCs w:val="28"/>
          <w:rtl w:val="true"/>
          <w:lang w:bidi="ar-SA"/>
        </w:rPr>
        <w:t>وغيرهما من عدم قابليّة الصغير للقبول حتّى مع إذن الوليّ‌، قد مرّ جوابه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47" w:name="pg11828_105147"/>
    </w:p>
    <w:p>
      <w:pPr>
        <w:pStyle w:val="Heading4"/>
        <w:numPr>
          <w:ilvl w:val="3"/>
          <w:numId w:val="1"/>
        </w:numPr>
        <w:rPr/>
      </w:pPr>
      <w:bookmarkStart w:id="248" w:name="__RefHeading___Toc11131821_73709187"/>
      <w:bookmarkStart w:id="249" w:name="_Toc85"/>
      <w:bookmarkEnd w:id="247"/>
      <w:bookmarkEnd w:id="248"/>
      <w:r>
        <w:rPr>
          <w:rtl w:val="true"/>
        </w:rPr>
        <w:t>حكم العاجز عن الصيام</w:t>
      </w:r>
      <w:bookmarkEnd w:id="24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 عليه صوم شهرين متتابعين فعَجَز، صام ثمانية عشر يوماً، فإنْ لم يقدر تصدّق عن كلّ يومٍ بمُدٍّ من طعام كما عن الشيخ</w:t>
      </w:r>
      <w:r>
        <w:rPr>
          <w:rStyle w:val="FootnoteAnchor"/>
          <w:rtl w:val="true"/>
        </w:rPr>
        <w:footnoteReference w:id="1083"/>
      </w:r>
      <w:r>
        <w:rPr>
          <w:rFonts w:ascii="Amiri" w:hAnsi="Amiri" w:eastAsia="Amiri" w:cs="Amiri"/>
          <w:color w:val="111111"/>
          <w:sz w:val="28"/>
          <w:sz w:val="28"/>
          <w:szCs w:val="28"/>
          <w:rtl w:val="true"/>
          <w:lang w:bidi="ar-SA"/>
        </w:rPr>
        <w:t xml:space="preserve">وجماعة،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نسبة ذلك كلّه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بالحكم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صيام شهرين متتابعين، فلم يقدر على الصدقة‌؟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ضعفه بالعمل، والمؤيّد بموثّق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 فلم يجد ما يعتق، ولا ما يتصدّق، ولا يقوى على الصيام‌؟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كما ترى مختصّان بالعاجز عن الخصال الثلاث، بل ظاهر التعليل في الخبر الأوّل كون ذلك بدلاً عن الإطعام لا عن الصوم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فالأولى التعبير بأنّ من وَجَب عليه صوم الشهرين فعجز عنهما وعن الإطعام، يصوم ثمانية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أفطر في شهر رمضان متعمّداً يوماً واحداً من غير عُذر؟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أو حسنه،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وقع على أهله في شهر رمضان، فلم يجد ما يتصدّق به على ستّين مسكيناً؟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بقدر ما يطيق</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ظاهر الكليني والتهذيبين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لصحّة السند، ولموافقة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الطائفتين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الخبرين لا يعارضان الموثّق، لكونه في الظهار وهما في كفّارة شهر رمضان، ونسبتهما مع الخبر الأوّل عمومٌ مطلق، فيقيّد إطلاقه بهما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فالجمع بين الأخبار يقتضي البناء على أنّ العاجز عن الخصال الثلاث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المرتّبة والمخيّرة في غير كفّارة شهر رمضان، يصوم ثمانية عشر يوماً، وفيها يتصدّق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التتابع في هذا الصوم،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أصالة البراءة عن وجوب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المتبادر من الأمر بكلّ صومٍ شُرّع للكفّارة التتابع، وكون التتابع واجباً في الأصل فكذا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الملازمة ممنوعة، وكذا التبادر، فالمتّجه عدم اعتباره، وقد مرّ الكلام في ذلك في كتاب الصوم</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50" w:name="pg11828_105150"/>
    </w:p>
    <w:p>
      <w:pPr>
        <w:pStyle w:val="Heading4"/>
        <w:numPr>
          <w:ilvl w:val="3"/>
          <w:numId w:val="1"/>
        </w:numPr>
        <w:rPr/>
      </w:pPr>
      <w:bookmarkStart w:id="251" w:name="__RefHeading___Toc11131823_73709187"/>
      <w:bookmarkStart w:id="252" w:name="_Toc86"/>
      <w:bookmarkEnd w:id="250"/>
      <w:bookmarkEnd w:id="251"/>
      <w:r>
        <w:rPr>
          <w:rtl w:val="true"/>
        </w:rPr>
        <w:t>دفع الكفّارة إلى من تجبُ نفقته على الدافع</w:t>
      </w:r>
      <w:bookmarkEnd w:id="25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أنّه لا تُصرف الكفّارة إلى من تجبُ نفقته على الدافع كالأب والاُمّ والأولاد والزوجة الدائمة، 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بأنّهم أغنياء بالدافع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لما كانت المسكنة المتحقّقة هنا بعدم القدرة على مؤونة السنة شرطاً في المستحقّ‌، وكانت نفقة العمودين والزوجة واجبة على الأب والزوج، كان المُنفِق عليه غنيّاً بذلك، فلا يجوز أن يُعطى من الكفّارة لفقد الشرط وهو الاستحقاق</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هو في الزوجة خاصّة، وأمّا في العمودين والأولاد فكما أنّ شرط إعطاء الكفّارة الفقر، كذلك شرط وجوب النفقة الفقر والعجز عن التكسّب كما مرّ، بل قد عرفت هناك أنّ جماعة احتملوا اشتراط عدم تمكّنهم من أخذ الزكاة والكفّارة ونحوهما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فله أن يدفع الكفّارة إليهم، ويخرجون بذلك عن الفقر، فلاتجبُ نفقتهم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في الزوجة أيضاً، فإنّه وإنْ وجبَ عليه الإنفاق عليها مطلقاً، لكن إذا لم يبذل، وإنْ عصى بذلك تكون هي فقيرة وتستحقّ الكفّارة، بل لو أبرأتها من النفقة، له أن يعطيها الكفّارة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له بما دلّ على عدم جواز إعطاء الزكاة لواجبي النفقة، معلّلاً بأنّهم عياله لازمون له</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فإنّه بعموم العلّة، يدلّ على عدم إعطاء الكفّارة إيّاهم، وقد مرّ الكلام في ذلك مفصّلاً في كتاب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بظاهر الآية المتقدّمة الآمرة بإطعام المساكين من أوسط ما يطعم به الأهل، فإنّها ظاهرة في مغايرة من يدفع إليه الكفّارة مع عيال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جواز دفع الغير الزكاة إلى من يجبُ نفقته على غير الدافع، إلّا في زوجة الموسر الباذل، وقد مرّ الكلام في ذلك وفي فروع المسألة في كتاب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نعيد، وإنّما الغرض في المقام الإشارة إلى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53" w:name="pg11828_105152"/>
    </w:p>
    <w:p>
      <w:pPr>
        <w:pStyle w:val="BookText"/>
        <w:rPr/>
      </w:pPr>
      <w:bookmarkEnd w:id="253"/>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نيّة القُربة،</w:t>
      </w:r>
    </w:p>
    <w:p>
      <w:pPr>
        <w:pStyle w:val="Heading4"/>
        <w:numPr>
          <w:ilvl w:val="3"/>
          <w:numId w:val="1"/>
        </w:numPr>
        <w:rPr/>
      </w:pPr>
      <w:bookmarkStart w:id="254" w:name="__RefHeading___Toc11131825_73709187"/>
      <w:bookmarkStart w:id="255" w:name="_Toc87"/>
      <w:bookmarkEnd w:id="254"/>
      <w:r>
        <w:rPr>
          <w:rtl w:val="true"/>
        </w:rPr>
        <w:t>اعتبار قصد القربة في الكفّارة</w:t>
      </w:r>
      <w:bookmarkEnd w:id="2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الخصال بلا خلافٍ‌، أمّا في الصوم فواضحٌ‌، وأمّا في العتق فلا مورد للبحث فيه، وعليه فيقع الكلام في خصوص الإطعام والكسوة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التكفير عبادة، فيشمله ما دلّ على اعتبار قصد القربة في العبادات، وظاهره التسالم على أنّه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الإجماع عليه، قال في شرطيّة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التكفير عبادة، والعبادة من شروطها الايمان، والمقدّمتان إجماعيّتان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القدر المتّفق عليه منها، قال الصِّيمري</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التكفير النيّة المشتملة على الوجه والقُربة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الشروط مجمعٌ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والتعيين والتكليف، والإسلام في المكفِّر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تلكم كلمات غيرهم من الفقهاء، وعلى ذلك فلابدّ من البناء على اعتبار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يُصغى إلى ما قيل من أنّ الأصل في الواجبات التوصّليّة، ولم يدلّ دليلٌ على خروج التكفير مطلقاً عنه، إذ المتيقّن من الإجماع إنّما هو كون العتق والصوم من العبادات، فإنّ كلماتهم متّفقة على دعوى الإجماع على كون التكفير مطلقاً من العبادات، أو يعتبر فيه قصد القُربة، وهما مترادفان، فالإجماع من قبيل الإجماع على القاعدة فيؤخذ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فروع تعرّض لها الفقهاء، من اعتبار قصد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فحيثُ إنّا قد استوفينا البحث في ذلك كلّه في كتاب الصلاة والحَجّ والزكاة، فلا نرى فائدة في التعرّض لها ثانياً، ولا خصوصيّة للمقام بالنسبة إلى شيء من تلكم الاُمور، فصرف الوقت في غيرها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الكفّارة على الصَّبي والمجنون، لأنّ القلم مرفوع عنهما</w:t>
      </w:r>
      <w:r>
        <w:rPr>
          <w:rStyle w:val="FootnoteAnchor"/>
          <w:rtl w:val="true"/>
        </w:rPr>
        <w:footnoteReference w:id="1101"/>
      </w:r>
      <w:r>
        <w:rPr>
          <w:rFonts w:ascii="Amiri" w:hAnsi="Amiri" w:eastAsia="Amiri" w:cs="Amiri"/>
          <w:color w:val="111111"/>
          <w:sz w:val="28"/>
          <w:sz w:val="28"/>
          <w:szCs w:val="28"/>
          <w:rtl w:val="true"/>
          <w:lang w:bidi="ar-SA"/>
        </w:rPr>
        <w:t>، وهو أعمٌّ من الوضع والتكليف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جماعة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المكفّر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ومرادهم بذلك اعتبار الإسلام في صحّته من الكافر، لا اعتباره في وجوبه عليه، كما أنّ التعيين وقصد القربة إنّما هما من شرائط الصحّة والتكليف من شرائط الوجوب، وبذلك يظهر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كلام المصنّف رحمه الله من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صحّة العبادة من الكافر وعدمها، قد تقدّم في كتاب الحَجّ‌</w:t>
      </w:r>
      <w:r>
        <w:rPr>
          <w:rStyle w:val="FootnoteAnchor"/>
          <w:rtl w:val="true"/>
        </w:rPr>
        <w:footnoteReference w:id="1102"/>
      </w:r>
      <w:r>
        <w:rPr>
          <w:rFonts w:ascii="Amiri" w:hAnsi="Amiri" w:eastAsia="Amiri" w:cs="Amiri"/>
          <w:color w:val="111111"/>
          <w:sz w:val="28"/>
          <w:sz w:val="28"/>
          <w:szCs w:val="28"/>
          <w:rtl w:val="true"/>
          <w:lang w:bidi="ar-SA"/>
        </w:rPr>
        <w:t>مفصّلاً، فلا نعيد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سيّدنا محمّدٍ وعلى آله الطيّبين الطاهرين المعصومين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6" w:name="pg11828_105155"/>
    </w:p>
    <w:p>
      <w:pPr>
        <w:pStyle w:val="Heading2"/>
        <w:numPr>
          <w:ilvl w:val="1"/>
          <w:numId w:val="1"/>
        </w:numPr>
        <w:rPr/>
      </w:pPr>
      <w:bookmarkStart w:id="257" w:name="__RefHeading___Toc11131827_73709187"/>
      <w:bookmarkStart w:id="258" w:name="_Toc88"/>
      <w:bookmarkEnd w:id="256"/>
      <w:bookmarkEnd w:id="257"/>
      <w:r>
        <w:rPr>
          <w:rtl w:val="true"/>
        </w:rPr>
        <w:t>فهرس الموضوعات</w:t>
      </w:r>
      <w:bookmarkEnd w:id="258"/>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صيغة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حكم التشبيه بغير ظهر الأُمّ من سائر أجزائها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شرائط وقوع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ما يعتبر في المظاهرة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تعليق الظهار على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حكم ما لو قيّد الظهار بمدَّة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عدم وجوب الكفّارة بمجرّد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حكم ما لو طلّق المظاهِر رجعيّاً ثمّ راجعها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وجوب كفّارةٍ اُخرى بالوطء قبل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تكرّر الكفّارة بتكرّر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حكم العاجز عن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رفع المظاهِرة أمرها إلى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حكم ما لو ظاهر من زوجاته المتعدِّدة بلفظٍ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دون الوطء من الاستمتاعات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الوطء خلال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ما يعتبر في المؤلى والمؤلى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عدم وقوع الإيلاء لأربعة أشهر فما 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مدة التربّص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انقضاء مدَّة التربّص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طلاق المؤلي ليس بائناً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فئة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لا تتكرّر الكفّارة بتكرّر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حكم ما لو حَلف على ترك وطء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سبب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يعتبر أن يكون القذف بالزِّنا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إنكار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اعتبار التكليف والإسلام في المُلاعن والملاعنة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اعتبار دوام النكاح والدخول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كيفيّة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واجبات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تكذيب الملاعن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ادّعاء المطلّقة الحمل من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كون المتعلّق مقدوراً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حكم ما لو كان المنذور ترك المحرّم أو المكروه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حكم ما لو نذر فعل طاعةٍ ولم 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نذر صوم حين أو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حكم ما لو عجز عمّا 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لو نذر وقيّده بمكانٍ أو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جعل الدابّة هدياً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كفّارة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كفّارة مخالفة العهد وحنث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كفّارة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كفّارة الحلف بالبراءة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كفّارة جَزّ المرأة شعرها في المصاب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كفّارة نتف الشَّعر، وشَقّ الثوب، وخَدش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كفّارة التزويج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كفّارة النوم عن العشاء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الإطعام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كيفيّة الإطعام ومقدار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استيفاء العدد مع التمكّن، وحكم ما لو تعذّر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جنس كفّارة الإطعام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عدم إجزاء إطعام الصغار منفردين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الكسوة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حكم العاجز عن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دفع الكفّارة إلى من تجبُ نفقته على الدافع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اعتبار قصد القربة في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الجماعة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يخلو عن قوّة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7/399</w:t>
      </w:r>
      <w:r>
        <w:rPr>
          <w:rFonts w:ascii="IRNazanin" w:hAnsi="IRNazanin" w:eastAsia="IRNazanin"/>
          <w:b w:val="false"/>
          <w:b w:val="false"/>
          <w:bCs w:val="false"/>
          <w:i w:val="false"/>
          <w:i w:val="false"/>
          <w:iCs w:val="false"/>
          <w:color w:val="333333"/>
          <w:sz w:val="20"/>
          <w:sz w:val="20"/>
          <w:szCs w:val="20"/>
          <w:rtl w:val="true"/>
        </w:rPr>
        <w:t>، فتاوى ابن الجُنيد إعداد الاشتهاردي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المسائل الصاغانيّة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 إعداد الأشتهاردي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 إعداد الأشتهاردي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والبحراني في عيون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المسالك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tl w:val="true"/>
        </w:rPr>
        <w:t>، ومثله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والعلّامة المجلسي في 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14/104</w:t>
      </w:r>
      <w:r>
        <w:rPr>
          <w:rFonts w:ascii="IRNazanin" w:hAnsi="IRNazanin" w:eastAsia="IRNazanin"/>
          <w:b w:val="false"/>
          <w:b w:val="false"/>
          <w:bCs w:val="false"/>
          <w:i w:val="false"/>
          <w:i w:val="false"/>
          <w:iCs w:val="false"/>
          <w:color w:val="333333"/>
          <w:sz w:val="20"/>
          <w:sz w:val="20"/>
          <w:szCs w:val="20"/>
          <w:rtl w:val="true"/>
        </w:rPr>
        <w:t>، والبحراني في عيون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نسبته إلى القيل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 إعداد الأشتهاردي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لذكره 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التعريفات في باب 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الإيلاء هو اليمين على ترك وطء المنكوحة 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المحيطفي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أوّله الواو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الحَلف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غاية المرام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10/125</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وفتح الخاء، سمّيت بذلك لأنّها موضع الخَدّ عند النوم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31/286</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التحريم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فقه الصادق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38/362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فقه الصادق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أجده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29505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صحّة يمين هؤلاء وانعقادها وأنّ للوليّ الحلّ‌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29404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29403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الفرج الاصبهاني، وابن هشام في سيرته في حكاية إسلام مغيرة بن شعبة، وابن سعد في كتابه الطبقات الكبرى في قصّة إسلام مغيرة وغدره برفقائه، وعليّ بن إبراهيم في تفسيره في ذيل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لَنْ نُؤْمِنَ لَكَ حَتّى تَفْجُرَ لَنا مِنَ اَلْأَرْضِ يَنْبُوعاً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إسلام عبداللّه أخي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السيرة الحلبيّة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وفي مجمع البحرين كتاب الباء باب ما أوّله الجيم في لغة جبب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35/370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11/492</w:t>
      </w:r>
      <w:r>
        <w:rPr>
          <w:rFonts w:ascii="IRNazanin" w:hAnsi="IRNazanin" w:eastAsia="IRNazanin"/>
          <w:b w:val="false"/>
          <w:b w:val="false"/>
          <w:bCs w:val="false"/>
          <w:i w:val="false"/>
          <w:i w:val="false"/>
          <w:iCs w:val="false"/>
          <w:color w:val="333333"/>
          <w:sz w:val="20"/>
          <w:sz w:val="20"/>
          <w:szCs w:val="20"/>
          <w:rtl w:val="true"/>
        </w:rPr>
        <w:t>، 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35/377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عشر من فقه الصادق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الإتّفاق عنهم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الثانى عشر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29666</w:t>
      </w:r>
      <w:r>
        <w:rPr>
          <w:rFonts w:ascii="IRNazanin" w:hAnsi="IRNazanin" w:eastAsia="IRNazanin"/>
          <w:b w:val="false"/>
          <w:b w:val="false"/>
          <w:bCs w:val="false"/>
          <w:i w:val="false"/>
          <w:i w:val="false"/>
          <w:iCs w:val="false"/>
          <w:color w:val="333333"/>
          <w:sz w:val="20"/>
          <w:sz w:val="20"/>
          <w:szCs w:val="20"/>
          <w:rtl w:val="true"/>
        </w:rPr>
        <w:t>، 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17679</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مبحث الكفّارات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حكاه قولاً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بمخالفة النذر المنعقد كفّارة يمين، وقيل كفّارة من أفطر في شهر رمضان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كما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كيفيّة اليمين وحكم اليمين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الإنتصار والغنية المصدر السابق</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الثانى عشر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شرع في الصوم ثمّ قدر على العتق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وحكاه عن الإصباح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28848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27759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 مكلّف بالحجّ‌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58401</Words>
  <Characters>260934</Characters>
  <CharactersWithSpaces>316325</CharactersWithSpaces>
  <Paragraphs>4450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2026-08-22T08:24:27Z</dcterms:created>
  <dc:creator>ghaemiyeh.com</dc:creator>
  <dc:description/>
  <dc:language>en-US</dc:language>
  <cp:lastModifiedBy/>
  <dcterms:modified xsi:type="dcterms:W3CDTF">2026-08-22T11:54:41Z</dcterms:modified>
  <cp:revision>1</cp:revision>
  <dc:subject/>
  <dc:title>فقه الصادق علیه السلام جلد 35</dc:title>
</cp:coreProperties>
</file>

<file path=docProps/custom.xml><?xml version="1.0" encoding="utf-8"?>
<Properties xmlns="http://schemas.openxmlformats.org/officeDocument/2006/custom-properties" xmlns:vt="http://schemas.openxmlformats.org/officeDocument/2006/docPropsVTypes"/>
</file>