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16766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416768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416770_73709187">
            <w:r>
              <w:rPr>
                <w:webHidden/>
                <w:rStyle w:val="IndexLink"/>
                <w:rtl w:val="true"/>
              </w:rPr>
              <w:t>تتمة كتاب الطهارة</w:t>
            </w:r>
            <w:r>
              <w:rPr>
                <w:rStyle w:val="IndexLink"/>
                <w:rtl w:val="true"/>
              </w:rPr>
              <w:tab/>
            </w:r>
            <w:r>
              <w:rPr>
                <w:rStyle w:val="IndexLink"/>
              </w:rPr>
              <w:t>12</w:t>
            </w:r>
          </w:hyperlink>
        </w:p>
        <w:p>
          <w:pPr>
            <w:pStyle w:val="Contents3"/>
            <w:tabs>
              <w:tab w:val="clear" w:pos="8459"/>
              <w:tab w:val="right" w:pos="9026" w:leader="dot"/>
            </w:tabs>
            <w:rPr/>
          </w:pPr>
          <w:hyperlink w:anchor="__RefHeading___Toc10416772_73709187">
            <w:r>
              <w:rPr>
                <w:webHidden/>
                <w:rStyle w:val="IndexLink"/>
                <w:rtl w:val="true"/>
              </w:rPr>
              <w:t>البابُ الخامس في النّجاسات وأحكامها</w:t>
            </w:r>
            <w:r>
              <w:rPr>
                <w:rStyle w:val="IndexLink"/>
                <w:rtl w:val="true"/>
              </w:rPr>
              <w:tab/>
            </w:r>
            <w:r>
              <w:rPr>
                <w:rStyle w:val="IndexLink"/>
              </w:rPr>
              <w:t>12</w:t>
            </w:r>
          </w:hyperlink>
        </w:p>
        <w:p>
          <w:pPr>
            <w:pStyle w:val="Contents3"/>
            <w:tabs>
              <w:tab w:val="clear" w:pos="8459"/>
              <w:tab w:val="right" w:pos="9026" w:leader="dot"/>
            </w:tabs>
            <w:rPr/>
          </w:pPr>
          <w:hyperlink w:anchor="__RefHeading___Toc10416774_73709187">
            <w:r>
              <w:rPr>
                <w:webHidden/>
                <w:rStyle w:val="IndexLink"/>
                <w:rtl w:val="true"/>
              </w:rPr>
              <w:t>البابُ الخَامس في النّجاسات وأحكامها و المطهّرات</w:t>
            </w:r>
            <w:r>
              <w:rPr>
                <w:rStyle w:val="IndexLink"/>
                <w:rtl w:val="true"/>
              </w:rPr>
              <w:tab/>
            </w:r>
            <w:r>
              <w:rPr>
                <w:rStyle w:val="IndexLink"/>
              </w:rPr>
              <w:t>14</w:t>
            </w:r>
          </w:hyperlink>
        </w:p>
        <w:p>
          <w:pPr>
            <w:pStyle w:val="Contents4"/>
            <w:tabs>
              <w:tab w:val="clear" w:pos="8176"/>
              <w:tab w:val="right" w:pos="9026" w:leader="dot"/>
            </w:tabs>
            <w:rPr/>
          </w:pPr>
          <w:hyperlink w:anchor="__RefHeading___Toc10416776_73709187">
            <w:r>
              <w:rPr>
                <w:webHidden/>
                <w:rStyle w:val="IndexLink"/>
                <w:rtl w:val="true"/>
              </w:rPr>
              <w:t>فصل في النجاسات</w:t>
            </w:r>
            <w:r>
              <w:rPr>
                <w:rStyle w:val="IndexLink"/>
                <w:rtl w:val="true"/>
              </w:rPr>
              <w:tab/>
            </w:r>
            <w:r>
              <w:rPr>
                <w:rStyle w:val="IndexLink"/>
              </w:rPr>
              <w:t>14</w:t>
            </w:r>
          </w:hyperlink>
        </w:p>
        <w:p>
          <w:pPr>
            <w:pStyle w:val="Contents5"/>
            <w:tabs>
              <w:tab w:val="clear" w:pos="7892"/>
              <w:tab w:val="right" w:pos="9026" w:leader="dot"/>
            </w:tabs>
            <w:rPr/>
          </w:pPr>
          <w:hyperlink w:anchor="__RefHeading___Toc10416778_73709187">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10416780_73709187">
            <w:r>
              <w:rPr>
                <w:webHidden/>
                <w:rStyle w:val="IndexLink"/>
                <w:rtl w:val="true"/>
              </w:rPr>
              <w:t>أقسام النجاسات</w:t>
            </w:r>
            <w:r>
              <w:rPr>
                <w:rStyle w:val="IndexLink"/>
                <w:rtl w:val="true"/>
              </w:rPr>
              <w:tab/>
            </w:r>
            <w:r>
              <w:rPr>
                <w:rStyle w:val="IndexLink"/>
              </w:rPr>
              <w:t>16</w:t>
            </w:r>
          </w:hyperlink>
        </w:p>
        <w:p>
          <w:pPr>
            <w:pStyle w:val="Contents6"/>
            <w:tabs>
              <w:tab w:val="clear" w:pos="7609"/>
              <w:tab w:val="right" w:pos="9026" w:leader="dot"/>
            </w:tabs>
            <w:rPr/>
          </w:pPr>
          <w:hyperlink w:anchor="__RefHeading___Toc10416782_73709187">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10416784_73709187">
            <w:r>
              <w:rPr>
                <w:webHidden/>
                <w:rStyle w:val="IndexLink"/>
                <w:rtl w:val="true"/>
              </w:rPr>
              <w:t>الأوّل والثاني</w:t>
            </w:r>
            <w:r>
              <w:rPr>
                <w:rStyle w:val="IndexLink"/>
                <w:rtl w:val="true"/>
              </w:rPr>
              <w:t xml:space="preserve">: </w:t>
            </w:r>
            <w:r>
              <w:rPr>
                <w:rStyle w:val="IndexLink"/>
                <w:rtl w:val="true"/>
              </w:rPr>
              <w:t>البول والغائط</w:t>
            </w:r>
            <w:r>
              <w:rPr>
                <w:rStyle w:val="IndexLink"/>
                <w:rtl w:val="true"/>
              </w:rPr>
              <w:tab/>
            </w:r>
            <w:r>
              <w:rPr>
                <w:rStyle w:val="IndexLink"/>
              </w:rPr>
              <w:t>16</w:t>
            </w:r>
          </w:hyperlink>
        </w:p>
        <w:p>
          <w:pPr>
            <w:pStyle w:val="Contents6"/>
            <w:tabs>
              <w:tab w:val="clear" w:pos="7609"/>
              <w:tab w:val="right" w:pos="9026" w:leader="dot"/>
            </w:tabs>
            <w:rPr/>
          </w:pPr>
          <w:hyperlink w:anchor="__RefHeading___Toc10416786_73709187">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10416788_73709187">
            <w:r>
              <w:rPr>
                <w:webHidden/>
                <w:rStyle w:val="IndexLink"/>
                <w:rtl w:val="true"/>
              </w:rPr>
              <w:t>بولُ الطّير</w:t>
            </w:r>
            <w:r>
              <w:rPr>
                <w:rStyle w:val="IndexLink"/>
                <w:rtl w:val="true"/>
              </w:rPr>
              <w:tab/>
            </w:r>
            <w:r>
              <w:rPr>
                <w:rStyle w:val="IndexLink"/>
              </w:rPr>
              <w:t>19</w:t>
            </w:r>
          </w:hyperlink>
        </w:p>
        <w:p>
          <w:pPr>
            <w:pStyle w:val="Contents6"/>
            <w:tabs>
              <w:tab w:val="clear" w:pos="7609"/>
              <w:tab w:val="right" w:pos="9026" w:leader="dot"/>
            </w:tabs>
            <w:rPr/>
          </w:pPr>
          <w:hyperlink w:anchor="__RefHeading___Toc10416790_73709187">
            <w:r>
              <w:rPr>
                <w:webHidden/>
                <w:rStyle w:val="IndexLink"/>
                <w:rtl w:val="true"/>
              </w:rPr>
              <w:t>البول والغائط من حلال اللّحم</w:t>
            </w:r>
            <w:r>
              <w:rPr>
                <w:rStyle w:val="IndexLink"/>
                <w:rtl w:val="true"/>
              </w:rPr>
              <w:tab/>
            </w:r>
            <w:r>
              <w:rPr>
                <w:rStyle w:val="IndexLink"/>
              </w:rPr>
              <w:t>25</w:t>
            </w:r>
          </w:hyperlink>
        </w:p>
        <w:p>
          <w:pPr>
            <w:pStyle w:val="Contents6"/>
            <w:tabs>
              <w:tab w:val="clear" w:pos="7609"/>
              <w:tab w:val="right" w:pos="9026" w:leader="dot"/>
            </w:tabs>
            <w:rPr/>
          </w:pPr>
          <w:hyperlink w:anchor="__RefHeading___Toc10416792_73709187">
            <w:r>
              <w:rPr>
                <w:webHidden/>
                <w:rStyle w:val="IndexLink"/>
                <w:rtl w:val="true"/>
              </w:rPr>
              <w:t>فروع النجاسات</w:t>
            </w:r>
            <w:r>
              <w:rPr>
                <w:rStyle w:val="IndexLink"/>
                <w:rtl w:val="true"/>
              </w:rPr>
              <w:tab/>
            </w:r>
            <w:r>
              <w:rPr>
                <w:rStyle w:val="IndexLink"/>
              </w:rPr>
              <w:t>30</w:t>
            </w:r>
          </w:hyperlink>
        </w:p>
        <w:p>
          <w:pPr>
            <w:pStyle w:val="Contents6"/>
            <w:tabs>
              <w:tab w:val="clear" w:pos="7609"/>
              <w:tab w:val="right" w:pos="9026" w:leader="dot"/>
            </w:tabs>
            <w:rPr/>
          </w:pPr>
          <w:hyperlink w:anchor="__RefHeading___Toc10416794_73709187">
            <w:r>
              <w:rPr>
                <w:webHidden/>
                <w:rStyle w:val="IndexLink"/>
                <w:rtl w:val="true"/>
              </w:rPr>
              <w:t>ملاقاة الغائط في الباطن هل توجب النجاسة أم لا؟</w:t>
            </w:r>
            <w:r>
              <w:rPr>
                <w:rStyle w:val="IndexLink"/>
                <w:rtl w:val="true"/>
              </w:rPr>
              <w:tab/>
            </w:r>
            <w:r>
              <w:rPr>
                <w:rStyle w:val="IndexLink"/>
              </w:rPr>
              <w:t>30</w:t>
            </w:r>
          </w:hyperlink>
        </w:p>
        <w:p>
          <w:pPr>
            <w:pStyle w:val="Contents6"/>
            <w:tabs>
              <w:tab w:val="clear" w:pos="7609"/>
              <w:tab w:val="right" w:pos="9026" w:leader="dot"/>
            </w:tabs>
            <w:rPr/>
          </w:pPr>
          <w:hyperlink w:anchor="__RefHeading___Toc10416796_73709187">
            <w:r>
              <w:rPr>
                <w:webHidden/>
                <w:rStyle w:val="IndexLink"/>
                <w:rtl w:val="true"/>
              </w:rPr>
              <w:t>بيع البول والغائط</w:t>
            </w:r>
            <w:r>
              <w:rPr>
                <w:rStyle w:val="IndexLink"/>
                <w:rtl w:val="true"/>
              </w:rPr>
              <w:tab/>
            </w:r>
            <w:r>
              <w:rPr>
                <w:rStyle w:val="IndexLink"/>
              </w:rPr>
              <w:t>33</w:t>
            </w:r>
          </w:hyperlink>
        </w:p>
        <w:p>
          <w:pPr>
            <w:pStyle w:val="Contents6"/>
            <w:tabs>
              <w:tab w:val="clear" w:pos="7609"/>
              <w:tab w:val="right" w:pos="9026" w:leader="dot"/>
            </w:tabs>
            <w:rPr/>
          </w:pPr>
          <w:hyperlink w:anchor="__RefHeading___Toc10416798_73709187">
            <w:r>
              <w:rPr>
                <w:webHidden/>
                <w:rStyle w:val="IndexLink"/>
                <w:rtl w:val="true"/>
              </w:rPr>
              <w:t>الشكّ في التذكية</w:t>
            </w:r>
            <w:r>
              <w:rPr>
                <w:rStyle w:val="IndexLink"/>
                <w:rtl w:val="true"/>
              </w:rPr>
              <w:tab/>
            </w:r>
            <w:r>
              <w:rPr>
                <w:rStyle w:val="IndexLink"/>
              </w:rPr>
              <w:t>35</w:t>
            </w:r>
          </w:hyperlink>
        </w:p>
        <w:p>
          <w:pPr>
            <w:pStyle w:val="Contents6"/>
            <w:tabs>
              <w:tab w:val="clear" w:pos="7609"/>
              <w:tab w:val="right" w:pos="9026" w:leader="dot"/>
            </w:tabs>
            <w:rPr/>
          </w:pPr>
          <w:hyperlink w:anchor="__RefHeading___Toc10416800_73709187">
            <w:r>
              <w:rPr>
                <w:webHidden/>
                <w:rStyle w:val="IndexLink"/>
                <w:rtl w:val="true"/>
              </w:rPr>
              <w:t>الثالث</w:t>
            </w:r>
            <w:r>
              <w:rPr>
                <w:rStyle w:val="IndexLink"/>
                <w:rtl w:val="true"/>
              </w:rPr>
              <w:t xml:space="preserve">: </w:t>
            </w:r>
            <w:r>
              <w:rPr>
                <w:rStyle w:val="IndexLink"/>
                <w:rtl w:val="true"/>
              </w:rPr>
              <w:t>المنيّ‌</w:t>
            </w:r>
            <w:r>
              <w:rPr>
                <w:rStyle w:val="IndexLink"/>
                <w:rtl w:val="true"/>
              </w:rPr>
              <w:tab/>
            </w:r>
            <w:r>
              <w:rPr>
                <w:rStyle w:val="IndexLink"/>
              </w:rPr>
              <w:t>39</w:t>
            </w:r>
          </w:hyperlink>
        </w:p>
        <w:p>
          <w:pPr>
            <w:pStyle w:val="Contents6"/>
            <w:tabs>
              <w:tab w:val="clear" w:pos="7609"/>
              <w:tab w:val="right" w:pos="9026" w:leader="dot"/>
            </w:tabs>
            <w:rPr/>
          </w:pPr>
          <w:hyperlink w:anchor="__RefHeading___Toc10416802_73709187">
            <w:r>
              <w:rPr>
                <w:webHidden/>
                <w:rStyle w:val="IndexLink"/>
                <w:rtl w:val="true"/>
              </w:rPr>
              <w:t>الرابع</w:t>
            </w:r>
            <w:r>
              <w:rPr>
                <w:rStyle w:val="IndexLink"/>
                <w:rtl w:val="true"/>
              </w:rPr>
              <w:t xml:space="preserve">: </w:t>
            </w:r>
            <w:r>
              <w:rPr>
                <w:rStyle w:val="IndexLink"/>
                <w:rtl w:val="true"/>
              </w:rPr>
              <w:t>الميتة</w:t>
            </w:r>
            <w:r>
              <w:rPr>
                <w:rStyle w:val="IndexLink"/>
                <w:rtl w:val="true"/>
              </w:rPr>
              <w:tab/>
            </w:r>
            <w:r>
              <w:rPr>
                <w:rStyle w:val="IndexLink"/>
              </w:rPr>
              <w:t>44</w:t>
            </w:r>
          </w:hyperlink>
        </w:p>
        <w:p>
          <w:pPr>
            <w:pStyle w:val="Contents6"/>
            <w:tabs>
              <w:tab w:val="clear" w:pos="7609"/>
              <w:tab w:val="right" w:pos="9026" w:leader="dot"/>
            </w:tabs>
            <w:rPr/>
          </w:pPr>
          <w:hyperlink w:anchor="__RefHeading___Toc10416804_73709187">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10416806_73709187">
            <w:r>
              <w:rPr>
                <w:webHidden/>
                <w:rStyle w:val="IndexLink"/>
                <w:rtl w:val="true"/>
              </w:rPr>
              <w:t>فروع</w:t>
            </w:r>
            <w:r>
              <w:rPr>
                <w:rStyle w:val="IndexLink"/>
                <w:rtl w:val="true"/>
              </w:rPr>
              <w:t>:</w:t>
              <w:tab/>
            </w:r>
            <w:r>
              <w:rPr>
                <w:rStyle w:val="IndexLink"/>
              </w:rPr>
              <w:t>48</w:t>
            </w:r>
          </w:hyperlink>
        </w:p>
        <w:p>
          <w:pPr>
            <w:pStyle w:val="Contents6"/>
            <w:tabs>
              <w:tab w:val="clear" w:pos="7609"/>
              <w:tab w:val="right" w:pos="9026" w:leader="dot"/>
            </w:tabs>
            <w:rPr/>
          </w:pPr>
          <w:hyperlink w:anchor="__RefHeading___Toc10416808_73709187">
            <w:r>
              <w:rPr>
                <w:webHidden/>
                <w:rStyle w:val="IndexLink"/>
                <w:rtl w:val="true"/>
              </w:rPr>
              <w:t>الأجزاء المُبانة من الميتة</w:t>
            </w:r>
            <w:r>
              <w:rPr>
                <w:rStyle w:val="IndexLink"/>
                <w:rtl w:val="true"/>
              </w:rPr>
              <w:tab/>
            </w:r>
            <w:r>
              <w:rPr>
                <w:rStyle w:val="IndexLink"/>
              </w:rPr>
              <w:t>48</w:t>
            </w:r>
          </w:hyperlink>
        </w:p>
        <w:p>
          <w:pPr>
            <w:pStyle w:val="Contents6"/>
            <w:tabs>
              <w:tab w:val="clear" w:pos="7609"/>
              <w:tab w:val="right" w:pos="9026" w:leader="dot"/>
            </w:tabs>
            <w:rPr/>
          </w:pPr>
          <w:hyperlink w:anchor="__RefHeading___Toc10416810_73709187">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10416812_73709187">
            <w:r>
              <w:rPr>
                <w:webHidden/>
                <w:rStyle w:val="IndexLink"/>
                <w:rtl w:val="true"/>
              </w:rPr>
              <w:t>طهارة الأنفحة</w:t>
            </w:r>
            <w:r>
              <w:rPr>
                <w:rStyle w:val="IndexLink"/>
                <w:rtl w:val="true"/>
              </w:rPr>
              <w:tab/>
            </w:r>
            <w:r>
              <w:rPr>
                <w:rStyle w:val="IndexLink"/>
              </w:rPr>
              <w:t>51</w:t>
            </w:r>
          </w:hyperlink>
        </w:p>
        <w:p>
          <w:pPr>
            <w:pStyle w:val="Contents6"/>
            <w:tabs>
              <w:tab w:val="clear" w:pos="7609"/>
              <w:tab w:val="right" w:pos="9026" w:leader="dot"/>
            </w:tabs>
            <w:rPr/>
          </w:pPr>
          <w:hyperlink w:anchor="__RefHeading___Toc10416814_73709187">
            <w:r>
              <w:rPr>
                <w:webHidden/>
                <w:rStyle w:val="IndexLink"/>
                <w:rtl w:val="true"/>
              </w:rPr>
              <w:t>اللَّبن في الضَّرع</w:t>
            </w:r>
            <w:r>
              <w:rPr>
                <w:rStyle w:val="IndexLink"/>
                <w:rtl w:val="true"/>
              </w:rPr>
              <w:tab/>
            </w:r>
            <w:r>
              <w:rPr>
                <w:rStyle w:val="IndexLink"/>
              </w:rPr>
              <w:t>52</w:t>
            </w:r>
          </w:hyperlink>
        </w:p>
        <w:p>
          <w:pPr>
            <w:pStyle w:val="Contents6"/>
            <w:tabs>
              <w:tab w:val="clear" w:pos="7609"/>
              <w:tab w:val="right" w:pos="9026" w:leader="dot"/>
            </w:tabs>
            <w:rPr/>
          </w:pPr>
          <w:hyperlink w:anchor="__RefHeading___Toc10416816_73709187">
            <w:r>
              <w:rPr>
                <w:webHidden/>
                <w:rStyle w:val="IndexLink"/>
                <w:rtl w:val="true"/>
              </w:rPr>
              <w:t>البيض</w:t>
            </w:r>
            <w:r>
              <w:rPr>
                <w:rStyle w:val="IndexLink"/>
                <w:rtl w:val="true"/>
              </w:rPr>
              <w:tab/>
            </w:r>
            <w:r>
              <w:rPr>
                <w:rStyle w:val="IndexLink"/>
              </w:rPr>
              <w:t>54</w:t>
            </w:r>
          </w:hyperlink>
        </w:p>
        <w:p>
          <w:pPr>
            <w:pStyle w:val="Contents6"/>
            <w:tabs>
              <w:tab w:val="clear" w:pos="7609"/>
              <w:tab w:val="right" w:pos="9026" w:leader="dot"/>
            </w:tabs>
            <w:rPr/>
          </w:pPr>
          <w:hyperlink w:anchor="__RefHeading___Toc10416818_73709187">
            <w:r>
              <w:rPr>
                <w:webHidden/>
                <w:rStyle w:val="IndexLink"/>
                <w:rtl w:val="true"/>
              </w:rPr>
              <w:t>الأجزاء المُبانة من الحَيّ‌</w:t>
            </w:r>
            <w:r>
              <w:rPr>
                <w:rStyle w:val="IndexLink"/>
                <w:rtl w:val="true"/>
              </w:rPr>
              <w:tab/>
            </w:r>
            <w:r>
              <w:rPr>
                <w:rStyle w:val="IndexLink"/>
              </w:rPr>
              <w:t>55</w:t>
            </w:r>
          </w:hyperlink>
        </w:p>
        <w:p>
          <w:pPr>
            <w:pStyle w:val="Contents6"/>
            <w:tabs>
              <w:tab w:val="clear" w:pos="7609"/>
              <w:tab w:val="right" w:pos="9026" w:leader="dot"/>
            </w:tabs>
            <w:rPr/>
          </w:pPr>
          <w:hyperlink w:anchor="__RefHeading___Toc10416820_73709187">
            <w:r>
              <w:rPr>
                <w:webHidden/>
                <w:rStyle w:val="IndexLink"/>
                <w:rtl w:val="true"/>
              </w:rPr>
              <w:t>طهارة فأرة المسك</w:t>
            </w:r>
            <w:r>
              <w:rPr>
                <w:rStyle w:val="IndexLink"/>
                <w:rtl w:val="true"/>
              </w:rPr>
              <w:tab/>
            </w:r>
            <w:r>
              <w:rPr>
                <w:rStyle w:val="IndexLink"/>
              </w:rPr>
              <w:t>58</w:t>
            </w:r>
          </w:hyperlink>
        </w:p>
        <w:p>
          <w:pPr>
            <w:pStyle w:val="Contents6"/>
            <w:tabs>
              <w:tab w:val="clear" w:pos="7609"/>
              <w:tab w:val="right" w:pos="9026" w:leader="dot"/>
            </w:tabs>
            <w:rPr/>
          </w:pPr>
          <w:hyperlink w:anchor="__RefHeading___Toc10416822_73709187">
            <w:r>
              <w:rPr>
                <w:webHidden/>
                <w:rStyle w:val="IndexLink"/>
                <w:rtl w:val="true"/>
              </w:rPr>
              <w:t>ميتة ما لا نَفس له</w:t>
            </w:r>
            <w:r>
              <w:rPr>
                <w:rStyle w:val="IndexLink"/>
                <w:rtl w:val="true"/>
              </w:rPr>
              <w:tab/>
            </w:r>
            <w:r>
              <w:rPr>
                <w:rStyle w:val="IndexLink"/>
              </w:rPr>
              <w:t>62</w:t>
            </w:r>
          </w:hyperlink>
        </w:p>
        <w:p>
          <w:pPr>
            <w:pStyle w:val="Contents6"/>
            <w:tabs>
              <w:tab w:val="clear" w:pos="7609"/>
              <w:tab w:val="right" w:pos="9026" w:leader="dot"/>
            </w:tabs>
            <w:rPr/>
          </w:pPr>
          <w:hyperlink w:anchor="__RefHeading___Toc10416824_73709187">
            <w:r>
              <w:rPr>
                <w:webHidden/>
                <w:rStyle w:val="IndexLink"/>
                <w:rtl w:val="true"/>
              </w:rPr>
              <w:t>الشَّك في التذكية</w:t>
            </w:r>
            <w:r>
              <w:rPr>
                <w:rStyle w:val="IndexLink"/>
                <w:rtl w:val="true"/>
              </w:rPr>
              <w:tab/>
            </w:r>
            <w:r>
              <w:rPr>
                <w:rStyle w:val="IndexLink"/>
              </w:rPr>
              <w:t>64</w:t>
            </w:r>
          </w:hyperlink>
        </w:p>
        <w:p>
          <w:pPr>
            <w:pStyle w:val="Contents6"/>
            <w:tabs>
              <w:tab w:val="clear" w:pos="7609"/>
              <w:tab w:val="right" w:pos="9026" w:leader="dot"/>
            </w:tabs>
            <w:rPr/>
          </w:pPr>
          <w:hyperlink w:anchor="__RefHeading___Toc10416826_73709187">
            <w:r>
              <w:rPr>
                <w:webHidden/>
                <w:rStyle w:val="IndexLink"/>
                <w:rtl w:val="true"/>
              </w:rPr>
              <w:t>حكم الجلد في سوق المسلمين</w:t>
            </w:r>
            <w:r>
              <w:rPr>
                <w:rStyle w:val="IndexLink"/>
                <w:rtl w:val="true"/>
              </w:rPr>
              <w:tab/>
            </w:r>
            <w:r>
              <w:rPr>
                <w:rStyle w:val="IndexLink"/>
              </w:rPr>
              <w:t>68</w:t>
            </w:r>
          </w:hyperlink>
        </w:p>
        <w:p>
          <w:pPr>
            <w:pStyle w:val="Contents6"/>
            <w:tabs>
              <w:tab w:val="clear" w:pos="7609"/>
              <w:tab w:val="right" w:pos="9026" w:leader="dot"/>
            </w:tabs>
            <w:rPr/>
          </w:pPr>
          <w:hyperlink w:anchor="__RefHeading___Toc10416828_73709187">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10416830_73709187">
            <w:r>
              <w:rPr>
                <w:webHidden/>
                <w:rStyle w:val="IndexLink"/>
                <w:rtl w:val="true"/>
              </w:rPr>
              <w:t>اعتبار السوق أو الأرض نفسي أو من باب الأمارة</w:t>
            </w:r>
            <w:r>
              <w:rPr>
                <w:rStyle w:val="IndexLink"/>
                <w:rtl w:val="true"/>
              </w:rPr>
              <w:tab/>
            </w:r>
            <w:r>
              <w:rPr>
                <w:rStyle w:val="IndexLink"/>
              </w:rPr>
              <w:t>70</w:t>
            </w:r>
          </w:hyperlink>
        </w:p>
        <w:p>
          <w:pPr>
            <w:pStyle w:val="Contents6"/>
            <w:tabs>
              <w:tab w:val="clear" w:pos="7609"/>
              <w:tab w:val="right" w:pos="9026" w:leader="dot"/>
            </w:tabs>
            <w:rPr/>
          </w:pPr>
          <w:hyperlink w:anchor="__RefHeading___Toc10416832_73709187">
            <w:r>
              <w:rPr>
                <w:webHidden/>
                <w:rStyle w:val="IndexLink"/>
                <w:rtl w:val="true"/>
              </w:rPr>
              <w:t>حكم ما في يد المُستَحلّ للميتة</w:t>
            </w:r>
            <w:r>
              <w:rPr>
                <w:rStyle w:val="IndexLink"/>
                <w:rtl w:val="true"/>
              </w:rPr>
              <w:tab/>
            </w:r>
            <w:r>
              <w:rPr>
                <w:rStyle w:val="IndexLink"/>
              </w:rPr>
              <w:t>72</w:t>
            </w:r>
          </w:hyperlink>
        </w:p>
        <w:p>
          <w:pPr>
            <w:pStyle w:val="Contents6"/>
            <w:tabs>
              <w:tab w:val="clear" w:pos="7609"/>
              <w:tab w:val="right" w:pos="9026" w:leader="dot"/>
            </w:tabs>
            <w:rPr/>
          </w:pPr>
          <w:hyperlink w:anchor="__RefHeading___Toc10416834_73709187">
            <w:r>
              <w:rPr>
                <w:webHidden/>
                <w:rStyle w:val="IndexLink"/>
                <w:rtl w:val="true"/>
              </w:rPr>
              <w:t>حكم دباغة جلد الميتة</w:t>
            </w:r>
            <w:r>
              <w:rPr>
                <w:rStyle w:val="IndexLink"/>
                <w:rtl w:val="true"/>
              </w:rPr>
              <w:tab/>
            </w:r>
            <w:r>
              <w:rPr>
                <w:rStyle w:val="IndexLink"/>
              </w:rPr>
              <w:t>74</w:t>
            </w:r>
          </w:hyperlink>
        </w:p>
        <w:p>
          <w:pPr>
            <w:pStyle w:val="Contents6"/>
            <w:tabs>
              <w:tab w:val="clear" w:pos="7609"/>
              <w:tab w:val="right" w:pos="9026" w:leader="dot"/>
            </w:tabs>
            <w:rPr/>
          </w:pPr>
          <w:hyperlink w:anchor="__RefHeading___Toc10416836_73709187">
            <w:r>
              <w:rPr>
                <w:webHidden/>
                <w:rStyle w:val="IndexLink"/>
                <w:rtl w:val="true"/>
              </w:rPr>
              <w:t>حكم السِّقط</w:t>
            </w:r>
            <w:r>
              <w:rPr>
                <w:rStyle w:val="IndexLink"/>
                <w:rtl w:val="true"/>
              </w:rPr>
              <w:tab/>
            </w:r>
            <w:r>
              <w:rPr>
                <w:rStyle w:val="IndexLink"/>
              </w:rPr>
              <w:t>76</w:t>
            </w:r>
          </w:hyperlink>
        </w:p>
        <w:p>
          <w:pPr>
            <w:pStyle w:val="Contents6"/>
            <w:tabs>
              <w:tab w:val="clear" w:pos="7609"/>
              <w:tab w:val="right" w:pos="9026" w:leader="dot"/>
            </w:tabs>
            <w:rPr/>
          </w:pPr>
          <w:hyperlink w:anchor="__RefHeading___Toc10416838_73709187">
            <w:r>
              <w:rPr>
                <w:webHidden/>
                <w:rStyle w:val="IndexLink"/>
                <w:rtl w:val="true"/>
              </w:rPr>
              <w:t>حكم ملاقاة الميتة</w:t>
            </w:r>
            <w:r>
              <w:rPr>
                <w:rStyle w:val="IndexLink"/>
                <w:rtl w:val="true"/>
              </w:rPr>
              <w:tab/>
            </w:r>
            <w:r>
              <w:rPr>
                <w:rStyle w:val="IndexLink"/>
              </w:rPr>
              <w:t>78</w:t>
            </w:r>
          </w:hyperlink>
        </w:p>
        <w:p>
          <w:pPr>
            <w:pStyle w:val="Contents6"/>
            <w:tabs>
              <w:tab w:val="clear" w:pos="7609"/>
              <w:tab w:val="right" w:pos="9026" w:leader="dot"/>
            </w:tabs>
            <w:rPr/>
          </w:pPr>
          <w:hyperlink w:anchor="__RefHeading___Toc10416840_73709187">
            <w:r>
              <w:rPr>
                <w:webHidden/>
                <w:rStyle w:val="IndexLink"/>
                <w:rtl w:val="true"/>
              </w:rPr>
              <w:t>عدم جواز بيع الميتة</w:t>
            </w:r>
            <w:r>
              <w:rPr>
                <w:rStyle w:val="IndexLink"/>
                <w:rtl w:val="true"/>
              </w:rPr>
              <w:tab/>
            </w:r>
            <w:r>
              <w:rPr>
                <w:rStyle w:val="IndexLink"/>
              </w:rPr>
              <w:t>80</w:t>
            </w:r>
          </w:hyperlink>
        </w:p>
        <w:p>
          <w:pPr>
            <w:pStyle w:val="Contents6"/>
            <w:tabs>
              <w:tab w:val="clear" w:pos="7609"/>
              <w:tab w:val="right" w:pos="9026" w:leader="dot"/>
            </w:tabs>
            <w:rPr/>
          </w:pPr>
          <w:hyperlink w:anchor="__RefHeading___Toc10416842_73709187">
            <w:r>
              <w:rPr>
                <w:webHidden/>
                <w:rStyle w:val="IndexLink"/>
                <w:rtl w:val="true"/>
              </w:rPr>
              <w:t>الخامس</w:t>
            </w:r>
            <w:r>
              <w:rPr>
                <w:rStyle w:val="IndexLink"/>
                <w:rtl w:val="true"/>
              </w:rPr>
              <w:t xml:space="preserve">: </w:t>
            </w:r>
            <w:r>
              <w:rPr>
                <w:rStyle w:val="IndexLink"/>
                <w:rtl w:val="true"/>
              </w:rPr>
              <w:t>الدّم</w:t>
            </w:r>
            <w:r>
              <w:rPr>
                <w:rStyle w:val="IndexLink"/>
                <w:rtl w:val="true"/>
              </w:rPr>
              <w:tab/>
            </w:r>
            <w:r>
              <w:rPr>
                <w:rStyle w:val="IndexLink"/>
              </w:rPr>
              <w:t>84</w:t>
            </w:r>
          </w:hyperlink>
        </w:p>
        <w:p>
          <w:pPr>
            <w:pStyle w:val="Contents6"/>
            <w:tabs>
              <w:tab w:val="clear" w:pos="7609"/>
              <w:tab w:val="right" w:pos="9026" w:leader="dot"/>
            </w:tabs>
            <w:rPr/>
          </w:pPr>
          <w:hyperlink w:anchor="__RefHeading___Toc10416844_73709187">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10416846_73709187">
            <w:r>
              <w:rPr>
                <w:webHidden/>
                <w:rStyle w:val="IndexLink"/>
                <w:rtl w:val="true"/>
              </w:rPr>
              <w:t>دَمُ ما لا نفس له</w:t>
            </w:r>
            <w:r>
              <w:rPr>
                <w:rStyle w:val="IndexLink"/>
                <w:rtl w:val="true"/>
              </w:rPr>
              <w:tab/>
            </w:r>
            <w:r>
              <w:rPr>
                <w:rStyle w:val="IndexLink"/>
              </w:rPr>
              <w:t>87</w:t>
            </w:r>
          </w:hyperlink>
        </w:p>
        <w:p>
          <w:pPr>
            <w:pStyle w:val="Contents6"/>
            <w:tabs>
              <w:tab w:val="clear" w:pos="7609"/>
              <w:tab w:val="right" w:pos="9026" w:leader="dot"/>
            </w:tabs>
            <w:rPr/>
          </w:pPr>
          <w:hyperlink w:anchor="__RefHeading___Toc10416848_73709187">
            <w:r>
              <w:rPr>
                <w:webHidden/>
                <w:rStyle w:val="IndexLink"/>
                <w:rtl w:val="true"/>
              </w:rPr>
              <w:t>فروع</w:t>
            </w:r>
            <w:r>
              <w:rPr>
                <w:rStyle w:val="IndexLink"/>
                <w:rtl w:val="true"/>
              </w:rPr>
              <w:t>:</w:t>
              <w:tab/>
            </w:r>
            <w:r>
              <w:rPr>
                <w:rStyle w:val="IndexLink"/>
              </w:rPr>
              <w:t>90</w:t>
            </w:r>
          </w:hyperlink>
        </w:p>
        <w:p>
          <w:pPr>
            <w:pStyle w:val="Contents6"/>
            <w:tabs>
              <w:tab w:val="clear" w:pos="7609"/>
              <w:tab w:val="right" w:pos="9026" w:leader="dot"/>
            </w:tabs>
            <w:rPr/>
          </w:pPr>
          <w:hyperlink w:anchor="__RefHeading___Toc10416850_73709187">
            <w:r>
              <w:rPr>
                <w:webHidden/>
                <w:rStyle w:val="IndexLink"/>
                <w:rtl w:val="true"/>
              </w:rPr>
              <w:t>حُكم العَلَقة</w:t>
            </w:r>
            <w:r>
              <w:rPr>
                <w:rStyle w:val="IndexLink"/>
                <w:rtl w:val="true"/>
              </w:rPr>
              <w:tab/>
            </w:r>
            <w:r>
              <w:rPr>
                <w:rStyle w:val="IndexLink"/>
              </w:rPr>
              <w:t>90</w:t>
            </w:r>
          </w:hyperlink>
        </w:p>
        <w:p>
          <w:pPr>
            <w:pStyle w:val="Contents6"/>
            <w:tabs>
              <w:tab w:val="clear" w:pos="7609"/>
              <w:tab w:val="right" w:pos="9026" w:leader="dot"/>
            </w:tabs>
            <w:rPr/>
          </w:pPr>
          <w:hyperlink w:anchor="__RefHeading___Toc10416852_73709187">
            <w:r>
              <w:rPr>
                <w:webHidden/>
                <w:rStyle w:val="IndexLink"/>
                <w:rtl w:val="true"/>
              </w:rPr>
              <w:t>الدَّم المشكوك فيه</w:t>
            </w:r>
            <w:r>
              <w:rPr>
                <w:rStyle w:val="IndexLink"/>
                <w:rtl w:val="true"/>
              </w:rPr>
              <w:tab/>
            </w:r>
            <w:r>
              <w:rPr>
                <w:rStyle w:val="IndexLink"/>
              </w:rPr>
              <w:t>92</w:t>
            </w:r>
          </w:hyperlink>
        </w:p>
        <w:p>
          <w:pPr>
            <w:pStyle w:val="Contents6"/>
            <w:tabs>
              <w:tab w:val="clear" w:pos="7609"/>
              <w:tab w:val="right" w:pos="9026" w:leader="dot"/>
            </w:tabs>
            <w:rPr/>
          </w:pPr>
          <w:hyperlink w:anchor="__RefHeading___Toc10416854_73709187">
            <w:r>
              <w:rPr>
                <w:webHidden/>
                <w:rStyle w:val="IndexLink"/>
                <w:rtl w:val="true"/>
              </w:rPr>
              <w:t>الدّم المُراق في الأمراق</w:t>
            </w:r>
            <w:r>
              <w:rPr>
                <w:rStyle w:val="IndexLink"/>
                <w:rtl w:val="true"/>
              </w:rPr>
              <w:tab/>
            </w:r>
            <w:r>
              <w:rPr>
                <w:rStyle w:val="IndexLink"/>
              </w:rPr>
              <w:t>95</w:t>
            </w:r>
          </w:hyperlink>
        </w:p>
        <w:p>
          <w:pPr>
            <w:pStyle w:val="Contents6"/>
            <w:tabs>
              <w:tab w:val="clear" w:pos="7609"/>
              <w:tab w:val="right" w:pos="9026" w:leader="dot"/>
            </w:tabs>
            <w:rPr/>
          </w:pPr>
          <w:hyperlink w:anchor="__RefHeading___Toc10416856_73709187">
            <w:r>
              <w:rPr>
                <w:webHidden/>
                <w:rStyle w:val="IndexLink"/>
                <w:rtl w:val="true"/>
              </w:rPr>
              <w:t>السادس و السابع</w:t>
            </w:r>
            <w:r>
              <w:rPr>
                <w:rStyle w:val="IndexLink"/>
                <w:rtl w:val="true"/>
              </w:rPr>
              <w:t xml:space="preserve">: </w:t>
            </w:r>
            <w:r>
              <w:rPr>
                <w:rStyle w:val="IndexLink"/>
                <w:rtl w:val="true"/>
              </w:rPr>
              <w:t>الكلب والخنزير البريّان</w:t>
            </w:r>
            <w:r>
              <w:rPr>
                <w:rStyle w:val="IndexLink"/>
                <w:rtl w:val="true"/>
              </w:rPr>
              <w:tab/>
            </w:r>
            <w:r>
              <w:rPr>
                <w:rStyle w:val="IndexLink"/>
              </w:rPr>
              <w:t>97</w:t>
            </w:r>
          </w:hyperlink>
        </w:p>
        <w:p>
          <w:pPr>
            <w:pStyle w:val="Contents6"/>
            <w:tabs>
              <w:tab w:val="clear" w:pos="7609"/>
              <w:tab w:val="right" w:pos="9026" w:leader="dot"/>
            </w:tabs>
            <w:rPr/>
          </w:pPr>
          <w:hyperlink w:anchor="__RefHeading___Toc10416858_73709187">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10416860_73709187">
            <w:r>
              <w:rPr>
                <w:webHidden/>
                <w:rStyle w:val="IndexLink"/>
                <w:rtl w:val="true"/>
              </w:rPr>
              <w:t>حكم المتولّد منهما</w:t>
            </w:r>
            <w:r>
              <w:rPr>
                <w:rStyle w:val="IndexLink"/>
                <w:rtl w:val="true"/>
              </w:rPr>
              <w:tab/>
            </w:r>
            <w:r>
              <w:rPr>
                <w:rStyle w:val="IndexLink"/>
              </w:rPr>
              <w:t>101</w:t>
            </w:r>
          </w:hyperlink>
        </w:p>
        <w:p>
          <w:pPr>
            <w:pStyle w:val="Contents6"/>
            <w:tabs>
              <w:tab w:val="clear" w:pos="7609"/>
              <w:tab w:val="right" w:pos="9026" w:leader="dot"/>
            </w:tabs>
            <w:rPr/>
          </w:pPr>
          <w:hyperlink w:anchor="__RefHeading___Toc10416862_73709187">
            <w:r>
              <w:rPr>
                <w:webHidden/>
                <w:rStyle w:val="IndexLink"/>
                <w:rtl w:val="true"/>
              </w:rPr>
              <w:t>الثامن</w:t>
            </w:r>
            <w:r>
              <w:rPr>
                <w:rStyle w:val="IndexLink"/>
                <w:rtl w:val="true"/>
              </w:rPr>
              <w:t xml:space="preserve">: </w:t>
            </w:r>
            <w:r>
              <w:rPr>
                <w:rStyle w:val="IndexLink"/>
                <w:rtl w:val="true"/>
              </w:rPr>
              <w:t>الكافر</w:t>
            </w:r>
            <w:r>
              <w:rPr>
                <w:rStyle w:val="IndexLink"/>
                <w:rtl w:val="true"/>
              </w:rPr>
              <w:tab/>
            </w:r>
            <w:r>
              <w:rPr>
                <w:rStyle w:val="IndexLink"/>
              </w:rPr>
              <w:t>104</w:t>
            </w:r>
          </w:hyperlink>
        </w:p>
        <w:p>
          <w:pPr>
            <w:pStyle w:val="Contents6"/>
            <w:tabs>
              <w:tab w:val="clear" w:pos="7609"/>
              <w:tab w:val="right" w:pos="9026" w:leader="dot"/>
            </w:tabs>
            <w:rPr/>
          </w:pPr>
          <w:hyperlink w:anchor="__RefHeading___Toc10416864_73709187">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10416866_73709187">
            <w:r>
              <w:rPr>
                <w:webHidden/>
                <w:rStyle w:val="IndexLink"/>
                <w:rtl w:val="true"/>
              </w:rPr>
              <w:t>مسائل</w:t>
            </w:r>
            <w:r>
              <w:rPr>
                <w:rStyle w:val="IndexLink"/>
                <w:rtl w:val="true"/>
              </w:rPr>
              <w:t>:</w:t>
              <w:tab/>
            </w:r>
            <w:r>
              <w:rPr>
                <w:rStyle w:val="IndexLink"/>
              </w:rPr>
              <w:t>116</w:t>
            </w:r>
          </w:hyperlink>
        </w:p>
        <w:p>
          <w:pPr>
            <w:pStyle w:val="Contents6"/>
            <w:tabs>
              <w:tab w:val="clear" w:pos="7609"/>
              <w:tab w:val="right" w:pos="9026" w:leader="dot"/>
            </w:tabs>
            <w:rPr/>
          </w:pPr>
          <w:hyperlink w:anchor="__RefHeading___Toc10416868_73709187">
            <w:r>
              <w:rPr>
                <w:webHidden/>
                <w:rStyle w:val="IndexLink"/>
                <w:rtl w:val="true"/>
              </w:rPr>
              <w:t>حكم مُنكِر الضروري</w:t>
            </w:r>
            <w:r>
              <w:rPr>
                <w:rStyle w:val="IndexLink"/>
                <w:rtl w:val="true"/>
              </w:rPr>
              <w:tab/>
            </w:r>
            <w:r>
              <w:rPr>
                <w:rStyle w:val="IndexLink"/>
              </w:rPr>
              <w:t>116</w:t>
            </w:r>
          </w:hyperlink>
        </w:p>
        <w:p>
          <w:pPr>
            <w:pStyle w:val="Contents6"/>
            <w:tabs>
              <w:tab w:val="clear" w:pos="7609"/>
              <w:tab w:val="right" w:pos="9026" w:leader="dot"/>
            </w:tabs>
            <w:rPr/>
          </w:pPr>
          <w:hyperlink w:anchor="__RefHeading___Toc10416870_73709187">
            <w:r>
              <w:rPr>
                <w:webHidden/>
                <w:rStyle w:val="IndexLink"/>
                <w:rtl w:val="true"/>
              </w:rPr>
              <w:t>ولد الكافر تابعٌ للكافر</w:t>
            </w:r>
            <w:r>
              <w:rPr>
                <w:rStyle w:val="IndexLink"/>
                <w:rtl w:val="true"/>
              </w:rPr>
              <w:tab/>
            </w:r>
            <w:r>
              <w:rPr>
                <w:rStyle w:val="IndexLink"/>
              </w:rPr>
              <w:t>119</w:t>
            </w:r>
          </w:hyperlink>
        </w:p>
        <w:p>
          <w:pPr>
            <w:pStyle w:val="Contents6"/>
            <w:tabs>
              <w:tab w:val="clear" w:pos="7609"/>
              <w:tab w:val="right" w:pos="9026" w:leader="dot"/>
            </w:tabs>
            <w:rPr/>
          </w:pPr>
          <w:hyperlink w:anchor="__RefHeading___Toc10416872_73709187">
            <w:r>
              <w:rPr>
                <w:webHidden/>
                <w:rStyle w:val="IndexLink"/>
                <w:rtl w:val="true"/>
              </w:rPr>
              <w:t>طهارة ولد الزِّنا</w:t>
            </w:r>
            <w:r>
              <w:rPr>
                <w:rStyle w:val="IndexLink"/>
                <w:rtl w:val="true"/>
              </w:rPr>
              <w:tab/>
            </w:r>
            <w:r>
              <w:rPr>
                <w:rStyle w:val="IndexLink"/>
              </w:rPr>
              <w:t>123</w:t>
            </w:r>
          </w:hyperlink>
        </w:p>
        <w:p>
          <w:pPr>
            <w:pStyle w:val="Contents6"/>
            <w:tabs>
              <w:tab w:val="clear" w:pos="7609"/>
              <w:tab w:val="right" w:pos="9026" w:leader="dot"/>
            </w:tabs>
            <w:rPr/>
          </w:pPr>
          <w:hyperlink w:anchor="__RefHeading___Toc10416874_73709187">
            <w:r>
              <w:rPr>
                <w:webHidden/>
                <w:rStyle w:val="IndexLink"/>
                <w:rtl w:val="true"/>
              </w:rPr>
              <w:t>الغُلاة والخَوارج والنّواصب</w:t>
            </w:r>
            <w:r>
              <w:rPr>
                <w:rStyle w:val="IndexLink"/>
                <w:rtl w:val="true"/>
              </w:rPr>
              <w:tab/>
            </w:r>
            <w:r>
              <w:rPr>
                <w:rStyle w:val="IndexLink"/>
              </w:rPr>
              <w:t>125</w:t>
            </w:r>
          </w:hyperlink>
        </w:p>
        <w:p>
          <w:pPr>
            <w:pStyle w:val="Contents6"/>
            <w:tabs>
              <w:tab w:val="clear" w:pos="7609"/>
              <w:tab w:val="right" w:pos="9026" w:leader="dot"/>
            </w:tabs>
            <w:rPr/>
          </w:pPr>
          <w:hyperlink w:anchor="__RefHeading___Toc10416876_73709187">
            <w:r>
              <w:rPr>
                <w:webHidden/>
                <w:rStyle w:val="IndexLink"/>
                <w:rtl w:val="true"/>
              </w:rPr>
              <w:t>طهارة المخالفين</w:t>
            </w:r>
            <w:r>
              <w:rPr>
                <w:rStyle w:val="IndexLink"/>
                <w:rtl w:val="true"/>
              </w:rPr>
              <w:tab/>
            </w:r>
            <w:r>
              <w:rPr>
                <w:rStyle w:val="IndexLink"/>
              </w:rPr>
              <w:t>130</w:t>
            </w:r>
          </w:hyperlink>
        </w:p>
        <w:p>
          <w:pPr>
            <w:pStyle w:val="Contents6"/>
            <w:tabs>
              <w:tab w:val="clear" w:pos="7609"/>
              <w:tab w:val="right" w:pos="9026" w:leader="dot"/>
            </w:tabs>
            <w:rPr/>
          </w:pPr>
          <w:hyperlink w:anchor="__RefHeading___Toc10416878_73709187">
            <w:r>
              <w:rPr>
                <w:webHidden/>
                <w:rStyle w:val="IndexLink"/>
                <w:rtl w:val="true"/>
              </w:rPr>
              <w:t>حكم المشكوك إسلامه أو كفره</w:t>
            </w:r>
            <w:r>
              <w:rPr>
                <w:rStyle w:val="IndexLink"/>
                <w:rtl w:val="true"/>
              </w:rPr>
              <w:tab/>
            </w:r>
            <w:r>
              <w:rPr>
                <w:rStyle w:val="IndexLink"/>
              </w:rPr>
              <w:t>133</w:t>
            </w:r>
          </w:hyperlink>
        </w:p>
        <w:p>
          <w:pPr>
            <w:pStyle w:val="Contents6"/>
            <w:tabs>
              <w:tab w:val="clear" w:pos="7609"/>
              <w:tab w:val="right" w:pos="9026" w:leader="dot"/>
            </w:tabs>
            <w:rPr/>
          </w:pPr>
          <w:hyperlink w:anchor="__RefHeading___Toc10416880_73709187">
            <w:r>
              <w:rPr>
                <w:webHidden/>
                <w:rStyle w:val="IndexLink"/>
                <w:rtl w:val="true"/>
              </w:rPr>
              <w:t>التاسع</w:t>
            </w:r>
            <w:r>
              <w:rPr>
                <w:rStyle w:val="IndexLink"/>
                <w:rtl w:val="true"/>
              </w:rPr>
              <w:t xml:space="preserve">: </w:t>
            </w:r>
            <w:r>
              <w:rPr>
                <w:rStyle w:val="IndexLink"/>
                <w:rtl w:val="true"/>
              </w:rPr>
              <w:t>المُسْكِر</w:t>
            </w:r>
            <w:r>
              <w:rPr>
                <w:rStyle w:val="IndexLink"/>
                <w:rtl w:val="true"/>
              </w:rPr>
              <w:tab/>
            </w:r>
            <w:r>
              <w:rPr>
                <w:rStyle w:val="IndexLink"/>
              </w:rPr>
              <w:t>135</w:t>
            </w:r>
          </w:hyperlink>
        </w:p>
        <w:p>
          <w:pPr>
            <w:pStyle w:val="Contents6"/>
            <w:tabs>
              <w:tab w:val="clear" w:pos="7609"/>
              <w:tab w:val="right" w:pos="9026" w:leader="dot"/>
            </w:tabs>
            <w:rPr/>
          </w:pPr>
          <w:hyperlink w:anchor="__RefHeading___Toc10416882_73709187">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10416884_73709187">
            <w:r>
              <w:rPr>
                <w:webHidden/>
                <w:rStyle w:val="IndexLink"/>
                <w:rtl w:val="true"/>
              </w:rPr>
              <w:t>نجاسة الخمر</w:t>
            </w:r>
            <w:r>
              <w:rPr>
                <w:rStyle w:val="IndexLink"/>
                <w:rtl w:val="true"/>
              </w:rPr>
              <w:tab/>
            </w:r>
            <w:r>
              <w:rPr>
                <w:rStyle w:val="IndexLink"/>
              </w:rPr>
              <w:t>135</w:t>
            </w:r>
          </w:hyperlink>
        </w:p>
        <w:p>
          <w:pPr>
            <w:pStyle w:val="Contents6"/>
            <w:tabs>
              <w:tab w:val="clear" w:pos="7609"/>
              <w:tab w:val="right" w:pos="9026" w:leader="dot"/>
            </w:tabs>
            <w:rPr/>
          </w:pPr>
          <w:hyperlink w:anchor="__RefHeading___Toc10416886_73709187">
            <w:r>
              <w:rPr>
                <w:webHidden/>
                <w:rStyle w:val="IndexLink"/>
                <w:rtl w:val="true"/>
              </w:rPr>
              <w:t>في نجاسة العصير العنبي وعدمها</w:t>
            </w:r>
            <w:r>
              <w:rPr>
                <w:rStyle w:val="IndexLink"/>
                <w:rtl w:val="true"/>
              </w:rPr>
              <w:tab/>
            </w:r>
            <w:r>
              <w:rPr>
                <w:rStyle w:val="IndexLink"/>
              </w:rPr>
              <w:t>141</w:t>
            </w:r>
          </w:hyperlink>
        </w:p>
        <w:p>
          <w:pPr>
            <w:pStyle w:val="Contents6"/>
            <w:tabs>
              <w:tab w:val="clear" w:pos="7609"/>
              <w:tab w:val="right" w:pos="9026" w:leader="dot"/>
            </w:tabs>
            <w:rPr/>
          </w:pPr>
          <w:hyperlink w:anchor="__RefHeading___Toc10416888_73709187">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0416890_73709187">
            <w:r>
              <w:rPr>
                <w:webHidden/>
                <w:rStyle w:val="IndexLink"/>
                <w:rtl w:val="true"/>
              </w:rPr>
              <w:t>في نجاسته</w:t>
            </w:r>
            <w:r>
              <w:rPr>
                <w:rStyle w:val="IndexLink"/>
                <w:rtl w:val="true"/>
              </w:rPr>
              <w:tab/>
            </w:r>
            <w:r>
              <w:rPr>
                <w:rStyle w:val="IndexLink"/>
              </w:rPr>
              <w:t>141</w:t>
            </w:r>
          </w:hyperlink>
        </w:p>
        <w:p>
          <w:pPr>
            <w:pStyle w:val="Contents6"/>
            <w:tabs>
              <w:tab w:val="clear" w:pos="7609"/>
              <w:tab w:val="right" w:pos="9026" w:leader="dot"/>
            </w:tabs>
            <w:rPr/>
          </w:pPr>
          <w:hyperlink w:anchor="__RefHeading___Toc10416892_73709187">
            <w:r>
              <w:rPr>
                <w:webHidden/>
                <w:rStyle w:val="IndexLink"/>
                <w:rtl w:val="true"/>
              </w:rPr>
              <w:t>حُرمة العصير العنبي</w:t>
            </w:r>
            <w:r>
              <w:rPr>
                <w:rStyle w:val="IndexLink"/>
                <w:rtl w:val="true"/>
              </w:rPr>
              <w:tab/>
            </w:r>
            <w:r>
              <w:rPr>
                <w:rStyle w:val="IndexLink"/>
              </w:rPr>
              <w:t>150</w:t>
            </w:r>
          </w:hyperlink>
        </w:p>
        <w:p>
          <w:pPr>
            <w:pStyle w:val="Contents6"/>
            <w:tabs>
              <w:tab w:val="clear" w:pos="7609"/>
              <w:tab w:val="right" w:pos="9026" w:leader="dot"/>
            </w:tabs>
            <w:rPr/>
          </w:pPr>
          <w:hyperlink w:anchor="__RefHeading___Toc10416894_73709187">
            <w:r>
              <w:rPr>
                <w:webHidden/>
                <w:rStyle w:val="IndexLink"/>
                <w:rtl w:val="true"/>
              </w:rPr>
              <w:t>حكم غليان العنب</w:t>
            </w:r>
            <w:r>
              <w:rPr>
                <w:rStyle w:val="IndexLink"/>
                <w:rtl w:val="true"/>
              </w:rPr>
              <w:tab/>
            </w:r>
            <w:r>
              <w:rPr>
                <w:rStyle w:val="IndexLink"/>
              </w:rPr>
              <w:t>155</w:t>
            </w:r>
          </w:hyperlink>
        </w:p>
        <w:p>
          <w:pPr>
            <w:pStyle w:val="Contents6"/>
            <w:tabs>
              <w:tab w:val="clear" w:pos="7609"/>
              <w:tab w:val="right" w:pos="9026" w:leader="dot"/>
            </w:tabs>
            <w:rPr/>
          </w:pPr>
          <w:hyperlink w:anchor="__RefHeading___Toc10416896_73709187">
            <w:r>
              <w:rPr>
                <w:webHidden/>
                <w:rStyle w:val="IndexLink"/>
                <w:rtl w:val="true"/>
              </w:rPr>
              <w:t>حكم العصير من التمر</w:t>
            </w:r>
            <w:r>
              <w:rPr>
                <w:rStyle w:val="IndexLink"/>
                <w:rtl w:val="true"/>
              </w:rPr>
              <w:tab/>
            </w:r>
            <w:r>
              <w:rPr>
                <w:rStyle w:val="IndexLink"/>
              </w:rPr>
              <w:t>157</w:t>
            </w:r>
          </w:hyperlink>
        </w:p>
        <w:p>
          <w:pPr>
            <w:pStyle w:val="Contents6"/>
            <w:tabs>
              <w:tab w:val="clear" w:pos="7609"/>
              <w:tab w:val="right" w:pos="9026" w:leader="dot"/>
            </w:tabs>
            <w:rPr/>
          </w:pPr>
          <w:hyperlink w:anchor="__RefHeading___Toc10416898_73709187">
            <w:r>
              <w:rPr>
                <w:webHidden/>
                <w:rStyle w:val="IndexLink"/>
                <w:rtl w:val="true"/>
              </w:rPr>
              <w:t>حكم العصير الزبيبي</w:t>
            </w:r>
            <w:r>
              <w:rPr>
                <w:rStyle w:val="IndexLink"/>
                <w:rtl w:val="true"/>
              </w:rPr>
              <w:tab/>
            </w:r>
            <w:r>
              <w:rPr>
                <w:rStyle w:val="IndexLink"/>
              </w:rPr>
              <w:t>162</w:t>
            </w:r>
          </w:hyperlink>
        </w:p>
        <w:p>
          <w:pPr>
            <w:pStyle w:val="Contents6"/>
            <w:tabs>
              <w:tab w:val="clear" w:pos="7609"/>
              <w:tab w:val="right" w:pos="9026" w:leader="dot"/>
            </w:tabs>
            <w:rPr/>
          </w:pPr>
          <w:hyperlink w:anchor="__RefHeading___Toc10416900_73709187">
            <w:r>
              <w:rPr>
                <w:webHidden/>
                <w:rStyle w:val="IndexLink"/>
                <w:rtl w:val="true"/>
              </w:rPr>
              <w:t>العاشر</w:t>
            </w:r>
            <w:r>
              <w:rPr>
                <w:rStyle w:val="IndexLink"/>
                <w:rtl w:val="true"/>
              </w:rPr>
              <w:t xml:space="preserve">: </w:t>
            </w:r>
            <w:r>
              <w:rPr>
                <w:rStyle w:val="IndexLink"/>
                <w:rtl w:val="true"/>
              </w:rPr>
              <w:t>الفقّاع</w:t>
            </w:r>
            <w:r>
              <w:rPr>
                <w:rStyle w:val="IndexLink"/>
                <w:rtl w:val="true"/>
              </w:rPr>
              <w:tab/>
            </w:r>
            <w:r>
              <w:rPr>
                <w:rStyle w:val="IndexLink"/>
              </w:rPr>
              <w:t>167</w:t>
            </w:r>
          </w:hyperlink>
        </w:p>
        <w:p>
          <w:pPr>
            <w:pStyle w:val="Contents6"/>
            <w:tabs>
              <w:tab w:val="clear" w:pos="7609"/>
              <w:tab w:val="right" w:pos="9026" w:leader="dot"/>
            </w:tabs>
            <w:rPr/>
          </w:pPr>
          <w:hyperlink w:anchor="__RefHeading___Toc10416902_73709187">
            <w:r>
              <w:rPr>
                <w:webHidden/>
                <w:rStyle w:val="IndexLink"/>
                <w:rtl w:val="true"/>
              </w:rPr>
              <w:t>المشهور كون النجاسات اثنى عشرة</w:t>
            </w:r>
            <w:r>
              <w:rPr>
                <w:rStyle w:val="IndexLink"/>
                <w:rtl w:val="true"/>
              </w:rPr>
              <w:tab/>
            </w:r>
            <w:r>
              <w:rPr>
                <w:rStyle w:val="IndexLink"/>
              </w:rPr>
              <w:t>170</w:t>
            </w:r>
          </w:hyperlink>
        </w:p>
        <w:p>
          <w:pPr>
            <w:pStyle w:val="Contents6"/>
            <w:tabs>
              <w:tab w:val="clear" w:pos="7609"/>
              <w:tab w:val="right" w:pos="9026" w:leader="dot"/>
            </w:tabs>
            <w:rPr/>
          </w:pPr>
          <w:hyperlink w:anchor="__RefHeading___Toc10416904_73709187">
            <w:r>
              <w:rPr>
                <w:webHidden/>
                <w:rStyle w:val="IndexLink"/>
                <w:rtl w:val="true"/>
              </w:rPr>
              <w:t>الحادي عشر عَرَق الجُنُب من الحرام</w:t>
            </w:r>
            <w:r>
              <w:rPr>
                <w:rStyle w:val="IndexLink"/>
                <w:rtl w:val="true"/>
              </w:rPr>
              <w:tab/>
            </w:r>
            <w:r>
              <w:rPr>
                <w:rStyle w:val="IndexLink"/>
              </w:rPr>
              <w:t>170</w:t>
            </w:r>
          </w:hyperlink>
        </w:p>
        <w:p>
          <w:pPr>
            <w:pStyle w:val="Contents6"/>
            <w:tabs>
              <w:tab w:val="clear" w:pos="7609"/>
              <w:tab w:val="right" w:pos="9026" w:leader="dot"/>
            </w:tabs>
            <w:rPr/>
          </w:pPr>
          <w:hyperlink w:anchor="__RefHeading___Toc10416906_73709187">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0416908_73709187">
            <w:r>
              <w:rPr>
                <w:webHidden/>
                <w:rStyle w:val="IndexLink"/>
                <w:rtl w:val="true"/>
              </w:rPr>
              <w:t>فروع عرق الجُنب</w:t>
            </w:r>
            <w:r>
              <w:rPr>
                <w:rStyle w:val="IndexLink"/>
                <w:rtl w:val="true"/>
              </w:rPr>
              <w:tab/>
            </w:r>
            <w:r>
              <w:rPr>
                <w:rStyle w:val="IndexLink"/>
              </w:rPr>
              <w:t>174</w:t>
            </w:r>
          </w:hyperlink>
        </w:p>
        <w:p>
          <w:pPr>
            <w:pStyle w:val="Contents6"/>
            <w:tabs>
              <w:tab w:val="clear" w:pos="7609"/>
              <w:tab w:val="right" w:pos="9026" w:leader="dot"/>
            </w:tabs>
            <w:rPr/>
          </w:pPr>
          <w:hyperlink w:anchor="__RefHeading___Toc10416910_73709187">
            <w:r>
              <w:rPr>
                <w:webHidden/>
                <w:rStyle w:val="IndexLink"/>
                <w:rtl w:val="true"/>
              </w:rPr>
              <w:t>الثاني عشر عرق الإبل الجلّالة</w:t>
            </w:r>
            <w:r>
              <w:rPr>
                <w:rStyle w:val="IndexLink"/>
                <w:rtl w:val="true"/>
              </w:rPr>
              <w:tab/>
            </w:r>
            <w:r>
              <w:rPr>
                <w:rStyle w:val="IndexLink"/>
              </w:rPr>
              <w:t>176</w:t>
            </w:r>
          </w:hyperlink>
        </w:p>
        <w:p>
          <w:pPr>
            <w:pStyle w:val="Contents6"/>
            <w:tabs>
              <w:tab w:val="clear" w:pos="7609"/>
              <w:tab w:val="right" w:pos="9026" w:leader="dot"/>
            </w:tabs>
            <w:rPr/>
          </w:pPr>
          <w:hyperlink w:anchor="__RefHeading___Toc10416912_73709187">
            <w:r>
              <w:rPr>
                <w:webHidden/>
                <w:rStyle w:val="IndexLink"/>
                <w:rtl w:val="true"/>
              </w:rPr>
              <w:t>حكم عرق الإبل الجلّالة</w:t>
            </w:r>
            <w:r>
              <w:rPr>
                <w:rStyle w:val="IndexLink"/>
                <w:rtl w:val="true"/>
              </w:rPr>
              <w:tab/>
            </w:r>
            <w:r>
              <w:rPr>
                <w:rStyle w:val="IndexLink"/>
              </w:rPr>
              <w:t>176</w:t>
            </w:r>
          </w:hyperlink>
        </w:p>
        <w:p>
          <w:pPr>
            <w:pStyle w:val="Contents6"/>
            <w:tabs>
              <w:tab w:val="clear" w:pos="7609"/>
              <w:tab w:val="right" w:pos="9026" w:leader="dot"/>
            </w:tabs>
            <w:rPr/>
          </w:pPr>
          <w:hyperlink w:anchor="__RefHeading___Toc10416914_73709187">
            <w:r>
              <w:rPr>
                <w:webHidden/>
                <w:rStyle w:val="IndexLink"/>
                <w:rtl w:val="true"/>
              </w:rPr>
              <w:t>حكم المُسُوخات</w:t>
            </w:r>
            <w:r>
              <w:rPr>
                <w:rStyle w:val="IndexLink"/>
                <w:rtl w:val="true"/>
              </w:rPr>
              <w:tab/>
            </w:r>
            <w:r>
              <w:rPr>
                <w:rStyle w:val="IndexLink"/>
              </w:rPr>
              <w:t>178</w:t>
            </w:r>
          </w:hyperlink>
        </w:p>
        <w:p>
          <w:pPr>
            <w:pStyle w:val="Contents5"/>
            <w:tabs>
              <w:tab w:val="clear" w:pos="7892"/>
              <w:tab w:val="right" w:pos="9026" w:leader="dot"/>
            </w:tabs>
            <w:rPr/>
          </w:pPr>
          <w:hyperlink w:anchor="__RefHeading___Toc10416916_73709187">
            <w:r>
              <w:rPr>
                <w:webHidden/>
                <w:rStyle w:val="IndexLink"/>
                <w:rtl w:val="true"/>
              </w:rPr>
              <w:t>المتنجّسات وأحكامها</w:t>
            </w:r>
            <w:r>
              <w:rPr>
                <w:rStyle w:val="IndexLink"/>
                <w:rtl w:val="true"/>
              </w:rPr>
              <w:tab/>
            </w:r>
            <w:r>
              <w:rPr>
                <w:rStyle w:val="IndexLink"/>
              </w:rPr>
              <w:t>182</w:t>
            </w:r>
          </w:hyperlink>
        </w:p>
        <w:p>
          <w:pPr>
            <w:pStyle w:val="Contents6"/>
            <w:tabs>
              <w:tab w:val="clear" w:pos="7609"/>
              <w:tab w:val="right" w:pos="9026" w:leader="dot"/>
            </w:tabs>
            <w:rPr/>
          </w:pPr>
          <w:hyperlink w:anchor="__RefHeading___Toc10416918_73709187">
            <w:r>
              <w:rPr>
                <w:webHidden/>
                <w:rStyle w:val="IndexLink"/>
                <w:rtl w:val="true"/>
              </w:rPr>
              <w:t>مسائل</w:t>
            </w:r>
            <w:r>
              <w:rPr>
                <w:rStyle w:val="IndexLink"/>
                <w:rtl w:val="true"/>
              </w:rPr>
              <w:t>:</w:t>
              <w:tab/>
            </w:r>
            <w:r>
              <w:rPr>
                <w:rStyle w:val="IndexLink"/>
              </w:rPr>
              <w:t>182</w:t>
            </w:r>
          </w:hyperlink>
        </w:p>
        <w:p>
          <w:pPr>
            <w:pStyle w:val="Contents6"/>
            <w:tabs>
              <w:tab w:val="clear" w:pos="7609"/>
              <w:tab w:val="right" w:pos="9026" w:leader="dot"/>
            </w:tabs>
            <w:rPr/>
          </w:pPr>
          <w:hyperlink w:anchor="__RefHeading___Toc10416920_73709187">
            <w:r>
              <w:rPr>
                <w:webHidden/>
                <w:rStyle w:val="IndexLink"/>
                <w:rtl w:val="true"/>
              </w:rPr>
              <w:t>في كيفيّة تنجّس المتنجّسات</w:t>
            </w:r>
            <w:r>
              <w:rPr>
                <w:rStyle w:val="IndexLink"/>
                <w:rtl w:val="true"/>
              </w:rPr>
              <w:tab/>
            </w:r>
            <w:r>
              <w:rPr>
                <w:rStyle w:val="IndexLink"/>
              </w:rPr>
              <w:t>182</w:t>
            </w:r>
          </w:hyperlink>
        </w:p>
        <w:p>
          <w:pPr>
            <w:pStyle w:val="Contents6"/>
            <w:tabs>
              <w:tab w:val="clear" w:pos="7609"/>
              <w:tab w:val="right" w:pos="9026" w:leader="dot"/>
            </w:tabs>
            <w:rPr/>
          </w:pPr>
          <w:hyperlink w:anchor="__RefHeading___Toc10416922_73709187">
            <w:r>
              <w:rPr>
                <w:webHidden/>
                <w:rStyle w:val="IndexLink"/>
                <w:rtl w:val="true"/>
              </w:rPr>
              <w:t>الذّباب الواقع على النّجس الرّطب</w:t>
            </w:r>
            <w:r>
              <w:rPr>
                <w:rStyle w:val="IndexLink"/>
                <w:rtl w:val="true"/>
              </w:rPr>
              <w:tab/>
            </w:r>
            <w:r>
              <w:rPr>
                <w:rStyle w:val="IndexLink"/>
              </w:rPr>
              <w:t>183</w:t>
            </w:r>
          </w:hyperlink>
        </w:p>
        <w:p>
          <w:pPr>
            <w:pStyle w:val="Contents6"/>
            <w:tabs>
              <w:tab w:val="clear" w:pos="7609"/>
              <w:tab w:val="right" w:pos="9026" w:leader="dot"/>
            </w:tabs>
            <w:rPr/>
          </w:pPr>
          <w:hyperlink w:anchor="__RefHeading___Toc10416924_73709187">
            <w:r>
              <w:rPr>
                <w:webHidden/>
                <w:rStyle w:val="IndexLink"/>
                <w:rtl w:val="true"/>
              </w:rPr>
              <w:t>المتنجّس لا يتنجّس ثانياً</w:t>
            </w:r>
            <w:r>
              <w:rPr>
                <w:rStyle w:val="IndexLink"/>
                <w:rtl w:val="true"/>
              </w:rPr>
              <w:tab/>
            </w:r>
            <w:r>
              <w:rPr>
                <w:rStyle w:val="IndexLink"/>
              </w:rPr>
              <w:t>184</w:t>
            </w:r>
          </w:hyperlink>
        </w:p>
        <w:p>
          <w:pPr>
            <w:pStyle w:val="Contents6"/>
            <w:tabs>
              <w:tab w:val="clear" w:pos="7609"/>
              <w:tab w:val="right" w:pos="9026" w:leader="dot"/>
            </w:tabs>
            <w:rPr/>
          </w:pPr>
          <w:hyperlink w:anchor="__RefHeading___Toc10416926_73709187">
            <w:r>
              <w:rPr>
                <w:webHidden/>
                <w:rStyle w:val="IndexLink"/>
                <w:rtl w:val="true"/>
              </w:rPr>
              <w:t>لو علم تنجّس شيء بالأشدّ أو الأضعف</w:t>
            </w:r>
            <w:r>
              <w:rPr>
                <w:rStyle w:val="IndexLink"/>
                <w:rtl w:val="true"/>
              </w:rPr>
              <w:tab/>
            </w:r>
            <w:r>
              <w:rPr>
                <w:rStyle w:val="IndexLink"/>
              </w:rPr>
              <w:t>186</w:t>
            </w:r>
          </w:hyperlink>
        </w:p>
        <w:p>
          <w:pPr>
            <w:pStyle w:val="Contents6"/>
            <w:tabs>
              <w:tab w:val="clear" w:pos="7609"/>
              <w:tab w:val="right" w:pos="9026" w:leader="dot"/>
            </w:tabs>
            <w:rPr/>
          </w:pPr>
          <w:hyperlink w:anchor="__RefHeading___Toc10416928_73709187">
            <w:r>
              <w:rPr>
                <w:webHidden/>
                <w:rStyle w:val="IndexLink"/>
                <w:rtl w:val="true"/>
              </w:rPr>
              <w:t>المتنجّس منجّس</w:t>
            </w:r>
            <w:r>
              <w:rPr>
                <w:rStyle w:val="IndexLink"/>
                <w:rtl w:val="true"/>
              </w:rPr>
              <w:tab/>
            </w:r>
            <w:r>
              <w:rPr>
                <w:rStyle w:val="IndexLink"/>
              </w:rPr>
              <w:t>188</w:t>
            </w:r>
          </w:hyperlink>
        </w:p>
        <w:p>
          <w:pPr>
            <w:pStyle w:val="Contents6"/>
            <w:tabs>
              <w:tab w:val="clear" w:pos="7609"/>
              <w:tab w:val="right" w:pos="9026" w:leader="dot"/>
            </w:tabs>
            <w:rPr/>
          </w:pPr>
          <w:hyperlink w:anchor="__RefHeading___Toc10416930_73709187">
            <w:r>
              <w:rPr>
                <w:webHidden/>
                <w:rStyle w:val="IndexLink"/>
                <w:rtl w:val="true"/>
              </w:rPr>
              <w:t>اعتبار الطهارة في الصّلاة</w:t>
            </w:r>
            <w:r>
              <w:rPr>
                <w:rStyle w:val="IndexLink"/>
                <w:rtl w:val="true"/>
              </w:rPr>
              <w:tab/>
            </w:r>
            <w:r>
              <w:rPr>
                <w:rStyle w:val="IndexLink"/>
              </w:rPr>
              <w:t>204</w:t>
            </w:r>
          </w:hyperlink>
        </w:p>
        <w:p>
          <w:pPr>
            <w:pStyle w:val="Contents6"/>
            <w:tabs>
              <w:tab w:val="clear" w:pos="7609"/>
              <w:tab w:val="right" w:pos="9026" w:leader="dot"/>
            </w:tabs>
            <w:rPr/>
          </w:pPr>
          <w:hyperlink w:anchor="__RefHeading___Toc10416932_73709187">
            <w:r>
              <w:rPr>
                <w:webHidden/>
                <w:rStyle w:val="IndexLink"/>
                <w:rtl w:val="true"/>
              </w:rPr>
              <w:t>وجوب إزالة النجاسة عن المسجد</w:t>
            </w:r>
            <w:r>
              <w:rPr>
                <w:rStyle w:val="IndexLink"/>
                <w:rtl w:val="true"/>
              </w:rPr>
              <w:tab/>
            </w:r>
            <w:r>
              <w:rPr>
                <w:rStyle w:val="IndexLink"/>
              </w:rPr>
              <w:t>207</w:t>
            </w:r>
          </w:hyperlink>
        </w:p>
        <w:p>
          <w:pPr>
            <w:pStyle w:val="Contents6"/>
            <w:tabs>
              <w:tab w:val="clear" w:pos="7609"/>
              <w:tab w:val="right" w:pos="9026" w:leader="dot"/>
            </w:tabs>
            <w:rPr/>
          </w:pPr>
          <w:hyperlink w:anchor="__RefHeading___Toc10416934_73709187">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0416936_73709187">
            <w:r>
              <w:rPr>
                <w:webHidden/>
                <w:rStyle w:val="IndexLink"/>
                <w:rtl w:val="true"/>
              </w:rPr>
              <w:t>فروع نجاسة المسجد</w:t>
            </w:r>
            <w:r>
              <w:rPr>
                <w:rStyle w:val="IndexLink"/>
                <w:rtl w:val="true"/>
              </w:rPr>
              <w:tab/>
            </w:r>
            <w:r>
              <w:rPr>
                <w:rStyle w:val="IndexLink"/>
              </w:rPr>
              <w:t>212</w:t>
            </w:r>
          </w:hyperlink>
        </w:p>
        <w:p>
          <w:pPr>
            <w:pStyle w:val="Contents6"/>
            <w:tabs>
              <w:tab w:val="clear" w:pos="7609"/>
              <w:tab w:val="right" w:pos="9026" w:leader="dot"/>
            </w:tabs>
            <w:rPr/>
          </w:pPr>
          <w:hyperlink w:anchor="__RefHeading___Toc10416938_73709187">
            <w:r>
              <w:rPr>
                <w:webHidden/>
                <w:rStyle w:val="IndexLink"/>
                <w:rtl w:val="true"/>
              </w:rPr>
              <w:t>حرمة إدخال النجاسة في المسجد</w:t>
            </w:r>
            <w:r>
              <w:rPr>
                <w:rStyle w:val="IndexLink"/>
                <w:rtl w:val="true"/>
              </w:rPr>
              <w:tab/>
            </w:r>
            <w:r>
              <w:rPr>
                <w:rStyle w:val="IndexLink"/>
              </w:rPr>
              <w:t>212</w:t>
            </w:r>
          </w:hyperlink>
        </w:p>
        <w:p>
          <w:pPr>
            <w:pStyle w:val="Contents6"/>
            <w:tabs>
              <w:tab w:val="clear" w:pos="7609"/>
              <w:tab w:val="right" w:pos="9026" w:leader="dot"/>
            </w:tabs>
            <w:rPr/>
          </w:pPr>
          <w:hyperlink w:anchor="__RefHeading___Toc10416940_73709187">
            <w:r>
              <w:rPr>
                <w:webHidden/>
                <w:rStyle w:val="IndexLink"/>
                <w:rtl w:val="true"/>
              </w:rPr>
              <w:t>وجوب الإزالة فوري</w:t>
            </w:r>
            <w:r>
              <w:rPr>
                <w:rStyle w:val="IndexLink"/>
                <w:rtl w:val="true"/>
              </w:rPr>
              <w:tab/>
            </w:r>
            <w:r>
              <w:rPr>
                <w:rStyle w:val="IndexLink"/>
              </w:rPr>
              <w:t>213</w:t>
            </w:r>
          </w:hyperlink>
        </w:p>
        <w:p>
          <w:pPr>
            <w:pStyle w:val="Contents6"/>
            <w:tabs>
              <w:tab w:val="clear" w:pos="7609"/>
              <w:tab w:val="right" w:pos="9026" w:leader="dot"/>
            </w:tabs>
            <w:rPr/>
          </w:pPr>
          <w:hyperlink w:anchor="__RefHeading___Toc10416942_73709187">
            <w:r>
              <w:rPr>
                <w:webHidden/>
                <w:rStyle w:val="IndexLink"/>
                <w:rtl w:val="true"/>
              </w:rPr>
              <w:t>وجوب إزالة النجاسة عن المساجد كفائي</w:t>
            </w:r>
            <w:r>
              <w:rPr>
                <w:rStyle w:val="IndexLink"/>
                <w:rtl w:val="true"/>
              </w:rPr>
              <w:tab/>
            </w:r>
            <w:r>
              <w:rPr>
                <w:rStyle w:val="IndexLink"/>
              </w:rPr>
              <w:t>213</w:t>
            </w:r>
          </w:hyperlink>
        </w:p>
        <w:p>
          <w:pPr>
            <w:pStyle w:val="Contents6"/>
            <w:tabs>
              <w:tab w:val="clear" w:pos="7609"/>
              <w:tab w:val="right" w:pos="9026" w:leader="dot"/>
            </w:tabs>
            <w:rPr/>
          </w:pPr>
          <w:hyperlink w:anchor="__RefHeading___Toc10416944_73709187">
            <w:r>
              <w:rPr>
                <w:webHidden/>
                <w:rStyle w:val="IndexLink"/>
                <w:rtl w:val="true"/>
              </w:rPr>
              <w:t>وجوب المبادرة إلى الإزالة مقدّمةً على الصّلاة</w:t>
            </w:r>
            <w:r>
              <w:rPr>
                <w:rStyle w:val="IndexLink"/>
                <w:rtl w:val="true"/>
              </w:rPr>
              <w:tab/>
            </w:r>
            <w:r>
              <w:rPr>
                <w:rStyle w:val="IndexLink"/>
              </w:rPr>
              <w:t>214</w:t>
            </w:r>
          </w:hyperlink>
        </w:p>
        <w:p>
          <w:pPr>
            <w:pStyle w:val="Contents6"/>
            <w:tabs>
              <w:tab w:val="clear" w:pos="7609"/>
              <w:tab w:val="right" w:pos="9026" w:leader="dot"/>
            </w:tabs>
            <w:rPr/>
          </w:pPr>
          <w:hyperlink w:anchor="__RefHeading___Toc10416946_73709187">
            <w:r>
              <w:rPr>
                <w:webHidden/>
                <w:rStyle w:val="IndexLink"/>
                <w:rtl w:val="true"/>
              </w:rPr>
              <w:t>وجوب قطع الصّلاة للإزالة</w:t>
            </w:r>
            <w:r>
              <w:rPr>
                <w:rStyle w:val="IndexLink"/>
                <w:rtl w:val="true"/>
              </w:rPr>
              <w:tab/>
            </w:r>
            <w:r>
              <w:rPr>
                <w:rStyle w:val="IndexLink"/>
              </w:rPr>
              <w:t>216</w:t>
            </w:r>
          </w:hyperlink>
        </w:p>
        <w:p>
          <w:pPr>
            <w:pStyle w:val="Contents6"/>
            <w:tabs>
              <w:tab w:val="clear" w:pos="7609"/>
              <w:tab w:val="right" w:pos="9026" w:leader="dot"/>
            </w:tabs>
            <w:rPr/>
          </w:pPr>
          <w:hyperlink w:anchor="__RefHeading___Toc10416948_73709187">
            <w:r>
              <w:rPr>
                <w:webHidden/>
                <w:rStyle w:val="IndexLink"/>
                <w:rtl w:val="true"/>
              </w:rPr>
              <w:t>هل يجوز تنجيس المسجد ثانيا</w:t>
            </w:r>
            <w:r>
              <w:rPr>
                <w:rStyle w:val="IndexLink"/>
                <w:rtl w:val="true"/>
              </w:rPr>
              <w:tab/>
            </w:r>
            <w:r>
              <w:rPr>
                <w:rStyle w:val="IndexLink"/>
              </w:rPr>
              <w:t>218</w:t>
            </w:r>
          </w:hyperlink>
        </w:p>
        <w:p>
          <w:pPr>
            <w:pStyle w:val="Contents6"/>
            <w:tabs>
              <w:tab w:val="clear" w:pos="7609"/>
              <w:tab w:val="right" w:pos="9026" w:leader="dot"/>
            </w:tabs>
            <w:rPr/>
          </w:pPr>
          <w:hyperlink w:anchor="__RefHeading___Toc10416950_73709187">
            <w:r>
              <w:rPr>
                <w:webHidden/>
                <w:rStyle w:val="IndexLink"/>
                <w:rtl w:val="true"/>
              </w:rPr>
              <w:t>لو توقّف تطهير المسجد علي تخريب شيء منه أو على تخريبه أجمع</w:t>
            </w:r>
            <w:r>
              <w:rPr>
                <w:rStyle w:val="IndexLink"/>
                <w:rtl w:val="true"/>
              </w:rPr>
              <w:tab/>
            </w:r>
            <w:r>
              <w:rPr>
                <w:rStyle w:val="IndexLink"/>
              </w:rPr>
              <w:t>219</w:t>
            </w:r>
          </w:hyperlink>
        </w:p>
        <w:p>
          <w:pPr>
            <w:pStyle w:val="Contents6"/>
            <w:tabs>
              <w:tab w:val="clear" w:pos="7609"/>
              <w:tab w:val="right" w:pos="9026" w:leader="dot"/>
            </w:tabs>
            <w:rPr/>
          </w:pPr>
          <w:hyperlink w:anchor="__RefHeading___Toc10416952_73709187">
            <w:r>
              <w:rPr>
                <w:webHidden/>
                <w:rStyle w:val="IndexLink"/>
                <w:rtl w:val="true"/>
              </w:rPr>
              <w:t>إذا توقّف التطهير على بذل مالٍ‌، فهل يجب أم لا؟</w:t>
            </w:r>
            <w:r>
              <w:rPr>
                <w:rStyle w:val="IndexLink"/>
                <w:rtl w:val="true"/>
              </w:rPr>
              <w:tab/>
            </w:r>
            <w:r>
              <w:rPr>
                <w:rStyle w:val="IndexLink"/>
              </w:rPr>
              <w:t>220</w:t>
            </w:r>
          </w:hyperlink>
        </w:p>
        <w:p>
          <w:pPr>
            <w:pStyle w:val="Contents6"/>
            <w:tabs>
              <w:tab w:val="clear" w:pos="7609"/>
              <w:tab w:val="right" w:pos="9026" w:leader="dot"/>
            </w:tabs>
            <w:rPr/>
          </w:pPr>
          <w:hyperlink w:anchor="__RefHeading___Toc10416954_73709187">
            <w:r>
              <w:rPr>
                <w:webHidden/>
                <w:rStyle w:val="IndexLink"/>
                <w:rtl w:val="true"/>
              </w:rPr>
              <w:t>حكم تنجيس المسجد الخراب وتطهيره</w:t>
            </w:r>
            <w:r>
              <w:rPr>
                <w:rStyle w:val="IndexLink"/>
                <w:rtl w:val="true"/>
              </w:rPr>
              <w:tab/>
            </w:r>
            <w:r>
              <w:rPr>
                <w:rStyle w:val="IndexLink"/>
              </w:rPr>
              <w:t>221</w:t>
            </w:r>
          </w:hyperlink>
        </w:p>
        <w:p>
          <w:pPr>
            <w:pStyle w:val="Contents6"/>
            <w:tabs>
              <w:tab w:val="clear" w:pos="7609"/>
              <w:tab w:val="right" w:pos="9026" w:leader="dot"/>
            </w:tabs>
            <w:rPr/>
          </w:pPr>
          <w:hyperlink w:anchor="__RefHeading___Toc10416956_73709187">
            <w:r>
              <w:rPr>
                <w:webHidden/>
                <w:rStyle w:val="IndexLink"/>
                <w:rtl w:val="true"/>
              </w:rPr>
              <w:t>وجوب التيمّم لمكث الجُنُب في المسجد للإزالة</w:t>
            </w:r>
            <w:r>
              <w:rPr>
                <w:rStyle w:val="IndexLink"/>
                <w:rtl w:val="true"/>
              </w:rPr>
              <w:tab/>
            </w:r>
            <w:r>
              <w:rPr>
                <w:rStyle w:val="IndexLink"/>
              </w:rPr>
              <w:t>223</w:t>
            </w:r>
          </w:hyperlink>
        </w:p>
        <w:p>
          <w:pPr>
            <w:pStyle w:val="Contents6"/>
            <w:tabs>
              <w:tab w:val="clear" w:pos="7609"/>
              <w:tab w:val="right" w:pos="9026" w:leader="dot"/>
            </w:tabs>
            <w:rPr/>
          </w:pPr>
          <w:hyperlink w:anchor="__RefHeading___Toc10416958_73709187">
            <w:r>
              <w:rPr>
                <w:webHidden/>
                <w:rStyle w:val="IndexLink"/>
                <w:rtl w:val="true"/>
              </w:rPr>
              <w:t>حكم تنجيس المشاهد المشرّفة</w:t>
            </w:r>
            <w:r>
              <w:rPr>
                <w:rStyle w:val="IndexLink"/>
                <w:rtl w:val="true"/>
              </w:rPr>
              <w:tab/>
            </w:r>
            <w:r>
              <w:rPr>
                <w:rStyle w:val="IndexLink"/>
              </w:rPr>
              <w:t>225</w:t>
            </w:r>
          </w:hyperlink>
        </w:p>
        <w:p>
          <w:pPr>
            <w:pStyle w:val="Contents5"/>
            <w:tabs>
              <w:tab w:val="clear" w:pos="7892"/>
              <w:tab w:val="right" w:pos="9026" w:leader="dot"/>
            </w:tabs>
            <w:rPr/>
          </w:pPr>
          <w:hyperlink w:anchor="__RefHeading___Toc10416960_73709187">
            <w:r>
              <w:rPr>
                <w:webHidden/>
                <w:rStyle w:val="IndexLink"/>
                <w:rtl w:val="true"/>
              </w:rPr>
              <w:t>ما يُعفى عنه في الصَّلاة</w:t>
            </w:r>
            <w:r>
              <w:rPr>
                <w:rStyle w:val="IndexLink"/>
                <w:rtl w:val="true"/>
              </w:rPr>
              <w:tab/>
            </w:r>
            <w:r>
              <w:rPr>
                <w:rStyle w:val="IndexLink"/>
              </w:rPr>
              <w:t>227</w:t>
            </w:r>
          </w:hyperlink>
        </w:p>
        <w:p>
          <w:pPr>
            <w:pStyle w:val="Contents6"/>
            <w:tabs>
              <w:tab w:val="clear" w:pos="7609"/>
              <w:tab w:val="right" w:pos="9026" w:leader="dot"/>
            </w:tabs>
            <w:rPr/>
          </w:pPr>
          <w:hyperlink w:anchor="__RefHeading___Toc10416962_73709187">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10416964_73709187">
            <w:r>
              <w:rPr>
                <w:webHidden/>
                <w:rStyle w:val="IndexLink"/>
                <w:rtl w:val="true"/>
              </w:rPr>
              <w:t>ما نقص عن سعة الدِّرهم</w:t>
            </w:r>
            <w:r>
              <w:rPr>
                <w:rStyle w:val="IndexLink"/>
                <w:rtl w:val="true"/>
              </w:rPr>
              <w:tab/>
            </w:r>
            <w:r>
              <w:rPr>
                <w:rStyle w:val="IndexLink"/>
              </w:rPr>
              <w:t>227</w:t>
            </w:r>
          </w:hyperlink>
        </w:p>
        <w:p>
          <w:pPr>
            <w:pStyle w:val="Contents6"/>
            <w:tabs>
              <w:tab w:val="clear" w:pos="7609"/>
              <w:tab w:val="right" w:pos="9026" w:leader="dot"/>
            </w:tabs>
            <w:rPr/>
          </w:pPr>
          <w:hyperlink w:anchor="__RefHeading___Toc10416966_73709187">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10416968_73709187">
            <w:r>
              <w:rPr>
                <w:webHidden/>
                <w:rStyle w:val="IndexLink"/>
                <w:rtl w:val="true"/>
              </w:rPr>
              <w:t>فهاهنا مسائل</w:t>
            </w:r>
            <w:r>
              <w:rPr>
                <w:rStyle w:val="IndexLink"/>
                <w:rtl w:val="true"/>
              </w:rPr>
              <w:t>:</w:t>
              <w:tab/>
            </w:r>
            <w:r>
              <w:rPr>
                <w:rStyle w:val="IndexLink"/>
              </w:rPr>
              <w:t>227</w:t>
            </w:r>
          </w:hyperlink>
        </w:p>
        <w:p>
          <w:pPr>
            <w:pStyle w:val="Contents6"/>
            <w:tabs>
              <w:tab w:val="clear" w:pos="7609"/>
              <w:tab w:val="right" w:pos="9026" w:leader="dot"/>
            </w:tabs>
            <w:rPr/>
          </w:pPr>
          <w:hyperlink w:anchor="__RefHeading___Toc10416970_73709187">
            <w:r>
              <w:rPr>
                <w:webHidden/>
                <w:rStyle w:val="IndexLink"/>
                <w:rtl w:val="true"/>
              </w:rPr>
              <w:t>عدم العفو عمّا يساوي الدِّرهم</w:t>
            </w:r>
            <w:r>
              <w:rPr>
                <w:rStyle w:val="IndexLink"/>
                <w:rtl w:val="true"/>
              </w:rPr>
              <w:tab/>
            </w:r>
            <w:r>
              <w:rPr>
                <w:rStyle w:val="IndexLink"/>
              </w:rPr>
              <w:t>227</w:t>
            </w:r>
          </w:hyperlink>
        </w:p>
        <w:p>
          <w:pPr>
            <w:pStyle w:val="Contents6"/>
            <w:tabs>
              <w:tab w:val="clear" w:pos="7609"/>
              <w:tab w:val="right" w:pos="9026" w:leader="dot"/>
            </w:tabs>
            <w:rPr/>
          </w:pPr>
          <w:hyperlink w:anchor="__RefHeading___Toc10416972_73709187">
            <w:r>
              <w:rPr>
                <w:webHidden/>
                <w:rStyle w:val="IndexLink"/>
                <w:rtl w:val="true"/>
              </w:rPr>
              <w:t>في المستثنيات</w:t>
            </w:r>
            <w:r>
              <w:rPr>
                <w:rStyle w:val="IndexLink"/>
                <w:rtl w:val="true"/>
              </w:rPr>
              <w:tab/>
            </w:r>
            <w:r>
              <w:rPr>
                <w:rStyle w:val="IndexLink"/>
              </w:rPr>
              <w:t>231</w:t>
            </w:r>
          </w:hyperlink>
        </w:p>
        <w:p>
          <w:pPr>
            <w:pStyle w:val="Contents6"/>
            <w:tabs>
              <w:tab w:val="clear" w:pos="7609"/>
              <w:tab w:val="right" w:pos="9026" w:leader="dot"/>
            </w:tabs>
            <w:rPr/>
          </w:pPr>
          <w:hyperlink w:anchor="__RefHeading___Toc10416974_73709187">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10416976_73709187">
            <w:r>
              <w:rPr>
                <w:webHidden/>
                <w:rStyle w:val="IndexLink"/>
                <w:rtl w:val="true"/>
              </w:rPr>
              <w:t>دم نجس العين</w:t>
            </w:r>
            <w:r>
              <w:rPr>
                <w:rStyle w:val="IndexLink"/>
                <w:rtl w:val="true"/>
              </w:rPr>
              <w:tab/>
            </w:r>
            <w:r>
              <w:rPr>
                <w:rStyle w:val="IndexLink"/>
              </w:rPr>
              <w:t>234</w:t>
            </w:r>
          </w:hyperlink>
        </w:p>
        <w:p>
          <w:pPr>
            <w:pStyle w:val="Contents6"/>
            <w:tabs>
              <w:tab w:val="clear" w:pos="7609"/>
              <w:tab w:val="right" w:pos="9026" w:leader="dot"/>
            </w:tabs>
            <w:rPr/>
          </w:pPr>
          <w:hyperlink w:anchor="__RefHeading___Toc10416978_73709187">
            <w:r>
              <w:rPr>
                <w:webHidden/>
                <w:rStyle w:val="IndexLink"/>
                <w:rtl w:val="true"/>
              </w:rPr>
              <w:t>المراد بالدّرهم</w:t>
            </w:r>
            <w:r>
              <w:rPr>
                <w:rStyle w:val="IndexLink"/>
                <w:rtl w:val="true"/>
              </w:rPr>
              <w:tab/>
            </w:r>
            <w:r>
              <w:rPr>
                <w:rStyle w:val="IndexLink"/>
              </w:rPr>
              <w:t>236</w:t>
            </w:r>
          </w:hyperlink>
        </w:p>
        <w:p>
          <w:pPr>
            <w:pStyle w:val="Contents6"/>
            <w:tabs>
              <w:tab w:val="clear" w:pos="7609"/>
              <w:tab w:val="right" w:pos="9026" w:leader="dot"/>
            </w:tabs>
            <w:rPr/>
          </w:pPr>
          <w:hyperlink w:anchor="__RefHeading___Toc10416980_73709187">
            <w:r>
              <w:rPr>
                <w:webHidden/>
                <w:rStyle w:val="IndexLink"/>
                <w:rtl w:val="true"/>
              </w:rPr>
              <w:t>حكم الدّم المتفرق</w:t>
            </w:r>
            <w:r>
              <w:rPr>
                <w:rStyle w:val="IndexLink"/>
                <w:rtl w:val="true"/>
              </w:rPr>
              <w:tab/>
            </w:r>
            <w:r>
              <w:rPr>
                <w:rStyle w:val="IndexLink"/>
              </w:rPr>
              <w:t>239</w:t>
            </w:r>
          </w:hyperlink>
        </w:p>
        <w:p>
          <w:pPr>
            <w:pStyle w:val="Contents6"/>
            <w:tabs>
              <w:tab w:val="clear" w:pos="7609"/>
              <w:tab w:val="right" w:pos="9026" w:leader="dot"/>
            </w:tabs>
            <w:rPr/>
          </w:pPr>
          <w:hyperlink w:anchor="__RefHeading___Toc10416982_73709187">
            <w:r>
              <w:rPr>
                <w:webHidden/>
                <w:rStyle w:val="IndexLink"/>
                <w:rtl w:val="true"/>
              </w:rPr>
              <w:t>الدَّم المشكوك فيه</w:t>
            </w:r>
            <w:r>
              <w:rPr>
                <w:rStyle w:val="IndexLink"/>
                <w:rtl w:val="true"/>
              </w:rPr>
              <w:tab/>
            </w:r>
            <w:r>
              <w:rPr>
                <w:rStyle w:val="IndexLink"/>
              </w:rPr>
              <w:t>242</w:t>
            </w:r>
          </w:hyperlink>
        </w:p>
        <w:p>
          <w:pPr>
            <w:pStyle w:val="Contents6"/>
            <w:tabs>
              <w:tab w:val="clear" w:pos="7609"/>
              <w:tab w:val="right" w:pos="9026" w:leader="dot"/>
            </w:tabs>
            <w:rPr/>
          </w:pPr>
          <w:hyperlink w:anchor="__RefHeading___Toc10416984_73709187">
            <w:r>
              <w:rPr>
                <w:webHidden/>
                <w:rStyle w:val="IndexLink"/>
                <w:rtl w:val="true"/>
              </w:rPr>
              <w:t>الدّم المتسرّي إلى الجانب الآخر</w:t>
            </w:r>
            <w:r>
              <w:rPr>
                <w:rStyle w:val="IndexLink"/>
                <w:rtl w:val="true"/>
              </w:rPr>
              <w:tab/>
            </w:r>
            <w:r>
              <w:rPr>
                <w:rStyle w:val="IndexLink"/>
              </w:rPr>
              <w:t>246</w:t>
            </w:r>
          </w:hyperlink>
        </w:p>
        <w:p>
          <w:pPr>
            <w:pStyle w:val="Contents6"/>
            <w:tabs>
              <w:tab w:val="clear" w:pos="7609"/>
              <w:tab w:val="right" w:pos="9026" w:leader="dot"/>
            </w:tabs>
            <w:rPr/>
          </w:pPr>
          <w:hyperlink w:anchor="__RefHeading___Toc10416986_73709187">
            <w:r>
              <w:rPr>
                <w:webHidden/>
                <w:rStyle w:val="IndexLink"/>
                <w:rtl w:val="true"/>
              </w:rPr>
              <w:t>العفو عن دم الجروح والقروح</w:t>
            </w:r>
            <w:r>
              <w:rPr>
                <w:rStyle w:val="IndexLink"/>
                <w:rtl w:val="true"/>
              </w:rPr>
              <w:t>.</w:t>
              <w:tab/>
            </w:r>
            <w:r>
              <w:rPr>
                <w:rStyle w:val="IndexLink"/>
              </w:rPr>
              <w:t>249</w:t>
            </w:r>
          </w:hyperlink>
        </w:p>
        <w:p>
          <w:pPr>
            <w:pStyle w:val="Contents6"/>
            <w:tabs>
              <w:tab w:val="clear" w:pos="7609"/>
              <w:tab w:val="right" w:pos="9026" w:leader="dot"/>
            </w:tabs>
            <w:rPr/>
          </w:pPr>
          <w:hyperlink w:anchor="__RefHeading___Toc10416988_73709187">
            <w:r>
              <w:rPr>
                <w:webHidden/>
                <w:rStyle w:val="IndexLink"/>
                <w:rtl w:val="true"/>
              </w:rPr>
              <w:t>ما لا يَتمُّ فيه الصّلاة</w:t>
            </w:r>
            <w:r>
              <w:rPr>
                <w:rStyle w:val="IndexLink"/>
                <w:rtl w:val="true"/>
              </w:rPr>
              <w:tab/>
            </w:r>
            <w:r>
              <w:rPr>
                <w:rStyle w:val="IndexLink"/>
              </w:rPr>
              <w:t>256</w:t>
            </w:r>
          </w:hyperlink>
        </w:p>
        <w:p>
          <w:pPr>
            <w:pStyle w:val="Contents6"/>
            <w:tabs>
              <w:tab w:val="clear" w:pos="7609"/>
              <w:tab w:val="right" w:pos="9026" w:leader="dot"/>
            </w:tabs>
            <w:rPr/>
          </w:pPr>
          <w:hyperlink w:anchor="__RefHeading___Toc10416990_73709187">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10416992_73709187">
            <w:r>
              <w:rPr>
                <w:webHidden/>
                <w:rStyle w:val="IndexLink"/>
                <w:rtl w:val="true"/>
              </w:rPr>
              <w:t>إنّما الكلام يكون في جهات</w:t>
            </w:r>
            <w:r>
              <w:rPr>
                <w:rStyle w:val="IndexLink"/>
                <w:rtl w:val="true"/>
              </w:rPr>
              <w:t>:</w:t>
              <w:tab/>
            </w:r>
            <w:r>
              <w:rPr>
                <w:rStyle w:val="IndexLink"/>
              </w:rPr>
              <w:t>257</w:t>
            </w:r>
          </w:hyperlink>
        </w:p>
        <w:p>
          <w:pPr>
            <w:pStyle w:val="Contents6"/>
            <w:tabs>
              <w:tab w:val="clear" w:pos="7609"/>
              <w:tab w:val="right" w:pos="9026" w:leader="dot"/>
            </w:tabs>
            <w:rPr/>
          </w:pPr>
          <w:hyperlink w:anchor="__RefHeading___Toc10416994_73709187">
            <w:r>
              <w:rPr>
                <w:webHidden/>
                <w:rStyle w:val="IndexLink"/>
                <w:rtl w:val="true"/>
              </w:rPr>
              <w:t>هل الحكم يعمّ فضلات الميتة أو غير المأكول‌؟</w:t>
            </w:r>
            <w:r>
              <w:rPr>
                <w:rStyle w:val="IndexLink"/>
                <w:rtl w:val="true"/>
              </w:rPr>
              <w:tab/>
            </w:r>
            <w:r>
              <w:rPr>
                <w:rStyle w:val="IndexLink"/>
              </w:rPr>
              <w:t>257</w:t>
            </w:r>
          </w:hyperlink>
        </w:p>
        <w:p>
          <w:pPr>
            <w:pStyle w:val="Contents6"/>
            <w:tabs>
              <w:tab w:val="clear" w:pos="7609"/>
              <w:tab w:val="right" w:pos="9026" w:leader="dot"/>
            </w:tabs>
            <w:rPr/>
          </w:pPr>
          <w:hyperlink w:anchor="__RefHeading___Toc10416996_73709187">
            <w:r>
              <w:rPr>
                <w:webHidden/>
                <w:rStyle w:val="IndexLink"/>
                <w:rtl w:val="true"/>
              </w:rPr>
              <w:t>اذا كان اللّباس متّخذاً من النجاسات</w:t>
            </w:r>
            <w:r>
              <w:rPr>
                <w:rStyle w:val="IndexLink"/>
                <w:rtl w:val="true"/>
              </w:rPr>
              <w:tab/>
            </w:r>
            <w:r>
              <w:rPr>
                <w:rStyle w:val="IndexLink"/>
              </w:rPr>
              <w:t>258</w:t>
            </w:r>
          </w:hyperlink>
        </w:p>
        <w:p>
          <w:pPr>
            <w:pStyle w:val="Contents6"/>
            <w:tabs>
              <w:tab w:val="clear" w:pos="7609"/>
              <w:tab w:val="right" w:pos="9026" w:leader="dot"/>
            </w:tabs>
            <w:rPr/>
          </w:pPr>
          <w:hyperlink w:anchor="__RefHeading___Toc10416998_73709187">
            <w:r>
              <w:rPr>
                <w:webHidden/>
                <w:rStyle w:val="IndexLink"/>
                <w:rtl w:val="true"/>
              </w:rPr>
              <w:t>المناط فيما لا تتمّ فيه الصّلاة عدم إمكان الستر بلا علاج</w:t>
            </w:r>
            <w:r>
              <w:rPr>
                <w:rStyle w:val="IndexLink"/>
                <w:rtl w:val="true"/>
              </w:rPr>
              <w:tab/>
            </w:r>
            <w:r>
              <w:rPr>
                <w:rStyle w:val="IndexLink"/>
              </w:rPr>
              <w:t>259</w:t>
            </w:r>
          </w:hyperlink>
        </w:p>
        <w:p>
          <w:pPr>
            <w:pStyle w:val="Contents6"/>
            <w:tabs>
              <w:tab w:val="clear" w:pos="7609"/>
              <w:tab w:val="right" w:pos="9026" w:leader="dot"/>
            </w:tabs>
            <w:rPr/>
          </w:pPr>
          <w:hyperlink w:anchor="__RefHeading___Toc10417000_73709187">
            <w:r>
              <w:rPr>
                <w:webHidden/>
                <w:rStyle w:val="IndexLink"/>
                <w:rtl w:val="true"/>
              </w:rPr>
              <w:t>المحمول المتنجّس</w:t>
            </w:r>
            <w:r>
              <w:rPr>
                <w:rStyle w:val="IndexLink"/>
                <w:rtl w:val="true"/>
              </w:rPr>
              <w:tab/>
            </w:r>
            <w:r>
              <w:rPr>
                <w:rStyle w:val="IndexLink"/>
              </w:rPr>
              <w:t>261</w:t>
            </w:r>
          </w:hyperlink>
        </w:p>
        <w:p>
          <w:pPr>
            <w:pStyle w:val="Contents6"/>
            <w:tabs>
              <w:tab w:val="clear" w:pos="7609"/>
              <w:tab w:val="right" w:pos="9026" w:leader="dot"/>
            </w:tabs>
            <w:rPr/>
          </w:pPr>
          <w:hyperlink w:anchor="__RefHeading___Toc10417002_73709187">
            <w:r>
              <w:rPr>
                <w:webHidden/>
                <w:rStyle w:val="IndexLink"/>
                <w:rtl w:val="true"/>
              </w:rPr>
              <w:t>ثوب المُربّية</w:t>
            </w:r>
            <w:r>
              <w:rPr>
                <w:rStyle w:val="IndexLink"/>
                <w:rtl w:val="true"/>
              </w:rPr>
              <w:tab/>
            </w:r>
            <w:r>
              <w:rPr>
                <w:rStyle w:val="IndexLink"/>
              </w:rPr>
              <w:t>264</w:t>
            </w:r>
          </w:hyperlink>
        </w:p>
        <w:p>
          <w:pPr>
            <w:pStyle w:val="Contents6"/>
            <w:tabs>
              <w:tab w:val="clear" w:pos="7609"/>
              <w:tab w:val="right" w:pos="9026" w:leader="dot"/>
            </w:tabs>
            <w:rPr/>
          </w:pPr>
          <w:hyperlink w:anchor="__RefHeading___Toc10417004_73709187">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10417006_73709187">
            <w:r>
              <w:rPr>
                <w:webHidden/>
                <w:rStyle w:val="IndexLink"/>
                <w:rtl w:val="true"/>
              </w:rPr>
              <w:t>تَذنيبٌ‌</w:t>
            </w:r>
            <w:r>
              <w:rPr>
                <w:rStyle w:val="IndexLink"/>
                <w:rtl w:val="true"/>
              </w:rPr>
              <w:t>:</w:t>
              <w:tab/>
            </w:r>
            <w:r>
              <w:rPr>
                <w:rStyle w:val="IndexLink"/>
              </w:rPr>
              <w:t>270</w:t>
            </w:r>
          </w:hyperlink>
        </w:p>
        <w:p>
          <w:pPr>
            <w:pStyle w:val="Contents5"/>
            <w:tabs>
              <w:tab w:val="clear" w:pos="7892"/>
              <w:tab w:val="right" w:pos="9026" w:leader="dot"/>
            </w:tabs>
            <w:rPr/>
          </w:pPr>
          <w:hyperlink w:anchor="__RefHeading___Toc10417008_73709187">
            <w:r>
              <w:rPr>
                <w:webHidden/>
                <w:rStyle w:val="IndexLink"/>
                <w:rtl w:val="true"/>
              </w:rPr>
              <w:t>الصّلاة في النّجس</w:t>
            </w:r>
            <w:r>
              <w:rPr>
                <w:rStyle w:val="IndexLink"/>
                <w:rtl w:val="true"/>
              </w:rPr>
              <w:tab/>
            </w:r>
            <w:r>
              <w:rPr>
                <w:rStyle w:val="IndexLink"/>
              </w:rPr>
              <w:t>271</w:t>
            </w:r>
          </w:hyperlink>
        </w:p>
        <w:p>
          <w:pPr>
            <w:pStyle w:val="Contents6"/>
            <w:tabs>
              <w:tab w:val="clear" w:pos="7609"/>
              <w:tab w:val="right" w:pos="9026" w:leader="dot"/>
            </w:tabs>
            <w:rPr/>
          </w:pPr>
          <w:hyperlink w:anchor="__RefHeading___Toc10417010_73709187">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10417012_73709187">
            <w:r>
              <w:rPr>
                <w:webHidden/>
                <w:rStyle w:val="IndexLink"/>
                <w:rtl w:val="true"/>
              </w:rPr>
              <w:t>انحصار الثّوب في النّجس</w:t>
            </w:r>
            <w:r>
              <w:rPr>
                <w:rStyle w:val="IndexLink"/>
                <w:rtl w:val="true"/>
              </w:rPr>
              <w:tab/>
            </w:r>
            <w:r>
              <w:rPr>
                <w:rStyle w:val="IndexLink"/>
              </w:rPr>
              <w:t>274</w:t>
            </w:r>
          </w:hyperlink>
        </w:p>
        <w:p>
          <w:pPr>
            <w:pStyle w:val="Contents6"/>
            <w:tabs>
              <w:tab w:val="clear" w:pos="7609"/>
              <w:tab w:val="right" w:pos="9026" w:leader="dot"/>
            </w:tabs>
            <w:rPr/>
          </w:pPr>
          <w:hyperlink w:anchor="__RefHeading___Toc10417014_73709187">
            <w:r>
              <w:rPr>
                <w:webHidden/>
                <w:rStyle w:val="IndexLink"/>
                <w:rtl w:val="true"/>
              </w:rPr>
              <w:t>فروع ثوب المصلّي</w:t>
            </w:r>
            <w:r>
              <w:rPr>
                <w:rStyle w:val="IndexLink"/>
                <w:rtl w:val="true"/>
              </w:rPr>
              <w:tab/>
            </w:r>
            <w:r>
              <w:rPr>
                <w:rStyle w:val="IndexLink"/>
              </w:rPr>
              <w:t>280</w:t>
            </w:r>
          </w:hyperlink>
        </w:p>
        <w:p>
          <w:pPr>
            <w:pStyle w:val="Contents6"/>
            <w:tabs>
              <w:tab w:val="clear" w:pos="7609"/>
              <w:tab w:val="right" w:pos="9026" w:leader="dot"/>
            </w:tabs>
            <w:rPr/>
          </w:pPr>
          <w:hyperlink w:anchor="__RefHeading___Toc10417016_73709187">
            <w:r>
              <w:rPr>
                <w:webHidden/>
                <w:rStyle w:val="IndexLink"/>
                <w:rtl w:val="true"/>
              </w:rPr>
              <w:t>الصَّلاة في النَّجس عالما</w:t>
            </w:r>
            <w:r>
              <w:rPr>
                <w:rStyle w:val="IndexLink"/>
                <w:rtl w:val="true"/>
              </w:rPr>
              <w:tab/>
            </w:r>
            <w:r>
              <w:rPr>
                <w:rStyle w:val="IndexLink"/>
              </w:rPr>
              <w:t>284</w:t>
            </w:r>
          </w:hyperlink>
        </w:p>
        <w:p>
          <w:pPr>
            <w:pStyle w:val="Contents6"/>
            <w:tabs>
              <w:tab w:val="clear" w:pos="7609"/>
              <w:tab w:val="right" w:pos="9026" w:leader="dot"/>
            </w:tabs>
            <w:rPr/>
          </w:pPr>
          <w:hyperlink w:anchor="__RefHeading___Toc10417018_73709187">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10417020_73709187">
            <w:r>
              <w:rPr>
                <w:webHidden/>
                <w:rStyle w:val="IndexLink"/>
                <w:rtl w:val="true"/>
              </w:rPr>
              <w:t>فرعان حول الصلاة في النجس</w:t>
            </w:r>
            <w:r>
              <w:rPr>
                <w:rStyle w:val="IndexLink"/>
                <w:rtl w:val="true"/>
              </w:rPr>
              <w:tab/>
            </w:r>
            <w:r>
              <w:rPr>
                <w:rStyle w:val="IndexLink"/>
              </w:rPr>
              <w:t>290</w:t>
            </w:r>
          </w:hyperlink>
        </w:p>
        <w:p>
          <w:pPr>
            <w:pStyle w:val="Contents6"/>
            <w:tabs>
              <w:tab w:val="clear" w:pos="7609"/>
              <w:tab w:val="right" w:pos="9026" w:leader="dot"/>
            </w:tabs>
            <w:rPr/>
          </w:pPr>
          <w:hyperlink w:anchor="__RefHeading___Toc10417022_73709187">
            <w:r>
              <w:rPr>
                <w:webHidden/>
                <w:rStyle w:val="IndexLink"/>
                <w:rtl w:val="true"/>
              </w:rPr>
              <w:t>لو نسي النجاسة فذكرها في أثناء الصّلاة، فهل يجب الإعادة، أم لا؟</w:t>
            </w:r>
            <w:r>
              <w:rPr>
                <w:rStyle w:val="IndexLink"/>
                <w:rtl w:val="true"/>
              </w:rPr>
              <w:tab/>
            </w:r>
            <w:r>
              <w:rPr>
                <w:rStyle w:val="IndexLink"/>
              </w:rPr>
              <w:t>290</w:t>
            </w:r>
          </w:hyperlink>
        </w:p>
        <w:p>
          <w:pPr>
            <w:pStyle w:val="Contents6"/>
            <w:tabs>
              <w:tab w:val="clear" w:pos="7609"/>
              <w:tab w:val="right" w:pos="9026" w:leader="dot"/>
            </w:tabs>
            <w:rPr/>
          </w:pPr>
          <w:hyperlink w:anchor="__RefHeading___Toc10417024_73709187">
            <w:r>
              <w:rPr>
                <w:webHidden/>
                <w:rStyle w:val="IndexLink"/>
                <w:rtl w:val="true"/>
              </w:rPr>
              <w:t>ناسي الحكم تكليفاً أو وضعاً، هل هو كناسي الموضوع</w:t>
            </w:r>
            <w:r>
              <w:rPr>
                <w:rStyle w:val="IndexLink"/>
                <w:rtl w:val="true"/>
              </w:rPr>
              <w:tab/>
            </w:r>
            <w:r>
              <w:rPr>
                <w:rStyle w:val="IndexLink"/>
              </w:rPr>
              <w:t>290</w:t>
            </w:r>
          </w:hyperlink>
        </w:p>
        <w:p>
          <w:pPr>
            <w:pStyle w:val="Contents6"/>
            <w:tabs>
              <w:tab w:val="clear" w:pos="7609"/>
              <w:tab w:val="right" w:pos="9026" w:leader="dot"/>
            </w:tabs>
            <w:rPr/>
          </w:pPr>
          <w:hyperlink w:anchor="__RefHeading___Toc10417026_73709187">
            <w:r>
              <w:rPr>
                <w:webHidden/>
                <w:rStyle w:val="IndexLink"/>
                <w:rtl w:val="true"/>
              </w:rPr>
              <w:t>حكم الجاهل بالنّجاسة</w:t>
            </w:r>
            <w:r>
              <w:rPr>
                <w:rStyle w:val="IndexLink"/>
                <w:rtl w:val="true"/>
              </w:rPr>
              <w:tab/>
            </w:r>
            <w:r>
              <w:rPr>
                <w:rStyle w:val="IndexLink"/>
              </w:rPr>
              <w:t>292</w:t>
            </w:r>
          </w:hyperlink>
        </w:p>
        <w:p>
          <w:pPr>
            <w:pStyle w:val="Contents6"/>
            <w:tabs>
              <w:tab w:val="clear" w:pos="7609"/>
              <w:tab w:val="right" w:pos="9026" w:leader="dot"/>
            </w:tabs>
            <w:rPr/>
          </w:pPr>
          <w:hyperlink w:anchor="__RefHeading___Toc10417028_73709187">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10417030_73709187">
            <w:r>
              <w:rPr>
                <w:webHidden/>
                <w:rStyle w:val="IndexLink"/>
                <w:rtl w:val="true"/>
              </w:rPr>
              <w:t>الجهل بالحكم</w:t>
            </w:r>
            <w:r>
              <w:rPr>
                <w:rStyle w:val="IndexLink"/>
                <w:rtl w:val="true"/>
              </w:rPr>
              <w:tab/>
            </w:r>
            <w:r>
              <w:rPr>
                <w:rStyle w:val="IndexLink"/>
              </w:rPr>
              <w:t>292</w:t>
            </w:r>
          </w:hyperlink>
        </w:p>
        <w:p>
          <w:pPr>
            <w:pStyle w:val="Contents6"/>
            <w:tabs>
              <w:tab w:val="clear" w:pos="7609"/>
              <w:tab w:val="right" w:pos="9026" w:leader="dot"/>
            </w:tabs>
            <w:rPr/>
          </w:pPr>
          <w:hyperlink w:anchor="__RefHeading___Toc10417032_73709187">
            <w:r>
              <w:rPr>
                <w:webHidden/>
                <w:rStyle w:val="IndexLink"/>
                <w:rtl w:val="true"/>
              </w:rPr>
              <w:t>الجاهل بالموضوع</w:t>
            </w:r>
            <w:r>
              <w:rPr>
                <w:rStyle w:val="IndexLink"/>
                <w:rtl w:val="true"/>
              </w:rPr>
              <w:tab/>
            </w:r>
            <w:r>
              <w:rPr>
                <w:rStyle w:val="IndexLink"/>
              </w:rPr>
              <w:t>297</w:t>
            </w:r>
          </w:hyperlink>
        </w:p>
        <w:p>
          <w:pPr>
            <w:pStyle w:val="Contents6"/>
            <w:tabs>
              <w:tab w:val="clear" w:pos="7609"/>
              <w:tab w:val="right" w:pos="9026" w:leader="dot"/>
            </w:tabs>
            <w:rPr/>
          </w:pPr>
          <w:hyperlink w:anchor="__RefHeading___Toc10417034_73709187">
            <w:r>
              <w:rPr>
                <w:webHidden/>
                <w:rStyle w:val="IndexLink"/>
                <w:rtl w:val="true"/>
              </w:rPr>
              <w:t>الإلتفات أثناء الصّلاة</w:t>
            </w:r>
            <w:r>
              <w:rPr>
                <w:rStyle w:val="IndexLink"/>
                <w:rtl w:val="true"/>
              </w:rPr>
              <w:tab/>
            </w:r>
            <w:r>
              <w:rPr>
                <w:rStyle w:val="IndexLink"/>
              </w:rPr>
              <w:t>302</w:t>
            </w:r>
          </w:hyperlink>
        </w:p>
        <w:p>
          <w:pPr>
            <w:pStyle w:val="Contents4"/>
            <w:tabs>
              <w:tab w:val="clear" w:pos="8176"/>
              <w:tab w:val="right" w:pos="9026" w:leader="dot"/>
            </w:tabs>
            <w:rPr/>
          </w:pPr>
          <w:hyperlink w:anchor="__RefHeading___Toc10417036_73709187">
            <w:r>
              <w:rPr>
                <w:webHidden/>
                <w:rStyle w:val="IndexLink"/>
                <w:rtl w:val="true"/>
              </w:rPr>
              <w:t>فصل في المطهّرات</w:t>
            </w:r>
            <w:r>
              <w:rPr>
                <w:rStyle w:val="IndexLink"/>
                <w:rtl w:val="true"/>
              </w:rPr>
              <w:tab/>
            </w:r>
            <w:r>
              <w:rPr>
                <w:rStyle w:val="IndexLink"/>
              </w:rPr>
              <w:t>308</w:t>
            </w:r>
          </w:hyperlink>
        </w:p>
        <w:p>
          <w:pPr>
            <w:pStyle w:val="Contents5"/>
            <w:tabs>
              <w:tab w:val="clear" w:pos="7892"/>
              <w:tab w:val="right" w:pos="9026" w:leader="dot"/>
            </w:tabs>
            <w:rPr/>
          </w:pPr>
          <w:hyperlink w:anchor="__RefHeading___Toc10417038_7370918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0417040_73709187">
            <w:r>
              <w:rPr>
                <w:webHidden/>
                <w:rStyle w:val="IndexLink"/>
                <w:rtl w:val="true"/>
              </w:rPr>
              <w:t>الأوّل</w:t>
            </w:r>
            <w:r>
              <w:rPr>
                <w:rStyle w:val="IndexLink"/>
                <w:rtl w:val="true"/>
              </w:rPr>
              <w:t xml:space="preserve">: </w:t>
            </w:r>
            <w:r>
              <w:rPr>
                <w:rStyle w:val="IndexLink"/>
                <w:rtl w:val="true"/>
              </w:rPr>
              <w:t>الماء،</w:t>
            </w:r>
            <w:r>
              <w:rPr>
                <w:rStyle w:val="IndexLink"/>
                <w:rtl w:val="true"/>
              </w:rPr>
              <w:tab/>
            </w:r>
            <w:r>
              <w:rPr>
                <w:rStyle w:val="IndexLink"/>
              </w:rPr>
              <w:t>308</w:t>
            </w:r>
          </w:hyperlink>
        </w:p>
        <w:p>
          <w:pPr>
            <w:pStyle w:val="Contents6"/>
            <w:tabs>
              <w:tab w:val="clear" w:pos="7609"/>
              <w:tab w:val="right" w:pos="9026" w:leader="dot"/>
            </w:tabs>
            <w:rPr/>
          </w:pPr>
          <w:hyperlink w:anchor="__RefHeading___Toc10417042_73709187">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10417044_73709187">
            <w:r>
              <w:rPr>
                <w:webHidden/>
                <w:rStyle w:val="IndexLink"/>
                <w:rtl w:val="true"/>
              </w:rPr>
              <w:t>شرائط التطهير بالماء</w:t>
            </w:r>
            <w:r>
              <w:rPr>
                <w:rStyle w:val="IndexLink"/>
                <w:rtl w:val="true"/>
              </w:rPr>
              <w:tab/>
            </w:r>
            <w:r>
              <w:rPr>
                <w:rStyle w:val="IndexLink"/>
              </w:rPr>
              <w:t>308</w:t>
            </w:r>
          </w:hyperlink>
        </w:p>
        <w:p>
          <w:pPr>
            <w:pStyle w:val="Contents6"/>
            <w:tabs>
              <w:tab w:val="clear" w:pos="7609"/>
              <w:tab w:val="right" w:pos="9026" w:leader="dot"/>
            </w:tabs>
            <w:rPr/>
          </w:pPr>
          <w:hyperlink w:anchor="__RefHeading___Toc10417046_73709187">
            <w:r>
              <w:rPr>
                <w:webHidden/>
                <w:rStyle w:val="IndexLink"/>
                <w:rtl w:val="true"/>
              </w:rPr>
              <w:t>شرائط التطهير بالقليل</w:t>
            </w:r>
            <w:r>
              <w:rPr>
                <w:rStyle w:val="IndexLink"/>
                <w:rtl w:val="true"/>
              </w:rPr>
              <w:tab/>
            </w:r>
            <w:r>
              <w:rPr>
                <w:rStyle w:val="IndexLink"/>
              </w:rPr>
              <w:t>312</w:t>
            </w:r>
          </w:hyperlink>
        </w:p>
        <w:p>
          <w:pPr>
            <w:pStyle w:val="Contents6"/>
            <w:tabs>
              <w:tab w:val="clear" w:pos="7609"/>
              <w:tab w:val="right" w:pos="9026" w:leader="dot"/>
            </w:tabs>
            <w:rPr/>
          </w:pPr>
          <w:hyperlink w:anchor="__RefHeading___Toc10417048_73709187">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0417050_73709187">
            <w:r>
              <w:rPr>
                <w:webHidden/>
                <w:rStyle w:val="IndexLink"/>
                <w:rtl w:val="true"/>
              </w:rPr>
              <w:t>ورود الماء على المتنجّس</w:t>
            </w:r>
            <w:r>
              <w:rPr>
                <w:rStyle w:val="IndexLink"/>
                <w:rtl w:val="true"/>
              </w:rPr>
              <w:tab/>
            </w:r>
            <w:r>
              <w:rPr>
                <w:rStyle w:val="IndexLink"/>
              </w:rPr>
              <w:t>312</w:t>
            </w:r>
          </w:hyperlink>
        </w:p>
        <w:p>
          <w:pPr>
            <w:pStyle w:val="Contents6"/>
            <w:tabs>
              <w:tab w:val="clear" w:pos="7609"/>
              <w:tab w:val="right" w:pos="9026" w:leader="dot"/>
            </w:tabs>
            <w:rPr/>
          </w:pPr>
          <w:hyperlink w:anchor="__RefHeading___Toc10417052_73709187">
            <w:r>
              <w:rPr>
                <w:webHidden/>
                <w:rStyle w:val="IndexLink"/>
                <w:rtl w:val="true"/>
              </w:rPr>
              <w:t>اعتبار تعدّد الغسل في المتنجّس بالبول</w:t>
            </w:r>
            <w:r>
              <w:rPr>
                <w:rStyle w:val="IndexLink"/>
                <w:rtl w:val="true"/>
              </w:rPr>
              <w:tab/>
            </w:r>
            <w:r>
              <w:rPr>
                <w:rStyle w:val="IndexLink"/>
              </w:rPr>
              <w:t>314</w:t>
            </w:r>
          </w:hyperlink>
        </w:p>
        <w:p>
          <w:pPr>
            <w:pStyle w:val="Contents6"/>
            <w:tabs>
              <w:tab w:val="clear" w:pos="7609"/>
              <w:tab w:val="right" w:pos="9026" w:leader="dot"/>
            </w:tabs>
            <w:rPr/>
          </w:pPr>
          <w:hyperlink w:anchor="__RefHeading___Toc10417054_73709187">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10417056_73709187">
            <w:r>
              <w:rPr>
                <w:webHidden/>
                <w:rStyle w:val="IndexLink"/>
                <w:rtl w:val="true"/>
              </w:rPr>
              <w:t>في التطهير بالماء القليل</w:t>
            </w:r>
            <w:r>
              <w:rPr>
                <w:rStyle w:val="IndexLink"/>
                <w:rtl w:val="true"/>
              </w:rPr>
              <w:tab/>
            </w:r>
            <w:r>
              <w:rPr>
                <w:rStyle w:val="IndexLink"/>
              </w:rPr>
              <w:t>314</w:t>
            </w:r>
          </w:hyperlink>
        </w:p>
        <w:p>
          <w:pPr>
            <w:pStyle w:val="Contents6"/>
            <w:tabs>
              <w:tab w:val="clear" w:pos="7609"/>
              <w:tab w:val="right" w:pos="9026" w:leader="dot"/>
            </w:tabs>
            <w:rPr/>
          </w:pPr>
          <w:hyperlink w:anchor="__RefHeading___Toc10417058_73709187">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10417060_73709187">
            <w:r>
              <w:rPr>
                <w:webHidden/>
                <w:rStyle w:val="IndexLink"/>
                <w:rtl w:val="true"/>
              </w:rPr>
              <w:t>بول الرَّضيع</w:t>
            </w:r>
            <w:r>
              <w:rPr>
                <w:rStyle w:val="IndexLink"/>
                <w:rtl w:val="true"/>
              </w:rPr>
              <w:tab/>
            </w:r>
            <w:r>
              <w:rPr>
                <w:rStyle w:val="IndexLink"/>
              </w:rPr>
              <w:t>319</w:t>
            </w:r>
          </w:hyperlink>
        </w:p>
        <w:p>
          <w:pPr>
            <w:pStyle w:val="Contents6"/>
            <w:tabs>
              <w:tab w:val="clear" w:pos="7609"/>
              <w:tab w:val="right" w:pos="9026" w:leader="dot"/>
            </w:tabs>
            <w:rPr/>
          </w:pPr>
          <w:hyperlink w:anchor="__RefHeading___Toc10417062_73709187">
            <w:r>
              <w:rPr>
                <w:webHidden/>
                <w:rStyle w:val="IndexLink"/>
                <w:rtl w:val="true"/>
              </w:rPr>
              <w:t>الاكتفاء بالمرّة في عامّة النّجاسات</w:t>
            </w:r>
            <w:r>
              <w:rPr>
                <w:rStyle w:val="IndexLink"/>
                <w:rtl w:val="true"/>
              </w:rPr>
              <w:tab/>
            </w:r>
            <w:r>
              <w:rPr>
                <w:rStyle w:val="IndexLink"/>
              </w:rPr>
              <w:t>322</w:t>
            </w:r>
          </w:hyperlink>
        </w:p>
        <w:p>
          <w:pPr>
            <w:pStyle w:val="Contents6"/>
            <w:tabs>
              <w:tab w:val="clear" w:pos="7609"/>
              <w:tab w:val="right" w:pos="9026" w:leader="dot"/>
            </w:tabs>
            <w:rPr/>
          </w:pPr>
          <w:hyperlink w:anchor="__RefHeading___Toc10417064_73709187">
            <w:r>
              <w:rPr>
                <w:webHidden/>
                <w:rStyle w:val="IndexLink"/>
                <w:rtl w:val="true"/>
              </w:rPr>
              <w:t>كفاية المرّة في الكُرّ والجاري</w:t>
            </w:r>
            <w:r>
              <w:rPr>
                <w:rStyle w:val="IndexLink"/>
                <w:rtl w:val="true"/>
              </w:rPr>
              <w:tab/>
            </w:r>
            <w:r>
              <w:rPr>
                <w:rStyle w:val="IndexLink"/>
              </w:rPr>
              <w:t>326</w:t>
            </w:r>
          </w:hyperlink>
        </w:p>
        <w:p>
          <w:pPr>
            <w:pStyle w:val="Contents6"/>
            <w:tabs>
              <w:tab w:val="clear" w:pos="7609"/>
              <w:tab w:val="right" w:pos="9026" w:leader="dot"/>
            </w:tabs>
            <w:rPr/>
          </w:pPr>
          <w:hyperlink w:anchor="__RefHeading___Toc10417066_73709187">
            <w:r>
              <w:rPr>
                <w:webHidden/>
                <w:rStyle w:val="IndexLink"/>
                <w:rtl w:val="true"/>
              </w:rPr>
              <w:t>عصر الثياب</w:t>
            </w:r>
            <w:r>
              <w:rPr>
                <w:rStyle w:val="IndexLink"/>
                <w:rtl w:val="true"/>
              </w:rPr>
              <w:tab/>
            </w:r>
            <w:r>
              <w:rPr>
                <w:rStyle w:val="IndexLink"/>
              </w:rPr>
              <w:t>329</w:t>
            </w:r>
          </w:hyperlink>
        </w:p>
        <w:p>
          <w:pPr>
            <w:pStyle w:val="Contents6"/>
            <w:tabs>
              <w:tab w:val="clear" w:pos="7609"/>
              <w:tab w:val="right" w:pos="9026" w:leader="dot"/>
            </w:tabs>
            <w:rPr/>
          </w:pPr>
          <w:hyperlink w:anchor="__RefHeading___Toc10417068_73709187">
            <w:r>
              <w:rPr>
                <w:webHidden/>
                <w:rStyle w:val="IndexLink"/>
                <w:rtl w:val="true"/>
              </w:rPr>
              <w:t>ما ينفذ فيه الماء ولا يمكن عَصْره</w:t>
            </w:r>
            <w:r>
              <w:rPr>
                <w:rStyle w:val="IndexLink"/>
                <w:rtl w:val="true"/>
              </w:rPr>
              <w:tab/>
            </w:r>
            <w:r>
              <w:rPr>
                <w:rStyle w:val="IndexLink"/>
              </w:rPr>
              <w:t>332</w:t>
            </w:r>
          </w:hyperlink>
        </w:p>
        <w:p>
          <w:pPr>
            <w:pStyle w:val="Contents5"/>
            <w:tabs>
              <w:tab w:val="clear" w:pos="7892"/>
              <w:tab w:val="right" w:pos="9026" w:leader="dot"/>
            </w:tabs>
            <w:rPr/>
          </w:pPr>
          <w:hyperlink w:anchor="__RefHeading___Toc10417070_73709187">
            <w:r>
              <w:rPr>
                <w:webHidden/>
                <w:rStyle w:val="IndexLink"/>
                <w:rtl w:val="true"/>
              </w:rPr>
              <w:t>الثاني</w:t>
            </w:r>
            <w:r>
              <w:rPr>
                <w:rStyle w:val="IndexLink"/>
                <w:rtl w:val="true"/>
              </w:rPr>
              <w:t xml:space="preserve">: </w:t>
            </w:r>
            <w:r>
              <w:rPr>
                <w:rStyle w:val="IndexLink"/>
                <w:rtl w:val="true"/>
              </w:rPr>
              <w:t>الشّمس</w:t>
            </w:r>
            <w:r>
              <w:rPr>
                <w:rStyle w:val="IndexLink"/>
                <w:rtl w:val="true"/>
              </w:rPr>
              <w:tab/>
            </w:r>
            <w:r>
              <w:rPr>
                <w:rStyle w:val="IndexLink"/>
              </w:rPr>
              <w:t>337</w:t>
            </w:r>
          </w:hyperlink>
        </w:p>
        <w:p>
          <w:pPr>
            <w:pStyle w:val="Contents6"/>
            <w:tabs>
              <w:tab w:val="clear" w:pos="7609"/>
              <w:tab w:val="right" w:pos="9026" w:leader="dot"/>
            </w:tabs>
            <w:rPr/>
          </w:pPr>
          <w:hyperlink w:anchor="__RefHeading___Toc10417072_73709187">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10417074_73709187">
            <w:r>
              <w:rPr>
                <w:webHidden/>
                <w:rStyle w:val="IndexLink"/>
                <w:rtl w:val="true"/>
              </w:rPr>
              <w:t>فروع مطهّرية الشمس</w:t>
            </w:r>
            <w:r>
              <w:rPr>
                <w:rStyle w:val="IndexLink"/>
                <w:rtl w:val="true"/>
              </w:rPr>
              <w:tab/>
            </w:r>
            <w:r>
              <w:rPr>
                <w:rStyle w:val="IndexLink"/>
              </w:rPr>
              <w:t>343</w:t>
            </w:r>
          </w:hyperlink>
        </w:p>
        <w:p>
          <w:pPr>
            <w:pStyle w:val="Contents5"/>
            <w:tabs>
              <w:tab w:val="clear" w:pos="7892"/>
              <w:tab w:val="right" w:pos="9026" w:leader="dot"/>
            </w:tabs>
            <w:rPr/>
          </w:pPr>
          <w:hyperlink w:anchor="__RefHeading___Toc10417076_73709187">
            <w:r>
              <w:rPr>
                <w:webHidden/>
                <w:rStyle w:val="IndexLink"/>
                <w:rtl w:val="true"/>
              </w:rPr>
              <w:t>الثالث</w:t>
            </w:r>
            <w:r>
              <w:rPr>
                <w:rStyle w:val="IndexLink"/>
                <w:rtl w:val="true"/>
              </w:rPr>
              <w:t xml:space="preserve">: </w:t>
            </w:r>
            <w:r>
              <w:rPr>
                <w:rStyle w:val="IndexLink"/>
                <w:rtl w:val="true"/>
              </w:rPr>
              <w:t>الأرض</w:t>
            </w:r>
            <w:r>
              <w:rPr>
                <w:rStyle w:val="IndexLink"/>
                <w:rtl w:val="true"/>
              </w:rPr>
              <w:tab/>
            </w:r>
            <w:r>
              <w:rPr>
                <w:rStyle w:val="IndexLink"/>
              </w:rPr>
              <w:t>347</w:t>
            </w:r>
          </w:hyperlink>
        </w:p>
        <w:p>
          <w:pPr>
            <w:pStyle w:val="Contents6"/>
            <w:tabs>
              <w:tab w:val="clear" w:pos="7609"/>
              <w:tab w:val="right" w:pos="9026" w:leader="dot"/>
            </w:tabs>
            <w:rPr/>
          </w:pPr>
          <w:hyperlink w:anchor="__RefHeading___Toc10417078_73709187">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0417080_73709187">
            <w:r>
              <w:rPr>
                <w:webHidden/>
                <w:rStyle w:val="IndexLink"/>
                <w:rtl w:val="true"/>
              </w:rPr>
              <w:t>اشتراط طهارة الأرض</w:t>
            </w:r>
            <w:r>
              <w:rPr>
                <w:rStyle w:val="IndexLink"/>
                <w:rtl w:val="true"/>
              </w:rPr>
              <w:tab/>
            </w:r>
            <w:r>
              <w:rPr>
                <w:rStyle w:val="IndexLink"/>
              </w:rPr>
              <w:t>355</w:t>
            </w:r>
          </w:hyperlink>
        </w:p>
        <w:p>
          <w:pPr>
            <w:pStyle w:val="Contents5"/>
            <w:tabs>
              <w:tab w:val="clear" w:pos="7892"/>
              <w:tab w:val="right" w:pos="9026" w:leader="dot"/>
            </w:tabs>
            <w:rPr/>
          </w:pPr>
          <w:hyperlink w:anchor="__RefHeading___Toc10417082_73709187">
            <w:r>
              <w:rPr>
                <w:webHidden/>
                <w:rStyle w:val="IndexLink"/>
                <w:rtl w:val="true"/>
              </w:rPr>
              <w:t>عَدّ اُمور اُخر في عِداد المطهّرات عند المشهور</w:t>
            </w:r>
            <w:r>
              <w:rPr>
                <w:rStyle w:val="IndexLink"/>
                <w:rtl w:val="true"/>
              </w:rPr>
              <w:tab/>
            </w:r>
            <w:r>
              <w:rPr>
                <w:rStyle w:val="IndexLink"/>
              </w:rPr>
              <w:t>358</w:t>
            </w:r>
          </w:hyperlink>
        </w:p>
        <w:p>
          <w:pPr>
            <w:pStyle w:val="Contents6"/>
            <w:tabs>
              <w:tab w:val="clear" w:pos="7609"/>
              <w:tab w:val="right" w:pos="9026" w:leader="dot"/>
            </w:tabs>
            <w:rPr/>
          </w:pPr>
          <w:hyperlink w:anchor="__RefHeading___Toc10417084_73709187">
            <w:r>
              <w:rPr>
                <w:webHidden/>
                <w:rStyle w:val="IndexLink"/>
                <w:rtl w:val="true"/>
              </w:rPr>
              <w:t>الأوّل الإستحالة</w:t>
            </w:r>
            <w:r>
              <w:rPr>
                <w:rStyle w:val="IndexLink"/>
                <w:rtl w:val="true"/>
              </w:rPr>
              <w:tab/>
            </w:r>
            <w:r>
              <w:rPr>
                <w:rStyle w:val="IndexLink"/>
              </w:rPr>
              <w:t>358</w:t>
            </w:r>
          </w:hyperlink>
        </w:p>
        <w:p>
          <w:pPr>
            <w:pStyle w:val="Contents6"/>
            <w:tabs>
              <w:tab w:val="clear" w:pos="7609"/>
              <w:tab w:val="right" w:pos="9026" w:leader="dot"/>
            </w:tabs>
            <w:rPr/>
          </w:pPr>
          <w:hyperlink w:anchor="__RefHeading___Toc10417086_73709187">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10417088_73709187">
            <w:r>
              <w:rPr>
                <w:webHidden/>
                <w:rStyle w:val="IndexLink"/>
                <w:rtl w:val="true"/>
              </w:rPr>
              <w:t>استحالة المتنجّس</w:t>
            </w:r>
            <w:r>
              <w:rPr>
                <w:rStyle w:val="IndexLink"/>
                <w:rtl w:val="true"/>
              </w:rPr>
              <w:tab/>
            </w:r>
            <w:r>
              <w:rPr>
                <w:rStyle w:val="IndexLink"/>
              </w:rPr>
              <w:t>361</w:t>
            </w:r>
          </w:hyperlink>
        </w:p>
        <w:p>
          <w:pPr>
            <w:pStyle w:val="Contents6"/>
            <w:tabs>
              <w:tab w:val="clear" w:pos="7609"/>
              <w:tab w:val="right" w:pos="9026" w:leader="dot"/>
            </w:tabs>
            <w:rPr/>
          </w:pPr>
          <w:hyperlink w:anchor="__RefHeading___Toc10417090_73709187">
            <w:r>
              <w:rPr>
                <w:webHidden/>
                <w:rStyle w:val="IndexLink"/>
                <w:rtl w:val="true"/>
              </w:rPr>
              <w:t>العجين المعجون بالماء النّجس</w:t>
            </w:r>
            <w:r>
              <w:rPr>
                <w:rStyle w:val="IndexLink"/>
                <w:rtl w:val="true"/>
              </w:rPr>
              <w:tab/>
            </w:r>
            <w:r>
              <w:rPr>
                <w:rStyle w:val="IndexLink"/>
              </w:rPr>
              <w:t>363</w:t>
            </w:r>
          </w:hyperlink>
        </w:p>
        <w:p>
          <w:pPr>
            <w:pStyle w:val="Contents6"/>
            <w:tabs>
              <w:tab w:val="clear" w:pos="7609"/>
              <w:tab w:val="right" w:pos="9026" w:leader="dot"/>
            </w:tabs>
            <w:rPr/>
          </w:pPr>
          <w:hyperlink w:anchor="__RefHeading___Toc10417092_73709187">
            <w:r>
              <w:rPr>
                <w:webHidden/>
                <w:rStyle w:val="IndexLink"/>
                <w:rtl w:val="true"/>
              </w:rPr>
              <w:t>صيرورة الطين آجراً</w:t>
            </w:r>
            <w:r>
              <w:rPr>
                <w:rStyle w:val="IndexLink"/>
                <w:rtl w:val="true"/>
              </w:rPr>
              <w:tab/>
            </w:r>
            <w:r>
              <w:rPr>
                <w:rStyle w:val="IndexLink"/>
              </w:rPr>
              <w:t>366</w:t>
            </w:r>
          </w:hyperlink>
        </w:p>
        <w:p>
          <w:pPr>
            <w:pStyle w:val="Contents6"/>
            <w:tabs>
              <w:tab w:val="clear" w:pos="7609"/>
              <w:tab w:val="right" w:pos="9026" w:leader="dot"/>
            </w:tabs>
            <w:rPr/>
          </w:pPr>
          <w:hyperlink w:anchor="__RefHeading___Toc10417094_73709187">
            <w:r>
              <w:rPr>
                <w:webHidden/>
                <w:rStyle w:val="IndexLink"/>
                <w:rtl w:val="true"/>
              </w:rPr>
              <w:t>الثاني</w:t>
            </w:r>
            <w:r>
              <w:rPr>
                <w:rStyle w:val="IndexLink"/>
                <w:rtl w:val="true"/>
              </w:rPr>
              <w:t xml:space="preserve">: </w:t>
            </w:r>
            <w:r>
              <w:rPr>
                <w:rStyle w:val="IndexLink"/>
                <w:rtl w:val="true"/>
              </w:rPr>
              <w:t>مطهّريّة الانقلاب</w:t>
            </w:r>
            <w:r>
              <w:rPr>
                <w:rStyle w:val="IndexLink"/>
                <w:rtl w:val="true"/>
              </w:rPr>
              <w:tab/>
            </w:r>
            <w:r>
              <w:rPr>
                <w:rStyle w:val="IndexLink"/>
              </w:rPr>
              <w:t>370</w:t>
            </w:r>
          </w:hyperlink>
        </w:p>
        <w:p>
          <w:pPr>
            <w:pStyle w:val="Contents6"/>
            <w:tabs>
              <w:tab w:val="clear" w:pos="7609"/>
              <w:tab w:val="right" w:pos="9026" w:leader="dot"/>
            </w:tabs>
            <w:rPr/>
          </w:pPr>
          <w:hyperlink w:anchor="__RefHeading___Toc10417096_73709187">
            <w:r>
              <w:rPr>
                <w:webHidden/>
                <w:rStyle w:val="IndexLink"/>
                <w:rtl w:val="true"/>
              </w:rPr>
              <w:t>الثالث</w:t>
            </w:r>
            <w:r>
              <w:rPr>
                <w:rStyle w:val="IndexLink"/>
                <w:rtl w:val="true"/>
              </w:rPr>
              <w:t xml:space="preserve">: </w:t>
            </w:r>
            <w:r>
              <w:rPr>
                <w:rStyle w:val="IndexLink"/>
                <w:rtl w:val="true"/>
              </w:rPr>
              <w:t>ذهاب الثُّلثين</w:t>
            </w:r>
            <w:r>
              <w:rPr>
                <w:rStyle w:val="IndexLink"/>
                <w:rtl w:val="true"/>
              </w:rPr>
              <w:tab/>
            </w:r>
            <w:r>
              <w:rPr>
                <w:rStyle w:val="IndexLink"/>
              </w:rPr>
              <w:t>376</w:t>
            </w:r>
          </w:hyperlink>
        </w:p>
        <w:p>
          <w:pPr>
            <w:pStyle w:val="Contents6"/>
            <w:tabs>
              <w:tab w:val="clear" w:pos="7609"/>
              <w:tab w:val="right" w:pos="9026" w:leader="dot"/>
            </w:tabs>
            <w:rPr/>
          </w:pPr>
          <w:hyperlink w:anchor="__RefHeading___Toc10417098_73709187">
            <w:r>
              <w:rPr>
                <w:webHidden/>
                <w:rStyle w:val="IndexLink"/>
                <w:rtl w:val="true"/>
              </w:rPr>
              <w:t>الرابع</w:t>
            </w:r>
            <w:r>
              <w:rPr>
                <w:rStyle w:val="IndexLink"/>
                <w:rtl w:val="true"/>
              </w:rPr>
              <w:t xml:space="preserve">: </w:t>
            </w:r>
            <w:r>
              <w:rPr>
                <w:rStyle w:val="IndexLink"/>
                <w:rtl w:val="true"/>
              </w:rPr>
              <w:t>الإنتقال</w:t>
            </w:r>
            <w:r>
              <w:rPr>
                <w:rStyle w:val="IndexLink"/>
                <w:rtl w:val="true"/>
              </w:rPr>
              <w:tab/>
            </w:r>
            <w:r>
              <w:rPr>
                <w:rStyle w:val="IndexLink"/>
              </w:rPr>
              <w:t>377</w:t>
            </w:r>
          </w:hyperlink>
        </w:p>
        <w:p>
          <w:pPr>
            <w:pStyle w:val="Contents6"/>
            <w:tabs>
              <w:tab w:val="clear" w:pos="7609"/>
              <w:tab w:val="right" w:pos="9026" w:leader="dot"/>
            </w:tabs>
            <w:rPr/>
          </w:pPr>
          <w:hyperlink w:anchor="__RefHeading___Toc10417100_73709187">
            <w:r>
              <w:rPr>
                <w:webHidden/>
                <w:rStyle w:val="IndexLink"/>
                <w:rtl w:val="true"/>
              </w:rPr>
              <w:t>الخامس</w:t>
            </w:r>
            <w:r>
              <w:rPr>
                <w:rStyle w:val="IndexLink"/>
                <w:rtl w:val="true"/>
              </w:rPr>
              <w:t xml:space="preserve">: </w:t>
            </w:r>
            <w:r>
              <w:rPr>
                <w:rStyle w:val="IndexLink"/>
                <w:rtl w:val="true"/>
              </w:rPr>
              <w:t>مطهّريّة الإسلام</w:t>
            </w:r>
            <w:r>
              <w:rPr>
                <w:rStyle w:val="IndexLink"/>
                <w:rtl w:val="true"/>
              </w:rPr>
              <w:tab/>
            </w:r>
            <w:r>
              <w:rPr>
                <w:rStyle w:val="IndexLink"/>
              </w:rPr>
              <w:t>380</w:t>
            </w:r>
          </w:hyperlink>
        </w:p>
        <w:p>
          <w:pPr>
            <w:pStyle w:val="Contents6"/>
            <w:tabs>
              <w:tab w:val="clear" w:pos="7609"/>
              <w:tab w:val="right" w:pos="9026" w:leader="dot"/>
            </w:tabs>
            <w:rPr/>
          </w:pPr>
          <w:hyperlink w:anchor="__RefHeading___Toc10417102_73709187">
            <w:r>
              <w:rPr>
                <w:webHidden/>
                <w:rStyle w:val="IndexLink"/>
                <w:rtl w:val="true"/>
              </w:rPr>
              <w:t>السادس</w:t>
            </w:r>
            <w:r>
              <w:rPr>
                <w:rStyle w:val="IndexLink"/>
                <w:rtl w:val="true"/>
              </w:rPr>
              <w:t xml:space="preserve">: </w:t>
            </w:r>
            <w:r>
              <w:rPr>
                <w:rStyle w:val="IndexLink"/>
                <w:rtl w:val="true"/>
              </w:rPr>
              <w:t>زوال النجاسة</w:t>
            </w:r>
            <w:r>
              <w:rPr>
                <w:rStyle w:val="IndexLink"/>
                <w:rtl w:val="true"/>
              </w:rPr>
              <w:tab/>
            </w:r>
            <w:r>
              <w:rPr>
                <w:rStyle w:val="IndexLink"/>
              </w:rPr>
              <w:t>386</w:t>
            </w:r>
          </w:hyperlink>
        </w:p>
        <w:p>
          <w:pPr>
            <w:pStyle w:val="Contents6"/>
            <w:tabs>
              <w:tab w:val="clear" w:pos="7609"/>
              <w:tab w:val="right" w:pos="9026" w:leader="dot"/>
            </w:tabs>
            <w:rPr/>
          </w:pPr>
          <w:hyperlink w:anchor="__RefHeading___Toc10417104_73709187">
            <w:r>
              <w:rPr>
                <w:webHidden/>
                <w:rStyle w:val="IndexLink"/>
                <w:rtl w:val="true"/>
              </w:rPr>
              <w:t>السابع</w:t>
            </w:r>
            <w:r>
              <w:rPr>
                <w:rStyle w:val="IndexLink"/>
                <w:rtl w:val="true"/>
              </w:rPr>
              <w:t xml:space="preserve">: </w:t>
            </w:r>
            <w:r>
              <w:rPr>
                <w:rStyle w:val="IndexLink"/>
                <w:rtl w:val="true"/>
              </w:rPr>
              <w:t>غيبة الإنسان</w:t>
            </w:r>
            <w:r>
              <w:rPr>
                <w:rStyle w:val="IndexLink"/>
                <w:rtl w:val="true"/>
              </w:rPr>
              <w:tab/>
            </w:r>
            <w:r>
              <w:rPr>
                <w:rStyle w:val="IndexLink"/>
              </w:rPr>
              <w:t>389</w:t>
            </w:r>
          </w:hyperlink>
        </w:p>
        <w:p>
          <w:pPr>
            <w:pStyle w:val="Contents4"/>
            <w:tabs>
              <w:tab w:val="clear" w:pos="8176"/>
              <w:tab w:val="right" w:pos="9026" w:leader="dot"/>
            </w:tabs>
            <w:rPr/>
          </w:pPr>
          <w:hyperlink w:anchor="__RefHeading___Toc10417106_73709187">
            <w:r>
              <w:rPr>
                <w:webHidden/>
                <w:rStyle w:val="IndexLink"/>
                <w:rtl w:val="true"/>
              </w:rPr>
              <w:t>فصلٌ في أحكام الأواني</w:t>
            </w:r>
            <w:r>
              <w:rPr>
                <w:rStyle w:val="IndexLink"/>
                <w:rtl w:val="true"/>
              </w:rPr>
              <w:tab/>
            </w:r>
            <w:r>
              <w:rPr>
                <w:rStyle w:val="IndexLink"/>
              </w:rPr>
              <w:t>392</w:t>
            </w:r>
          </w:hyperlink>
        </w:p>
        <w:p>
          <w:pPr>
            <w:pStyle w:val="Contents5"/>
            <w:tabs>
              <w:tab w:val="clear" w:pos="7892"/>
              <w:tab w:val="right" w:pos="9026" w:leader="dot"/>
            </w:tabs>
            <w:rPr/>
          </w:pPr>
          <w:hyperlink w:anchor="__RefHeading___Toc10417108_73709187">
            <w:r>
              <w:rPr>
                <w:webHidden/>
                <w:rStyle w:val="IndexLink"/>
                <w:rtl w:val="true"/>
              </w:rPr>
              <w:t>و فيه مسائل</w:t>
            </w:r>
            <w:r>
              <w:rPr>
                <w:rStyle w:val="IndexLink"/>
                <w:rtl w:val="true"/>
              </w:rPr>
              <w:t>:</w:t>
              <w:tab/>
            </w:r>
            <w:r>
              <w:rPr>
                <w:rStyle w:val="IndexLink"/>
              </w:rPr>
              <w:t>392</w:t>
            </w:r>
          </w:hyperlink>
        </w:p>
        <w:p>
          <w:pPr>
            <w:pStyle w:val="Contents6"/>
            <w:tabs>
              <w:tab w:val="clear" w:pos="7609"/>
              <w:tab w:val="right" w:pos="9026" w:leader="dot"/>
            </w:tabs>
            <w:rPr/>
          </w:pPr>
          <w:hyperlink w:anchor="__RefHeading___Toc10417110_73709187">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10417112_73709187">
            <w:r>
              <w:rPr>
                <w:webHidden/>
                <w:rStyle w:val="IndexLink"/>
                <w:rtl w:val="true"/>
              </w:rPr>
              <w:t>لو نَجَس الإناءُ وَجَب غَسله</w:t>
            </w:r>
            <w:r>
              <w:rPr>
                <w:rStyle w:val="IndexLink"/>
                <w:rtl w:val="true"/>
              </w:rPr>
              <w:tab/>
            </w:r>
            <w:r>
              <w:rPr>
                <w:rStyle w:val="IndexLink"/>
              </w:rPr>
              <w:t>392</w:t>
            </w:r>
          </w:hyperlink>
        </w:p>
        <w:p>
          <w:pPr>
            <w:pStyle w:val="Contents6"/>
            <w:tabs>
              <w:tab w:val="clear" w:pos="7609"/>
              <w:tab w:val="right" w:pos="9026" w:leader="dot"/>
            </w:tabs>
            <w:rPr/>
          </w:pPr>
          <w:hyperlink w:anchor="__RefHeading___Toc10417114_73709187">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10417116_73709187">
            <w:r>
              <w:rPr>
                <w:webHidden/>
                <w:rStyle w:val="IndexLink"/>
                <w:rtl w:val="true"/>
              </w:rPr>
              <w:t>تنبيهات أحكام الأواني</w:t>
            </w:r>
            <w:r>
              <w:rPr>
                <w:rStyle w:val="IndexLink"/>
                <w:rtl w:val="true"/>
              </w:rPr>
              <w:tab/>
            </w:r>
            <w:r>
              <w:rPr>
                <w:rStyle w:val="IndexLink"/>
              </w:rPr>
              <w:t>396</w:t>
            </w:r>
          </w:hyperlink>
        </w:p>
        <w:p>
          <w:pPr>
            <w:pStyle w:val="Contents6"/>
            <w:tabs>
              <w:tab w:val="clear" w:pos="7609"/>
              <w:tab w:val="right" w:pos="9026" w:leader="dot"/>
            </w:tabs>
            <w:rPr/>
          </w:pPr>
          <w:hyperlink w:anchor="__RefHeading___Toc10417118_73709187">
            <w:r>
              <w:rPr>
                <w:webHidden/>
                <w:rStyle w:val="IndexLink"/>
                <w:rtl w:val="true"/>
              </w:rPr>
              <w:t>الظاهر من الأمر بالغَسل بالتّراب، استعمال التّراب أوّلاً، ثمّ إزالته بالماء</w:t>
            </w:r>
            <w:r>
              <w:rPr>
                <w:rStyle w:val="IndexLink"/>
                <w:rtl w:val="true"/>
              </w:rPr>
              <w:tab/>
            </w:r>
            <w:r>
              <w:rPr>
                <w:rStyle w:val="IndexLink"/>
              </w:rPr>
              <w:t>396</w:t>
            </w:r>
          </w:hyperlink>
        </w:p>
        <w:p>
          <w:pPr>
            <w:pStyle w:val="Contents6"/>
            <w:tabs>
              <w:tab w:val="clear" w:pos="7609"/>
              <w:tab w:val="right" w:pos="9026" w:leader="dot"/>
            </w:tabs>
            <w:rPr/>
          </w:pPr>
          <w:hyperlink w:anchor="__RefHeading___Toc10417120_73709187">
            <w:r>
              <w:rPr>
                <w:webHidden/>
                <w:rStyle w:val="IndexLink"/>
                <w:rtl w:val="true"/>
              </w:rPr>
              <w:t>لا يكتفى عن التّراب بغيره كالرّماد</w:t>
            </w:r>
            <w:r>
              <w:rPr>
                <w:rStyle w:val="IndexLink"/>
                <w:rtl w:val="true"/>
              </w:rPr>
              <w:tab/>
            </w:r>
            <w:r>
              <w:rPr>
                <w:rStyle w:val="IndexLink"/>
              </w:rPr>
              <w:t>397</w:t>
            </w:r>
          </w:hyperlink>
        </w:p>
        <w:p>
          <w:pPr>
            <w:pStyle w:val="Contents6"/>
            <w:tabs>
              <w:tab w:val="clear" w:pos="7609"/>
              <w:tab w:val="right" w:pos="9026" w:leader="dot"/>
            </w:tabs>
            <w:rPr/>
          </w:pPr>
          <w:hyperlink w:anchor="__RefHeading___Toc10417122_73709187">
            <w:r>
              <w:rPr>
                <w:webHidden/>
                <w:rStyle w:val="IndexLink"/>
                <w:rtl w:val="true"/>
              </w:rPr>
              <w:t>لزوم التعفير في الغَسل بالكثير</w:t>
            </w:r>
            <w:r>
              <w:rPr>
                <w:rStyle w:val="IndexLink"/>
                <w:rtl w:val="true"/>
              </w:rPr>
              <w:tab/>
            </w:r>
            <w:r>
              <w:rPr>
                <w:rStyle w:val="IndexLink"/>
              </w:rPr>
              <w:t>398</w:t>
            </w:r>
          </w:hyperlink>
        </w:p>
        <w:p>
          <w:pPr>
            <w:pStyle w:val="Contents6"/>
            <w:tabs>
              <w:tab w:val="clear" w:pos="7609"/>
              <w:tab w:val="right" w:pos="9026" w:leader="dot"/>
            </w:tabs>
            <w:rPr/>
          </w:pPr>
          <w:hyperlink w:anchor="__RefHeading___Toc10417124_73709187">
            <w:r>
              <w:rPr>
                <w:webHidden/>
                <w:rStyle w:val="IndexLink"/>
                <w:rtl w:val="true"/>
              </w:rPr>
              <w:t>لزوم أن يكون التّراب قبل الاستعمال طاهراً</w:t>
            </w:r>
            <w:r>
              <w:rPr>
                <w:rStyle w:val="IndexLink"/>
                <w:rtl w:val="true"/>
              </w:rPr>
              <w:tab/>
            </w:r>
            <w:r>
              <w:rPr>
                <w:rStyle w:val="IndexLink"/>
              </w:rPr>
              <w:t>400</w:t>
            </w:r>
          </w:hyperlink>
        </w:p>
        <w:p>
          <w:pPr>
            <w:pStyle w:val="Contents6"/>
            <w:tabs>
              <w:tab w:val="clear" w:pos="7609"/>
              <w:tab w:val="right" w:pos="9026" w:leader="dot"/>
            </w:tabs>
            <w:rPr/>
          </w:pPr>
          <w:hyperlink w:anchor="__RefHeading___Toc10417126_73709187">
            <w:r>
              <w:rPr>
                <w:webHidden/>
                <w:rStyle w:val="IndexLink"/>
                <w:rtl w:val="true"/>
              </w:rPr>
              <w:t>اختصاص الحكم بالولوغ</w:t>
            </w:r>
            <w:r>
              <w:rPr>
                <w:rStyle w:val="IndexLink"/>
                <w:rtl w:val="true"/>
              </w:rPr>
              <w:tab/>
            </w:r>
            <w:r>
              <w:rPr>
                <w:rStyle w:val="IndexLink"/>
              </w:rPr>
              <w:t>402</w:t>
            </w:r>
          </w:hyperlink>
        </w:p>
        <w:p>
          <w:pPr>
            <w:pStyle w:val="Contents6"/>
            <w:tabs>
              <w:tab w:val="clear" w:pos="7609"/>
              <w:tab w:val="right" w:pos="9026" w:leader="dot"/>
            </w:tabs>
            <w:rPr/>
          </w:pPr>
          <w:hyperlink w:anchor="__RefHeading___Toc10417128_73709187">
            <w:r>
              <w:rPr>
                <w:webHidden/>
                <w:rStyle w:val="IndexLink"/>
                <w:rtl w:val="true"/>
              </w:rPr>
              <w:t>هل يجري حكم التعفير في غير الإناء ممّا تنجّس بالولوغ</w:t>
            </w:r>
            <w:r>
              <w:rPr>
                <w:rStyle w:val="IndexLink"/>
                <w:rtl w:val="true"/>
              </w:rPr>
              <w:tab/>
            </w:r>
            <w:r>
              <w:rPr>
                <w:rStyle w:val="IndexLink"/>
              </w:rPr>
              <w:t>403</w:t>
            </w:r>
          </w:hyperlink>
        </w:p>
        <w:p>
          <w:pPr>
            <w:pStyle w:val="Contents6"/>
            <w:tabs>
              <w:tab w:val="clear" w:pos="7609"/>
              <w:tab w:val="right" w:pos="9026" w:leader="dot"/>
            </w:tabs>
            <w:rPr/>
          </w:pPr>
          <w:hyperlink w:anchor="__RefHeading___Toc10417130_73709187">
            <w:r>
              <w:rPr>
                <w:webHidden/>
                <w:rStyle w:val="IndexLink"/>
                <w:rtl w:val="true"/>
              </w:rPr>
              <w:t>لو خيف فَساد المحلّ باستعمال التّراب، سقط اعتبار التعفير</w:t>
            </w:r>
            <w:r>
              <w:rPr>
                <w:rStyle w:val="IndexLink"/>
                <w:rtl w:val="true"/>
              </w:rPr>
              <w:tab/>
            </w:r>
            <w:r>
              <w:rPr>
                <w:rStyle w:val="IndexLink"/>
              </w:rPr>
              <w:t>403</w:t>
            </w:r>
          </w:hyperlink>
        </w:p>
        <w:p>
          <w:pPr>
            <w:pStyle w:val="Contents6"/>
            <w:tabs>
              <w:tab w:val="clear" w:pos="7609"/>
              <w:tab w:val="right" w:pos="9026" w:leader="dot"/>
            </w:tabs>
            <w:rPr/>
          </w:pPr>
          <w:hyperlink w:anchor="__RefHeading___Toc10417132_73709187">
            <w:r>
              <w:rPr>
                <w:webHidden/>
                <w:rStyle w:val="IndexLink"/>
                <w:rtl w:val="true"/>
              </w:rPr>
              <w:t>ولوغ الخنزير</w:t>
            </w:r>
            <w:r>
              <w:rPr>
                <w:rStyle w:val="IndexLink"/>
                <w:rtl w:val="true"/>
              </w:rPr>
              <w:tab/>
            </w:r>
            <w:r>
              <w:rPr>
                <w:rStyle w:val="IndexLink"/>
              </w:rPr>
              <w:t>405</w:t>
            </w:r>
          </w:hyperlink>
        </w:p>
        <w:p>
          <w:pPr>
            <w:pStyle w:val="Contents6"/>
            <w:tabs>
              <w:tab w:val="clear" w:pos="7609"/>
              <w:tab w:val="right" w:pos="9026" w:leader="dot"/>
            </w:tabs>
            <w:rPr/>
          </w:pPr>
          <w:hyperlink w:anchor="__RefHeading___Toc10417134_73709187">
            <w:r>
              <w:rPr>
                <w:webHidden/>
                <w:rStyle w:val="IndexLink"/>
                <w:rtl w:val="true"/>
              </w:rPr>
              <w:t>المتنجّس بالخَمر</w:t>
            </w:r>
            <w:r>
              <w:rPr>
                <w:rStyle w:val="IndexLink"/>
                <w:rtl w:val="true"/>
              </w:rPr>
              <w:tab/>
            </w:r>
            <w:r>
              <w:rPr>
                <w:rStyle w:val="IndexLink"/>
              </w:rPr>
              <w:t>407</w:t>
            </w:r>
          </w:hyperlink>
        </w:p>
        <w:p>
          <w:pPr>
            <w:pStyle w:val="Contents6"/>
            <w:tabs>
              <w:tab w:val="clear" w:pos="7609"/>
              <w:tab w:val="right" w:pos="9026" w:leader="dot"/>
            </w:tabs>
            <w:rPr/>
          </w:pPr>
          <w:hyperlink w:anchor="__RefHeading___Toc10417136_73709187">
            <w:r>
              <w:rPr>
                <w:webHidden/>
                <w:rStyle w:val="IndexLink"/>
                <w:rtl w:val="true"/>
              </w:rPr>
              <w:t>الإناء الملاقي للجرذ</w:t>
            </w:r>
            <w:r>
              <w:rPr>
                <w:rStyle w:val="IndexLink"/>
                <w:rtl w:val="true"/>
              </w:rPr>
              <w:tab/>
            </w:r>
            <w:r>
              <w:rPr>
                <w:rStyle w:val="IndexLink"/>
              </w:rPr>
              <w:t>410</w:t>
            </w:r>
          </w:hyperlink>
        </w:p>
        <w:p>
          <w:pPr>
            <w:pStyle w:val="Contents6"/>
            <w:tabs>
              <w:tab w:val="clear" w:pos="7609"/>
              <w:tab w:val="right" w:pos="9026" w:leader="dot"/>
            </w:tabs>
            <w:rPr/>
          </w:pPr>
          <w:hyperlink w:anchor="__RefHeading___Toc10417138_73709187">
            <w:r>
              <w:rPr>
                <w:webHidden/>
                <w:rStyle w:val="IndexLink"/>
                <w:rtl w:val="true"/>
              </w:rPr>
              <w:t>حُرمة استعمال أواني الذّهب والفضّة</w:t>
            </w:r>
            <w:r>
              <w:rPr>
                <w:rStyle w:val="IndexLink"/>
                <w:rtl w:val="true"/>
              </w:rPr>
              <w:tab/>
            </w:r>
            <w:r>
              <w:rPr>
                <w:rStyle w:val="IndexLink"/>
              </w:rPr>
              <w:t>413</w:t>
            </w:r>
          </w:hyperlink>
        </w:p>
        <w:p>
          <w:pPr>
            <w:pStyle w:val="Contents6"/>
            <w:tabs>
              <w:tab w:val="clear" w:pos="7609"/>
              <w:tab w:val="right" w:pos="9026" w:leader="dot"/>
            </w:tabs>
            <w:rPr/>
          </w:pPr>
          <w:hyperlink w:anchor="__RefHeading___Toc10417140_73709187">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10417142_73709187">
            <w:r>
              <w:rPr>
                <w:webHidden/>
                <w:rStyle w:val="IndexLink"/>
                <w:rtl w:val="true"/>
              </w:rPr>
              <w:t>يقع الكلام في جهات</w:t>
            </w:r>
            <w:r>
              <w:rPr>
                <w:rStyle w:val="IndexLink"/>
                <w:rtl w:val="true"/>
              </w:rPr>
              <w:tab/>
            </w:r>
            <w:r>
              <w:rPr>
                <w:rStyle w:val="IndexLink"/>
              </w:rPr>
              <w:t>414</w:t>
            </w:r>
          </w:hyperlink>
        </w:p>
        <w:p>
          <w:pPr>
            <w:pStyle w:val="Contents6"/>
            <w:tabs>
              <w:tab w:val="clear" w:pos="7609"/>
              <w:tab w:val="right" w:pos="9026" w:leader="dot"/>
            </w:tabs>
            <w:rPr/>
          </w:pPr>
          <w:hyperlink w:anchor="__RefHeading___Toc10417144_73709187">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10417146_73709187">
            <w:r>
              <w:rPr>
                <w:webHidden/>
                <w:rStyle w:val="IndexLink"/>
                <w:rtl w:val="true"/>
              </w:rPr>
              <w:t>هل المحرّم هو خصوص الإستعمال أم مطلق الانتفاع</w:t>
            </w:r>
            <w:r>
              <w:rPr>
                <w:rStyle w:val="IndexLink"/>
                <w:rtl w:val="true"/>
              </w:rPr>
              <w:tab/>
            </w:r>
            <w:r>
              <w:rPr>
                <w:rStyle w:val="IndexLink"/>
              </w:rPr>
              <w:t>414</w:t>
            </w:r>
          </w:hyperlink>
        </w:p>
        <w:p>
          <w:pPr>
            <w:pStyle w:val="Contents6"/>
            <w:tabs>
              <w:tab w:val="clear" w:pos="7609"/>
              <w:tab w:val="right" w:pos="9026" w:leader="dot"/>
            </w:tabs>
            <w:rPr/>
          </w:pPr>
          <w:hyperlink w:anchor="__RefHeading___Toc10417148_73709187">
            <w:r>
              <w:rPr>
                <w:webHidden/>
                <w:rStyle w:val="IndexLink"/>
                <w:rtl w:val="true"/>
              </w:rPr>
              <w:t>المشهور بين الأصحاب حرمة اقتنائها</w:t>
            </w:r>
            <w:r>
              <w:rPr>
                <w:rStyle w:val="IndexLink"/>
                <w:rtl w:val="true"/>
              </w:rPr>
              <w:tab/>
            </w:r>
            <w:r>
              <w:rPr>
                <w:rStyle w:val="IndexLink"/>
              </w:rPr>
              <w:t>415</w:t>
            </w:r>
          </w:hyperlink>
        </w:p>
        <w:p>
          <w:pPr>
            <w:pStyle w:val="Contents6"/>
            <w:tabs>
              <w:tab w:val="clear" w:pos="7609"/>
              <w:tab w:val="right" w:pos="9026" w:leader="dot"/>
            </w:tabs>
            <w:rPr/>
          </w:pPr>
          <w:hyperlink w:anchor="__RefHeading___Toc10417150_73709187">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10417152_73709187">
            <w:r>
              <w:rPr>
                <w:webHidden/>
                <w:rStyle w:val="IndexLink"/>
                <w:rtl w:val="true"/>
              </w:rPr>
              <w:t>التناول من الإناء</w:t>
            </w:r>
            <w:r>
              <w:rPr>
                <w:rStyle w:val="IndexLink"/>
                <w:rtl w:val="true"/>
              </w:rPr>
              <w:tab/>
            </w:r>
            <w:r>
              <w:rPr>
                <w:rStyle w:val="IndexLink"/>
              </w:rPr>
              <w:t>417</w:t>
            </w:r>
          </w:hyperlink>
        </w:p>
        <w:p>
          <w:pPr>
            <w:pStyle w:val="Contents6"/>
            <w:tabs>
              <w:tab w:val="clear" w:pos="7609"/>
              <w:tab w:val="right" w:pos="9026" w:leader="dot"/>
            </w:tabs>
            <w:rPr/>
          </w:pPr>
          <w:hyperlink w:anchor="__RefHeading___Toc10417154_73709187">
            <w:r>
              <w:rPr>
                <w:webHidden/>
                <w:rStyle w:val="IndexLink"/>
                <w:rtl w:val="true"/>
              </w:rPr>
              <w:t>المراد من الأواني</w:t>
            </w:r>
            <w:r>
              <w:rPr>
                <w:rStyle w:val="IndexLink"/>
                <w:rtl w:val="true"/>
              </w:rPr>
              <w:tab/>
            </w:r>
            <w:r>
              <w:rPr>
                <w:rStyle w:val="IndexLink"/>
              </w:rPr>
              <w:t>418</w:t>
            </w:r>
          </w:hyperlink>
        </w:p>
        <w:p>
          <w:pPr>
            <w:pStyle w:val="Contents6"/>
            <w:tabs>
              <w:tab w:val="clear" w:pos="7609"/>
              <w:tab w:val="right" w:pos="9026" w:leader="dot"/>
            </w:tabs>
            <w:rPr/>
          </w:pPr>
          <w:hyperlink w:anchor="__RefHeading___Toc10417156_73709187">
            <w:r>
              <w:rPr>
                <w:webHidden/>
                <w:rStyle w:val="IndexLink"/>
                <w:rtl w:val="true"/>
              </w:rPr>
              <w:t>الإناء المُفضّض</w:t>
            </w:r>
            <w:r>
              <w:rPr>
                <w:rStyle w:val="IndexLink"/>
                <w:rtl w:val="true"/>
              </w:rPr>
              <w:tab/>
            </w:r>
            <w:r>
              <w:rPr>
                <w:rStyle w:val="IndexLink"/>
              </w:rPr>
              <w:t>420</w:t>
            </w:r>
          </w:hyperlink>
        </w:p>
        <w:p>
          <w:pPr>
            <w:pStyle w:val="Contents6"/>
            <w:tabs>
              <w:tab w:val="clear" w:pos="7609"/>
              <w:tab w:val="right" w:pos="9026" w:leader="dot"/>
            </w:tabs>
            <w:rPr/>
          </w:pPr>
          <w:hyperlink w:anchor="__RefHeading___Toc10417158_73709187">
            <w:r>
              <w:rPr>
                <w:webHidden/>
                <w:rStyle w:val="IndexLink"/>
                <w:rtl w:val="true"/>
              </w:rPr>
              <w:t>أواني المشركين</w:t>
            </w:r>
            <w:r>
              <w:rPr>
                <w:rStyle w:val="IndexLink"/>
                <w:rtl w:val="true"/>
              </w:rPr>
              <w:tab/>
            </w:r>
            <w:r>
              <w:rPr>
                <w:rStyle w:val="IndexLink"/>
              </w:rPr>
              <w:t>423</w:t>
            </w:r>
          </w:hyperlink>
        </w:p>
        <w:p>
          <w:pPr>
            <w:pStyle w:val="Contents2"/>
            <w:tabs>
              <w:tab w:val="clear" w:pos="8743"/>
              <w:tab w:val="right" w:pos="9026" w:leader="dot"/>
            </w:tabs>
            <w:rPr/>
          </w:pPr>
          <w:hyperlink w:anchor="__RefHeading___Toc10417160_73709187">
            <w:r>
              <w:rPr>
                <w:webHidden/>
                <w:rStyle w:val="IndexLink"/>
                <w:rtl w:val="true"/>
              </w:rPr>
              <w:t>فهرس الموضوعات</w:t>
            </w:r>
            <w:r>
              <w:rPr>
                <w:rStyle w:val="IndexLink"/>
                <w:rtl w:val="true"/>
              </w:rPr>
              <w:tab/>
            </w:r>
            <w:r>
              <w:rPr>
                <w:rStyle w:val="IndexLink"/>
              </w:rPr>
              <w:t>426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98_104406"/>
      <w:bookmarkStart w:id="1" w:name="pg11798_104406"/>
      <w:bookmarkEnd w:id="1"/>
    </w:p>
    <w:p>
      <w:pPr>
        <w:pStyle w:val="Heading2"/>
        <w:numPr>
          <w:ilvl w:val="1"/>
          <w:numId w:val="1"/>
        </w:numPr>
        <w:rPr/>
      </w:pPr>
      <w:bookmarkStart w:id="2" w:name="pg11798_104406"/>
      <w:bookmarkStart w:id="3" w:name="__RefHeading___Toc1041676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16768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98_104410"/>
      <w:bookmarkStart w:id="8" w:name="pg11798_104410"/>
      <w:bookmarkEnd w:id="8"/>
    </w:p>
    <w:p>
      <w:pPr>
        <w:pStyle w:val="Heading2"/>
        <w:numPr>
          <w:ilvl w:val="1"/>
          <w:numId w:val="1"/>
        </w:numPr>
        <w:rPr/>
      </w:pPr>
      <w:bookmarkStart w:id="9" w:name="pg11798_104410"/>
      <w:bookmarkStart w:id="10" w:name="__RefHeading___Toc10416770_73709187"/>
      <w:bookmarkStart w:id="11" w:name="_Toc3"/>
      <w:bookmarkEnd w:id="9"/>
      <w:bookmarkEnd w:id="10"/>
      <w:r>
        <w:rPr>
          <w:rtl w:val="true"/>
        </w:rPr>
        <w:t>تتمة كتاب الطهارة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0416772_73709187"/>
      <w:bookmarkStart w:id="13" w:name="_Toc4"/>
      <w:bookmarkEnd w:id="12"/>
      <w:r>
        <w:rPr>
          <w:rtl w:val="true"/>
        </w:rPr>
        <w:t>البابُ الخامس في النّجاسات وأحكامها</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1798_104412"/>
      <w:bookmarkStart w:id="15" w:name="pg11798_104412"/>
      <w:bookmarkEnd w:id="15"/>
    </w:p>
    <w:p>
      <w:pPr>
        <w:pStyle w:val="BookText"/>
        <w:rPr/>
      </w:pPr>
      <w:bookmarkStart w:id="16" w:name="pg11798_104412"/>
      <w:bookmarkEnd w:id="16"/>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النّجاسات</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0416774_73709187"/>
      <w:bookmarkStart w:id="18" w:name="_Toc5"/>
      <w:bookmarkEnd w:id="17"/>
      <w:r>
        <w:rPr>
          <w:rtl w:val="true"/>
        </w:rPr>
        <w:t>البابُ الخَامس في النّجاسات وأحكامها و المطهّرات</w:t>
      </w:r>
      <w:bookmarkEnd w:id="18"/>
    </w:p>
    <w:p>
      <w:pPr>
        <w:pStyle w:val="Heading4"/>
        <w:numPr>
          <w:ilvl w:val="3"/>
          <w:numId w:val="1"/>
        </w:numPr>
        <w:rPr/>
      </w:pPr>
      <w:bookmarkStart w:id="19" w:name="__RefHeading___Toc10416776_73709187"/>
      <w:bookmarkStart w:id="20" w:name="_Toc6"/>
      <w:bookmarkEnd w:id="19"/>
      <w:r>
        <w:rPr>
          <w:rtl w:val="true"/>
        </w:rPr>
        <w:t>فصل في النجاسات</w:t>
      </w:r>
      <w:bookmarkEnd w:id="20"/>
    </w:p>
    <w:p>
      <w:pPr>
        <w:pStyle w:val="Heading5"/>
        <w:numPr>
          <w:ilvl w:val="4"/>
          <w:numId w:val="1"/>
        </w:numPr>
        <w:rPr/>
      </w:pPr>
      <w:bookmarkStart w:id="21" w:name="__RefHeading___Toc10416778_73709187"/>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فيها لا بأس ببيان حقيقة النجاسة، فإنّ الأقوال فيها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الاُمور الواقعيّة التي كشف عنها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منتزعة من الحكم التكليفي، الذي يكون في موردها، وهو وجوب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حكماً وضعيّاً مستقلّاً في الجعل، مقتضياً لإيجاب الهجر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فتقريبه أنّها من مقولة الكيف، فيكون الخَبَثُ كيفاً قائماً بالجسم، 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المتنجّس فهو يُتّصف بالنجاسة بما له من الجواهر والإعراض، من دون أن يعرض عليه ما يكون مصداق وحقيقة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النجس بالذّات كالكافر، فهو مثل ما يماثله من أفراد الإنسان حسّاً من دون اختصاصه بوصف من الأوصاف الحقيقيّة، مع أنّه لا سبيل إلى توهّم أنّ في بدن الكافر شيئاً موجوداً خارجيّاً، ينعدم بمجرّد إظهار الشهادتين، إذ بدنه حسّاً وعياناً قبل إظهارهما وبعده على حَدٍّ سَواء، فما ذلك الكيفُ القائم بجسمه في حال الكفر، الذي لا يُحسَّ بقوّة من القوي‌؟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تامٍّ ثبوتاً وإثباتاً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الوجدان شاهدٌ على أنّ الناس يلاحظون النجاسة منفكّة عن الآثار، ولو كانت انتزاعيّة، لما كان يمكن الالتفات إليها، وتصوّرها بلا لحاظ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الأحكام التكليفيّة إنّما رُتّبت في الأدلّة على النجاسة، فكيف يمكن أن تكون هي منتزعة عنها؟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هو القول الثالث</w:t>
      </w:r>
      <w:r>
        <w:rPr>
          <w:rFonts w:eastAsia="IRNazanin" w:cs="IRNazanin"/>
          <w:color w:val="111111"/>
          <w:sz w:val="28"/>
          <w:szCs w:val="28"/>
          <w:rtl w:val="true"/>
          <w:lang w:bidi="fa-IR"/>
        </w:rPr>
        <w:t>.</w:t>
      </w:r>
      <w:bookmarkStart w:id="23" w:name="pg11798_104414"/>
    </w:p>
    <w:p>
      <w:pPr>
        <w:pStyle w:val="BookText"/>
        <w:rPr/>
      </w:pPr>
      <w:bookmarkEnd w:id="23"/>
      <w:r>
        <w:rPr>
          <w:rFonts w:ascii="Amiri" w:hAnsi="Amiri" w:eastAsia="Amiri" w:cs="Amiri"/>
          <w:color w:val="111111"/>
          <w:sz w:val="28"/>
          <w:sz w:val="28"/>
          <w:szCs w:val="28"/>
          <w:rtl w:val="true"/>
          <w:lang w:bidi="ar-SA"/>
        </w:rPr>
        <w:t>وهي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ممَّا لا يؤكل لحمه من ذي النفس السائلة</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10416780_73709187"/>
      <w:bookmarkStart w:id="25" w:name="_Toc8"/>
      <w:bookmarkEnd w:id="24"/>
      <w:r>
        <w:rPr>
          <w:rtl w:val="true"/>
        </w:rPr>
        <w:t>أقسام النجاسات</w:t>
      </w:r>
      <w:bookmarkEnd w:id="25"/>
    </w:p>
    <w:p>
      <w:pPr>
        <w:pStyle w:val="Heading6"/>
        <w:numPr>
          <w:ilvl w:val="5"/>
          <w:numId w:val="1"/>
        </w:numPr>
        <w:rPr/>
      </w:pPr>
      <w:bookmarkStart w:id="26" w:name="__RefHeading___Toc10416782_73709187"/>
      <w:bookmarkStart w:id="27" w:name="_Toc9"/>
      <w:bookmarkEnd w:id="26"/>
      <w:r>
        <w:rPr>
          <w:rtl w:val="true"/>
        </w:rPr>
        <w:t>اشارة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المتن وغيره من جملةٍ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10416784_73709187"/>
      <w:bookmarkStart w:id="29" w:name="_Toc10"/>
      <w:bookmarkEnd w:id="28"/>
      <w:r>
        <w:rPr>
          <w:rtl w:val="true"/>
        </w:rPr>
        <w:t>الأوّل والثاني</w:t>
      </w:r>
      <w:r>
        <w:rPr>
          <w:rtl w:val="true"/>
        </w:rPr>
        <w:t xml:space="preserve">: </w:t>
      </w:r>
      <w:r>
        <w:rPr>
          <w:rtl w:val="true"/>
        </w:rPr>
        <w:t>البول والغائط</w:t>
      </w:r>
      <w:bookmarkEnd w:id="29"/>
    </w:p>
    <w:p>
      <w:pPr>
        <w:pStyle w:val="Heading6"/>
        <w:numPr>
          <w:ilvl w:val="5"/>
          <w:numId w:val="1"/>
        </w:numPr>
        <w:rPr/>
      </w:pPr>
      <w:bookmarkStart w:id="30" w:name="__RefHeading___Toc10416786_73709187"/>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البول والغائط ممّا لا يؤكل لحمه من ذي 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غير واحدٍ حكايته، ولعلّ نجاستهما من الإنسان وبعض أنواع الحيوانات كادت تكون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لها في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بول كلّ ما لا يؤكل لحمه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يتمّبالإجماع على عدم الفصل، مضافاًإلى الإجماع عليه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نصوص</w:t>
      </w:r>
      <w:r>
        <w:rPr>
          <w:rStyle w:val="FootnoteAnchor"/>
          <w:rtl w:val="true"/>
        </w:rPr>
        <w:footnoteReference w:id="4"/>
      </w:r>
      <w:r>
        <w:rPr>
          <w:rFonts w:ascii="Amiri" w:hAnsi="Amiri" w:eastAsia="Amiri" w:cs="Amiri"/>
          <w:color w:val="111111"/>
          <w:sz w:val="28"/>
          <w:sz w:val="28"/>
          <w:szCs w:val="28"/>
          <w:rtl w:val="true"/>
          <w:lang w:bidi="ar-SA"/>
        </w:rPr>
        <w:t>مستفيضة دالّة على نجاسة العَذَرة، بناءً على شمولها لغائط غير الإنسان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الأمر بالغُسل على النجاسة لا يعتنى بها، لظهوره في كونه إرشاداً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المشهور بين الأصحاب أنّه لا فرق في ذلك بين أنواع ما لا يؤكل لحمه، وهو الذي يقتضيه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بطهارة بول الصبي الذَّكر قبل أكل اللّحم أو الطعام،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السكوني، عن أبي عبد اللّه عليه السلام،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ولبن الغلام لا يُغسل منه الثوب ولا بوله قبل أن يُطعم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w:t>
      </w:r>
      <w:r>
        <w:rPr>
          <w:rStyle w:val="FootnoteAnchor"/>
          <w:rtl w:val="true"/>
        </w:rPr>
        <w:footnoteReference w:id="7"/>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الراوندي بإسناده عن موسى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 الحَسَن والحُسين على ثوب رسول اللّه صلى الله عليه و آله قبل أن يُطعَما، فلم يَغسل بولهما من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السكوني لا يكون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انتفاء الغُسل لا يقتضي انتفاء الصَّب كي يدلّ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ظهورهما في الطهارة مكابرة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مضافاًإلى ضعف سند الثاني، ومعارضته في مورده بخبر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أتى بالحسن بن علي فَوُضِعَ في حِجْره فبالَ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تزرموا</w:t>
      </w:r>
      <w:r>
        <w:rPr>
          <w:rStyle w:val="FootnoteAnchor"/>
          <w:rtl w:val="true"/>
        </w:rPr>
        <w:footnoteReference w:id="8"/>
      </w:r>
      <w:r>
        <w:rPr>
          <w:rFonts w:ascii="Amiri" w:hAnsi="Amiri" w:eastAsia="Amiri" w:cs="Amiri"/>
          <w:color w:val="111111"/>
          <w:sz w:val="28"/>
          <w:sz w:val="28"/>
          <w:szCs w:val="28"/>
          <w:rtl w:val="true"/>
          <w:lang w:bidi="ar-SA"/>
        </w:rPr>
        <w:t>ابني، ثمّ دعا بماءٍ فصبّ عليه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واشتمال الأوّل على ما لا يقول به أحدٌ، وهو نجاسة لَبَن الجارية، أنّهما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معارضان برواياتٍ كصحيح الحلبي أو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بول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الماء، فإنْ كان قد أكل فاغسله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غيره، ولذا يُحمل الخبران على إرادة نفي الغُسل خاصّة، فلا يدلّان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التعارض، فلا ريب في تقديم تلك الروايات كما لا يخفى‌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2" w:name="pg11798_104417"/>
    </w:p>
    <w:p>
      <w:pPr>
        <w:pStyle w:val="Heading6"/>
        <w:numPr>
          <w:ilvl w:val="5"/>
          <w:numId w:val="1"/>
        </w:numPr>
        <w:rPr/>
      </w:pPr>
      <w:bookmarkStart w:id="33" w:name="__RefHeading___Toc10416788_73709187"/>
      <w:bookmarkStart w:id="34" w:name="_Toc12"/>
      <w:bookmarkEnd w:id="32"/>
      <w:bookmarkEnd w:id="33"/>
      <w:r>
        <w:rPr>
          <w:rtl w:val="true"/>
        </w:rPr>
        <w:t>بولُ الطّير</w:t>
      </w:r>
      <w:bookmarkEnd w:id="34"/>
    </w:p>
    <w:p>
      <w:pPr>
        <w:pStyle w:val="BookText"/>
        <w:rPr/>
      </w:pPr>
      <w:r>
        <w:rPr>
          <w:rFonts w:ascii="Amiri" w:hAnsi="Amiri" w:eastAsia="Amiri" w:cs="Amiri"/>
          <w:color w:val="111111"/>
          <w:sz w:val="28"/>
          <w:sz w:val="28"/>
          <w:szCs w:val="28"/>
          <w:rtl w:val="true"/>
          <w:lang w:bidi="ar-SA"/>
        </w:rPr>
        <w:t>نعم في الطيور المُحرّمة الأقوى عدم النجاسة، كما نُسب إلى الصدوق</w:t>
      </w:r>
      <w:r>
        <w:rPr>
          <w:rStyle w:val="FootnoteAnchor"/>
          <w:rtl w:val="true"/>
        </w:rPr>
        <w:footnoteReference w:id="11"/>
      </w:r>
      <w:r>
        <w:rPr>
          <w:rFonts w:ascii="Amiri" w:hAnsi="Amiri" w:eastAsia="Amiri" w:cs="Amiri"/>
          <w:color w:val="111111"/>
          <w:sz w:val="28"/>
          <w:sz w:val="28"/>
          <w:szCs w:val="28"/>
          <w:rtl w:val="true"/>
          <w:lang w:bidi="ar-SA"/>
        </w:rPr>
        <w:t>، والعُمّاني</w:t>
      </w:r>
      <w:r>
        <w:rPr>
          <w:rStyle w:val="FootnoteAnchor"/>
          <w:rtl w:val="true"/>
        </w:rPr>
        <w:footnoteReference w:id="12"/>
      </w:r>
      <w:r>
        <w:rPr>
          <w:rFonts w:ascii="Amiri" w:hAnsi="Amiri" w:eastAsia="Amiri" w:cs="Amiri"/>
          <w:color w:val="111111"/>
          <w:sz w:val="28"/>
          <w:sz w:val="28"/>
          <w:szCs w:val="28"/>
          <w:rtl w:val="true"/>
          <w:lang w:bidi="ar-SA"/>
        </w:rPr>
        <w:t>، والجُعفي</w:t>
      </w:r>
      <w:r>
        <w:rPr>
          <w:rStyle w:val="FootnoteAnchor"/>
          <w:rtl w:val="true"/>
        </w:rPr>
        <w:footnoteReference w:id="13"/>
      </w:r>
      <w:r>
        <w:rPr>
          <w:rFonts w:ascii="Amiri" w:hAnsi="Amiri" w:eastAsia="Amiri" w:cs="Amiri"/>
          <w:color w:val="111111"/>
          <w:sz w:val="28"/>
          <w:sz w:val="28"/>
          <w:szCs w:val="28"/>
          <w:rtl w:val="true"/>
          <w:lang w:bidi="ar-SA"/>
        </w:rPr>
        <w:t>، والشيخ</w:t>
      </w:r>
      <w:r>
        <w:rPr>
          <w:rStyle w:val="FootnoteAnchor"/>
          <w:rtl w:val="true"/>
        </w:rPr>
        <w:footnoteReference w:id="14"/>
      </w:r>
      <w:r>
        <w:rPr>
          <w:rFonts w:ascii="Amiri" w:hAnsi="Amiri" w:eastAsia="Amiri" w:cs="Amiri"/>
          <w:color w:val="111111"/>
          <w:sz w:val="28"/>
          <w:sz w:val="28"/>
          <w:szCs w:val="28"/>
          <w:rtl w:val="true"/>
          <w:lang w:bidi="ar-SA"/>
        </w:rPr>
        <w:t>في غير بول الخَشّاف</w:t>
      </w:r>
      <w:r>
        <w:rPr>
          <w:rStyle w:val="FootnoteAnchor"/>
          <w:rtl w:val="true"/>
        </w:rPr>
        <w:footnoteReference w:id="15"/>
      </w:r>
      <w:r>
        <w:rPr>
          <w:rFonts w:ascii="Amiri" w:hAnsi="Amiri" w:eastAsia="Amiri" w:cs="Amiri"/>
          <w:color w:val="111111"/>
          <w:sz w:val="28"/>
          <w:sz w:val="28"/>
          <w:szCs w:val="28"/>
          <w:rtl w:val="true"/>
          <w:lang w:bidi="ar-SA"/>
        </w:rPr>
        <w:t>وجماعة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يطير، فلا بأس ببوله وخرئه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ما نُقل عن محمّد الجعفي،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مخصّصة بالخشّاف إجماعاً، فيُخصّص بما يشاركه في العلّة، وهو عدم كونه مأكولاً، وليس مراده قياس غير الخشّاف به، كي يرد عليه أنّه باطلٌ عندنا، بل الظاهر أنّ مراده تقديم ما يدلّ بعمومه على نجاسة بول ما لا يؤكل لحمه لتقويته بما يدلّ على نجاسة بول الخشّاف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عدم إمكان الجمع العرفي بينهما، وستعرف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رحمه الله بطهارة ذرق ما يؤكل لحمه من الطيور، لرواية أبي بصير ضعيفٌ‌، لأنّ أحداً لم يعمل بها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عمل جمعٍ من المتأخّرين والمتقدّمين بها، أنّ‌ </w:t>
      </w:r>
    </w:p>
    <w:p>
      <w:pPr>
        <w:pStyle w:val="BookText"/>
        <w:rPr/>
      </w:pPr>
      <w:r>
        <w:rPr>
          <w:rFonts w:ascii="Amiri" w:hAnsi="Amiri" w:eastAsia="Amiri" w:cs="Amiri"/>
          <w:color w:val="111111"/>
          <w:sz w:val="28"/>
          <w:sz w:val="28"/>
          <w:szCs w:val="28"/>
          <w:rtl w:val="true"/>
          <w:lang w:bidi="ar-SA"/>
        </w:rPr>
        <w:t>عدم عملهم بها يُحتمل أن يكون لأجل ترجيح غيرها عليها، لا لعدم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روايةً شاذّة لا يعوّل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ذرق الطائر سواءٌ كان مأكول اللّحم أو غير مأكوله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فالرواية لوثاقة رجالها، واعتماد الصدوق والشيخ عليها، وعدم ثبوت إعراض غيرهما عنها معتمدة وعليها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بينها، وبين حسنة ابن سنان المتقدّمة، عمومٌ من وجه، فتتعارضان ويرجع إلى عموم ما يدلّ على نجاسة البول والعَذَرة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الرجوع إلى حجّة اُخرى عند التعارض بين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نفسه غير تامّ مطلقاً، لأنّ المحقّق ذكر في محلّه أنّه إذا كانت دلالة كلّ واحدٍ منهما بالعموم، يتعيّن الرجوع إلى المرجّحات السنديّة، وهي تقتضي تقديم الموثّقة لأوثقيّة رجالها، ولم يثبت اعتماد الأصحاب في الحكم بالنجاسة إلى الحَسَنة، حتّى يقال بترجيحها لكونها مشهورة، بل الظاهر أنّ الموثّقة من الروايات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لم يمكن الجمع العرفي بينهما، ولا يكون أحدهما أقوى دلالةً من الآخر في مورد التعارض، وفي ما نحن فيه يمكنُ ذلك، لأنّه لو قُدِّم الحسن لزم أن يكون تقييد الحكم في الموثّقة بالطيران، من دون مدخليّة له في إحراز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المدار على حليّة أكل اللّحم وحرمته، وهو مستهجنٌ عرفاً، وهذا بخلاف تخصيص الحسنة بها، كما لا يخفى‌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عدم الاستهجان، لكن لا شبهة في أقوائيّة دلالة الموثّقة لهذه الجهة، مضافاً إلى ندرة بول الطير المأكول اللّحم، بل عن المحقّق البغدادي رحمه الله</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بعدم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البول لغير الخفّاش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فالموثّقة نصٌّ في بول الطير غير مأكول اللّحم، والحسنة ظاهرة فيه، فتُقدَّم الأُولى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الأنصاري رحمه الله</w:t>
      </w:r>
      <w:r>
        <w:rPr>
          <w:rStyle w:val="FootnoteAnchor"/>
          <w:rtl w:val="true"/>
        </w:rPr>
        <w:footnoteReference w:id="21"/>
      </w:r>
      <w:r>
        <w:rPr>
          <w:rFonts w:ascii="Amiri" w:hAnsi="Amiri" w:eastAsia="Amiri" w:cs="Amiri"/>
          <w:color w:val="111111"/>
          <w:sz w:val="28"/>
          <w:sz w:val="28"/>
          <w:szCs w:val="28"/>
          <w:rtl w:val="true"/>
          <w:lang w:bidi="ar-SA"/>
        </w:rPr>
        <w:t>، أنّ العمل على المشهور، لموثّقة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خُرءُ الخطّاف لا بأس به، وهو ممّا يؤكل لحمه</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علّل الطهارة بأكل اللّحم لا بالطيران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الشيخ رحمه الله روايتها بإسقاط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الخُرء</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الطيران مانعاً عن النجاسة، والتعليل به إنّما يصحّ مع وجود المقتضي لها، وهو حرمة أكل اللّحم، وأمّا مع عدمه فالمتعيّن أو الأولى التعليل به لا بوجود المانع، فالموثّقة جارية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أنّ البول والخُرء من الطيور المحرّمة، لا يُحكم عليهما بالنجاسة، وإنْ كان الأحوط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الخفّاش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الشيخ رحمه الله</w:t>
      </w:r>
      <w:r>
        <w:rPr>
          <w:rStyle w:val="FootnoteAnchor"/>
          <w:rtl w:val="true"/>
        </w:rPr>
        <w:footnoteReference w:id="24"/>
      </w:r>
      <w:r>
        <w:rPr>
          <w:rFonts w:ascii="Amiri" w:hAnsi="Amiri" w:eastAsia="Amiri" w:cs="Amiri"/>
          <w:color w:val="111111"/>
          <w:sz w:val="28"/>
          <w:sz w:val="28"/>
          <w:szCs w:val="28"/>
          <w:rtl w:val="true"/>
          <w:lang w:bidi="ar-SA"/>
        </w:rPr>
        <w:t>نجاسة بوله، مع أنّه قائلٌ بعدم نجاسة بول غير المأكول من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ورد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ظاهرة في النجاسة، والاُخرى تدلّ على عدمها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بول الخشاشيف،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يصيبُ ثوبي فأطلبه ولا أجده‌؟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غياث،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بدم البراغيث والبقّ وبول الخشاشيف</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بعض الأعاظم من المعاصرين</w:t>
      </w:r>
      <w:r>
        <w:rPr>
          <w:rStyle w:val="FootnoteAnchor"/>
          <w:rtl w:val="true"/>
        </w:rPr>
        <w:footnoteReference w:id="27"/>
      </w:r>
      <w:r>
        <w:rPr>
          <w:rFonts w:ascii="Amiri" w:hAnsi="Amiri" w:eastAsia="Amiri" w:cs="Amiri"/>
          <w:color w:val="111111"/>
          <w:sz w:val="28"/>
          <w:sz w:val="28"/>
          <w:szCs w:val="28"/>
          <w:rtl w:val="true"/>
          <w:lang w:bidi="ar-SA"/>
        </w:rPr>
        <w:t>من أنّ رواية داود ضعيفة السند، غير تامّ‌، لأنّ الضعف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لأجل اشتراك موسى بن عمر بين الثقة والمجهول، ولم يعلم أنّ في الطريق أيّاً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بقرينة رواية محمّد بن أحمد بن يحيى عنه، لا يكون هو الحُضَيني، وغيره حسن أو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لأجل داود، فهو ثقة على الأقوى‌، كما هو خيرة جمع من الأعاظم، وقد وردت في مدحه رواية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رمي الشيخ رحمه الله</w:t>
      </w:r>
      <w:r>
        <w:rPr>
          <w:rStyle w:val="FootnoteAnchor"/>
          <w:rtl w:val="true"/>
        </w:rPr>
        <w:footnoteReference w:id="28"/>
      </w:r>
      <w:r>
        <w:rPr>
          <w:rFonts w:ascii="Amiri" w:hAnsi="Amiri" w:eastAsia="Amiri" w:cs="Amiri"/>
          <w:color w:val="111111"/>
          <w:sz w:val="28"/>
          <w:sz w:val="28"/>
          <w:szCs w:val="28"/>
          <w:rtl w:val="true"/>
          <w:lang w:bidi="ar-SA"/>
        </w:rPr>
        <w:t xml:space="preserve">رواية غياث بالشِّذوذ، وحملها على التقيّة، لا يوجب وَهناً فيها، لأنّ الظاهر أنّه لأجل مخالفتها لما دلّ على نجاسة بول ما لا يؤكل لحمه، كما استدلّ هو قدس سره بذلك،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وإجماع الأصحاب على نجاسته، ليس إجماعاً تعبّديّاً، ولا إعراضاً عن رواية غياث، لأنّ أغلبهم إنّما ذهبوا إليها لذهابهم إلى نجاسة بول كلّ ما لا يؤكل لحمه، ولو كان طيراً، وغيرهم سوى الشيخ رحمه الله لم ينصّ على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واحدة من الروايتين معتبرة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 يقتضي حمل خبر داود على الكراهة، بل لو ثبت دعوى عدم البول للطيور غير الخفّاش، يقع التعارض بين موثّقة أبي بصير وخبر داود، وقد عرفت أنّ الجمع العرفي يقتضي حمل الخبر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الحكم بالطهارة أنّ الخفّاش على ما اختبره جماعة لا يكون له نفسٌ سائلة، وستعرف الإجماع على طهارة البول والخُرء ممّا لا نفس سائله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 غير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أن يكون أصليّاً كالسِّباع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عارضيّاً كالجلّال، وموطوء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الغنم الذي شرب لبن خنزيرة، بناءً على حرمة أكل لحمها كما هي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يشهد لحرمة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29"/>
      </w:r>
      <w:r>
        <w:rPr>
          <w:rFonts w:ascii="Amiri" w:hAnsi="Amiri" w:eastAsia="Amiri" w:cs="Amiri"/>
          <w:color w:val="111111"/>
          <w:sz w:val="28"/>
          <w:sz w:val="28"/>
          <w:szCs w:val="28"/>
          <w:rtl w:val="true"/>
          <w:lang w:bidi="ar-SA"/>
        </w:rPr>
        <w:t>هشام،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من لحوم الجلّالات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ولحرمة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Style w:val="FootnoteAnchor"/>
          <w:rtl w:val="true"/>
        </w:rPr>
        <w:footnoteReference w:id="30"/>
      </w:r>
      <w:r>
        <w:rPr>
          <w:rFonts w:ascii="Amiri" w:hAnsi="Amiri" w:eastAsia="Amiri" w:cs="Amiri"/>
          <w:color w:val="111111"/>
          <w:sz w:val="28"/>
          <w:sz w:val="28"/>
          <w:szCs w:val="28"/>
          <w:rtl w:val="true"/>
          <w:lang w:bidi="ar-SA"/>
        </w:rPr>
        <w:t>مسمع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سُئل عن البهيمة التي تُنكَح‌؟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ولحرمة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Style w:val="FootnoteAnchor"/>
          <w:rtl w:val="true"/>
        </w:rPr>
        <w:footnoteReference w:id="31"/>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لحم حَمْلٍ رَضَع من لبن خنزيرة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فعدم الفرق بين الأصلي والعارضي في نجاسة البول والغائط كما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المشهور، وعن غير واحدٍ دعوى الإجماع عليه،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إطلاق النصوص الدالّة على نجاسة بول ما لا يؤكل لحمه، كحسنة ابن سنان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بإطلاق ما دلّ على طهارة بول الغنم والبقر ونحوهما، الشامل لحالتي الجَلَل والوطء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مراراً من أنّه</w:t>
      </w:r>
      <w:r>
        <w:rPr>
          <w:rStyle w:val="FootnoteAnchor"/>
          <w:rtl w:val="true"/>
        </w:rPr>
        <w:footnoteReference w:id="33"/>
      </w:r>
      <w:r>
        <w:rPr>
          <w:rFonts w:ascii="Amiri" w:hAnsi="Amiri" w:eastAsia="Amiri" w:cs="Amiri"/>
          <w:color w:val="111111"/>
          <w:sz w:val="28"/>
          <w:sz w:val="28"/>
          <w:szCs w:val="28"/>
          <w:rtl w:val="true"/>
          <w:lang w:bidi="ar-SA"/>
        </w:rPr>
        <w:t>في العامين من وجه إذا كان شمول أحدهما لمورد المعارضة بالعموم، والآخر بالإطلاق، قُدِّم العام على المطلق، وفي المقام بما أنّ دلالة الحسنة ونحوها على نجاسة بول الجلّال ونحوه تكون بالعموم، ودلالة تلك الأدلّة بالإطلاق، كما هو واضح، قُدّمت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 الطائفتين عرفاً، بل العرف يرون نصوص النجاسة قرينة لنصوص الطهارة، لأنّ موضوع الثانية من قبيل العنوان الأوّلي، وموضوع الأوّلي من قبيل العنوان الثانوي، والعرف يرون تقدّم الأُولى على الثانية في أمثال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أكل لحمه بما أنّه حيوانٌ‌، سواءٌ أكان بعنوانه الأوّلي كذلك، أو بالعنوان الطاري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يحرم لا بهذا العنوان، بل بعنوان كونه مغصوباً، مثلاً فلا يكون الإطلاق شاملاً 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 w:name="pg11798_104423"/>
    </w:p>
    <w:p>
      <w:pPr>
        <w:pStyle w:val="Heading6"/>
        <w:numPr>
          <w:ilvl w:val="5"/>
          <w:numId w:val="1"/>
        </w:numPr>
        <w:rPr/>
      </w:pPr>
      <w:bookmarkStart w:id="36" w:name="__RefHeading___Toc10416790_73709187"/>
      <w:bookmarkStart w:id="37" w:name="_Toc13"/>
      <w:bookmarkEnd w:id="35"/>
      <w:bookmarkEnd w:id="36"/>
      <w:r>
        <w:rPr>
          <w:rtl w:val="true"/>
        </w:rPr>
        <w:t>البول والغائط من حلال اللّحم</w:t>
      </w:r>
      <w:bookmarkEnd w:id="37"/>
    </w:p>
    <w:p>
      <w:pPr>
        <w:pStyle w:val="BookText"/>
        <w:rPr/>
      </w:pPr>
      <w:r>
        <w:rPr>
          <w:rFonts w:ascii="Amiri" w:hAnsi="Amiri" w:eastAsia="Amiri" w:cs="Amiri"/>
          <w:color w:val="111111"/>
          <w:sz w:val="28"/>
          <w:sz w:val="28"/>
          <w:szCs w:val="28"/>
          <w:rtl w:val="true"/>
          <w:lang w:bidi="ar-SA"/>
        </w:rPr>
        <w:t>وأمّا البول والغائط من حلال اللّحم، فطاهران بلا خلافٍ في الطهارة في الجملة، وعن غير واحدٍ 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كمصحّح زرارة، أنّهما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 في الجملة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خصوص الحمار والبَغَل والخيل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بالطهارة فيها أيضاً هو المشهور بين الأصحاب، وعن الإسكافي</w:t>
      </w:r>
      <w:r>
        <w:rPr>
          <w:rStyle w:val="FootnoteAnchor"/>
          <w:rtl w:val="true"/>
        </w:rPr>
        <w:footnoteReference w:id="36"/>
      </w:r>
      <w:r>
        <w:rPr>
          <w:rFonts w:ascii="Amiri" w:hAnsi="Amiri" w:eastAsia="Amiri" w:cs="Amiri"/>
          <w:color w:val="111111"/>
          <w:sz w:val="28"/>
          <w:sz w:val="28"/>
          <w:szCs w:val="28"/>
          <w:rtl w:val="true"/>
          <w:lang w:bidi="ar-SA"/>
        </w:rPr>
        <w:t>والشيخ</w:t>
      </w:r>
      <w:r>
        <w:rPr>
          <w:rStyle w:val="FootnoteAnchor"/>
          <w:rtl w:val="true"/>
        </w:rPr>
        <w:footnoteReference w:id="37"/>
      </w:r>
      <w:r>
        <w:rPr>
          <w:rFonts w:ascii="Amiri" w:hAnsi="Amiri" w:eastAsia="Amiri" w:cs="Amiri"/>
          <w:color w:val="111111"/>
          <w:sz w:val="28"/>
          <w:sz w:val="28"/>
          <w:szCs w:val="28"/>
          <w:rtl w:val="true"/>
          <w:lang w:bidi="ar-SA"/>
        </w:rPr>
        <w:t>في بعض كتبه، وجماعةٌ من المتأخّرين كالمحقّق الأردبيلي</w:t>
      </w:r>
      <w:r>
        <w:rPr>
          <w:rStyle w:val="FootnoteAnchor"/>
          <w:rtl w:val="true"/>
        </w:rPr>
        <w:footnoteReference w:id="38"/>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بالنجاسة، واستدلّ لها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محمّد بن مسلم،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أبوال الدّواب والبغال والحمير؟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وإنْ لم تعلم مكانه فاغسل الثوب كلّه، فإنْ شككت فانضحه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بروث الحمير، واغسل أبوالها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بول السَّنور والكلب والحِمار والفَرَس‌؟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كأبوال الإنسان</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عنها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لمعارضة هذه الروايات مع ما يدلّ على طهارة بول كلّ ما يؤكل لحمه، الشامل للدّواب الثلاث، تُحمل هذه النصوص على استحباب الغَسل والتجنّب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أخصّ من تلك الأخبار، ولا ريب في تقدّم ظهور المقيّد على ظهور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أبوال الدّواب، تُصيب الثّوب، فكرهه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لحومهاحلالاً؟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ليس ممّا جعله اللّه للأكل</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تكون شاهدة للجمع، وتبيّن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موضوعاً في تلك الأخبار هو ما خُلِق للأكل، فلا تشمل الدّواب المعدّة للزينة والركوب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الهمداني رحمه الله</w:t>
      </w:r>
      <w:r>
        <w:rPr>
          <w:rStyle w:val="FootnoteAnchor"/>
          <w:rtl w:val="true"/>
        </w:rPr>
        <w:footnoteReference w:id="45"/>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ذُكر لا يتمّ في موثّق ابن</w:t>
      </w:r>
      <w:r>
        <w:rPr>
          <w:rStyle w:val="FootnoteAnchor"/>
          <w:rtl w:val="true"/>
        </w:rPr>
        <w:footnoteReference w:id="46"/>
      </w:r>
      <w:r>
        <w:rPr>
          <w:rFonts w:ascii="Amiri" w:hAnsi="Amiri" w:eastAsia="Amiri" w:cs="Amiri"/>
          <w:color w:val="111111"/>
          <w:sz w:val="28"/>
          <w:sz w:val="28"/>
          <w:szCs w:val="28"/>
          <w:rtl w:val="true"/>
          <w:lang w:bidi="ar-SA"/>
        </w:rPr>
        <w:t xml:space="preserve">بكير، من أنّ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ممّا يؤكل لحمه، فالصلاة في وبره وبوله وشعره وروثه وألبانه، وكلّ شيء منه جائزة إذا علمتَ أنّه ذكّي وقد ذكّاه الذابح، وإنْ كان غير ذلك ممّا قد نهيت عن أكله، وحَرُم عليك أكله، فالصلاة في كلُّ شيءٍ منه فاسدة، ذكّاه الذابح أو لم يذكّه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خبر زرارة لا يكون حاكماً عليه، 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مقابلته بما حَرُم أكله، هو ما أُحلّ أكله 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خُلِق له، فالأمر يدور بين حمل أخبار النجاسة على استحباب التجنّب، وبين ارتكاب التخصيص بالنسبة إلى بول الدّواب في الموثّقة، المسوقة لإعطاء الضابط التي كادت تكون نصّاً في العموم، ولا ريب أنّ الأوّل أهون، لقوّة ظهور الموثّقة في العموم، ومضمونها بعمومه من القواعد المسلّمة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الثاني على الجواب الأوّل وإنْ كان لا يرد عليه، إلّاأنّ الإشكال الأوّل واردٌ، إذ ظهور الموثّقة في العموم وإنْ كان قويّاً، إلّاأنّه لظهور تلك النصوص التي تكون أخصّ منها في النجاسة، ترفع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جملةٍ من النصوص على طهارة أبوالها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الأغرّ النخّاس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اُعالجُ الدّواب فربما خرجتُ باللّيل، وقد بالت وراثت، فيضرب أحدهما برجله أو يده، فينضح على ثيابي، فأصبحُ فأرى أثره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المُعلّى بن خُنيس وابن أبي يعفور،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جنازةٍ وقُدّامنا حمارٌ، فجاءت الريح ببوله حتّى صكّت وجوهناوثيابنا، فدخلنا على أبي عبد اللّه عليه السلام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بأس</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فلأجل هذه الروايات تُحمل أخبار النجاسة على استحباب التجنّب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 هذا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 الروايتين، لأنّ الأُولى من رواتها أبو الأغرّ وهو مجهول، ومن جملة رجال الثانية الحَكَم بن مسكين وهو مجهولٌ‌، وإسحاق بن عمّار الذي وصفه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فطحي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رويت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رواه الصدوق بإسناده عن أبي الأغرّ، وهذا السند معتبرٌ لما عنه في مشيخته</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فيه عن أبي الأغرّ النخّاس، فقد رويته عن محمّد بن يحيى العطّار، عن إبراهيم بن هاشم، عن صفوان ابن يحيى‌، ومحمّد بن أبي عمير، عن أبي الأغرّ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الرجلين عنه مضافاً إلى أنّها نوع اعتمادٍ ووثوقٍ به، تجعل الرواية بحكم الصحيح، للإجماع على تصحيح ما يصحّ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حسنة، لأنّ الظاهر أنّ الحَكَم حسنٌ‌، لأنّ ظاهر كلام الشيخ والنجاشي أنّه إمامي، وإذا انضمّ إليه رواية ابن أبي عمير، والحسن بن محبوب من أصحاب الإجماع وغيرهما من الأجلّة عنه، وكونه كثير الرواية، وكونه صاحبُ كتبٍ متعدّدة، اندرج الخبرُ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رحمه الله</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كان كثير الرواية ولم يرد فيه طعنٌ فأنا أعمل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كون الروايتين يُعتمد عليهما، وبهما تُرفع اليد عن ظهور أخبار النجاسة فيها، ويؤيّد الحكم بالطهارة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بروث الحمير، واغسل أبوالها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رواية أبي مريم</w:t>
      </w:r>
      <w:r>
        <w:rPr>
          <w:rStyle w:val="FootnoteAnchor"/>
          <w:rtl w:val="true"/>
        </w:rPr>
        <w:footnoteReference w:id="53"/>
      </w:r>
      <w:r>
        <w:rPr>
          <w:rFonts w:ascii="Amiri" w:hAnsi="Amiri" w:eastAsia="Amiri" w:cs="Amiri"/>
          <w:color w:val="111111"/>
          <w:sz w:val="28"/>
          <w:sz w:val="28"/>
          <w:szCs w:val="28"/>
          <w:rtl w:val="true"/>
          <w:lang w:bidi="ar-SA"/>
        </w:rPr>
        <w:t>، ورواية عبد الأعلى‌</w:t>
      </w:r>
      <w:r>
        <w:rPr>
          <w:rStyle w:val="FootnoteAnchor"/>
          <w:rtl w:val="true"/>
        </w:rPr>
        <w:footnoteReference w:id="54"/>
      </w:r>
      <w:r>
        <w:rPr>
          <w:rFonts w:ascii="Amiri" w:hAnsi="Amiri" w:eastAsia="Amiri" w:cs="Amiri"/>
          <w:color w:val="111111"/>
          <w:sz w:val="28"/>
          <w:sz w:val="28"/>
          <w:szCs w:val="28"/>
          <w:rtl w:val="true"/>
          <w:lang w:bidi="ar-SA"/>
        </w:rPr>
        <w:t>في الحمير والبغال، فإنّها</w:t>
      </w:r>
    </w:p>
    <w:p>
      <w:pPr>
        <w:pStyle w:val="BookText"/>
        <w:rPr/>
      </w:pPr>
      <w:r>
        <w:rPr>
          <w:rFonts w:ascii="Amiri" w:hAnsi="Amiri" w:eastAsia="Amiri" w:cs="Amiri"/>
          <w:color w:val="111111"/>
          <w:sz w:val="28"/>
          <w:sz w:val="28"/>
          <w:szCs w:val="28"/>
          <w:rtl w:val="true"/>
          <w:lang w:bidi="ar-SA"/>
        </w:rPr>
        <w:t>بضميمة الإجماع على عدم الفرق بين البول والرّوث، تدلّ على طهارة بولهاأيضاً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بينهما فيها، محمولٌ على اختلاف مراتب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نفي الخلاف في طهارة البول والغائط، من حرام اللّحم الّذي ليس له دمٌ سائل كالسمك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بطهارته الأصل، وقصور دليل نجاسته من غير المأكول، وهو الإجماع عن الشمول له، وكذا بول ما لا لحم له، فإنّه لا يشمله عموم النجاسة،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بول ما له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ظهور كلمات جماعةٍ في عدم الخلاف في طهارته، ومن عموم حسنة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 المأكول وغير المأكول عن ما لا نفس له سائلة، كما ترى‌، والاحتياط في بوله لو كان لا يُترك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8" w:name="pg11798_104428"/>
    </w:p>
    <w:p>
      <w:pPr>
        <w:pStyle w:val="Heading6"/>
        <w:numPr>
          <w:ilvl w:val="5"/>
          <w:numId w:val="1"/>
        </w:numPr>
        <w:rPr/>
      </w:pPr>
      <w:bookmarkStart w:id="39" w:name="__RefHeading___Toc10416792_73709187"/>
      <w:bookmarkStart w:id="40" w:name="_Toc14"/>
      <w:bookmarkEnd w:id="38"/>
      <w:bookmarkEnd w:id="39"/>
      <w:r>
        <w:rPr>
          <w:rtl w:val="true"/>
        </w:rPr>
        <w:t>فروع النجاسات</w:t>
      </w:r>
      <w:bookmarkEnd w:id="40"/>
    </w:p>
    <w:p>
      <w:pPr>
        <w:pStyle w:val="Heading6"/>
        <w:numPr>
          <w:ilvl w:val="5"/>
          <w:numId w:val="1"/>
        </w:numPr>
        <w:rPr/>
      </w:pPr>
      <w:bookmarkStart w:id="41" w:name="__RefHeading___Toc10416794_73709187"/>
      <w:bookmarkStart w:id="42" w:name="_Toc15"/>
      <w:bookmarkEnd w:id="41"/>
      <w:r>
        <w:rPr>
          <w:rtl w:val="true"/>
        </w:rPr>
        <w:t>ملاقاة الغائط في الباطن هل توجب النجاسة أم لا؟</w:t>
      </w:r>
      <w:bookmarkEnd w:id="42"/>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الغائط في الباطن هل توجب النجاسة أم لا؟</w:t>
      </w:r>
    </w:p>
    <w:p>
      <w:pPr>
        <w:pStyle w:val="BookText"/>
        <w:rPr/>
      </w:pPr>
      <w:r>
        <w:rPr>
          <w:rFonts w:ascii="Amiri" w:hAnsi="Amiri" w:eastAsia="Amiri" w:cs="Amiri"/>
          <w:color w:val="111111"/>
          <w:sz w:val="28"/>
          <w:sz w:val="28"/>
          <w:szCs w:val="28"/>
          <w:rtl w:val="true"/>
          <w:lang w:bidi="ar-SA"/>
        </w:rPr>
        <w:t>وجهان أقواهما الأخير، لأنّ ملاقاة النجاسة في الداخل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المتلاقيان من الداخل، كملاقاة الأسنان مع الدّم الخارج من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النجاسة من الداخل والملاقي من الخارج، كالماء الطاهر يتمضمض به مع وجود الدّم الخارج من بين الأسنان في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الداخل النّجاسة، كماء النجس يتمضمض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المتلاقيان من الخارج، والملاقاة تكون في الداخل، كالسِّن المعمول عند ملاقاته مع الماء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عندنا في الطهارة بعد الزوال، بلا احتياج إلى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تأثير النجاسات ما لم تخرج، بل لا دليل على نجاستها، لأنّ ما دلّ على تأثيرها من النص والإجماع، إنّما يدلّ عليه إذا خرج كما لا يخفى‌، وتؤيّدها الأخبار</w:t>
      </w:r>
      <w:r>
        <w:rPr>
          <w:rStyle w:val="FootnoteAnchor"/>
          <w:rtl w:val="true"/>
        </w:rPr>
        <w:footnoteReference w:id="55"/>
      </w:r>
      <w:r>
        <w:rPr>
          <w:rFonts w:ascii="Amiri" w:hAnsi="Amiri" w:eastAsia="Amiri" w:cs="Amiri"/>
          <w:color w:val="111111"/>
          <w:sz w:val="28"/>
          <w:sz w:val="28"/>
          <w:szCs w:val="28"/>
          <w:rtl w:val="true"/>
          <w:lang w:bidi="ar-SA"/>
        </w:rPr>
        <w:t>الواردة في الاستنجاء، وفي دم الرّعاف التي وقع التصريح فيها بأنّه إنّما يغسل الظاهر دون الباطن، حيث أنّ الغسل إذا كان بالماء القليل لا يوجب الطهارة على فرض نجاسة ما في الداخل من الأعيان النجسة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فيها، ولا خلاف، لما عرفت من عدم الدليل على </w:t>
      </w:r>
    </w:p>
    <w:p>
      <w:pPr>
        <w:pStyle w:val="BookText"/>
        <w:rPr/>
      </w:pPr>
      <w:r>
        <w:rPr>
          <w:rFonts w:ascii="Amiri" w:hAnsi="Amiri" w:eastAsia="Amiri" w:cs="Amiri"/>
          <w:color w:val="111111"/>
          <w:sz w:val="28"/>
          <w:sz w:val="28"/>
          <w:szCs w:val="28"/>
          <w:rtl w:val="true"/>
          <w:lang w:bidi="ar-SA"/>
        </w:rPr>
        <w:t>تأثير النجاسات ما لم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الكبرى الكليّة، وهي تنجّس كلّ جسمٍ لاقى مع النجس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المستند إنْ كان هو الأدلّة اللّفظيّة، فقد عرفت اختصاصها بما إذا خرج، فالتعدّي لا وجه له، وإنْ كان وقوع التعبير بها في كلمات الأصحاب ومعاقد إجماعاًتهم، فلا يعلم إرادتها من كلماتهم، وإنْ كان هو العلم بالمناط، فهو ينافي الترديد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مستنداً للكليّة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 الطهارة الروايات</w:t>
      </w:r>
      <w:r>
        <w:rPr>
          <w:rStyle w:val="FootnoteAnchor"/>
          <w:rtl w:val="true"/>
        </w:rPr>
        <w:footnoteReference w:id="56"/>
      </w:r>
      <w:r>
        <w:rPr>
          <w:rFonts w:ascii="Amiri" w:hAnsi="Amiri" w:eastAsia="Amiri" w:cs="Amiri"/>
          <w:color w:val="111111"/>
          <w:sz w:val="28"/>
          <w:sz w:val="28"/>
          <w:szCs w:val="28"/>
          <w:rtl w:val="true"/>
          <w:lang w:bidi="ar-SA"/>
        </w:rPr>
        <w:t>الواردة في الاستنجاء، وفي دم الرِّعاف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الإجماع والسيرة القطعيّة على طهارة الباطن بمجرّد زوال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تنجّس البواطن بملاقاة النجاسة، لاختصاص الأدلّة بالظواهر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الكبرى الكليّة، وهي تنجّس كلّ جسمٍ بملاقاة النجاسة مِن تتبّع النصوص والفتاوى، قد عرفت ما فيها آنفاً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w:t>
      </w:r>
      <w:r>
        <w:rPr>
          <w:rStyle w:val="FootnoteAnchor"/>
          <w:rtl w:val="true"/>
        </w:rPr>
        <w:footnoteReference w:id="57"/>
      </w:r>
      <w:r>
        <w:rPr>
          <w:rFonts w:ascii="Amiri" w:hAnsi="Amiri" w:eastAsia="Amiri" w:cs="Amiri"/>
          <w:color w:val="111111"/>
          <w:sz w:val="28"/>
          <w:sz w:val="28"/>
          <w:szCs w:val="28"/>
          <w:rtl w:val="true"/>
          <w:lang w:bidi="ar-SA"/>
        </w:rPr>
        <w:t>طهارة بلل الفرج، مع كون المرأة جُنُباً، فإنّه شاملٌ لما إذا كانت جنابتها بإنزال الرَّجل في فرجها، بل هو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عبد الحميد</w:t>
      </w:r>
      <w:r>
        <w:rPr>
          <w:rStyle w:val="FootnoteAnchor"/>
          <w:rtl w:val="true"/>
        </w:rPr>
        <w:footnoteReference w:id="58"/>
      </w:r>
      <w:r>
        <w:rPr>
          <w:rFonts w:ascii="Amiri" w:hAnsi="Amiri" w:eastAsia="Amiri" w:cs="Amiri"/>
          <w:color w:val="111111"/>
          <w:sz w:val="28"/>
          <w:sz w:val="28"/>
          <w:szCs w:val="28"/>
          <w:rtl w:val="true"/>
          <w:lang w:bidi="ar-SA"/>
        </w:rPr>
        <w:t>، عن الإمام الصادق عليه السلام الدالّ على طهارة بصاق شارب الخمر، فإنّه بضميمة ما يدلّ على نجاسة الخمر، يدلّ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في هاتين الصورتين، ظهر أنّ ملاقاة الغائط في الداخل لا توجب النجاسة، حتّى فيما لو أدخل من الخارج شيءٌ فلاقى الغائط في الداخل، كشيشة الاحتقان، وماء الحقنة الّذي يخرج ولا يصاحبه شيء من أجزاء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التشكيك في الحكم بالنجاسة فيها، لإطلاق الأدلّة كما هو واضح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3" w:name="pg11798_104431"/>
    </w:p>
    <w:p>
      <w:pPr>
        <w:pStyle w:val="Heading6"/>
        <w:numPr>
          <w:ilvl w:val="5"/>
          <w:numId w:val="1"/>
        </w:numPr>
        <w:rPr/>
      </w:pPr>
      <w:bookmarkStart w:id="44" w:name="__RefHeading___Toc10416796_73709187"/>
      <w:bookmarkStart w:id="45" w:name="_Toc16"/>
      <w:bookmarkEnd w:id="43"/>
      <w:bookmarkEnd w:id="44"/>
      <w:r>
        <w:rPr>
          <w:rtl w:val="true"/>
        </w:rPr>
        <w:t>بيع البول والغائط</w:t>
      </w:r>
      <w:bookmarkEnd w:id="45"/>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بيع الغائط من مأكول اللّحم، كما هو المشهور بين الأصحاب</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المرتضى رحمه الله</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ما يدلّ على حليّة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مالاً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للانتفاع به في التسميد ونحوه من المنافع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من الخبائث لا يوجبُ حرمة بيعه، لأنّ تحريم الخبائث إنّما يكون بالنسبة إلى الأكل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ظاهره تحريم جميع منافعه، لأنّه الظاهر من تحريم عين الشيء، ومنفعة الروث لا تختصّ بالأكل، بل له منافعُ محلّلة اُخرى كما عرفت، فلا إشكال في جواز بيعه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له منفعة محلّلة مقصودة عُقلائيّة، موجبة لصيرورته مالاً، جاز بيعه، للعمومات الدالّة على صحّة البيع، وإنْ لم يكن له منفعة، كما هو الغالب لكونه مستقذراً عند العرف، فحيث لا يكون مالاً فلا يجوز بيعه، وجواز شربه اختياراً لا يكون ملاك جواز بيعه، كما عن الشيخ الأعظم رحمه الله</w:t>
      </w:r>
      <w:r>
        <w:rPr>
          <w:rStyle w:val="FootnoteAnchor"/>
          <w:rtl w:val="true"/>
        </w:rPr>
        <w:footnoteReference w:id="63"/>
      </w:r>
      <w:r>
        <w:rPr>
          <w:rFonts w:ascii="Amiri" w:hAnsi="Amiri" w:eastAsia="Amiri" w:cs="Amiri"/>
          <w:color w:val="111111"/>
          <w:sz w:val="28"/>
          <w:sz w:val="28"/>
          <w:szCs w:val="28"/>
          <w:rtl w:val="true"/>
          <w:lang w:bidi="ar-SA"/>
        </w:rPr>
        <w:t>، لعدم صيرورته مالاً بمجرّد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عدم جواز بيع بول الإبل، إنْ لم يكن إجماعٌ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بيعهما من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بلا خلافٍ‌، ويشهد لعدم جواز بيع بوله ما تقدّم، مضافاً إلى النهي عنه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وإنْ كان جواز بيعه، إلّاأنّه يدلّ على عدم الجواز رواية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سحتٌ‌</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لرواية محمّد بن مضارب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لكنّها تُطرح للإجماع على خلافها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w:t>
      </w:r>
      <w:r>
        <w:rPr>
          <w:rStyle w:val="FootnoteAnchor"/>
          <w:rtl w:val="true"/>
        </w:rPr>
        <w:footnoteReference w:id="66"/>
      </w:r>
      <w:r>
        <w:rPr>
          <w:rFonts w:ascii="Amiri" w:hAnsi="Amiri" w:eastAsia="Amiri" w:cs="Amiri"/>
          <w:color w:val="111111"/>
          <w:sz w:val="28"/>
          <w:sz w:val="28"/>
          <w:szCs w:val="28"/>
          <w:rtl w:val="true"/>
          <w:lang w:bidi="ar-SA"/>
        </w:rPr>
        <w:t>الأُولى على عَذَرة الإنسان، والثانية على غيرها، حَملٌ تبرّعي، كما أنّ حمل الأُولى على الكراهة بعيدٌ جدّاً، فلا يُصار إليه، فلا مناص إلّاعن طرح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الانتفاع بهما كما هو المشهور، بل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وغيره،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وهب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لا يرى بأساً أن تُطرح في المزارع العذرة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فخر الدين</w:t>
      </w:r>
      <w:r>
        <w:rPr>
          <w:rStyle w:val="FootnoteAnchor"/>
          <w:rtl w:val="true"/>
        </w:rPr>
        <w:footnoteReference w:id="69"/>
      </w:r>
      <w:r>
        <w:rPr>
          <w:rFonts w:ascii="Amiri" w:hAnsi="Amiri" w:eastAsia="Amiri" w:cs="Amiri"/>
          <w:color w:val="111111"/>
          <w:sz w:val="28"/>
          <w:sz w:val="28"/>
          <w:szCs w:val="28"/>
          <w:rtl w:val="true"/>
          <w:lang w:bidi="ar-SA"/>
        </w:rPr>
        <w:t xml:space="preserve">من دعوى الإجماع على حرمة الانتفاع بالنجس مطلقاً، غيرُ ثابتٍ‌، بل عن غير واحدٍ خلافه، والنهي عن جميع التقلّبات في النجس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منه الانتفاع المحرّم، مضافاً إلى عدم الجابر لها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6" w:name="pg11798_104433"/>
    </w:p>
    <w:p>
      <w:pPr>
        <w:pStyle w:val="Heading6"/>
        <w:numPr>
          <w:ilvl w:val="5"/>
          <w:numId w:val="1"/>
        </w:numPr>
        <w:rPr/>
      </w:pPr>
      <w:bookmarkStart w:id="47" w:name="__RefHeading___Toc10416798_73709187"/>
      <w:bookmarkStart w:id="48" w:name="_Toc17"/>
      <w:bookmarkEnd w:id="46"/>
      <w:bookmarkEnd w:id="47"/>
      <w:r>
        <w:rPr>
          <w:rtl w:val="true"/>
        </w:rPr>
        <w:t>الشكّ في التذكية</w:t>
      </w:r>
      <w:bookmarkEnd w:id="48"/>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كون الحيوان مأكول اللّحم أو غيره، لا يُحكم بنجاسة بوله وروثه لقاعدة الطهارة، من غير فرقٍ بين كون الشبهة موضوعيّة، أو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حرمة 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التفصيل في المسألة، وذلك لأنّ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كانت الشبهة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قبوله للتذكية على كلّ حالٍ‌، وشكّ في حليّته وحرمته، حكم بالحليّة لقاعدة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في قبوله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فإنْكان من جهة احتمال عروض المانع، كما إذا شكّ في حليّة الغنم المُذكّى لأجل احتمال صيرورته جلّالاً، فيحكم بالحليّة أيضاً، لاستصحاب عدم عروض المانع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الشكّ في قبوله التذكية، من جهة الشكّ في أنّه من القسم الذي يقبل التذكية كالغنم، أو من القسم الذي لا يقبل التذكية كالكلب، فبناءً على القول بوجود عمومٍ يدلّ على قبول كلّ حيوانٍ للتذكية، إلّاما خرج بالدليل، ولعلّه الصحيح كما ادّعاه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70"/>
      </w:r>
      <w:r>
        <w:rPr>
          <w:rFonts w:ascii="Amiri" w:hAnsi="Amiri" w:eastAsia="Amiri" w:cs="Amiri"/>
          <w:color w:val="111111"/>
          <w:sz w:val="28"/>
          <w:sz w:val="28"/>
          <w:szCs w:val="28"/>
          <w:rtl w:val="true"/>
          <w:lang w:bidi="ar-SA"/>
        </w:rPr>
        <w:t>، وبناءً على جريان استصحاب العدم الأزلي، كما هو الحقّ‌، يحكم بالحليّة أيضاً، إذ استصحاب عدم تحقّق العنوان الذي خرج عن العموم يدخله في العموم، ويحكم بقبوله التذكية، فلا يجري استصحاب عدم التذكية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أنكرنا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التذكية عبارة عن الأفعال الخاصّة، بلا دخل لشيءٍ آخر فيه، فلا يبقى شكٌّ في التذكية، وفي حليّته وحرمته يرجع إلى قاعدة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عبارة عن الأفعال الخاصّة عن خصوصيّة في المحلّ بنحو الشرطيّة أو الشطريّة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جريان استصحاب العدم الأزلي، يجري استصحاب عدم الخصوصيّة فيحكم بعدم تحقّق التذكية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جريان استصحاب العدم الأزلي، فلا يجري استصحاب عدم التذكية، فيحكم بالحليّة لأصالتها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عدم تحقّق المجموع، لا يجري لعدم كونه أمراً آخر وراء الأجزاء، والموضوع إنّما هو ذوات الأجزاء بلا دخل لشيء آخر فيه، وإنْ كانت أمراً توليديّاً مسبّباً عن الذّبح بشرائطه كما هو الأظهر، فيستصحب عدمها ويحكم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الشكّ في وقوع التذكية على الحيوان بعد إحراز قبوله لها، فالمرجع هو أصالة عدمها على جميع التقادير، فيحكم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حكمنا فيها بالحليّة مستنداً إلى قاعدة الحِلّ‌، بالحرمة مستنداً إلى استصحاب حرمة أكله الثابته قبل زهاق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أكله حيّاً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ثابتة له على الفرض بما أنّه حيوان، وهذا العنوان متقوّمٌ بالحياة، والمشكوك فيه إنّما هو حليّة اللّحم، وهما متغايران، فليس مورداً للاستصحاب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الشبهة 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الشكّ من غير جهة التذكية، فلا إشكال في أنّ المرجع أصالة الحِلّ‌، واستصحاب الحرمة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جهة الجهل بقبوله للتذكية، كما في الحيوان المتولّد من حيوانين كالشّاة والكلب، ولا يشبه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عمومٌ يدلّ على قبول كلّ حيوان للتذكية إلّاما خرج، فيتمسّك به ويحكم بالحليّة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كانت التذكية أمراً بسيطاً فالأصل عدمها، وإلّا فالمرجع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الشكّ من جهة احتمال طروّ المانع، وإلّا فيستصحب عدمه، كما لو شكّ في أنّ شرب لبن الخنزيرة مرّةً واحدة مانعٌ عن الحليّة أم لا، ولم يدلّ دليلٌ على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منشأ الشكّ أنّ الذبح الواقع بغير الحديد، مع التمكّن من الذبح به، يوجبُ التذكية أم لا، فالمرجع أصالة عدم تحقّق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 في الموارد التي يُحكم فيها بحرمة أكل لحم الحيوان، كيف يحكم بطهارة بوله وروثه، مع أنّ مقتضى الروايات نجاستهما من كلّ ما لا يؤكل لحمه‌؟</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الروايات إنّما تدلّ على نجاستهما من حيوانٍ كانت له خصوصيّة مقتضية للحرمة، والاستصحاب لا يثبت 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بالاستصحاب تثبت الحرمة بعنوان أنّه ميتة، والملازمة إنّما تكون بين النجاسة والحرمة الثابتة للحيوان بما أنّه حيوان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يُحكم بالنجاسة، إذا لم يُعلم أنّ له دماً سائلاً، لأصالة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بناءً على جواز التمسّك بالعام في الشبهة المصداقيّة، لابدّ من الحكم بالنجاسة، لعموم ما يدلّ على نجاستهما من كلّ ما لا يؤكل لحمه، لأنّ الخارج هو ما ليس له دمٌ سائل المشكوك صدقه في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لها بتوقّف امتثال الأمر بالاجتناب عن النجس على البناء على النجاسة، ولأنّه كسائر الموضوعات التي علق الشارع عليها أحكاماً كالصلاة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الاجتناب عن مورد الشكّ‌، ليس ممّا يتوقّف عليه الاجتناب عن النجس، وقياسه بمثل الوقت مع الفارق، لأنّه يكون الشكّ فيه شكّاً في الامتثال، وما نحن فيه 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الاستدلال لها باستصحاب العدم الأزلي أيضاً غير صحيح؛ لأنّ عنوان المخصّص في المقام عدمي، فلا معني لاستصحاب عدمهُ‌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9" w:name="pg11798_104437"/>
    </w:p>
    <w:p>
      <w:pPr>
        <w:pStyle w:val="Heading6"/>
        <w:numPr>
          <w:ilvl w:val="5"/>
          <w:numId w:val="1"/>
        </w:numPr>
        <w:rPr/>
      </w:pPr>
      <w:bookmarkStart w:id="50" w:name="__RefHeading___Toc10416800_73709187"/>
      <w:bookmarkStart w:id="51" w:name="_Toc18"/>
      <w:bookmarkEnd w:id="49"/>
      <w:bookmarkEnd w:id="50"/>
      <w:r>
        <w:rPr>
          <w:rtl w:val="true"/>
        </w:rPr>
        <w:t>الثالث</w:t>
      </w:r>
      <w:r>
        <w:rPr>
          <w:rtl w:val="true"/>
        </w:rPr>
        <w:t xml:space="preserve">: </w:t>
      </w:r>
      <w:r>
        <w:rPr>
          <w:rtl w:val="true"/>
        </w:rPr>
        <w:t>المنيّ‌</w:t>
      </w:r>
      <w:bookmarkEnd w:id="51"/>
    </w:p>
    <w:p>
      <w:pPr>
        <w:pStyle w:val="BookText"/>
        <w:rPr/>
      </w:pPr>
      <w:r>
        <w:rPr>
          <w:rFonts w:ascii="Amiri" w:hAnsi="Amiri" w:eastAsia="Amiri" w:cs="Amiri"/>
          <w:color w:val="111111"/>
          <w:sz w:val="28"/>
          <w:sz w:val="28"/>
          <w:szCs w:val="28"/>
          <w:rtl w:val="true"/>
          <w:lang w:bidi="ar-SA"/>
        </w:rPr>
        <w:t>والمَنيّ مِنْ ذي النفس السائلة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نجاسة المَنيّ‌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النجاسات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 مِنْ ذي النفس السائلة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مني الحيوان غير الإنسان ممّا له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مني ما ليس له دمٌ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نجاسته، بل تكون نجاسته من الضروريّات، وتدلّ عليها جملة كثيرة</w:t>
      </w:r>
      <w:r>
        <w:rPr>
          <w:rStyle w:val="FootnoteAnchor"/>
          <w:rtl w:val="true"/>
        </w:rPr>
        <w:footnoteReference w:id="72"/>
      </w:r>
      <w:r>
        <w:rPr>
          <w:rFonts w:ascii="Amiri" w:hAnsi="Amiri" w:eastAsia="Amiri" w:cs="Amiri"/>
          <w:color w:val="111111"/>
          <w:sz w:val="28"/>
          <w:sz w:val="28"/>
          <w:szCs w:val="28"/>
          <w:rtl w:val="true"/>
          <w:lang w:bidi="ar-SA"/>
        </w:rPr>
        <w:t>من النصوص، وما توهم أن يكون معارضاً لها كلّه أجنبيٌ عن المقام،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 واردٌ في مقام بيان عدم تنجّس ما لاقى مع ما فيه المني، فيدلّ على أنّ ملاقي الشبهة المحصورة لا يحكم عليه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 واردٌ في مقام بيان عدم تنجيس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فلا مناص عن طرحه كما لا يخفى‌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أعاظم متأخّري المتأخّرين،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والشيخ الأعظم</w:t>
      </w:r>
      <w:r>
        <w:rPr>
          <w:rStyle w:val="FootnoteAnchor"/>
          <w:rtl w:val="true"/>
        </w:rPr>
        <w:footnoteReference w:id="74"/>
      </w:r>
      <w:r>
        <w:rPr>
          <w:rFonts w:ascii="Amiri" w:hAnsi="Amiri" w:eastAsia="Amiri" w:cs="Amiri"/>
          <w:color w:val="111111"/>
          <w:sz w:val="28"/>
          <w:sz w:val="28"/>
          <w:szCs w:val="28"/>
          <w:rtl w:val="true"/>
          <w:lang w:bidi="ar-SA"/>
        </w:rPr>
        <w:t>، والمحقّق الهمداني</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ما يدلّ على نجاسته الإجماع، وكون </w:t>
      </w:r>
    </w:p>
    <w:p>
      <w:pPr>
        <w:pStyle w:val="BookText"/>
        <w:rPr/>
      </w:pPr>
      <w:r>
        <w:rPr>
          <w:rFonts w:ascii="Amiri" w:hAnsi="Amiri" w:eastAsia="Amiri" w:cs="Amiri"/>
          <w:color w:val="111111"/>
          <w:sz w:val="28"/>
          <w:sz w:val="28"/>
          <w:szCs w:val="28"/>
          <w:rtl w:val="true"/>
          <w:lang w:bidi="ar-SA"/>
        </w:rPr>
        <w:t>المسألة من المسلّمات، وإلّا فالأخبار التي يستدلّ بها للعموم كصحيح محمّد بن مسلم،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المني وشدّده، وجَعَله أشدّ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المنيّ قبلُ أو بعدما تدخل في الصّلاة، فعليك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وصحيحه الآخر عن أحدهما عليهما السلام</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المنيّ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 مكانه فاغسله، وإنْ خفي عليك فاغسله كلّه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رواية</w:t>
      </w:r>
      <w:r>
        <w:rPr>
          <w:rStyle w:val="FootnoteAnchor"/>
          <w:rtl w:val="true"/>
        </w:rPr>
        <w:footnoteReference w:id="79"/>
      </w:r>
      <w:r>
        <w:rPr>
          <w:rFonts w:ascii="Amiri" w:hAnsi="Amiri" w:eastAsia="Amiri" w:cs="Amiri"/>
          <w:color w:val="111111"/>
          <w:sz w:val="28"/>
          <w:sz w:val="28"/>
          <w:szCs w:val="28"/>
          <w:rtl w:val="true"/>
          <w:lang w:bidi="ar-SA"/>
        </w:rPr>
        <w:t>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تعارف إصابة منيّ الإنسان ثوبه، وعدم تعارف إصابة غيره، بل ندرتها، ينصرف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قوله عليه السلام في موثّق</w:t>
      </w:r>
      <w:r>
        <w:rPr>
          <w:rStyle w:val="FootnoteAnchor"/>
          <w:rtl w:val="true"/>
        </w:rPr>
        <w:footnoteReference w:id="80"/>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أُكل لحمه فلا بأس بما يخرج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في موثّق</w:t>
      </w:r>
      <w:r>
        <w:rPr>
          <w:rStyle w:val="FootnoteAnchor"/>
          <w:rtl w:val="true"/>
        </w:rPr>
        <w:footnoteReference w:id="81"/>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ممّا يُؤكل لحمه، فالصلاة في وبره وبوله وشعره وروثه وألبانه، وكلُّ شيءٍ منه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طهارته من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دعوى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ندرة الابتلاء بمنيّ غير الإنسان غير ثابتة، بل كثرة الابتلاء بالنسبة إلى بعضه كمنيّ الغنم والحمار والديك وأشباهها محقّقة، خصوصاً للمكاري وأمثاله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منّا مراراً من أنّ ندرة الفرد، أو ندرة الابتلاء به، لا توجب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الانصراف المانع من التمسّك بالإطلاق، وإنّما هو بالنسبة إلى ما إذا كان صدق الطبيعي على فردٍ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صدقه عليه كصدقه على غيره كما في المقام، فلا وجه لدعوى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التمسّك بإطلاق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المنيّ‌، لأنّ العرف يفهمون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البول والغائط، ولذا ترى أنّ الفقهاء الذين هم أهل اللّسان، ذكروا الرواية في خصوص باب البول والغائط، واستدلّوا بها في ذلك الباب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يكون في مقام بيان مانعيّة غير مأكول اللّحم ويدلّ على أنّ أجزاء مأكول اللّحم ليس كاجزاء غيره ممّا يكون بنفسه مانعاً عن الصّلاة، وكما أنّه لا ينافي مع مانعيّة الدّم لأجل نجاسته، كذلك لا ينافي مع مانعيّة المنيّ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ناظراً إلى الجهات الاُخر، وإنّما يدلّ على أنّ أجزاء مأكول اللّحم بأنفسها ليست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 تماميّة دلالة المطلقات على النجاسة، وعدم المعارض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مني ما لا نفس له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رواية حفص بن غياث،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كما عرفت سابقاً، يدلّ على عدم تنجّس الماء بواسطة ما ليس له دمٌ سائل، فلو كان منيه نجساً، كان يفسد الماء هو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والإجماع المنقول، وعدم نجاسة بوله وروثه ودمه، بضميمة عدم الفصل بينها وبين منيّه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هذه الوجوه، لا يخلو عن الإشكال، وطريق الاحتياط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المذي والوذي والودي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فطاهرة بلا خلافٍ معروفٍ‌، إلّاعن ابن الجُنيد</w:t>
      </w:r>
      <w:r>
        <w:rPr>
          <w:rStyle w:val="FootnoteAnchor"/>
          <w:rtl w:val="true"/>
        </w:rPr>
        <w:footnoteReference w:id="83"/>
      </w:r>
      <w:r>
        <w:rPr>
          <w:rFonts w:ascii="Amiri" w:hAnsi="Amiri" w:eastAsia="Amiri" w:cs="Amiri"/>
          <w:color w:val="111111"/>
          <w:sz w:val="28"/>
          <w:sz w:val="28"/>
          <w:szCs w:val="28"/>
          <w:rtl w:val="true"/>
          <w:lang w:bidi="ar-SA"/>
        </w:rPr>
        <w:t>، فقد نُسِب إليه القول بنجاسة المذي الخارج عقيب الشهوة، ولم يصل إلينا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الحسين بن أبي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المذي يصيبُ الثوب‌؟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 مكانه فاغسله، وإنْ خفي عليكَ مكانه فاغسله كلّه</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مضافاً إلى عدم اختصاصه بالشهوة، وإعراض الأصحاب عنه، تعارضه جملةٌ من النصوص؛ كصحيح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سالَ مِن ذَكَرك شيءٌ من مذي أو وذي، وأنتَ في الصّلاة فلا تغسله، ولا تقطع له الصّلاة، ولا تنقض له الوضوء، وإنْ بلغ عقبك، فإنّما ذلك بمنزلة النخامة</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لا مناص عن حمل ما ظاهره لزوم الاجتناب عنه على الاستحباب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طهارته الأصل والإجماع، وما ورد</w:t>
      </w:r>
      <w:r>
        <w:rPr>
          <w:rStyle w:val="FootnoteAnchor"/>
          <w:rtl w:val="true"/>
        </w:rPr>
        <w:footnoteReference w:id="86"/>
      </w:r>
      <w:r>
        <w:rPr>
          <w:rFonts w:ascii="Amiri" w:hAnsi="Amiri" w:eastAsia="Amiri" w:cs="Amiri"/>
          <w:color w:val="111111"/>
          <w:sz w:val="28"/>
          <w:sz w:val="28"/>
          <w:szCs w:val="28"/>
          <w:rtl w:val="true"/>
          <w:lang w:bidi="ar-SA"/>
        </w:rPr>
        <w:t>في البلل المشتبه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رطوبات الفرج والدُّبر فكذلك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طهارة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بن أبي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المرأة عليها قميصها أو إزارها، يصيبه من بلل الفرج، وهي جُنُبٌ أتُصلّي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صلّت فيه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طهارة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زرارة المتقدّم، وفيه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خرج منك بعد الوضوء، فإنّه من الحبائل أو من البواسير، فلا تغسله من ثوبك إلّا أن تقذره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2" w:name="pg11798_104442"/>
    </w:p>
    <w:p>
      <w:pPr>
        <w:pStyle w:val="Heading6"/>
        <w:numPr>
          <w:ilvl w:val="5"/>
          <w:numId w:val="1"/>
        </w:numPr>
        <w:rPr/>
      </w:pPr>
      <w:bookmarkStart w:id="53" w:name="__RefHeading___Toc10416802_73709187"/>
      <w:bookmarkStart w:id="54" w:name="_Toc19"/>
      <w:bookmarkEnd w:id="52"/>
      <w:bookmarkEnd w:id="53"/>
      <w:r>
        <w:rPr>
          <w:rtl w:val="true"/>
        </w:rPr>
        <w:t>الرابع</w:t>
      </w:r>
      <w:r>
        <w:rPr>
          <w:rtl w:val="true"/>
        </w:rPr>
        <w:t xml:space="preserve">: </w:t>
      </w:r>
      <w:r>
        <w:rPr>
          <w:rtl w:val="true"/>
        </w:rPr>
        <w:t>الميتة</w:t>
      </w:r>
      <w:bookmarkEnd w:id="54"/>
    </w:p>
    <w:p>
      <w:pPr>
        <w:pStyle w:val="Heading6"/>
        <w:numPr>
          <w:ilvl w:val="5"/>
          <w:numId w:val="1"/>
        </w:numPr>
        <w:rPr/>
      </w:pPr>
      <w:bookmarkStart w:id="55" w:name="__RefHeading___Toc10416804_73709187"/>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وكذا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نجاسة الميتة</w:t>
      </w:r>
    </w:p>
    <w:p>
      <w:pPr>
        <w:pStyle w:val="BookText"/>
        <w:rPr/>
      </w:pPr>
      <w:r>
        <w:rPr>
          <w:rFonts w:ascii="Amiri" w:hAnsi="Amiri" w:eastAsia="Amiri" w:cs="Amiri"/>
          <w:color w:val="111111"/>
          <w:sz w:val="28"/>
          <w:sz w:val="28"/>
          <w:szCs w:val="28"/>
          <w:rtl w:val="true"/>
          <w:lang w:bidi="ar-SA"/>
        </w:rPr>
        <w:t>الرابع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 كلّ ما لَهُ دَمٌ سائل، وقد لاحظ المصنّف رحمه الله هذا العموم،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نجاستها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مَيْتَةً أَوْ دَماً مَسْفُوحاً أَوْ لَحْمَ خِنزِيرٍ فَإِنَّهُ رِجْسٌ‌ </w:t>
      </w:r>
      <w:r>
        <w:rPr>
          <w:rStyle w:val="FootnoteAnchor"/>
          <w:rtl w:val="true"/>
        </w:rPr>
        <w:footnoteReference w:id="88"/>
      </w:r>
      <w:r>
        <w:rPr>
          <w:rFonts w:ascii="Amiri" w:hAnsi="Amiri" w:eastAsia="Amiri" w:cs="Amiri"/>
          <w:color w:val="111111"/>
          <w:sz w:val="28"/>
          <w:sz w:val="28"/>
          <w:szCs w:val="28"/>
          <w:rtl w:val="true"/>
          <w:lang w:bidi="ar-SA"/>
        </w:rPr>
        <w:t>، بناءً على عود الضمير إلى الطعام الذي حُكم بحليّته، واستَثنى منه هذه الثلاثة، فإنّها تدلّ على أنّ الطعام إذا كان من أحد هذه الثلاثة فهو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 الرِّجس بمعنى النجاسة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فأرةٌ في خابيةٍ فيها سَمْنٌ أو زيتٌ فما ترى في أكله‌؟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أهونُ عَليَّ من أنْ أترك طعامي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تستخفّ بالميتة إنّما استخففتَ بدينك، إنّ اللّه حَرّم الميتة من كلّ شيء</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جوابه عليه السلام يدلّ على حرمة ما في الخابية لملاقاته للميتة، ولا منشأ له سوى نجاسته بها، بل لم يكن المغروس في ذهن السائل على ما يظهر من سؤاله، نجاسة </w:t>
      </w:r>
    </w:p>
    <w:p>
      <w:pPr>
        <w:pStyle w:val="BookText"/>
        <w:rPr/>
      </w:pPr>
      <w:r>
        <w:rPr>
          <w:rFonts w:ascii="Amiri" w:hAnsi="Amiri" w:eastAsia="Amiri" w:cs="Amiri"/>
          <w:color w:val="111111"/>
          <w:sz w:val="28"/>
          <w:sz w:val="28"/>
          <w:szCs w:val="28"/>
          <w:rtl w:val="true"/>
          <w:lang w:bidi="ar-SA"/>
        </w:rPr>
        <w:t>الميتة ومنجّسيّها، وإنّما كان شكّه من جهة صغر حجم الفأرة وأنّ ما في الخابية ينجس لأجله، فأجابه عليه السلام بعدم الفرق في منجّسيّة الميتة بين الكبير والصغير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الأمر بالاجتناب عن السَّمن والعَسَل والطعام والشراب، الملاقية مع الميتة، بأن تموت فيها الفأرة أو الجُرذ، كصحيح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سَمْنٍ أو زيتٍ أو عسل مات فيه جرذٌ؟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السَّمن والعَسَل فيؤخذ الجُرذ وما حوله، وأمّا الزيت فيُستصبح به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فيه، فإنْ كان جامداً فألقها وما يليها، وكلّ ما بقي، وإنْ كان ذائباً فلا تأكله واستصبح به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المَرَق مِن الأمر بإهراقه وغَسل اللّحم، كخبر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سُئِلَ عن قِدْرٍ طُبخت، فإذا في القدر فأرة‌؟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ويُغسل اللّحم ويُؤكل</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الأكل في آنية أهل الكتاب، كصحيح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آنية أهل الذِّمّة‌؟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إذا كانوا يأكلون فيها الميتة والدّم ولحم الخنزير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w:t>
      </w:r>
      <w:r>
        <w:rPr>
          <w:rStyle w:val="FootnoteAnchor"/>
          <w:rtl w:val="true"/>
        </w:rPr>
        <w:footnoteReference w:id="94"/>
      </w:r>
      <w:r>
        <w:rPr>
          <w:rFonts w:ascii="Amiri" w:hAnsi="Amiri" w:eastAsia="Amiri" w:cs="Amiri"/>
          <w:color w:val="111111"/>
          <w:sz w:val="28"/>
          <w:sz w:val="28"/>
          <w:szCs w:val="28"/>
          <w:rtl w:val="true"/>
          <w:lang w:bidi="ar-SA"/>
        </w:rPr>
        <w:t>الماء القليل تكون فيه الفأرة الميتة، من الأمر بإعادة الوضوء وغَسل الثوب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ممّا ورد في الأبواب المتفرّقة، الدالّة جميعها عليها منطوقاً أو مفهوماً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لها بعض الأعاظم</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نزح البئر لموت الدابّة والفأرة والطير ومطلق الميتة، وأشكل على نفسه من جهة ما دلّ على عدم انفعال ماء البئر</w:t>
      </w:r>
      <w:r>
        <w:rPr>
          <w:rStyle w:val="FootnoteAnchor"/>
          <w:rtl w:val="true"/>
        </w:rPr>
        <w:footnoteReference w:id="96"/>
      </w:r>
      <w:r>
        <w:rPr>
          <w:rFonts w:ascii="Amiri" w:hAnsi="Amiri" w:eastAsia="Amiri" w:cs="Amiri"/>
          <w:color w:val="111111"/>
          <w:sz w:val="28"/>
          <w:sz w:val="28"/>
          <w:szCs w:val="28"/>
          <w:rtl w:val="true"/>
          <w:lang w:bidi="ar-SA"/>
        </w:rPr>
        <w:t>، وأجاب عنه بأنّ النصوص المذكورة تدلّ على نجاسة الميتة، وانفعال ماء البئر، فإذا دلَّ الدليل على عدم الانفعال تعيّن رفع اليد عن الدلالة الثانية، فتبقى الأُولى على حجّيّتها، إذ التلازم بين الدلالتين وجوداً لا يقتضي التلازم بينهما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تلك النصوص على النجاسة، إنّما تكون من جهة ظهور الأمر بالنزح في اللّزوم، ولو فُرض تعيّن حمل الأمر به على الاستحباب، لم يبق دلالة لها على النجاسة، حتّى يقال إنّ حجّيّتها لا تلازم حجيّة الدلالة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من الاستشكال في النجاسة، لعدم قيام دليل نصٍّ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رواه الصدوق رحمه الله مُرسلاً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جلود الميتة، يجعل فيها اللّبن والسَّمن والماء؟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تجعل فيها ما شئت مِنْ ماءٍ أو لَبَن أو سَمْنٍ‌، وتوضّأ منه وأشرب، ولكن لا تُصلِّ فيه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يُحمل على طهارة الجلد بالدِّباغة، إذ غيره غير قابل لجعل الماء والسَّمن فيه، فيكون من النصوص الدالّة عليها المحمولة على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يُطرح؛ لشذوذه ومخالفته للمشهور، ومعارضته مع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ميتة غير الادمي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ميتة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غير واحدٍ دعوى الإجماع على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الأوّل أقوى‌،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ميمون،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يقع ثوبه على جسد الميّت‌؟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غُسّل الميّت فلا تغسل ما أصاب ثوبك منه، وإنْ كان لم يُغسّل فاغسل ما أصاب ثوبك منه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الحلبي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والتوقيع الوارد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إمامٍ حدثتْ عليه حادثة‌؟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نحّاه إلّاغَسل اليد</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على 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الميّت لو كان نجسُ العين لم يطهر بالتغسيل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4"/>
      </w:r>
      <w:r>
        <w:rPr>
          <w:rFonts w:ascii="Amiri" w:hAnsi="Amiri" w:eastAsia="Amiri" w:cs="Amiri"/>
          <w:color w:val="111111"/>
          <w:sz w:val="28"/>
          <w:sz w:val="28"/>
          <w:szCs w:val="28"/>
          <w:rtl w:val="true"/>
          <w:lang w:bidi="ar-SA"/>
        </w:rPr>
        <w:t>من أنّه اجتهادٌ في مقابل النص</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7" w:name="pg11798_104446"/>
    </w:p>
    <w:p>
      <w:pPr>
        <w:pStyle w:val="Heading6"/>
        <w:numPr>
          <w:ilvl w:val="5"/>
          <w:numId w:val="1"/>
        </w:numPr>
        <w:rPr/>
      </w:pPr>
      <w:bookmarkStart w:id="58" w:name="__RefHeading___Toc10416806_73709187"/>
      <w:bookmarkStart w:id="59" w:name="_Toc21"/>
      <w:bookmarkEnd w:id="57"/>
      <w:bookmarkEnd w:id="58"/>
      <w:r>
        <w:rPr>
          <w:rtl w:val="true"/>
        </w:rPr>
        <w:t>فروع</w:t>
      </w:r>
      <w:r>
        <w:rPr>
          <w:rtl w:val="true"/>
        </w:rPr>
        <w:t>:</w:t>
      </w:r>
      <w:bookmarkEnd w:id="59"/>
    </w:p>
    <w:p>
      <w:pPr>
        <w:pStyle w:val="Heading6"/>
        <w:numPr>
          <w:ilvl w:val="5"/>
          <w:numId w:val="1"/>
        </w:numPr>
        <w:rPr/>
      </w:pPr>
      <w:bookmarkStart w:id="60" w:name="__RefHeading___Toc10416808_73709187"/>
      <w:bookmarkStart w:id="61" w:name="_Toc22"/>
      <w:bookmarkEnd w:id="60"/>
      <w:r>
        <w:rPr>
          <w:rtl w:val="true"/>
        </w:rPr>
        <w:t>الأجزاء المُبانة من الميتة</w:t>
      </w:r>
      <w:bookmarkEnd w:id="61"/>
    </w:p>
    <w:p>
      <w:pPr>
        <w:pStyle w:val="Heading6"/>
        <w:numPr>
          <w:ilvl w:val="5"/>
          <w:numId w:val="1"/>
        </w:numPr>
        <w:rPr/>
      </w:pPr>
      <w:bookmarkStart w:id="62" w:name="__RefHeading___Toc10416810_73709187"/>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المُبانة من الميتة نجسةٌ على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مقطوعٌ بها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لنجاستها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نجاسة الميتة، إذ المستفاد منه بحسب المتفاهم العرفي، أنّ معروض النجاسة جَسدُ الميّت، بلا دخلٍ للاتّصال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ومفهوم العلّة في خبر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فيما كان من صوف الميتة إنّ الصّوف ليس فيه روح</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أبي حمزة،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بعد نفي البأس عن الأنفحة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الأنفحة ليس فيها دمٌ ولا عِرْقٌ‌، ولا بها عظم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تنزّلنا عن ذلك، وفرضنا الشكّ في النجاسة، فلا مانع من الرجوع إلى استصحاب النجاسة الثابتة حال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ما لا تحلّه الحياة منها، كالصّوف والشَّعر بلا خلافٍ‌، بل ادّعي الإجماع عليه، وتشهد له جملة من النصوص</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لزرارة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واللّباء والبيضة والشَّعر والصّوف والقرآن والناب والحافر، وكل شيء يفصل من الشاة </w:t>
      </w:r>
    </w:p>
    <w:p>
      <w:pPr>
        <w:pStyle w:val="BookText"/>
        <w:rPr/>
      </w:pPr>
      <w:r>
        <w:rPr>
          <w:rFonts w:ascii="Amiri" w:hAnsi="Amiri" w:eastAsia="Amiri" w:cs="Amiri"/>
          <w:color w:val="111111"/>
          <w:sz w:val="28"/>
          <w:sz w:val="28"/>
          <w:szCs w:val="28"/>
          <w:rtl w:val="true"/>
          <w:lang w:bidi="ar-SA"/>
        </w:rPr>
        <w:t>والدابّة فهو ذكي، وإنْ أخذته بعدما يموت فاغسله وصَلِّ فيه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وخبر الثمالي المتقدّمين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إشكال فيه، إنّما الكلام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الصّوف والوَبَر والشَّعر هل يعتبر في الصّلاة فيها الغَسل أم لا؟</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حريز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بالغَسل مقدّمةً للصّلاة ظاهرٌ في كونه لأجل النجاسة، وعليه فظاهره نجاسة موضع الاتّصال بالميتة، إذ النجاسة المتصوّرة فيها المرتفعة بالغُسل، ليست إلّاالحاصلة بالملاقاة، وعليه فتختصّ بما إذا أُخذ بغير الجزّ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عدم اعتبار الغَسل، سوى غَسل الموضع المتّصل بالميتة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تختصّ طهارة الصّوف والوَبَر والشَّعر، بما إذا أُخذ بالجزّ كما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أم تعمّ ما يُؤخذ قلعاً؟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أصل المأخوذ قَلْعاً لا محالة يكون معه جزءٌ من لحم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اُصولها من أجزاء الميتة وفيها روحٌ‌، مع أنّها ليست داخلة تحت أحد العناوين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الفتح بن يزيد الجرجاني</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وكلّما كان من السِّخال الصّوف إن جُزّ، والشّعر والوَبَر والأنفحة والقَرن ولا يتعدّى إلى غيرها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 سيّما في الحيوانات التي لها جلدٌ غير رقيق كالحمار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أصل الشَّعر مثلاً إنّما هو مادّته، فكيف يمكن أن يكون ممّا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دخولها في أحد تلك العناوين، لا يضرّ، لعموم العلّة في صحيح الحلبي وغيره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السند ومضطرب المتن، حيث أنّ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w:t>
      </w:r>
      <w:r>
        <w:rPr>
          <w:rFonts w:eastAsia="Amiri" w:cs="Amiri" w:ascii="Amiri" w:hAnsi="Amiri"/>
          <w:color w:val="111111"/>
          <w:sz w:val="28"/>
          <w:szCs w:val="28"/>
          <w:rtl w:val="true"/>
          <w:lang w:bidi="ar-SA"/>
        </w:rPr>
        <w:t>.</w:t>
      </w:r>
      <w:bookmarkStart w:id="64" w:name="pg11798_104449"/>
    </w:p>
    <w:p>
      <w:pPr>
        <w:pStyle w:val="Heading6"/>
        <w:numPr>
          <w:ilvl w:val="5"/>
          <w:numId w:val="1"/>
        </w:numPr>
        <w:rPr/>
      </w:pPr>
      <w:bookmarkStart w:id="65" w:name="__RefHeading___Toc10416812_73709187"/>
      <w:bookmarkStart w:id="66" w:name="_Toc24"/>
      <w:bookmarkEnd w:id="64"/>
      <w:bookmarkEnd w:id="65"/>
      <w:r>
        <w:rPr>
          <w:rtl w:val="true"/>
        </w:rPr>
        <w:t>طهارة الأنفحة</w:t>
      </w:r>
      <w:bookmarkEnd w:id="6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بالمذكورات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الأنفحة لا خلاف في طهارتها، 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 وتشهد لها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أبي حمزة المتقدّم، وصحيح زرارة،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الأنفحة تخرج من الجَدْي الميّت‌؟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يكون في ضَرْع الشّاة، وقد ماتت‌؟ قال عليه السلام لا بأس به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اختلف كلمات الفقهاء واللّغويين في تحديد الأنفحة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منهم المصنّف قدس سره</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شيءٌ أصفرٌ مستحيل في جوف السَّخلة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كِرش الحَمَل أو الجَدْي ما لم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بعض المحقّقين قدس سره</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اسمٌ للظرف لا للمظروف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جميع التقادير، لا ريب في طهارة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الأخير فواضح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الأوّل فلدلالة النصوص على طهارة الأنفحة، الظاهرة في الطهارة الفعليّة، فلا يصحّ الحكم بتنجّسها بملاقاتها مع ظرفها</w:t>
      </w:r>
      <w:r>
        <w:rPr>
          <w:rFonts w:eastAsia="Amiri" w:cs="Amiri" w:ascii="Amiri" w:hAnsi="Amiri"/>
          <w:color w:val="111111"/>
          <w:sz w:val="28"/>
          <w:szCs w:val="28"/>
          <w:rtl w:val="true"/>
          <w:lang w:bidi="ar-SA"/>
        </w:rPr>
        <w:t xml:space="preserve">. </w:t>
      </w:r>
      <w:bookmarkStart w:id="67" w:name="pg11798_104450"/>
    </w:p>
    <w:p>
      <w:pPr>
        <w:pStyle w:val="BookText"/>
        <w:rPr/>
      </w:pPr>
      <w:bookmarkEnd w:id="67"/>
      <w:r>
        <w:rPr>
          <w:rFonts w:ascii="Amiri" w:hAnsi="Amiri" w:eastAsia="Amiri" w:cs="Amiri"/>
          <w:color w:val="111111"/>
          <w:sz w:val="28"/>
          <w:sz w:val="28"/>
          <w:szCs w:val="28"/>
          <w:rtl w:val="true"/>
          <w:lang w:bidi="ar-SA"/>
        </w:rPr>
        <w:t>وأمّا على الثاني فلما دلَّ على طهارة أجزاء الميتة التي لا تحلّها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لم يثبت كون الأنفحة إسماً له، فلا مخرج له عن عموم ما دلّ على نجاسة أجزاء الميتة، فيتعيّن الحكم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ثبت طهارة المظروف، يتحقّق علمٌ إجمالي بورود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عموم ما دلّ أنّ النجس ينجّس، ويُحكم بنجاسة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عموم ما دلّ على نجاسة أجزاء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ولازمه عدم جواز التمسّك بأصالة العموم في شيءٍ منهما، فالمرجع عند الشكّ في طهارة الظرف هو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إجمالي يكون منحلّاً للعلم بأنّ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شاملاً للمقام، اما لعدم نجاسة ظرفه، أو لعدم منجّسيّه، فتبقى أصالة العموم في ما دلّ على نجاسة أجزاء الميتة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أنّ المظروف محكومٌ بالطهارة، والظرف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النصوص اختصاص الطهارة بالمأكول، إذ بعضها واردٌ في خصوص الجَدْي، وفي جملةٍ منها التنصيص على جواز أكل الجُبّن الذي تُجعل فيه الأنفحة، المختصّ بمأكول اللّحم، ومرسل الصدوق وإنْ كانَ مطلقاً، لكنّه لإرساله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هو الحكم بنجاسة الظروف والمظروف، أمّا الظرف فلكونه من أجزاء الميتة التي تحلّها الحياة، وأمّا المظروف فلملاقاته مع الظرف النجس</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10416814_73709187"/>
      <w:bookmarkStart w:id="69" w:name="_Toc25"/>
      <w:bookmarkEnd w:id="68"/>
      <w:r>
        <w:rPr>
          <w:rtl w:val="true"/>
        </w:rPr>
        <w:t>اللَّبن في الضَّرع</w:t>
      </w:r>
      <w:bookmarkEnd w:id="6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في الضَّرع، ولا ينجسُ بملاقاة الضَّرع كما هو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كصحيح زرارة المتقدّم في الأنفحة، ومصحّح حريز المتقدّم في الأجزاء المُبانة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المصنّف رحمه الله القول بالنجاسة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وهب بن وهب، عن جعفر،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سُئِل عن شاةٍ ماتتْ فحلب منهالَبَن‌؟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وأيّده الشيخ الأعظم قدس سره</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وإنْ كانت ضعيفة السند بمن قيل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أكذب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وموافقة لمذهب العامّة، إلّاأنّها منجبرة بالقاعدة المُجمع عليها، وهي قاعدة نجاسة ملاقي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ونصوص الطهارة وإنْ كانت صحيحة إلّاأنّها مخالفة للقاعدة، فتطرح هذه النصوص ويُعمل بتلك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الضعيف لا ريب في أنّه يُنجبَر بالعمل، وأمّا مطابقته للقاعدة، فلا أرى وجهاً في إنجباره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ذلك، فلا وجه لكونها من مرجّحات ذلك الخبر على النصوص الصحيحة، مع كونها مخالفة للعامّة، ولا تكون القاعدة من القواعد العقليّة غير القابلة للتخصيص، حتّى يطرح لأجلها النصوص المعتبرة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هي الطهارة، وبما أنّ بعض نصوصها مطلقٌ غير مقيّد بالمأكول،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0" w:name="pg11798_104452"/>
    </w:p>
    <w:p>
      <w:pPr>
        <w:pStyle w:val="BookText"/>
        <w:rPr/>
      </w:pPr>
      <w:bookmarkEnd w:id="70"/>
      <w:r>
        <w:rPr>
          <w:rFonts w:ascii="Amiri" w:hAnsi="Amiri" w:eastAsia="Amiri" w:cs="Amiri"/>
          <w:color w:val="111111"/>
          <w:sz w:val="28"/>
          <w:sz w:val="28"/>
          <w:szCs w:val="28"/>
          <w:rtl w:val="true"/>
          <w:lang w:bidi="ar-SA"/>
        </w:rPr>
        <w:t>فالأظهر شمول الحكم لغير المأكول، وانصرافها إلى المأكول بدويٌ لا يوجب تقييد الإطلاق، فتأمّل</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10416816_73709187"/>
      <w:bookmarkStart w:id="72" w:name="_Toc26"/>
      <w:bookmarkEnd w:id="71"/>
      <w:r>
        <w:rPr>
          <w:rtl w:val="true"/>
        </w:rPr>
        <w:t>البيض</w:t>
      </w:r>
      <w:bookmarkEnd w:id="72"/>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لا شُبهة ولا خلاف في طهارته في الجملة، وتشهد لها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تقييدها بما إذا اكتست القشر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بالقشر الصّلب أو بالجلد الغليظ، أو بالجلد الفوقاني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غياث،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بيضةٍ خرجت من إسْتِ دجاجة ميّتة‌؟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اكتست البيضة الجلد الغليظ فلا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يقيّد إطلاق غيره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واردٌ في مقام بيان الحليّة والحرمة، ويدلّ على أنّ الحليّة معلّقة على اكتساء الجلد الغليظ، وأمّا الطهارة والنجاسة، فهو ساكتٌ عن بيانهما، فيرجع فيهما إلى ما تقتضيه القاعدة، وهي الطهارة، لكونه من الأجزاء التي لا تحلّها الحياة، مضافاً إلى إطلاق نصوصها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ضعف ما عن المصنّف رحمه الله</w:t>
      </w:r>
      <w:r>
        <w:rPr>
          <w:rStyle w:val="FootnoteAnchor"/>
          <w:rtl w:val="true"/>
        </w:rPr>
        <w:footnoteReference w:id="122"/>
      </w:r>
      <w:r>
        <w:rPr>
          <w:rFonts w:ascii="Amiri" w:hAnsi="Amiri" w:eastAsia="Amiri" w:cs="Amiri"/>
          <w:color w:val="111111"/>
          <w:sz w:val="28"/>
          <w:sz w:val="28"/>
          <w:szCs w:val="28"/>
          <w:rtl w:val="true"/>
          <w:lang w:bidi="ar-SA"/>
        </w:rPr>
        <w:t>من الإفتاء بنجاسة بيض ما لا يؤكل لحمه، نظراً إلى ما في جملةٍ من النصوص من التصريح بجواز الأكل، المختصّ بالمأكول، فيُحمل غيرها عليه</w:t>
      </w:r>
      <w:r>
        <w:rPr>
          <w:rFonts w:eastAsia="Amiri" w:cs="Amiri" w:ascii="Amiri" w:hAnsi="Amiri"/>
          <w:color w:val="111111"/>
          <w:sz w:val="28"/>
          <w:szCs w:val="28"/>
          <w:rtl w:val="true"/>
          <w:lang w:bidi="ar-SA"/>
        </w:rPr>
        <w:t>.</w:t>
      </w:r>
      <w:bookmarkStart w:id="73" w:name="pg11798_104453"/>
    </w:p>
    <w:p>
      <w:pPr>
        <w:pStyle w:val="Heading6"/>
        <w:numPr>
          <w:ilvl w:val="5"/>
          <w:numId w:val="1"/>
        </w:numPr>
        <w:rPr/>
      </w:pPr>
      <w:bookmarkStart w:id="74" w:name="__RefHeading___Toc10416818_73709187"/>
      <w:bookmarkStart w:id="75" w:name="_Toc27"/>
      <w:bookmarkEnd w:id="73"/>
      <w:bookmarkEnd w:id="74"/>
      <w:r>
        <w:rPr>
          <w:rtl w:val="true"/>
        </w:rPr>
        <w:t>الأجزاء المُبانة من الحَيّ‌</w:t>
      </w:r>
      <w:bookmarkEnd w:id="75"/>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الأجزاء المُبانة من الحَيّ ممّا تحلّه الحياة، كالمُبانة من الميّت، عدا الأجزاء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استثنى من طهارة الأجزاء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فيه، وتشهد له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الميتة، فان المفهوم منه عرفاً نجاسة كلّ ما فيه الروح بخروجه، سواءٌ صدق عليه الميتة أو لم يصدق، ولذا لو قطع الحمار مثلاً بقطعاتٍ‌، فخرج عنها الروح، لا يتوقّف العرف في الحكم بنجاسة كلّ قطعةٍ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الصيد، المتضمّن لأنّ ما قُطّعت الحبالة فهو ميتة، كخبر عبداللّه بن سليمان،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 الحبالة وانقطع منه شيءٌ أو مات فهو ميتة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من صيدٍ فقُطّعت منه يداً أو رِجلاً فذروه فإنّه ميّت</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بعض أعاظم المحقّقين رحمه الله</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بكونه 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كونه ميتةً حُكماً، فالمتبادر منه حينئذٍ إرادة حُرمة الأكل لا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كونه ميتة حقيقةً‌، فيحتاج الحكم بالنجاسة إلى ورود دليلٍ عام يدلّ على نجاسة الميتة بحيث يعمّ الفرض، وحيث ليس، فلا دليل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تدلّ على النجاسة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دليل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بيان الشارع للفرد الحقيقي الخفيّ لا مُحالة يكون بلحاظ ثبوت الحكم الثابت للفرد الجَليّ له، وإلّا فليس بيان ذلك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دلالة النصوص الواردة في إليات الغَنَم، كخبر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 في إليات الغنم تقطع وهي أحياء، إنّها ميتة</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على النجاسة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قتيبة، عن أبي عبد اللّه عليه السلام، الوارد في لبأس الخزّ، وفيه علّل عليه السلام طهارة الصّوف الذي لا روح فيه،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أنّه يُجزّ ويُباع وهو حَيّ‌</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فإنّه يدلّ على الملازمة بين طهارة الجزء المُبان من الحَيّ مع طهارته إذا بانَ من الميّت، وحيثُ عرفت نجاسة الأجزاء المُبانة من الميتة، فالمُبانة من الحَيّ أيضاً كذلك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طهارة الأجزاء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الصغار، وعن غير واحد 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به الثالول والجراح، هل يصلح له أن يقطع الثالول وهو في صلاته، أو ينتف بعض لحمه من ذلك الجرح ويطرحه‌؟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يتخوّف أن يسيل الدّم فلا بأس، وإنْ تخوّف أن يسيل الدّم فلا يفعل</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التفصيل بين سيلان الدّم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كونه وارداً لبيان الرّخصة الفعليّة من جميع الجهات، لا لبيان عدم قادحيّة هذا الفعل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لأجل عدم التفصيل فيه مسّه بالرطوبة وعدمه، ولا التفصيل بين كونه بالحَكّ أو بغيره، المستلزم لحمله في الصّلاة آناً مّا، بل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فيدلّ الخبر على عدم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يندفع جميع ما أُورد على الاستدلال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76" w:name="pg11798_104456"/>
    </w:p>
    <w:p>
      <w:pPr>
        <w:pStyle w:val="Heading6"/>
        <w:numPr>
          <w:ilvl w:val="5"/>
          <w:numId w:val="1"/>
        </w:numPr>
        <w:rPr/>
      </w:pPr>
      <w:bookmarkStart w:id="77" w:name="__RefHeading___Toc10416820_73709187"/>
      <w:bookmarkStart w:id="78" w:name="_Toc28"/>
      <w:bookmarkEnd w:id="76"/>
      <w:bookmarkEnd w:id="77"/>
      <w:r>
        <w:rPr>
          <w:rtl w:val="true"/>
        </w:rPr>
        <w:t>طهارة فأرة المسك</w:t>
      </w:r>
      <w:bookmarkEnd w:id="78"/>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فأرة المِسْك المُبانة من الحَيّ طاهرة، وكذا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هذا الفرع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للمِسْك أقساماً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التُّركي، وهو دمٌ يقذفه الظبي بطريق الحيض أو البواسير، فينجمد على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 وهو دمُ ذَبح الظبي المعجون مع روثه وكبده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شيخنا الأنصاري رحمه الله</w:t>
      </w:r>
      <w:r>
        <w:rPr>
          <w:rStyle w:val="FootnoteAnchor"/>
          <w:rtl w:val="true"/>
        </w:rPr>
        <w:footnoteReference w:id="132"/>
      </w:r>
      <w:r>
        <w:rPr>
          <w:rFonts w:ascii="Amiri" w:hAnsi="Amiri" w:eastAsia="Amiri" w:cs="Amiri"/>
          <w:color w:val="111111"/>
          <w:sz w:val="28"/>
          <w:sz w:val="28"/>
          <w:szCs w:val="28"/>
          <w:rtl w:val="true"/>
          <w:lang w:bidi="ar-SA"/>
        </w:rPr>
        <w:t>نجاسة هذين القسمين،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ممّا لا إشكال في نجاستهما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الهمداني رحمه الله</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حصول الاستحالة المانعة من إطلاق اسم الدّم عليه، بعد صيرورته مصداقاً للمِسْك، فمقتضى القاعدة طهارتهما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الاختلاط والانجماد لا يوجبان الإستحالة، ولعلّ إطلاق المِسْك عليهما لأجل ما فيهما من أجزاء مِسْكيّة موجبة لكون رائحتهما رائحة المِسْك، وعليه فلا وجه للحكم بالطهارة، بل مقتضى عموم ما دلّ على نجاسة الدّم نجاستهما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اندفع ما أُورد على الشيخ الأعظم رحمه الله</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قام على طهارة المسك، فاللّازم هو الحكم بطهارتهما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ثبوته، وكونه من قبيل الإجماع على القاعدة الموجب للتمسّك بمقعده، ولكن لأجل عدم صدق المِسْك على مجموع أجزائهما، لا يصحّ التمسّك بإطلاقه لإثبات طهارتهما، إذ المِسْك مفهومٌ غير مفهوم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آنفاً ظهر حكم هذا القسم من المِسْك، وهو دمٌ يجتمع في سُرّة الظَبْي بعد صيده، يحصل من شَقّ موضع الفأره، وتغميز أطراف السُّرة، حتّى يجتمع فيجمد، ولونه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الشيخ رحمه الله طهارته مع تذكية الظبي، ولعلّ وجهه تخيّل كونه من الدّم المتخلّف في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المتخلّف في الذبيحة بنفسه طاهرٌ، لا الدّم الذي يبقى فيها مع تسبيب الأسباب، فالأقوى نجاسته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الفأرة، وهو دمٌ يجتمع في أطراف سُرّته في الفأرة، ثمّ بعدما تمتلي الفأرة من المِسْك، يعرض للموضع حكّة يسقط بسببها المِسْك مع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طهارة هذا القسم للإجماع والنصوص، ولما قيل من أنّ المِسْك مفهومٌ مباينٌ للدّم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فلجلده أيضاً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منه بعد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ينفصل عن الحَيّ بنفسه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طهارة ما يُؤخذ من المذكّى‌، وأمّا غيره فالمشهور بين الأصحاب طهارته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إذا انفصل من الحَيّ‌، والنجاسة إذا انفصل من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والنص على طهارة المِسْك الدالّان على طهارة الفأرة بالالتزام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ليست جزءً للظبي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كونها ممّا تحلّه الحياة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 المُدّعى على طهارتها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فأرة المِسْك تكون مع من يُصلّي وهي في جيبه أو ثيابه‌؟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إطلاق لما دلّ على طهارة المِسْك من هذه الجهة، كي يُتمسّك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إطلاقه، فإنّما يدلّ على عدم تنجّسه بملاقاة الفأرة، فيمكن أن يكون مخصّصاً لما دلّ على منجّسيّة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لادّعائه مع اتّصالها بالبدن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من جنس الجلود، غاية الأمر عند انفصالها يخرج عنها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 الصّلاة مع شيءٍ غير ساتر أعمّ من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تماميّة دلالته، لابدّ من تقييده بمكاتبة عبد اللّه بن جعفر إلى أبي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أن يُصلّي ومعه فأرة مِسك‌؟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ذكّيّاً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الضمير المقدّر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الظَبْي، لعدم ذكره سابقاً كي يرجع الضمير إليه، ولا إلى المِسْك، إذ يكون الجواب غير تامٍّ حينئذٍ، لأنّ السؤال كان عن الفأرة، بل يرجع إلى الفأرة بتقدير ما مع المصلّي، ومعنى الذكي الطهارة الذاتيّة، لا المُذكّى، لعدم إطلاق المُذكّى إلّاعلى الحيوان، فالفأرة من المذكّي لا أنّه مذكّي، ولا الطهارة في مقابل النجاسة العَرَضيّة، إذ السؤال إنّما يكون عن خصوص الفأرة لا عن الجهات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فالمكاتبة تدلّ على أنّ للفأرة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ونجس، فيقيّد بها إطلاق الصحيح، وحيثُ لم يبيّن فيها القسمان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الرجوع إلى القواعد الاُخر، وهي تقتضي طهارة ما أُخذ من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انفصل عن الحَيّ‌، ونجاسة ما أُخذ منه بالجَزّ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نصوص طهارة المِسْك على خصوص القسم الأوّل، حملٌ لها على الفرد النادر، مضافاً إلى أنّ طهارة ذلك القسم غير محتاجة إلى البيان، فيتعيّن أن يقال إنّه اُريد من مورد الإجماع والأخبار القسم الثاني الذي هو الفرد المتعارف الغالب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9" w:name="pg11798_104460"/>
    </w:p>
    <w:p>
      <w:pPr>
        <w:pStyle w:val="Heading6"/>
        <w:numPr>
          <w:ilvl w:val="5"/>
          <w:numId w:val="1"/>
        </w:numPr>
        <w:rPr/>
      </w:pPr>
      <w:bookmarkStart w:id="80" w:name="__RefHeading___Toc10416822_73709187"/>
      <w:bookmarkStart w:id="81" w:name="_Toc29"/>
      <w:bookmarkEnd w:id="79"/>
      <w:bookmarkEnd w:id="80"/>
      <w:r>
        <w:rPr>
          <w:rtl w:val="true"/>
        </w:rPr>
        <w:t>ميتة ما لا نَفس له</w:t>
      </w:r>
      <w:bookmarkEnd w:id="81"/>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ما لا نفس له طاهرةٌ بلا خلاف، بل عن غير واحدٍ دعوى الإجماع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حَفص،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إلّاما كانت له نفس سائلة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يصرّح فيه بالميتة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إسناد الإفساد وعدمه إلى ما له نفس وما ليست له منجّسيّةٌ وعدمها، لا منجّسيّة بوله وروثه ونحوهما، مع أنّ إطلاقه على فرض التنزّل يشمل ميتته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وأضعف منه دعوى اختصاصه بالماء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الخُنفساء والذُّباب والجَراد والَّنملة وما أشبه ذلك، يموتُ في البئر والزّيت والسَّمن وشبهه‌؟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فلا بأس</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بضميمة عدم الفصل بين ما ليس لم دم وما له دمٌ غير سائل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ميتة العقرب، واستدلّ له بموثّق سماعة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جَرّةٍ وجد فيها خنفساء قد ماتت‌؟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إلقها وتوضّأ منها، وإنْ كان عقرباً فأرق الماء وتوضّأ من ماءٍ‌غيره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حمل الأمر بالإراقة على أولويّة الاجتناب عنه، لخبر عليّبن جعفر، عن أخيه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العقرب والخُنفساء وأشبهاههنّ تموتُ في الجَرّة أو الدِّن يتوضّأ منه للصّلاة‌؟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82" w:name="pg11798_104462"/>
    </w:p>
    <w:p>
      <w:pPr>
        <w:pStyle w:val="Heading6"/>
        <w:numPr>
          <w:ilvl w:val="5"/>
          <w:numId w:val="1"/>
        </w:numPr>
        <w:rPr/>
      </w:pPr>
      <w:bookmarkStart w:id="83" w:name="__RefHeading___Toc10416824_73709187"/>
      <w:bookmarkStart w:id="84" w:name="_Toc30"/>
      <w:bookmarkEnd w:id="82"/>
      <w:bookmarkEnd w:id="83"/>
      <w:r>
        <w:rPr>
          <w:rtl w:val="true"/>
        </w:rPr>
        <w:t>الشَّك في التذكية</w:t>
      </w:r>
      <w:bookmarkEnd w:id="84"/>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ما لم يُذكّ ذكاةً شرعيّة بحكم الميتة، إجماعاً ونصوصاً، بل لا يبعد دعوى أنّ المراد من الميتة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وسمّيت فانتفع بجلده، وأمّا الميتة فلا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والنصوص</w:t>
      </w:r>
      <w:r>
        <w:rPr>
          <w:rStyle w:val="FootnoteAnchor"/>
          <w:rtl w:val="true"/>
        </w:rPr>
        <w:footnoteReference w:id="145"/>
      </w:r>
      <w:r>
        <w:rPr>
          <w:rFonts w:ascii="Amiri" w:hAnsi="Amiri" w:eastAsia="Amiri" w:cs="Amiri"/>
          <w:color w:val="111111"/>
          <w:sz w:val="28"/>
          <w:sz w:val="28"/>
          <w:szCs w:val="28"/>
          <w:rtl w:val="true"/>
          <w:lang w:bidi="ar-SA"/>
        </w:rPr>
        <w:t>الواردة في باب الأطعمة في إليات الغنم، المتضمّنة أنّ ما يُقطع منها وهي أحياء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المراد من الميتة ما يصدق على الإليات، فلا محالة يصدق على كلّ ما خرج روحه بغير وجهٍ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علم بعدم التذكية فلا إشكال، وأمّا إذا شكّ ولم تكن أمارةٌ عليها، فقد عرفت في بحث البول والغائط موارد جريان أصالة عدم التذكية، والموارد التي لا تجري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المقام يقع في أنّه هل تترتّب النجاسة على أصالة عدم التذكية أم لا؟</w:t>
      </w:r>
    </w:p>
    <w:p>
      <w:pPr>
        <w:pStyle w:val="BookText"/>
        <w:rPr/>
      </w:pPr>
      <w:r>
        <w:rPr>
          <w:rFonts w:ascii="Amiri" w:hAnsi="Amiri" w:eastAsia="Amiri" w:cs="Amiri"/>
          <w:color w:val="111111"/>
          <w:sz w:val="28"/>
          <w:sz w:val="28"/>
          <w:szCs w:val="28"/>
          <w:rtl w:val="true"/>
          <w:lang w:bidi="ar-SA"/>
        </w:rPr>
        <w:t>وقد استدلّ لعدم ترتّبها عليها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لكون الاستصحاب من الأدلّة الظنيّة، لا تثبت به النجاسة، لأنّها لا تثبت إلّاباليقين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تعبّد الشارع بموضوع النجاسة، لا محالة تترتّب عليه، ولا شكّ فيها حتّى تجري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اليقين بأحد العناوين النّجسة في الحكم بالنجاسة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فسادها، لا تمنع من ترتّبها على الاستصحاب، لما حقّقناه في محلّه </w:t>
      </w:r>
    </w:p>
    <w:p>
      <w:pPr>
        <w:pStyle w:val="BookText"/>
        <w:rPr/>
      </w:pPr>
      <w:r>
        <w:rPr>
          <w:rFonts w:ascii="Amiri" w:hAnsi="Amiri" w:eastAsia="Amiri" w:cs="Amiri"/>
          <w:color w:val="111111"/>
          <w:sz w:val="28"/>
          <w:sz w:val="28"/>
          <w:szCs w:val="28"/>
          <w:rtl w:val="true"/>
          <w:lang w:bidi="ar-SA"/>
        </w:rPr>
        <w:t>من أنّ الاستصحاب يقومُ مقام القطع المأخوذ في الموضوع على وجه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الصّلاة في الجلود والخِفاف عُلّق على العلم بأنّه ميتة في 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حتّي تعلم أنّه ميّتٌ بعينه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حمزة،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أنّه ميتة فلا تُصلِّ فيه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الشكّ يجوز الصّلاة فيه، وهو أخصّ من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واردان في مقام بيان الحكم الظاهري، ويدلّان على أنّه في مورد الشكّ ووجود الأمارة على التذكية، تترتّب آثار التذكية، إلّامع العلم بعدمها، والشاهد على ذلك ما ورد في صحيح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الخِفاف التي تُباع 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وصلِّ حتّى تعلم أنّه ميّت</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الظاهر من السوق فيه سوق المسلمين الذي هومن الأمارات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سأل أبا عبد اللّه عليه السلام وأنا عنده عن الرّجل يتقلّد السيف، ويُصلّي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الكيمخت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الكيمخت‌؟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دوابٍ‌، منه ما يكون ذكّيّاً، ومنه ما يكون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ميته فلا تُصلِّ فيه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الظاهر من الخبر تلقي السيف من يد المسلم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دلالتهما على ما ادُّعي، يتعيّن حملهما على ما ذكرناه جمعاً بينهما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ما دلّ على ترتيب آثار الميتة، إلّامع العلم بأنّه مذكّى، بقرينة ما دلّ على جواز ترتيب الآثار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يترتّب على أصالة عدم التذكية، حُرمة أكل لحمه، وعدم جواز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الحليّة وجواز الصّلاة رُتّبا على المذكّي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يترتّب عليها النجاسة، لأنّها مترتّبة على عنوان الميتة، والموتُ وإنْ لم يكن مختصّاً بما ماتَ حَتف أنفه، بل أعمّ منه ومِنْ كلّ ما زُهِق روحه بغير وجه شرعي، إلّاأنّ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الموت هو زهاق الروح المستند إلى سببٍ غير شرعي، لا ما لم يُستند إلى سببٍ شرعيّ‌، كما صرّح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يثبت باستصحاب عدم التذكية موضوع النجاسة، إلّابناءً على 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مكاتبة الصيقل إلى الإمام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أعمل أغماد السيوف من جلود الحُمُر الميتة، فيُصيب ثيابي، أفأُصلي فيها؟</w:t>
      </w:r>
    </w:p>
    <w:p>
      <w:pPr>
        <w:pStyle w:val="BookText"/>
        <w:rPr/>
      </w:pPr>
      <w:r>
        <w:rPr>
          <w:rFonts w:ascii="Amiri" w:hAnsi="Amiri" w:eastAsia="Amiri" w:cs="Amiri"/>
          <w:color w:val="111111"/>
          <w:sz w:val="28"/>
          <w:sz w:val="28"/>
          <w:szCs w:val="28"/>
          <w:rtl w:val="true"/>
          <w:lang w:bidi="ar-SA"/>
        </w:rPr>
        <w:t>فكتب عليه السلام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إلى أبيك بكذا وكذا، فصَعُب عَليَّ ذلك، فصرتُ أعملها من جلود الحُمُر الوحشيّة الذكّية‌؟</w:t>
      </w:r>
    </w:p>
    <w:p>
      <w:pPr>
        <w:pStyle w:val="BookText"/>
        <w:rPr/>
      </w:pPr>
      <w:r>
        <w:rPr>
          <w:rFonts w:ascii="Amiri" w:hAnsi="Amiri" w:eastAsia="Amiri" w:cs="Amiri"/>
          <w:color w:val="111111"/>
          <w:sz w:val="28"/>
          <w:sz w:val="28"/>
          <w:szCs w:val="28"/>
          <w:rtl w:val="true"/>
          <w:lang w:bidi="ar-SA"/>
        </w:rPr>
        <w:t>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أعمال البرّ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تعمل وحشيّاً ذكّيّاً فلا بأس</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رتّبت النجاسة بمقتضى مفهوم الشرط على كلّ ما لم يُذكَّ‌، فترتّب على أصالة عدم التذكية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السائل فرض في سؤاله أنّه كان يعمل أوّلاً من جلود الحُمُر الميتة، ثمّ بعده كان يعمل من جلود الحُمُر الوحشيّة الذكيّة، فجوابه عليه السلام ناظرٌ إلى ذلك، وإنْ لا بأس بما يستعمله من جلود الحُمُر الوحشيّة الذكيّة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حينئذٍ ثبوت البأس في خصوص القسم الأوّل، لا كلّ 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عليه مضافاً إلى أنّه الظاهر منه تقييد الحُمُر بالوحشيّة، مع أنّ كونها وحشيّة، لا دخلَ له في الطهارة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هي الطهارة في صورة الشكّ‌، وإنْ كان لايجوز الصّلاة فيه</w:t>
      </w:r>
      <w:r>
        <w:rPr>
          <w:rFonts w:eastAsia="Amiri" w:cs="Amiri" w:ascii="Amiri" w:hAnsi="Amiri"/>
          <w:color w:val="111111"/>
          <w:sz w:val="28"/>
          <w:szCs w:val="28"/>
          <w:rtl w:val="true"/>
          <w:lang w:bidi="ar-SA"/>
        </w:rPr>
        <w:t>.</w:t>
      </w:r>
      <w:bookmarkStart w:id="85" w:name="pg11798_104466"/>
    </w:p>
    <w:p>
      <w:pPr>
        <w:pStyle w:val="Heading6"/>
        <w:numPr>
          <w:ilvl w:val="5"/>
          <w:numId w:val="1"/>
        </w:numPr>
        <w:rPr/>
      </w:pPr>
      <w:bookmarkStart w:id="86" w:name="__RefHeading___Toc10416826_73709187"/>
      <w:bookmarkStart w:id="87" w:name="_Toc31"/>
      <w:bookmarkEnd w:id="85"/>
      <w:bookmarkEnd w:id="86"/>
      <w:r>
        <w:rPr>
          <w:rtl w:val="true"/>
        </w:rPr>
        <w:t>حكم الجلد في سوق المسلمين</w:t>
      </w:r>
      <w:bookmarkEnd w:id="87"/>
    </w:p>
    <w:p>
      <w:pPr>
        <w:pStyle w:val="Heading6"/>
        <w:numPr>
          <w:ilvl w:val="5"/>
          <w:numId w:val="1"/>
        </w:numPr>
        <w:rPr/>
      </w:pPr>
      <w:bookmarkStart w:id="88" w:name="__RefHeading___Toc10416828_73709187"/>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يد المسلم من اللّحم أو الشَّحم أو الجلد محكومٌ بالطهارة، وإنْ لم يعلم تذكيته، وكذا ما يوجد في سوق المسلمين، أو يوجد مطروحاً في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الخلاف فيه، والنصوص الآتية في السوق الدالّة عليكونه أمارة، يُستكشَف بهاكون البائع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خبرإسماعيل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جلود الفِراء، يشتريها الرجل في سوقٍ من أسواق الجَبَل، يسأل عن ذكاته إذا كان البائع مسلماً غير عارف‌؟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أنتم أنْ تَسألوا عنه إذا رأيتم المشركين يبيعون ذلك، وإذا رأيتم يُصلّون فيه فلا تسألوا عنه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الخِفاف الّتي تُباع في السوق‌؟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وصَلِّ فيها حتّى تعلم أنّه ميتة بعينه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أحمد بن محمّد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يأتي السوق فيشتري جُبّة فراءٍ لا يدري أذكيّة هي أم غير ذكيّة، أيُصلّي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عليكم المسألة، 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بجهالتهم، إنّ الدِّين أوسع من ذلك</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الحسن 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أعتَرض السوق </w:t>
      </w:r>
    </w:p>
    <w:p>
      <w:pPr>
        <w:pStyle w:val="BookText"/>
        <w:rPr/>
      </w:pPr>
      <w:r>
        <w:rPr>
          <w:rFonts w:ascii="Amiri" w:hAnsi="Amiri" w:eastAsia="Amiri" w:cs="Amiri"/>
          <w:color w:val="111111"/>
          <w:sz w:val="28"/>
          <w:sz w:val="28"/>
          <w:szCs w:val="28"/>
          <w:rtl w:val="true"/>
          <w:lang w:bidi="ar-SA"/>
        </w:rPr>
        <w:t>فأشتري خُفّاً لا أدري أذكيٌّ هو أم 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فالنعل‌؟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أضيقُ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عمّا كان أبو الحسن يفعله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إسحاق بن عمّار، عن العبد الصالح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بالصلاة في الفراء اليماني، وفيما صُنع في أرض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سُئل عن سُفرةٍ وجدت في الطريق مطروحة، يكثُر لحمها وخُبزها وجُبُنّها وبيضها وفيها سكّين‌؟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وليس له بقاء، فإذا جاء طالبها غَرموا له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يُدرى أسُفرةُ مسلمٍ أم سُفرة مجوسي‌؟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لم يقيّد بالمطروحة في أرض المسلمين، إلّاأنّه مختصٌّ بها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لانصراف السؤال اليها، أو لكونها القَدَر المتيقّن منه، أو يقيّد بها بشهادة الخبر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0" w:name="pg11798_104468"/>
    </w:p>
    <w:p>
      <w:pPr>
        <w:pStyle w:val="BookText"/>
        <w:rPr/>
      </w:pPr>
      <w:bookmarkEnd w:id="90"/>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يد المسلم، وسوق المسلمين، وأرض الإسلام في الجملة ممّا لا ينبغي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موردين</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10416830_73709187"/>
      <w:bookmarkStart w:id="92" w:name="_Toc33"/>
      <w:bookmarkEnd w:id="91"/>
      <w:r>
        <w:rPr>
          <w:rtl w:val="true"/>
        </w:rPr>
        <w:t>اعتبار السوق أو الأرض نفسي أو من باب الأمارة</w:t>
      </w:r>
      <w:bookmarkEnd w:id="92"/>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السوق أو الأرض، هل يكون لكونهما بأنفسهما من الأمارات للتذكية، فمع الشكّ فيها يكونان أمارتين عليها حتّى مع العلم بكفر من يؤخذ من يده كما قيل، أو لأجل كونهما أمارتين يستكشف بهما كون البائع مسلماً، فهما طريقان إلى الحجّة، فلو شُكّ في كون البائع في سوق المسلمين أو أرضهم مسلماً يعامل معه معاملة المسلم‌؟ وجهان، 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المتقدّم، إذ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مع فرض كون ما يؤخذ ما صُنع في أرض الإسلام، ظاهرٌ في إرادة أنّ أرض الإسلام من حيث هي لا تكون أمارة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إسماعيل المتقدّم أيضاً،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 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كون السوق سوق المسلمين، إذ الجَبل كان من بلاد الإسلام حين السؤال، صريحٌ فيما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البناء على تذكية ما في سوق المسلمين، إذا كان مَنْ يؤخذ منه كافراً، أمّا إذا كان مجهول الحال فيُبنى عليها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بعض الأجلّة</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المنصرف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من فيه من المسلمين،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الإشارة إلى تصرّف المسلم، وعليه فيُشكل البناء على تذكية ما في سوق المسلمين، إنْ كان مَنْ يؤخذ منه مجهولُ الحال، </w:t>
      </w:r>
    </w:p>
    <w:p>
      <w:pPr>
        <w:pStyle w:val="BookText"/>
        <w:rPr/>
      </w:pPr>
      <w:r>
        <w:rPr>
          <w:rFonts w:ascii="Amiri" w:hAnsi="Amiri" w:eastAsia="Amiri" w:cs="Amiri"/>
          <w:color w:val="111111"/>
          <w:sz w:val="28"/>
          <w:sz w:val="28"/>
          <w:szCs w:val="28"/>
          <w:rtl w:val="true"/>
          <w:lang w:bidi="ar-SA"/>
        </w:rPr>
        <w:t>فضلاً عمّا إذا كان كافراً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النصوص تعليق الحكم على سوق المسلمين وأرضهم، وحملها على ما ذُكر، يحتاج إلى قرينةٍ مفقودة، مع أنّ قوله عليه السلام في خبر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صريحٌ في ما اخترناه، إذ لو كان المدار على يد المسلمين لا سوق المسلمين، لما كان لإعتبار الغلبة وجهٌ كما لا يخفى على المتدبّر</w:t>
      </w:r>
      <w:r>
        <w:rPr>
          <w:rFonts w:eastAsia="Amiri" w:cs="Amiri" w:ascii="Amiri" w:hAnsi="Amiri"/>
          <w:color w:val="111111"/>
          <w:sz w:val="28"/>
          <w:szCs w:val="28"/>
          <w:rtl w:val="true"/>
          <w:lang w:bidi="ar-SA"/>
        </w:rPr>
        <w:t>.</w:t>
      </w:r>
      <w:bookmarkStart w:id="93" w:name="pg11798_104470"/>
    </w:p>
    <w:p>
      <w:pPr>
        <w:pStyle w:val="Heading6"/>
        <w:numPr>
          <w:ilvl w:val="5"/>
          <w:numId w:val="1"/>
        </w:numPr>
        <w:rPr/>
      </w:pPr>
      <w:bookmarkStart w:id="94" w:name="__RefHeading___Toc10416832_73709187"/>
      <w:bookmarkStart w:id="95" w:name="_Toc34"/>
      <w:bookmarkEnd w:id="93"/>
      <w:bookmarkEnd w:id="94"/>
      <w:r>
        <w:rPr>
          <w:rtl w:val="true"/>
        </w:rPr>
        <w:t>حكم ما في يد المُستَحلّ للميتة</w:t>
      </w:r>
      <w:bookmarkEnd w:id="95"/>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الحكم المزبور بما في يد غير المُستَحلّ للميتة،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يعمّ ما في يد المستحلّ لها إذا أخبر بالتذكية،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يعمّه مطلقاً، كما لعلّه المشهور؟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حصول الظنّ بتذكية ما في يد المستحلّ للميتة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الصّلاة في الفراء؟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رجلاً صَرْداً لا يُدفئه فِراء الحجاز، لأنّ دباغها بالقرظ، فكان يبعثُ إلى العراق فيؤتى ممّا قِبلكم بالفرو فيلبسه، فإذا حَضَرت الصّلاة ألقاه، وألقى القميص الذي تحته، وكان يُسئَل عن ذلك، قيقول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الجلود الميتة، ويزعمون أنّ دباغه ذكاته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هذا الخلق الذين يدّعون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فأشتري منهم الفراء للتجارة، فأقول لصاحبها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هي ذكية‌؟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فهل يَصلَحُ لي أن أبيعها على أنّها ذكية‌؟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بأس أن تبيعها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لي الذي اشتريتها منه أنّها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أفسد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استحلالُ أهل العراق للميتة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اعتبار الظنّ الفعلي في حجيّة الأمارات، فمع فرض شمول المطلقات لا حاجة إلى حصوله، ومع عدمه لا يفيد حصول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المسؤول عنه حكم الصّلاة في الفراء، فجوابه بحكاية فعل الإمام عليه السلام كما يمكن أن يكون المراد منه المنع، يمكن أن يكون الكراهة والاحتياط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المنع عن الشهادة، إلّامع العلم أو الإطمئنان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محمّد بن الحسين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إلى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الفرو يُشترى من السوق‌؟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مضموناً فلا بأس</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حمله على الاستحباب، أو على عدم كون البائع مسلماً 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اختصاصه بالمستحلّ‌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صحيح أحمد بن محمّد بن أبي نصر المتقدّم،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الأخير لإطلاق النصوص</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96" w:name="pg11798_104472"/>
    </w:p>
    <w:p>
      <w:pPr>
        <w:pStyle w:val="Heading6"/>
        <w:numPr>
          <w:ilvl w:val="5"/>
          <w:numId w:val="1"/>
        </w:numPr>
        <w:rPr/>
      </w:pPr>
      <w:bookmarkStart w:id="97" w:name="__RefHeading___Toc10416834_73709187"/>
      <w:bookmarkStart w:id="98" w:name="_Toc35"/>
      <w:bookmarkEnd w:id="96"/>
      <w:bookmarkEnd w:id="97"/>
      <w:r>
        <w:rPr>
          <w:rtl w:val="true"/>
        </w:rPr>
        <w:t>حكم دباغة جلد الميتة</w:t>
      </w:r>
      <w:bookmarkEnd w:id="98"/>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الميتة لا يطهر بالدبغ كما هو المشهور</w:t>
      </w:r>
      <w:r>
        <w:rPr>
          <w:rStyle w:val="FootnoteAnchor"/>
          <w:rtl w:val="true"/>
        </w:rPr>
        <w:footnoteReference w:id="168"/>
      </w:r>
      <w:r>
        <w:rPr>
          <w:rFonts w:ascii="Amiri" w:hAnsi="Amiri" w:eastAsia="Amiri" w:cs="Amiri"/>
          <w:color w:val="111111"/>
          <w:sz w:val="28"/>
          <w:sz w:val="28"/>
          <w:szCs w:val="28"/>
          <w:rtl w:val="true"/>
          <w:lang w:bidi="ar-SA"/>
        </w:rPr>
        <w:t>، وعن ابن الجُنيد طهارته به</w:t>
      </w:r>
      <w:r>
        <w:rPr>
          <w:rStyle w:val="FootnoteAnchor"/>
          <w:rtl w:val="true"/>
        </w:rPr>
        <w:footnoteReference w:id="169"/>
      </w:r>
      <w:r>
        <w:rPr>
          <w:rFonts w:ascii="Amiri" w:hAnsi="Amiri" w:eastAsia="Amiri" w:cs="Amiri"/>
          <w:color w:val="111111"/>
          <w:sz w:val="28"/>
          <w:sz w:val="28"/>
          <w:szCs w:val="28"/>
          <w:rtl w:val="true"/>
          <w:lang w:bidi="ar-SA"/>
        </w:rPr>
        <w:t>، ومالَ إليها الكاشاني</w:t>
      </w:r>
      <w:r>
        <w:rPr>
          <w:rStyle w:val="FootnoteAnchor"/>
          <w:rtl w:val="true"/>
        </w:rPr>
        <w:footnoteReference w:id="170"/>
      </w:r>
      <w:r>
        <w:rPr>
          <w:rFonts w:ascii="IRNazanin" w:hAnsi="IRNazanin" w:eastAsia="IRNazanin"/>
          <w:color w:val="111111"/>
          <w:sz w:val="28"/>
          <w:sz w:val="28"/>
          <w:szCs w:val="28"/>
          <w:rtl w:val="true"/>
          <w:lang w:bidi="fa-IR"/>
        </w:rPr>
        <w:t>، واستدلّ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بمرسل الصدوق،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جلود الميتة يُجعل فيها اللّبن والسَّمن والماء، ما ترى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المحمول على ما بعد الدّبغ، لأنّ الجلد قبله غير قابل لاستعماله في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الحسين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جلد شاة ميتة يُدبغ فيُصبّ فيه اللّبن والماء أفأشربُ منه واتوضّأ؟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يدبغ فينتفع به ولا يُصلّى فيه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وبقصور ما دلّ على النجاسة عن الشمول لما بعد الدّبغ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فلإرساله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مُعرَضٌ عنه عند الأصحاب، مع أنّه لو تمَّ سندهما فهما ساقطان لمعارضتهما مع خبر أبي بصير المتقدّم المتضمّن لإلقاء السجّاد عليه السلام الفرو المشترى من العراق، والقميص الذي يليه، مستدلّاً عليه بأنّ أهل العراق يزعمون </w:t>
      </w:r>
    </w:p>
    <w:p>
      <w:pPr>
        <w:pStyle w:val="BookText"/>
        <w:rPr/>
      </w:pPr>
      <w:r>
        <w:rPr>
          <w:rFonts w:ascii="Amiri" w:hAnsi="Amiri" w:eastAsia="Amiri" w:cs="Amiri"/>
          <w:color w:val="111111"/>
          <w:sz w:val="28"/>
          <w:sz w:val="28"/>
          <w:szCs w:val="28"/>
          <w:rtl w:val="true"/>
          <w:lang w:bidi="ar-SA"/>
        </w:rPr>
        <w:t xml:space="preserve">أنّ ذكاة الميتة دباغها،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المروي عن الإمام الصادق، عن آبائه عليهم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 نجسة وإنْ دَبُغت، يتعيّن طرحهما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الثالث، مع أنّ الاستصحاب يكفي للحكم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الدالّة على أنّه لا تُلبس الميتة وإنْ دبغت في الصّلاة، فهي أجنبيّة عن المُدّعى، إذ لا منافاة بين طهارة شيءٍ وعدم جواز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طهارة جلد الميتة بالدّبغ</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99" w:name="pg11798_104474"/>
    </w:p>
    <w:p>
      <w:pPr>
        <w:pStyle w:val="Heading6"/>
        <w:numPr>
          <w:ilvl w:val="5"/>
          <w:numId w:val="1"/>
        </w:numPr>
        <w:rPr/>
      </w:pPr>
      <w:bookmarkStart w:id="100" w:name="__RefHeading___Toc10416836_73709187"/>
      <w:bookmarkStart w:id="101" w:name="_Toc36"/>
      <w:bookmarkEnd w:id="99"/>
      <w:bookmarkEnd w:id="100"/>
      <w:r>
        <w:rPr>
          <w:rtl w:val="true"/>
        </w:rPr>
        <w:t>حكم السِّقط</w:t>
      </w:r>
      <w:bookmarkEnd w:id="101"/>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السّقط قبل ولوج الروح فيه نجسٌ‌، بل لا خلاف فيه، وعن غير واحدٍ دعوى الإجماع عليه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نجاسته، صدق الميتة عليه، لأنّ الموت هو ما يقابل الحياة تقابل العدم والمَلَكة، فهو عدمُ الحياة عمّا من شأنه تلك، وهذا يصدق على الجنين والفرخ في البيض، إذ لا يعتبر في صدق العدم في مقابل الملكة القابليّة الفعليّة، بل تكفي القابليّة النوعيّة، مثلاً الأعمييُطلق على الإنسان غيرالبصير باعتبار قابليّة نوع الإنسان لكونه ذا بصر، وإنْ كان بالنسبة إلى هذا الشخص لم يُحرز القابليّة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الإطلاق لأدلّة نجاسة الميتة،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المحقّقين رحمه الله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75"/>
      </w:r>
      <w:r>
        <w:rPr>
          <w:rFonts w:ascii="Amiri" w:hAnsi="Amiri" w:eastAsia="Amiri" w:cs="Amiri"/>
          <w:color w:val="111111"/>
          <w:sz w:val="28"/>
          <w:sz w:val="28"/>
          <w:szCs w:val="28"/>
          <w:rtl w:val="true"/>
          <w:lang w:bidi="ar-SA"/>
        </w:rPr>
        <w:t>بأنّه على هذا لابدَّ من الالتزام بوجوب الغُسل على مَن مسَّ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السِّقط قبل ولوج الروح فيه، لا عظم له، فلا يجب الغُسل على مَن مسّه لذلك، مع أنّ الالتزام به لا يترتّب عليه محذور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كلّه، دعوى عدم صدق الميتة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الموت يعتبر في صدقه سبق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بعيدة، وعليه فالقول بالنجاسة لا يخلو عن إشكال، إذ الدليل عليها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اُمّه</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يدلّ على أنّ مطلق الجنين ولو قبل ولوج الروح فيه يحتاج إلى التذكية، وتذكيته تحصل بتذكية اُمّه، فإذا لم يُذكّ كان محكوماً بأحكامها منها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لأنّه قبل ولوج الروح فيه تحلّ فيه حياة اُمّه، فهو كباقي ما في أحشائها، فلو انفصل عنها، يصدق عليه الميتة، فيحكم عليه بحكمها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لأنّه من أجزاء اُمّه، فيشمله عموم ما دلّ على نجاسة الأجزاء المنفصلة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في مقام بيان ما يقبل التذكية حتّى يتمسّك بإطلاقه، وإنّما ورد لبيان أنّ ما يحتاج إلى التذكية من الجنين تكون تذكيته بذكاة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حلول حياة اُمّه فيه بلا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الدليل مختصٌّ بالاجزاء، فلا يشمل ما لا يعدّ من أجزاء الحيوان كالحمل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النجاسة، مع عدم تعرّض الأكثر لهذا الحكم، واحتمال استناد القائلين بها إلى بعض ما تقدّم، لا تُفيد في إثبات الحكم المذكور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02" w:name="pg11798_104476"/>
    </w:p>
    <w:p>
      <w:pPr>
        <w:pStyle w:val="Heading6"/>
        <w:numPr>
          <w:ilvl w:val="5"/>
          <w:numId w:val="1"/>
        </w:numPr>
        <w:rPr/>
      </w:pPr>
      <w:bookmarkStart w:id="103" w:name="__RefHeading___Toc10416838_73709187"/>
      <w:bookmarkStart w:id="104" w:name="_Toc37"/>
      <w:bookmarkEnd w:id="102"/>
      <w:bookmarkEnd w:id="103"/>
      <w:r>
        <w:rPr>
          <w:rtl w:val="true"/>
        </w:rPr>
        <w:t>حكم ملاقاة الميتة</w:t>
      </w:r>
      <w:bookmarkEnd w:id="104"/>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الميتة بلا رطوبة مُسرية لاتوجب النجاسة، كماهوالمشهور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العلّامة</w:t>
      </w:r>
      <w:r>
        <w:rPr>
          <w:rStyle w:val="FootnoteAnchor"/>
          <w:rtl w:val="true"/>
        </w:rPr>
        <w:footnoteReference w:id="177"/>
      </w:r>
      <w:r>
        <w:rPr>
          <w:rFonts w:ascii="Amiri" w:hAnsi="Amiri" w:eastAsia="Amiri" w:cs="Amiri"/>
          <w:color w:val="111111"/>
          <w:sz w:val="28"/>
          <w:sz w:val="28"/>
          <w:szCs w:val="28"/>
          <w:rtl w:val="true"/>
          <w:lang w:bidi="ar-SA"/>
        </w:rPr>
        <w:t>والشهيدان</w:t>
      </w:r>
      <w:r>
        <w:rPr>
          <w:rStyle w:val="FootnoteAnchor"/>
          <w:rtl w:val="true"/>
        </w:rPr>
        <w:footnoteReference w:id="178"/>
      </w:r>
      <w:r>
        <w:rPr>
          <w:rFonts w:ascii="Amiri" w:hAnsi="Amiri" w:eastAsia="Amiri" w:cs="Amiri"/>
          <w:color w:val="111111"/>
          <w:sz w:val="28"/>
          <w:sz w:val="28"/>
          <w:szCs w:val="28"/>
          <w:rtl w:val="true"/>
          <w:lang w:bidi="ar-SA"/>
        </w:rPr>
        <w:t>تنجّس ملاقيها حتّى مع 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النصوص، كالتوقيع الخارج في أجوبة مسائل الحميري،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للشيخ رحمه الله، حيث كتب إليه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لنا عن العالم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قومٍ صَلّى بهم بعض صلاته، وحدثت عليه حادثة، كيف يعمل من خلفه‌؟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ويتقدّم بعضهم، ويتمّ صلاتهم، ويغتسل من مسّه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والتوقيع</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نحّاه إلّاغَسل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عدم التعرّض لاعتبار الرطوبة، إنّما يكون لأجل كونه من المرتكزات التي تصلح لأنْ تكون صارفة عن الإطلاقات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قوله عليه السلام في موثّق ابن بكير</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مثل هذه الإطلاقات، ولا أقلّ من أظهريّته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سُلّم التعارض، فإنّ النسبة بينه وبين إطلاقات المقام عمومٌ من وجه، والمختار في مثل هذا التعارض، تقدّم ما له العموم على ما له الإطلاق، فيقدّم الموثّق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ما اختاره المشهور</w:t>
      </w:r>
      <w:r>
        <w:rPr>
          <w:rFonts w:eastAsia="Amiri" w:cs="Amiri" w:ascii="Amiri" w:hAnsi="Amiri"/>
          <w:color w:val="111111"/>
          <w:sz w:val="28"/>
          <w:szCs w:val="28"/>
          <w:rtl w:val="true"/>
          <w:lang w:bidi="ar-SA"/>
        </w:rPr>
        <w:t>.</w:t>
      </w:r>
      <w:bookmarkStart w:id="105" w:name="pg11798_104478"/>
    </w:p>
    <w:p>
      <w:pPr>
        <w:pStyle w:val="Heading6"/>
        <w:numPr>
          <w:ilvl w:val="5"/>
          <w:numId w:val="1"/>
        </w:numPr>
        <w:rPr/>
      </w:pPr>
      <w:bookmarkStart w:id="106" w:name="__RefHeading___Toc10416840_73709187"/>
      <w:bookmarkStart w:id="107" w:name="_Toc38"/>
      <w:bookmarkEnd w:id="105"/>
      <w:bookmarkEnd w:id="106"/>
      <w:r>
        <w:rPr>
          <w:rtl w:val="true"/>
        </w:rPr>
        <w:t>عدم جواز بيع الميتة</w:t>
      </w:r>
      <w:bookmarkEnd w:id="107"/>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حرمة بيع الميتة،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حمّاد بن عمرو، وأنس بن محمّد، عن أبيه، عن جعفر بن محمّد، عن آبائه عليهم السلام في وصيّة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السُّحت ثمن الميتة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مرسل 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وثمن الميتة سحتٌ‌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الغنم يقطع إلياتها وهي أحياء، أيصلح له أن ينتفع بما 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يُذيبها ويُسرجها ويأكلها، ولا يبيعها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ابن جعفر عن أخيه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المجلسي جوازه، واستدلّ له بخبر الصيقل وولده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كتبوا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نعمل السيوف، ليست لنا معيشة </w:t>
      </w:r>
    </w:p>
    <w:p>
      <w:pPr>
        <w:pStyle w:val="BookText"/>
        <w:rPr/>
      </w:pPr>
      <w:r>
        <w:rPr>
          <w:rFonts w:ascii="Amiri" w:hAnsi="Amiri" w:eastAsia="Amiri" w:cs="Amiri"/>
          <w:color w:val="111111"/>
          <w:sz w:val="28"/>
          <w:sz w:val="28"/>
          <w:szCs w:val="28"/>
          <w:rtl w:val="true"/>
          <w:lang w:bidi="ar-SA"/>
        </w:rPr>
        <w:t>ولا تجارة غيرها، ونحن مضطرّون إليها، وإنّما غلافها جلود الميتة والبغال والحُمُر الأهليّة، لا يجوز في أعمالنا غيرها، فيحلّ لنا عملها وشرائها وبيعها ومسّها بأيدينا وثيابنا، ونحن نُصلّي في ثيابنا؟ ونحن محتاجونَ إلى جوابك في هذه المسألة يا سيّدنا لضرورتنا؟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ثوباً للصّلاة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صيقل لم يفهم جواب مسألته من هذا الجواب، ولذا سأل ثانياً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أعمل أغماد السيوف عن جلود الحُمُر الميتة، فتُصيب ثيابي فاُصلّي فيها؟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 هذا الجواب أيضاً كان مجملاً لم يصل إلى مراده فكتب مرّةً اُخرى إلى التقي عليه السلام وسأله السؤال بعينه،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إلى أبيك بكذا وكذا، فصعب عليَّ ذلك، فصرتُ أعملها من جلود الحُمُر الوحشيّة الذكيّة‌؟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أعمال البِرّ بالصبر يرحمك اللّه، فإنْ كان ما تعمل وحشيّاً ذكّيّاً فلا بأس</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هذه المكاتبة الأخيرة أنّ صيقل لم يفهم من جواب الإمام الكاظم عليه السلام والإمام الرضا عليه السلام جواب مسألته، من جواز بيع ما كان يعمل، ولذا ترك استعماله حتّى سأل عن الإمام الجواد عليه السلام، فبيّن الحقّ من غير إجمالٍ وتقيّة، وجوابه ظاهرٌ في عدم جواز البيع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دلالة هذا الخبر على الجواز، لتعيّن طرحه لمعارضته مع النصوص المتقدّمة عليه لوجوه لا تخفى‌، فالأقوى عدم جواز بيعها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منهم المصنّف</w:t>
      </w:r>
      <w:r>
        <w:rPr>
          <w:rStyle w:val="FootnoteAnchor"/>
          <w:rtl w:val="true"/>
        </w:rPr>
        <w:footnoteReference w:id="193"/>
      </w:r>
      <w:r>
        <w:rPr>
          <w:rFonts w:ascii="Amiri" w:hAnsi="Amiri" w:eastAsia="Amiri" w:cs="Amiri"/>
          <w:color w:val="111111"/>
          <w:sz w:val="28"/>
          <w:sz w:val="28"/>
          <w:szCs w:val="28"/>
          <w:rtl w:val="true"/>
          <w:lang w:bidi="ar-SA"/>
        </w:rPr>
        <w:t>والشهيدان</w:t>
      </w:r>
      <w:r>
        <w:rPr>
          <w:rStyle w:val="FootnoteAnchor"/>
          <w:rtl w:val="true"/>
        </w:rPr>
        <w:footnoteReference w:id="194"/>
      </w:r>
      <w:r>
        <w:rPr>
          <w:rFonts w:ascii="Amiri" w:hAnsi="Amiri" w:eastAsia="Amiri" w:cs="Amiri"/>
          <w:color w:val="111111"/>
          <w:sz w:val="28"/>
          <w:sz w:val="28"/>
          <w:szCs w:val="28"/>
          <w:rtl w:val="true"/>
          <w:lang w:bidi="ar-SA"/>
        </w:rPr>
        <w:t>الجواز،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البزنطي، وعلي بن جعفر المتقدّمان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جلد الخنزير يُجعل دلواً يستقي به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لعدم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عدم جواز الانتفاع بالأعيان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أنّه لا ينتفع بالميتة، كصحيح الكاهلي في قطع إليات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أنّ ما قطع منها ميّتٌ لا ينتفع به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السِّباع ينتفع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وسمّيتَ فانتفع بلجده، وأمّا الميتة فلا</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عليّبن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الماشية تكون للرّجل، فيموت بعضها، أيصلحُ له بيع جلودها ودباغها ولبسها؟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لبسها فلايُصلِّ فيها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وبإعراض الأصحاب عن نصوص الجواز</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ولو تمّت دلالة ما استدلّ به على ذلك، لوجب تقييد إطلاقه بالنصوص المتقدّمة، مع أنّ للمنع عن دلالته مجالاً واسعاً، قد أشبعنا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كون المراد بتلك النصوص عدم الانتفاع مطلقاً لا الإرشاد إلى النجاسة، ولم يصحّ تقييد إطلاقها بما دلّ على جواز بعض الانتفاعات، وهو ما لم يشترط فيه الطهارة، تعيّن حملها على الكراهة، جمعاً بينها وبين ما 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منه السؤال عن اللّبس على أنّها طاهرة، فيدلّ جوابه عليه السلام على عدم مطهّريّة الدّبغ،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لبسها فلا يُصلِّ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الإعراض لم يثبت، لاحتمال أن يكون حكمهم بعدم جواز الانتفاع مستنداً إلى بعض ما ذكر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جواز الانتفاع بها</w:t>
      </w:r>
      <w:r>
        <w:rPr>
          <w:rFonts w:eastAsia="IRNazanin" w:cs="IRNazanin"/>
          <w:color w:val="111111"/>
          <w:sz w:val="28"/>
          <w:szCs w:val="28"/>
          <w:rtl w:val="true"/>
          <w:lang w:bidi="fa-IR"/>
        </w:rPr>
        <w:t>.</w:t>
      </w:r>
      <w:bookmarkStart w:id="108" w:name="pg11798_104482"/>
    </w:p>
    <w:p>
      <w:pPr>
        <w:pStyle w:val="Heading6"/>
        <w:numPr>
          <w:ilvl w:val="5"/>
          <w:numId w:val="1"/>
        </w:numPr>
        <w:rPr/>
      </w:pPr>
      <w:bookmarkStart w:id="109" w:name="__RefHeading___Toc10416842_73709187"/>
      <w:bookmarkStart w:id="110" w:name="_Toc39"/>
      <w:bookmarkEnd w:id="108"/>
      <w:bookmarkEnd w:id="109"/>
      <w:r>
        <w:rPr>
          <w:rtl w:val="true"/>
        </w:rPr>
        <w:t>الخامس</w:t>
      </w:r>
      <w:r>
        <w:rPr>
          <w:rtl w:val="true"/>
        </w:rPr>
        <w:t xml:space="preserve">: </w:t>
      </w:r>
      <w:r>
        <w:rPr>
          <w:rtl w:val="true"/>
        </w:rPr>
        <w:t>الدّم</w:t>
      </w:r>
      <w:bookmarkEnd w:id="110"/>
    </w:p>
    <w:p>
      <w:pPr>
        <w:pStyle w:val="Heading6"/>
        <w:numPr>
          <w:ilvl w:val="5"/>
          <w:numId w:val="1"/>
        </w:numPr>
        <w:rPr/>
      </w:pPr>
      <w:bookmarkStart w:id="111" w:name="__RefHeading___Toc10416844_73709187"/>
      <w:bookmarkStart w:id="112" w:name="_Toc40"/>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والدّم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نجاسة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النجاسات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الدّم من كلّ ما لَهُ نفسٌ سائلة، بلا خلافٍ فيه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العلماء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وغيرها</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اتّفاق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مَيْتَةً أَوْ دَماً مَسْفُوحاً أَوْ لَحْمَ خِنزِيرٍ فَإِنَّهُ رِجْسٌ‌ </w:t>
      </w:r>
      <w:r>
        <w:rPr>
          <w:rStyle w:val="FootnoteAnchor"/>
          <w:rtl w:val="true"/>
        </w:rPr>
        <w:footnoteReference w:id="204"/>
      </w:r>
      <w:r>
        <w:rPr>
          <w:rFonts w:ascii="Amiri" w:hAnsi="Amiri" w:eastAsia="Amiri" w:cs="Amiri"/>
          <w:color w:val="111111"/>
          <w:sz w:val="28"/>
          <w:sz w:val="28"/>
          <w:szCs w:val="28"/>
          <w:rtl w:val="true"/>
          <w:lang w:bidi="ar-SA"/>
        </w:rPr>
        <w:t>، بناءً على عود الضمير إلى كلّ واحدٍ من المذكورات، أو إلى الطعام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الكثيرة الواردة في دم الرعاف، وما يوجد في الأنف، وعند حكّ الجلد، وقلع السِّن، ودم الجروح والقروح والحيض والاستحاضة والنفاس، وغير ذلك من الموارد، بدعوى أنّه يفهم منها نجاسة دم ذي النفس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الطير يتوضّأ ممّا يشرب منه، إلّاأن ترى في منقاره دماً، فإنْ رأيتَ في منقاره دماً، فلا تتوضّأ ولا تشرب منه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نزح البئر لوقوع الدّم فيها، كصحيح</w:t>
      </w:r>
      <w:r>
        <w:rPr>
          <w:rStyle w:val="FootnoteAnchor"/>
          <w:rtl w:val="true"/>
        </w:rPr>
        <w:footnoteReference w:id="206"/>
      </w: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البئر تكون في المنزل للوضوء، فيقطر فيها قطرات من بول أو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وبالنبوي المرويّ‌عن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إنّمايُغسَل الثوب من البول والدّم والمني</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خبر زكريّا بن آدم،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ما ذكر على نجاسة الدّم في الجملة لا شكّ فيها، وأمّا دلالته على نجاسة الدّم مطلقاً، أو دم ذي النفس السائلة كذلك، فلا تخلو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بعضهم ذكر أنّ معقد الإجماع دم ذي العِرْق، وبعضهم ذكر أنّه الدّم المسفوح، وهو الدّم المصبوب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هو النجاسة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الرعاف وغيره، فلأنّها تدلّ على نجاسة الدّم الخارج من البدن، ولا تشمل غيره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واردٌ لبيان جعل الطهارة الظاهريّة عند الشكّ في وجود الدّم المفروض نجاسته، لا في مقام بيان جعل النجاسة للدّم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نصوص نزح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تدلّ على تأثّر البئر بملاقاة الدّم الذي كان يعلم السائل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السند لم يثبت استناد الأصحاب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واردٌ في مقام بيان حال ملاقيه، والتفصيل بين أفراده، حيث أنّه عليه السلام حكم في صدر الخبر بعدم تأثيره في القِدْر الذي فيه لحمٌ كثيرٌ ومَرَق كثير، وفي ذيله حكم بتأثيره في العجين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نجاسة كلّ دم، ولا على نجاسة دم ذي النفس مطلقاً، فالمرجع في موارد الشكّ كدم الجنين الذي يخرجُ من بطن المذبوح ونحوه إلى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نجاسته بين كونه قليلاً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رحمه الله</w:t>
      </w:r>
      <w:r>
        <w:rPr>
          <w:rStyle w:val="FootnoteAnchor"/>
          <w:rtl w:val="true"/>
        </w:rPr>
        <w:footnoteReference w:id="209"/>
      </w:r>
      <w:r>
        <w:rPr>
          <w:rFonts w:ascii="Amiri" w:hAnsi="Amiri" w:eastAsia="Amiri" w:cs="Amiri"/>
          <w:color w:val="111111"/>
          <w:sz w:val="28"/>
          <w:sz w:val="28"/>
          <w:szCs w:val="28"/>
          <w:rtl w:val="true"/>
          <w:lang w:bidi="ar-SA"/>
        </w:rPr>
        <w:t>طهارة ما لايُدركه الطرف، وقد تقدّم الكلام فيه في بحث المياه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 رحمه الله</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 دون الحُمّصة، واستدلّ له بخبر المُثنّى بن عبدالسلام،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حككتُ جِلدي فخرج منه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قَدَر الحُمّصة فاغسله وإلّا فلا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الإعراض الأصحاب عنه لابدّ من طرحه أو تأويله، وحمله على إرادة العفو</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13" w:name="pg11798_104485"/>
    </w:p>
    <w:p>
      <w:pPr>
        <w:pStyle w:val="Heading6"/>
        <w:numPr>
          <w:ilvl w:val="5"/>
          <w:numId w:val="1"/>
        </w:numPr>
        <w:rPr/>
      </w:pPr>
      <w:bookmarkStart w:id="114" w:name="__RefHeading___Toc10416846_73709187"/>
      <w:bookmarkStart w:id="115" w:name="_Toc41"/>
      <w:bookmarkEnd w:id="113"/>
      <w:bookmarkEnd w:id="114"/>
      <w:r>
        <w:rPr>
          <w:rtl w:val="true"/>
        </w:rPr>
        <w:t>دَمُ ما لا نفس له</w:t>
      </w:r>
      <w:bookmarkEnd w:id="115"/>
    </w:p>
    <w:p>
      <w:pPr>
        <w:pStyle w:val="BookText"/>
        <w:rPr/>
      </w:pPr>
      <w:r>
        <w:rPr>
          <w:rFonts w:ascii="IRNazanin" w:hAnsi="IRNazanin" w:eastAsia="IRNazanin"/>
          <w:color w:val="111111"/>
          <w:sz w:val="28"/>
          <w:sz w:val="28"/>
          <w:szCs w:val="28"/>
          <w:rtl w:val="true"/>
          <w:lang w:bidi="fa-IR"/>
        </w:rPr>
        <w:t>وأمّا دم ما لا نفس له، فطاهرٌ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السيّدين</w:t>
      </w:r>
      <w:r>
        <w:rPr>
          <w:rStyle w:val="FootnoteAnchor"/>
          <w:rtl w:val="true"/>
        </w:rPr>
        <w:footnoteReference w:id="212"/>
      </w:r>
      <w:r>
        <w:rPr>
          <w:rFonts w:ascii="Amiri" w:hAnsi="Amiri" w:eastAsia="Amiri" w:cs="Amiri"/>
          <w:color w:val="111111"/>
          <w:sz w:val="28"/>
          <w:sz w:val="28"/>
          <w:szCs w:val="28"/>
          <w:rtl w:val="true"/>
          <w:lang w:bidi="ar-SA"/>
        </w:rPr>
        <w:t>، والحِلّي</w:t>
      </w:r>
      <w:r>
        <w:rPr>
          <w:rStyle w:val="FootnoteAnchor"/>
          <w:rtl w:val="true"/>
        </w:rPr>
        <w:footnoteReference w:id="213"/>
      </w:r>
      <w:r>
        <w:rPr>
          <w:rFonts w:ascii="Amiri" w:hAnsi="Amiri" w:eastAsia="Amiri" w:cs="Amiri"/>
          <w:color w:val="111111"/>
          <w:sz w:val="28"/>
          <w:sz w:val="28"/>
          <w:szCs w:val="28"/>
          <w:rtl w:val="true"/>
          <w:lang w:bidi="ar-SA"/>
        </w:rPr>
        <w:t>، والمحقّق</w:t>
      </w:r>
      <w:r>
        <w:rPr>
          <w:rStyle w:val="FootnoteAnchor"/>
          <w:rtl w:val="true"/>
        </w:rPr>
        <w:footnoteReference w:id="214"/>
      </w:r>
      <w:r>
        <w:rPr>
          <w:rFonts w:ascii="Amiri" w:hAnsi="Amiri" w:eastAsia="Amiri" w:cs="Amiri"/>
          <w:color w:val="111111"/>
          <w:sz w:val="28"/>
          <w:sz w:val="28"/>
          <w:szCs w:val="28"/>
          <w:rtl w:val="true"/>
          <w:lang w:bidi="ar-SA"/>
        </w:rPr>
        <w:t>، والعلّامة</w:t>
      </w:r>
      <w:r>
        <w:rPr>
          <w:rStyle w:val="FootnoteAnchor"/>
          <w:rtl w:val="true"/>
        </w:rPr>
        <w:footnoteReference w:id="215"/>
      </w:r>
      <w:r>
        <w:rPr>
          <w:rFonts w:ascii="Amiri" w:hAnsi="Amiri" w:eastAsia="Amiri" w:cs="Amiri"/>
          <w:color w:val="111111"/>
          <w:sz w:val="28"/>
          <w:sz w:val="28"/>
          <w:szCs w:val="28"/>
          <w:rtl w:val="true"/>
          <w:lang w:bidi="ar-SA"/>
        </w:rPr>
        <w:t>، والشهيدين</w:t>
      </w:r>
      <w:r>
        <w:rPr>
          <w:rStyle w:val="FootnoteAnchor"/>
          <w:rtl w:val="true"/>
        </w:rPr>
        <w:footnoteReference w:id="21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الإجماع عليه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الطهارة، بعد ما عرفت من عدم الدليل على نجاسة كلّ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غياث،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بدم البراغيث والبق وبول الخشاشيف</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ونحوه صحيح ابن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إلّاما كانت له نفس سائلة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شموله لكلّ جزءٍ من أجزائه، حتّى بوله ودمه ونحوهما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ونصوص طهارة ميتته، فإنّها تدلّ على طهارة دمه كلحمه وسائر أجزائه، وإذا ثبت ذلك في حال موته فيثبت في حال حياته بالأولويّة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فما يوهمه ظاهر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من نجاسة دمه، والعفو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غايته، ويتعيّن حمله على الطهارة، ويشهد لهذا الحمل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من التصريح بطهارة دم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الدّم المتخلّف في الذبيحة بعد خروج المتعارف، سواءٌ أكان في العروق أو في اللّحم أو في غيرهما إجماعاً حكاه جماعة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أصالتها بعدما عرفت من عدم الدليل على نجاسة دم ذي النفس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حليّة الذبيحة، لأنّها لا تنفكّ عن اشتمالها على الدّم، بحيث يتعذّر تخليصها منه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والسيرة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ذكرناه 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من التردّد في إلحاق ما </w:t>
      </w:r>
    </w:p>
    <w:p>
      <w:pPr>
        <w:pStyle w:val="BookText"/>
        <w:rPr/>
      </w:pPr>
      <w:r>
        <w:rPr>
          <w:rFonts w:ascii="Amiri" w:hAnsi="Amiri" w:eastAsia="Amiri" w:cs="Amiri"/>
          <w:color w:val="111111"/>
          <w:sz w:val="28"/>
          <w:sz w:val="28"/>
          <w:szCs w:val="28"/>
          <w:rtl w:val="true"/>
          <w:lang w:bidi="ar-SA"/>
        </w:rPr>
        <w:t>يتخلّف في القلب والكبد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المشهور على نجاسة دم المذبوح إذا رجع إلى الجوف، لردّ النَفَس أو لكون رأس الذبيحة في علوّ، بل بلا خلافٍ يُعرف إلّاعن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منه دمٌ يحكم بنجاسته، وإذا لم يخرج ولم يظهر، فهو طاهر، وإنْ كان في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اختاره المشهور، ويشهد له صحيح</w:t>
      </w:r>
      <w:r>
        <w:rPr>
          <w:rStyle w:val="FootnoteAnchor"/>
          <w:rtl w:val="true"/>
        </w:rPr>
        <w:footnoteReference w:id="228"/>
      </w:r>
      <w:r>
        <w:rPr>
          <w:rFonts w:ascii="Amiri" w:hAnsi="Amiri" w:eastAsia="Amiri" w:cs="Amiri"/>
          <w:color w:val="111111"/>
          <w:sz w:val="28"/>
          <w:sz w:val="28"/>
          <w:szCs w:val="28"/>
          <w:rtl w:val="true"/>
          <w:lang w:bidi="ar-SA"/>
        </w:rPr>
        <w:t>الشحّام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الحلقوم، وخرج الدّم،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الظاهر منه اعتبار خروجه على النحو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صورة عدم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خرج ورجع، فلا ينبغي الشكّ في نجاسته، للأدلّة المتقدّمة في نجاسة الدّم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16" w:name="pg11798_104488"/>
    </w:p>
    <w:p>
      <w:pPr>
        <w:pStyle w:val="Heading6"/>
        <w:numPr>
          <w:ilvl w:val="5"/>
          <w:numId w:val="1"/>
        </w:numPr>
        <w:rPr/>
      </w:pPr>
      <w:bookmarkStart w:id="117" w:name="__RefHeading___Toc10416848_73709187"/>
      <w:bookmarkStart w:id="118" w:name="_Toc42"/>
      <w:bookmarkEnd w:id="116"/>
      <w:bookmarkEnd w:id="117"/>
      <w:r>
        <w:rPr>
          <w:rtl w:val="true"/>
        </w:rPr>
        <w:t>فروع</w:t>
      </w:r>
      <w:r>
        <w:rPr>
          <w:rtl w:val="true"/>
        </w:rPr>
        <w:t>:</w:t>
      </w:r>
      <w:bookmarkEnd w:id="118"/>
    </w:p>
    <w:p>
      <w:pPr>
        <w:pStyle w:val="Heading6"/>
        <w:numPr>
          <w:ilvl w:val="5"/>
          <w:numId w:val="1"/>
        </w:numPr>
        <w:rPr/>
      </w:pPr>
      <w:bookmarkStart w:id="119" w:name="__RefHeading___Toc10416850_73709187"/>
      <w:bookmarkStart w:id="120" w:name="_Toc43"/>
      <w:bookmarkEnd w:id="119"/>
      <w:r>
        <w:rPr>
          <w:rtl w:val="true"/>
        </w:rPr>
        <w:t>حُكم العَلَقة</w:t>
      </w:r>
      <w:bookmarkEnd w:id="120"/>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العَلَقة المستحيلة من المنيّ نجسة، من غير خلافٍ يُعرف، إلّاعن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29"/>
      </w:r>
      <w:r>
        <w:rPr>
          <w:rFonts w:ascii="Amiri" w:hAnsi="Amiri" w:eastAsia="Amiri" w:cs="Amiri"/>
          <w:color w:val="111111"/>
          <w:sz w:val="28"/>
          <w:sz w:val="28"/>
          <w:szCs w:val="28"/>
          <w:rtl w:val="true"/>
          <w:lang w:bidi="ar-SA"/>
        </w:rPr>
        <w:t>حيث جَزم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والمقدّس الأردبيلي</w:t>
      </w:r>
      <w:r>
        <w:rPr>
          <w:rStyle w:val="FootnoteAnchor"/>
          <w:rtl w:val="true"/>
        </w:rPr>
        <w:footnoteReference w:id="231"/>
      </w:r>
      <w:r>
        <w:rPr>
          <w:rFonts w:ascii="Amiri" w:hAnsi="Amiri" w:eastAsia="Amiri" w:cs="Amiri"/>
          <w:color w:val="111111"/>
          <w:sz w:val="28"/>
          <w:sz w:val="28"/>
          <w:szCs w:val="28"/>
          <w:rtl w:val="true"/>
          <w:lang w:bidi="ar-SA"/>
        </w:rPr>
        <w:t>وكاشف اللّثام</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بالإجماع الذي ادّعاه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العلقة دمُ حيوانٍ له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المحصّل منه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يحتمل، بل يُظنّ أن يكون مدرك المجمعين ما بأيدينا ممّا استدلّ به على نجاسة دم ذي النفس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حاصلٍ‌، والمنقول منه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دليل على عموم ثبوت النجاسة لدم ذي النفس السائلة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دلالة تلك الأدلّة على ذلك، فإنّ شمولها للدّم المتكون في الحيوان الذي لا يعدّ جزءً من أجزائه محلّ إشكال</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بالنجاسة غير ظاهر، وعلى فرض التنزّل وتسليم ثبوت عموم النجاسة لدم ذي النفس، وشموله لما يكون في الحيوان، لا وجه للحكم بنجاسة الدّم الذي يوجد في البيض، كما عن جماعةٍ الالتزام به، لأنّه وإنْ كان مبدأ نشوء الحيوان، لكنّه لا يعدّ من أجزائه</w:t>
      </w:r>
      <w:r>
        <w:rPr>
          <w:rFonts w:eastAsia="Amiri" w:cs="Amiri" w:ascii="Amiri" w:hAnsi="Amiri"/>
          <w:color w:val="111111"/>
          <w:sz w:val="28"/>
          <w:szCs w:val="28"/>
          <w:rtl w:val="true"/>
          <w:lang w:bidi="ar-SA"/>
        </w:rPr>
        <w:t>.</w:t>
      </w:r>
      <w:bookmarkStart w:id="121" w:name="pg11798_104490"/>
    </w:p>
    <w:p>
      <w:pPr>
        <w:pStyle w:val="Heading6"/>
        <w:numPr>
          <w:ilvl w:val="5"/>
          <w:numId w:val="1"/>
        </w:numPr>
        <w:rPr/>
      </w:pPr>
      <w:bookmarkStart w:id="122" w:name="__RefHeading___Toc10416852_73709187"/>
      <w:bookmarkStart w:id="123" w:name="_Toc44"/>
      <w:bookmarkEnd w:id="121"/>
      <w:bookmarkEnd w:id="122"/>
      <w:r>
        <w:rPr>
          <w:rtl w:val="true"/>
        </w:rPr>
        <w:t>الدَّم المشكوك فيه</w:t>
      </w:r>
      <w:bookmarkEnd w:id="123"/>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المشكوك فيه، محكومٌ بالطهارة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كون الدّم من الحيوان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من الحيوان، ولكن يُشكّ في أنّه ممّا له نفس سائلة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 جهة عدم العلم بحال الحيوان كدم الحيَّة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جهة عدم العلم بكون الدّم من أيّ الحيوانين، المعلوم كون أحدهما ممّا له نفسٌ‌، والآخر ممّا لا نفس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يُشكّ في كونه الدّم المتخلّف المحكوم عليه بالطهارة، أو الدّم المحكوم عليه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الطهارة طهارته، وعن بعضٍ القول بالنجاسة في القسم الثاني، واستدلّ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مقتضى عموم الدليل، نجاسة كلّ دمٍ خرج عنه دم حيوان ليست له نفس، فلو شُكّ في دخول دم في المخصّص، المرجع هو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الأصل فيما أحرز أُنّه دم النجاسة لموثّق عمّار المتقدّم</w:t>
      </w:r>
      <w:r>
        <w:rPr>
          <w:rStyle w:val="FootnoteAnchor"/>
          <w:rtl w:val="true"/>
        </w:rPr>
        <w:footnoteReference w:id="234"/>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رأيتَ في منقاره دماً فلا تشرب ولا تتوضّأ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دم الحيوان مقتضٍ للنجاسة، وكونه ممّا ليست له نفس مانعٌ عنها، فمع إحراز المقتضي والشكّ في وجود المانع، يبنى على تحقّق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الدليل على عموم نجاسة الدّم، مع أنّ التمسّك بالعام في الشبهات المصداقيّة 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الموثّق واردٌ في مقام بيان جعل الحكم الظاهري، لما شُكّ في ملاقاته للدّم المفروض نجاسته، ويدلّ على أنّه يُبنى على الطهارة، ما لم يُرَ ملاقاته له، ولو رأى ذلك فحيثُ يرتفع موضوع الحكم الظاهري بالضرورة، فيبني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بالدم إنّما يكون للغَلَبة، مع أنّ المرويّ عن الشيخ رحمه الله</w:t>
      </w:r>
      <w:r>
        <w:rPr>
          <w:rStyle w:val="FootnoteAnchor"/>
          <w:rtl w:val="true"/>
        </w:rPr>
        <w:footnoteReference w:id="235"/>
      </w:r>
      <w:r>
        <w:rPr>
          <w:rFonts w:ascii="Amiri" w:hAnsi="Amiri" w:eastAsia="Amiri" w:cs="Amiri"/>
          <w:color w:val="111111"/>
          <w:sz w:val="28"/>
          <w:sz w:val="28"/>
          <w:szCs w:val="28"/>
          <w:rtl w:val="true"/>
          <w:lang w:bidi="ar-SA"/>
        </w:rPr>
        <w:t>في ماء شَربتْ منه دجاجة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منقارها قذرٌ لم يتوضّأ ولم يشرب، وإنْ لم يعلم أنّ في منقارها قذراً توضّأ منه واشرب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التنزّل وتسليم دلالة الموثّق على نجاسة الدّم المشكوك فيه، يقع التعارض بينه وبين المرويّ عن الشيخ، وبما أنّ النسبة بينهما عموم من وجه، ودلالة كلّ منهما إنّما تكون بالإطلاق، فيتعارضان ويتساقطان، والمرجع إلى الأصل وهو يقتضي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فعلدم حجيّة قاعدة المقتضي والمانع، كما حُقّق في محلّه، مضافاً إلى عدم إحراز اقتضاء دم الحيوان مطلقاً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الشكّ من جهة احتمال كون رأس الحيوان على عُلوّ، فيحكم بالنجاسة، لاستصحاب عدم خروج المقدار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لم يُذكر في القضيّة الشرعيّة شرطاً للطهارة، إذ القدر المتيقّن من الأدلّة، طهارة المتخلّف بعد خروج المتعارف، أمّا كون الخروج شرطاً شرعيّاً، أو أنّه ملازمٌ للشرط فغير معلوم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الشحّام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الحلقوم، وخرج الدّم فلابأس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يدلّ على أنّه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عدم معلوميّة كونه شرطاً أو ملازماً له لا يضرّ بجريان الاستصحاب، إذ على كلا التقديرين يُستصحب عدم تحقّق ما هو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الشكّ من جهة احتمال ردّ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فبناءً على نجاسة دم الحيوان، وصيرورته المتخلّف طاهراً بخروج المتعارف، كما هو الأظهر، يُحكم بنجاسته، لاستصحاب نجاسة الدّم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الرّد، لا تُثبت كون الدّم المعيّن هو الدّم المتخلّف، إلّابناءً على الأصل المثبت الذي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ما هو الحقّ من جريان الاستصحاب في أطراف العلم الإجمالي، إذا لم يلزم المخالفة العمليّة، كما هو الحقّ‌، وإلّا فالمرجع إلي قاعدة الطهارة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بناءً علي طهارة المتخلّف من الأوّل، فيتعيّن الرجوع إلى أصالة الطهارة</w:t>
      </w:r>
      <w:r>
        <w:rPr>
          <w:rFonts w:eastAsia="Amiri" w:cs="Amiri" w:ascii="Amiri" w:hAnsi="Amiri"/>
          <w:color w:val="111111"/>
          <w:sz w:val="28"/>
          <w:szCs w:val="28"/>
          <w:rtl w:val="true"/>
          <w:lang w:bidi="ar-SA"/>
        </w:rPr>
        <w:t>.</w:t>
      </w:r>
      <w:bookmarkStart w:id="124" w:name="pg11798_104493"/>
    </w:p>
    <w:p>
      <w:pPr>
        <w:pStyle w:val="Heading6"/>
        <w:numPr>
          <w:ilvl w:val="5"/>
          <w:numId w:val="1"/>
        </w:numPr>
        <w:rPr/>
      </w:pPr>
      <w:bookmarkStart w:id="125" w:name="__RefHeading___Toc10416854_73709187"/>
      <w:bookmarkStart w:id="126" w:name="_Toc45"/>
      <w:bookmarkEnd w:id="124"/>
      <w:bookmarkEnd w:id="125"/>
      <w:r>
        <w:rPr>
          <w:rtl w:val="true"/>
        </w:rPr>
        <w:t>الدّم المُراق في الأمراق</w:t>
      </w:r>
      <w:bookmarkEnd w:id="126"/>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المراق في الأمراق حال غليانها نجسٌ منجّس، كما هو المشهور بين الأصحاب</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237"/>
      </w:r>
      <w:r>
        <w:rPr>
          <w:rFonts w:ascii="Amiri" w:hAnsi="Amiri" w:eastAsia="Amiri" w:cs="Amiri"/>
          <w:color w:val="111111"/>
          <w:sz w:val="28"/>
          <w:sz w:val="28"/>
          <w:szCs w:val="28"/>
          <w:rtl w:val="true"/>
          <w:lang w:bidi="ar-SA"/>
        </w:rPr>
        <w:t>والديلمي</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والقاضي</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موافقتهما إذا كان الدّم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للمفيد والديلمي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قِدْرٍ فيه جَزور وقع فيها أوقية من دمٍ‌، أيؤكل‌؟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النار تأكل الدّم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قِدْرٍ فيه ألف رطل ماءٍ‌، يُطبخ فيها لحمٌ‌، وقع فيها أوقية دم‌؟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فكُل فلا بأس</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العلّامة</w:t>
      </w:r>
      <w:r>
        <w:rPr>
          <w:rStyle w:val="FootnoteAnchor"/>
          <w:rtl w:val="true"/>
        </w:rPr>
        <w:footnoteReference w:id="243"/>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سعيد الأعرج مجهولٌ لا يُعرَف حاله، فلا حجّة في روايته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 سعيد الأعرج مع سعيد بن عبد الرحمن الأعرج، لاتّحاد الراوي عنهما والمرويّ عنه، فإنّ الراوي عنهما صفوان، وهما يرويان عن أبي عبداللّه عليه السلام، ولأنّ الشيخ رحمه الله في فهرسته اقتصر على ذكر سعيد الأعرج، وفي رجاله المتأخّر على سعيد بن عبد الرحمن الأعرج، ولو كانا متغايرين، لكان المتعيّن ذكرهما في كلٍّ منهما، ولغير ذلك من القرائن الموجبة للاطمئنان بوحدتهما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يتعيّن طرح الخبرين لإعراض الأصحاب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للشيخ 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الشيخ، عن محمّد بن أحمد بن يحيى‌، عن يعقوب بن يزيد، عن الحسن بن المبارك، عن زكريّا بن آدم،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قطرة خمرٍ أو نبيذٍ مُسْكر قطرتْ في قِدْرٍ فيه لحمٌ كثيرٌ ومرق كثير؟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الكلب، واللّحم اغسله 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قطر فيه الدّم‌؟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تأكله النار إنْ شاء اللّه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الدّم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إعراض الأصحاب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لأنّ ابن المبارك مجهول الحال، فتأمّل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27" w:name="pg11798_104495"/>
    </w:p>
    <w:p>
      <w:pPr>
        <w:pStyle w:val="Heading6"/>
        <w:numPr>
          <w:ilvl w:val="5"/>
          <w:numId w:val="1"/>
        </w:numPr>
        <w:rPr/>
      </w:pPr>
      <w:bookmarkStart w:id="128" w:name="__RefHeading___Toc10416856_73709187"/>
      <w:bookmarkStart w:id="129" w:name="_Toc46"/>
      <w:bookmarkEnd w:id="127"/>
      <w:bookmarkEnd w:id="128"/>
      <w:r>
        <w:rPr>
          <w:rtl w:val="true"/>
        </w:rPr>
        <w:t>السادس و السابع</w:t>
      </w:r>
      <w:r>
        <w:rPr>
          <w:rtl w:val="true"/>
        </w:rPr>
        <w:t xml:space="preserve">: </w:t>
      </w:r>
      <w:r>
        <w:rPr>
          <w:rtl w:val="true"/>
        </w:rPr>
        <w:t>الكلب والخنزير البريّان</w:t>
      </w:r>
      <w:bookmarkEnd w:id="129"/>
    </w:p>
    <w:p>
      <w:pPr>
        <w:pStyle w:val="Heading6"/>
        <w:numPr>
          <w:ilvl w:val="5"/>
          <w:numId w:val="1"/>
        </w:numPr>
        <w:rPr/>
      </w:pPr>
      <w:bookmarkStart w:id="130" w:name="__RefHeading___Toc10416858_73709187"/>
      <w:bookmarkStart w:id="131" w:name="_Toc47"/>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والكَلْب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 والخنزير</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النجاسات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البريّان، إجماعاً محصّلاً ومنقولاً عن جماعة كثيرة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أو 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رواية ابن شريح، عن الإمام الصادق عليه السلام الواردة في سؤر 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نجس</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w:t>
      </w:r>
      <w:r>
        <w:rPr>
          <w:rStyle w:val="FootnoteAnchor"/>
          <w:rtl w:val="true"/>
        </w:rPr>
        <w:footnoteReference w:id="247"/>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رِجْسٌ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أبي سهل،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خنزيرٍ يشربُ من إناء،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الإسكاف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شعر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يُخرز به لكن يَغسل يده إذا أراد أن يُصلّي</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ابن مسكان،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الوضوء بما ولغ فيه الكلب والسّنور، أو شرب منه جَمَلٌ أو دابّة أو غير ذلك، أيتوضّأ ويغتسل‌؟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على الماء البالغ مقدار الكر، ويشهد له ما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تشرب سؤر الكلب، إلّاأن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 يكون من شعر الخنزير، يُستقى به الماء من البئر، هل يتوضّأ من ذلك الماء؟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الوجه في عدم البأس، الشكّ في ملاقاة ما في الدلو مع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إرادة نفي البأس عن الماء الذي يكون في البئر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 حمله على ما إذا كان ما في الدّلو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جلد الخنزير يُجعل دلواً يُستقى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فالمراد منه نفي البأس عن استعمال جلد الميتة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ابن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الخنزير يُجعل حبلاً ويُستقى به من البئر التي يشرب منها ويتوضّأ منها؟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منه نفي البأس عن البئر كما لا يخفى‌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سَلّمنا ظهور بعض ما تقدّم في الطهارة، فإنّه لابدّ من تأويله أو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طرحه، لمخالفته لإجماع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فرق في هذا الحكم بين كلب الصيد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 التفصيل بينهما، فيجبُ غَسل الملاقي في الثاني، ورشه بالماء في الأوّل، ولم يُعلم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Style w:val="FootnoteAnchor"/>
          <w:rtl w:val="true"/>
        </w:rPr>
        <w:footnoteReference w:id="257"/>
      </w:r>
      <w:r>
        <w:rPr>
          <w:rFonts w:ascii="Amiri" w:hAnsi="Amiri" w:eastAsia="Amiri" w:cs="Amiri"/>
          <w:color w:val="111111"/>
          <w:sz w:val="28"/>
          <w:sz w:val="28"/>
          <w:szCs w:val="28"/>
          <w:rtl w:val="true"/>
          <w:lang w:bidi="ar-SA"/>
        </w:rPr>
        <w:t>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الكلب السلوقي،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مسسته فاغسل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البحري منهما، فطاهرٌ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النجاسة للبحري، واستدلّ له بإطلاق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الكلب والخنزير لو لم يكونا حقيقةً في البري منهما، كما عن جماعةٍ‌، فلا أقلّ من الانصراف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 السلام رجلٌ وأنا عنده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إنّها في بلادي، وإنّما هي كلابٌ تخرج من الماء؟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الماء تعيشُ خارجةً من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الاختصاص، وهو وإنْ كان مورده الكلب، إلّاأنّه يثبت الحكم في الخنزير للتعليل وعدم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الأقوى نجاسة رطوبتهما وأجزائهما، وهذا القول هو المشهور،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259"/>
      </w:r>
      <w:r>
        <w:rPr>
          <w:rFonts w:ascii="Amiri" w:hAnsi="Amiri" w:eastAsia="Amiri" w:cs="Amiri"/>
          <w:color w:val="111111"/>
          <w:sz w:val="28"/>
          <w:sz w:val="28"/>
          <w:szCs w:val="28"/>
          <w:rtl w:val="true"/>
          <w:lang w:bidi="ar-SA"/>
        </w:rPr>
        <w:t>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أجزائهما الّتي لا تحلّها الحياة، وتبعهماذا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لهذا 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زرارة الوارد في الحبل يكون من شعر الخنزير</w:t>
      </w:r>
      <w:r>
        <w:rPr>
          <w:rStyle w:val="FootnoteAnchor"/>
          <w:rtl w:val="true"/>
        </w:rPr>
        <w:footnoteReference w:id="261"/>
      </w:r>
      <w:r>
        <w:rPr>
          <w:rFonts w:ascii="Amiri" w:hAnsi="Amiri" w:eastAsia="Amiri" w:cs="Amiri"/>
          <w:color w:val="111111"/>
          <w:sz w:val="28"/>
          <w:sz w:val="28"/>
          <w:szCs w:val="28"/>
          <w:rtl w:val="true"/>
          <w:lang w:bidi="ar-SA"/>
        </w:rPr>
        <w:t>، وموثّق ابنه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 ما دلّ على طهارتها من الميتة، حيث أنّه يشملها منهما، فتثبت طهارتها في حال الحياة بعدم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وبنفي جزئيّتها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دلَّ على طهارتها من الميتة، إنّما يدلّ على أنّ النجاسة المسبّبة عن الموت لا تثبت في الأجزاء الّتي لا تحلّها الحياة، ولا تدلّ على عدم نجاستها حتّى مع انطباق عنوان نجس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الجزئيّة كما ترى‌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ما اختاره المشهور، ويشهد له مضافاً إلى إطلاق نصوص النجاسة، خبر سليمان الإسكاف،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شعر الخنزير يخزز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لكن يغسل يده إذا أراد أن يُصلّي</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32" w:name="pg11798_104499"/>
    </w:p>
    <w:p>
      <w:pPr>
        <w:pStyle w:val="Heading6"/>
        <w:numPr>
          <w:ilvl w:val="5"/>
          <w:numId w:val="1"/>
        </w:numPr>
        <w:rPr/>
      </w:pPr>
      <w:bookmarkStart w:id="133" w:name="__RefHeading___Toc10416860_73709187"/>
      <w:bookmarkStart w:id="134" w:name="_Toc48"/>
      <w:bookmarkEnd w:id="132"/>
      <w:bookmarkEnd w:id="133"/>
      <w:r>
        <w:rPr>
          <w:rtl w:val="true"/>
        </w:rPr>
        <w:t>حكم المتولّد منهما</w:t>
      </w:r>
      <w:bookmarkEnd w:id="134"/>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تولّد منهما، أو من أحدهما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أحدهما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أحدهما مع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الاُمّ طاهرة والأب نجساً،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منهم الشهيدان</w:t>
      </w:r>
      <w:r>
        <w:rPr>
          <w:rStyle w:val="FootnoteAnchor"/>
          <w:rtl w:val="true"/>
        </w:rPr>
        <w:footnoteReference w:id="263"/>
      </w:r>
      <w:r>
        <w:rPr>
          <w:rFonts w:ascii="Amiri" w:hAnsi="Amiri" w:eastAsia="Amiri" w:cs="Amiri"/>
          <w:color w:val="111111"/>
          <w:sz w:val="28"/>
          <w:sz w:val="28"/>
          <w:szCs w:val="28"/>
          <w:rtl w:val="true"/>
          <w:lang w:bidi="ar-SA"/>
        </w:rPr>
        <w:t>والمحقّق الثاني</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المتولّد منهما مطلقاً، ومالَ إليها الشيخ رحمه الله في طهارته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عليه اسم حيوان طاهر، فيشكل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بالقطع بعدم خروجه عن أحدهما وإنْ باينهما صورةً‌، وعليه فلا يضرّ عدم صدق الاسم، لأنّ الاعتبار وإنْ كان به، إلّاأنّه لكشفه من حقيقة المسمّى، لا </w:t>
      </w:r>
    </w:p>
    <w:p>
      <w:pPr>
        <w:pStyle w:val="BookText"/>
        <w:rPr/>
      </w:pPr>
      <w:r>
        <w:rPr>
          <w:rFonts w:ascii="Amiri" w:hAnsi="Amiri" w:eastAsia="Amiri" w:cs="Amiri"/>
          <w:color w:val="111111"/>
          <w:sz w:val="28"/>
          <w:sz w:val="28"/>
          <w:szCs w:val="28"/>
          <w:rtl w:val="true"/>
          <w:lang w:bidi="ar-SA"/>
        </w:rPr>
        <w:t>لدخله في الحكم من الحيث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وبتنقيح المناط، إذ المتشرّعة لا يفرّقون بين المتولّد من كلبين أو خنزيرين، وبين المتولّد من كلبٍ وخنزير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الأحكام وإنْ كانت لا تدور مدار التسمية من حيث هي، بل تدور مدارها من حيث الكشف عن المسمّيات، ولكن لا حقيقتها في نظر العقل، بل في نظر العُرف، وعلى ذلك فإنْ لم يصدق عليه اسم أحدهما عرفاً، فلا وجه للحكم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مناط نجاسة الكلب والخنزير لم يظهر لنا حتّى ندّعي وجوده في المتولّد منهما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استصحاب نجاسته، الثابتة له حال كونه جنيناً في بطن اُمّه قبل ولوج الروح فيه، لكونه من أجزاء اُمّه؛ نجاسته بعد ولوج الروح فيه وانفصاله عن اُمّه، فإنّ ولوج الروح فيه وخروجه لا يوجب تبدّل الموضوع، ولكن إنْ صدق عليه اسم حيوانٍ طاهر، فمقتضى إطلاق دليل طهارته المقدّم على الاستصحاب طهارته، وأمّا إذا لم يصدق عليه ذلك، فمقتضى ذلك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العَلَقة من منع صدق الجزئيّة عليه، لكونه متكوّناً فيها لا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طهارته ما لم يصدق عليه اسم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الأقوى طهارته في الصورتين الأخيرتين أيضاً، كماعن المشهور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للنجاسة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نجاسته حال كونه نطفة أو </w:t>
      </w:r>
    </w:p>
    <w:p>
      <w:pPr>
        <w:pStyle w:val="BookText"/>
        <w:rPr/>
      </w:pPr>
      <w:r>
        <w:rPr>
          <w:rFonts w:ascii="Amiri" w:hAnsi="Amiri" w:eastAsia="Amiri" w:cs="Amiri"/>
          <w:color w:val="111111"/>
          <w:sz w:val="28"/>
          <w:sz w:val="28"/>
          <w:szCs w:val="28"/>
          <w:rtl w:val="true"/>
          <w:lang w:bidi="ar-SA"/>
        </w:rPr>
        <w:t>علقة، ولا يخفى أنّه لتبدّل الموضوع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استدلّ للنجاسة في الصورة الثالثة باستصحاب نجاسته حال كونه جنيناً، وقد مرّ ما في هذا الاستصحاب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ظهر أنّ القول بنجاسة المتولّد منهما، إذا لم يصدق عليه اسم حيوانٍ طاهر، يستلزم القول بالنجاسة، إذا كانت الاُمّ نجسة، وعليه فالتفصيل بين الصورتين لا وجه له</w:t>
      </w:r>
      <w:r>
        <w:rPr>
          <w:rFonts w:eastAsia="Amiri" w:cs="Amiri" w:ascii="Amiri" w:hAnsi="Amiri"/>
          <w:color w:val="111111"/>
          <w:sz w:val="28"/>
          <w:szCs w:val="28"/>
          <w:rtl w:val="true"/>
          <w:lang w:bidi="ar-SA"/>
        </w:rPr>
        <w:t>.</w:t>
      </w:r>
      <w:bookmarkStart w:id="135" w:name="pg11798_104502"/>
    </w:p>
    <w:p>
      <w:pPr>
        <w:pStyle w:val="Heading6"/>
        <w:numPr>
          <w:ilvl w:val="5"/>
          <w:numId w:val="1"/>
        </w:numPr>
        <w:rPr/>
      </w:pPr>
      <w:bookmarkStart w:id="136" w:name="__RefHeading___Toc10416862_73709187"/>
      <w:bookmarkStart w:id="137" w:name="_Toc49"/>
      <w:bookmarkEnd w:id="135"/>
      <w:bookmarkEnd w:id="136"/>
      <w:r>
        <w:rPr>
          <w:rtl w:val="true"/>
        </w:rPr>
        <w:t>الثامن</w:t>
      </w:r>
      <w:r>
        <w:rPr>
          <w:rtl w:val="true"/>
        </w:rPr>
        <w:t xml:space="preserve">: </w:t>
      </w:r>
      <w:r>
        <w:rPr>
          <w:rtl w:val="true"/>
        </w:rPr>
        <w:t>الكافر</w:t>
      </w:r>
      <w:bookmarkEnd w:id="137"/>
    </w:p>
    <w:p>
      <w:pPr>
        <w:pStyle w:val="Heading6"/>
        <w:numPr>
          <w:ilvl w:val="5"/>
          <w:numId w:val="1"/>
        </w:numPr>
        <w:rPr/>
      </w:pPr>
      <w:bookmarkStart w:id="138" w:name="__RefHeading___Toc10416864_73709187"/>
      <w:bookmarkStart w:id="139" w:name="_Toc50"/>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نجاسة الكافر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من النجاسات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بل إجماعاً</w:t>
      </w:r>
      <w:r>
        <w:rPr>
          <w:rStyle w:val="FootnoteAnchor"/>
          <w:rtl w:val="true"/>
        </w:rPr>
        <w:footnoteReference w:id="270"/>
      </w:r>
      <w:r>
        <w:rPr>
          <w:rFonts w:ascii="Amiri" w:hAnsi="Amiri" w:eastAsia="Amiri" w:cs="Amiri"/>
          <w:color w:val="111111"/>
          <w:sz w:val="28"/>
          <w:sz w:val="28"/>
          <w:szCs w:val="28"/>
          <w:rtl w:val="true"/>
          <w:lang w:bidi="ar-SA"/>
        </w:rPr>
        <w:t>إذ لم يُنقل الخلاف إلّاعن الشيخ رحمه الله</w:t>
      </w:r>
      <w:r>
        <w:rPr>
          <w:rStyle w:val="FootnoteAnchor"/>
          <w:rtl w:val="true"/>
        </w:rPr>
        <w:footnoteReference w:id="27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للانسان أن يدعو أحداً من الكفّار إلى طعامه فيأكل معه، فإنْ دعاه فليأمر بغَسل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والعُمّاني</w:t>
      </w:r>
      <w:r>
        <w:rPr>
          <w:rStyle w:val="FootnoteAnchor"/>
          <w:rtl w:val="true"/>
        </w:rPr>
        <w:footnoteReference w:id="272"/>
      </w:r>
      <w:r>
        <w:rPr>
          <w:rFonts w:ascii="Amiri" w:hAnsi="Amiri" w:eastAsia="Amiri" w:cs="Amiri"/>
          <w:color w:val="111111"/>
          <w:sz w:val="28"/>
          <w:sz w:val="28"/>
          <w:szCs w:val="28"/>
          <w:rtl w:val="true"/>
          <w:lang w:bidi="ar-SA"/>
        </w:rPr>
        <w:t>حيث حكم بطهارة سؤر الذمّي، والإسكافي</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 رحمه الله فقد ذكر قبل هذا الكلام على المحكيّ بأسطر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مؤاكلة الكفّار على اختلاف مللهم، ولا استعمال أوانيهم إلّابعد غسلها بالماء، وكلّ طعامٍ تولّاه بعض الكفّار بأيديهم وباشروه بنفوسهم، لم يجز أكله، لأنّهم أنجاس ينجّسون الطعام بمباشرتهم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محيص عن حمل كلامه الأوّل على ما حمله المحقّق قدس سره</w:t>
      </w:r>
      <w:r>
        <w:rPr>
          <w:rStyle w:val="FootnoteAnchor"/>
          <w:rtl w:val="true"/>
        </w:rPr>
        <w:footnoteReference w:id="274"/>
      </w:r>
      <w:r>
        <w:rPr>
          <w:rFonts w:ascii="Amiri" w:hAnsi="Amiri" w:eastAsia="Amiri" w:cs="Amiri"/>
          <w:color w:val="111111"/>
          <w:sz w:val="28"/>
          <w:sz w:val="28"/>
          <w:szCs w:val="28"/>
          <w:rtl w:val="true"/>
          <w:lang w:bidi="ar-SA"/>
        </w:rPr>
        <w:t>عليه، وهو الحمل على المؤاكلة في اليابس</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المؤاكلة لا المساورة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بغسل اليد لزوال الاستقذار النفساني الذي يحصل من ملاقاة النجاسات، أو لكونه من آداب الأكل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حكمه بطهارة السؤر، لأجل ما يراه من عدم تنجّس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ترجمته</w:t>
      </w:r>
      <w:r>
        <w:rPr>
          <w:rStyle w:val="FootnoteAnchor"/>
          <w:rtl w:val="true"/>
        </w:rPr>
        <w:footnoteReference w:id="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يُعتنى بخلافه، لقوله بالقياس، ومطابقة فتواه لفتاوى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فدعوى الإجماع على النجاسة، كما عن جماعةٍ كثيرة كالسيّد</w:t>
      </w:r>
      <w:r>
        <w:rPr>
          <w:rStyle w:val="FootnoteAnchor"/>
          <w:rtl w:val="true"/>
        </w:rPr>
        <w:footnoteReference w:id="276"/>
      </w:r>
      <w:r>
        <w:rPr>
          <w:rFonts w:ascii="Amiri" w:hAnsi="Amiri" w:eastAsia="Amiri" w:cs="Amiri"/>
          <w:color w:val="111111"/>
          <w:sz w:val="28"/>
          <w:sz w:val="28"/>
          <w:szCs w:val="28"/>
          <w:rtl w:val="true"/>
          <w:lang w:bidi="ar-SA"/>
        </w:rPr>
        <w:t>والشيخ</w:t>
      </w:r>
      <w:r>
        <w:rPr>
          <w:rStyle w:val="FootnoteAnchor"/>
          <w:rtl w:val="true"/>
        </w:rPr>
        <w:footnoteReference w:id="277"/>
      </w:r>
      <w:r>
        <w:rPr>
          <w:rFonts w:ascii="Amiri" w:hAnsi="Amiri" w:eastAsia="Amiri" w:cs="Amiri"/>
          <w:color w:val="111111"/>
          <w:sz w:val="28"/>
          <w:sz w:val="28"/>
          <w:szCs w:val="28"/>
          <w:rtl w:val="true"/>
          <w:lang w:bidi="ar-SA"/>
        </w:rPr>
        <w:t>والحِلّي</w:t>
      </w:r>
      <w:r>
        <w:rPr>
          <w:rStyle w:val="FootnoteAnchor"/>
          <w:rtl w:val="true"/>
        </w:rPr>
        <w:footnoteReference w:id="278"/>
      </w:r>
      <w:r>
        <w:rPr>
          <w:rFonts w:ascii="Amiri" w:hAnsi="Amiri" w:eastAsia="Amiri" w:cs="Amiri"/>
          <w:color w:val="111111"/>
          <w:sz w:val="28"/>
          <w:sz w:val="28"/>
          <w:szCs w:val="28"/>
          <w:rtl w:val="true"/>
          <w:lang w:bidi="ar-SA"/>
        </w:rPr>
        <w:t>والمحقّق</w:t>
      </w:r>
      <w:r>
        <w:rPr>
          <w:rStyle w:val="FootnoteAnchor"/>
          <w:rtl w:val="true"/>
        </w:rPr>
        <w:footnoteReference w:id="279"/>
      </w:r>
      <w:r>
        <w:rPr>
          <w:rFonts w:ascii="Amiri" w:hAnsi="Amiri" w:eastAsia="Amiri" w:cs="Amiri"/>
          <w:color w:val="111111"/>
          <w:sz w:val="28"/>
          <w:sz w:val="28"/>
          <w:szCs w:val="28"/>
          <w:rtl w:val="true"/>
          <w:lang w:bidi="ar-SA"/>
        </w:rPr>
        <w:t>والشهيد</w:t>
      </w:r>
      <w:r>
        <w:rPr>
          <w:rStyle w:val="FootnoteAnchor"/>
          <w:rtl w:val="true"/>
        </w:rPr>
        <w:footnoteReference w:id="280"/>
      </w:r>
      <w:r>
        <w:rPr>
          <w:rFonts w:ascii="Amiri" w:hAnsi="Amiri" w:eastAsia="Amiri" w:cs="Amiri"/>
          <w:color w:val="111111"/>
          <w:sz w:val="28"/>
          <w:sz w:val="28"/>
          <w:szCs w:val="28"/>
          <w:rtl w:val="true"/>
          <w:lang w:bidi="ar-SA"/>
        </w:rPr>
        <w:t>وغيرهم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اَلْمُشْرِكُونَ نَجَسٌ فَلا يَقْرَبُوا اَلْمَسْجِدَ اَلْحَرامَ‌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الاستدلال بها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النجس مصدرٌ ولا يصحّ حمله على الأعيان الخارجيّة، إلّا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ويكفي في الإضافة المحكية بها أدنى ملابسة، ولو من جهة النجاسة العَرَضيّة الحاصلة من النجاسات، فلا تدلّ على النجاسة الذاتيّة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حمل المصدر على العين الخارجيّة نحو زيدٌ عَدْل، مع أنّ مقتضى إطلاقه النجاسة، حتّى في صورة عدم الملاقاة مع الأعيان النجسة، وهو 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يتمّ إلّامع النجاسة الذاتيّة، فعلى فرض تسليم التقدير، أيضاً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النجس صفةٌ مرادفة للنجس بالكسر، كما عن جماعة من اللّغويين التصريح به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عدم إفراد الخبر لكونه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الإفراد يمكن أن يكون لحاظ أنّهم نوع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المقدّس الأردبيلي</w:t>
      </w:r>
      <w:r>
        <w:rPr>
          <w:rStyle w:val="FootnoteAnchor"/>
          <w:rtl w:val="true"/>
        </w:rPr>
        <w:footnoteReference w:id="283"/>
      </w:r>
      <w:r>
        <w:rPr>
          <w:rFonts w:ascii="Amiri" w:hAnsi="Amiri" w:eastAsia="Amiri" w:cs="Amiri"/>
          <w:color w:val="111111"/>
          <w:sz w:val="28"/>
          <w:sz w:val="28"/>
          <w:szCs w:val="28"/>
          <w:rtl w:val="true"/>
          <w:lang w:bidi="ar-SA"/>
        </w:rPr>
        <w:t xml:space="preserve">وتلميذه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 وتلميذه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ثبوت الحقيقة الشرعيّة في النجس، يمكن أن يكون المراد به النجس العرفي، ويمكن أن يكون الخباثة النفسانيّة كالحَدَث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النجاسة الشرعيّة، ليست إلّاالقذارة الثابتة للأشياء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النجاسة الشرعيّة لا العرفيّة، بقرينة أنّ القذارة العرفيّة لا تُناسب الحكم المفرع عليه، مع أنّها غير مطابقة للواقع في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إرادة الخباثة النفسانيّة، فهي خلاف الظاهر، لا يُصار إليها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 عليها بعض الأعاظم</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قائمة بالنفس، وظاهر الآية نجاسة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وجه هذا الاستظهار،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أخصّ من المدّعى، لاختصاصها بالمشرك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المشرك يُطلق على كلّ كافرٍ من الوثني والثنوي واليهودي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والنصراني و المجوسى وغيرهم، كما صرّح به النووى علي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الإشراك إلى اليهود والنصارى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بِأَفْواهِهِمْ يُضاهِؤُنَ قَوْلَ اَلَّذِينَ كَفَرُوا مِنْ قَبْلُ قاتَلَهُمُ اَللّهُ أَنّى يُؤْفَكُونَ اِتَّخَذُوا أَحْبارَهُمْ وَ رُهْبانَهُمْ أَرْباباً مِنْ دُونِ اَللّهِ وَ اَلْمَسِيحَ اِبْنَ مَرْيَمَ وَ ما أُمِرُوا إِلاّ لِيَعْبُدُوا إِلهاً واحِداً لا إِلهَ إِلاّ هُوَ سُبْحانَهُ عَمّا يُشْرِكُونَ‌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خلاف ما يستفاد من النصوص الكثيرة، والمتفاهم منه عند المتشرّعة، فتنزّل هذه الآية الشريفة على ما تتنزّل عليه جملةٌ من النصوص الدالّة على حصول الشرك بفعل بعض المعاصي، وترك بعض الواجبات، وهو الالتزام بأنّ للشرك مراتباً، والمرتبة العُليا منها وهي القول بتعدّد الإله هي موضوع النجاسة، وعليه فليست الآية الشريفة في مقام تنزيل اليهود والنصارى منزلة المشركين، كي يؤخذ بإطلاق التنزيل، فيثبت لهم حكم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وإنْ دلّت على نجاسة المشركين، إلّاأنّها تختصّ بهم، ولا تشمل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يدلّ على نجاستهم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صافح مجوسيّاً؟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يده ولا يتوضّأ</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بالغَسل على التعبّد لا الإرشاد إلى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 لفتوى الأصحاب، وبعيدٌ عمّا يفهم من الأمر بالغُسل في أمثال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الاستحباب، لأنّ حمله على الوجوب يستلزم تقييده بما إذا كانت الملاقاة برطوبةٍ 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التقييد إنّما يستفاد من الأدلّة الاُخر مثل ما دلّ على أنّ كلّ يابسٍ ذكي، فحمل الأمر على الاستحباب يبقى بلا مجوّز، لظهور الأمر في نفسه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الأمر بغَسل اليد ناشئاً من نجاستهم العَرَضيّة، يدفعه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اليهودي والنصراني أيؤكل أو يُشرب‌؟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مصافحة اليهودي والنصراني‌؟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الثياب، فإنْ صافحك بيده فاغسل يدك</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أُورد على ما قبلهما،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آنية أهل الذمّة والمجوس‌؟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ولا من طعامهم الذي يطبخون، ولا في آنيتهم التي يشربون فيها الخمر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بعض المحقّقين قدس سره</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على خلاف المطلوب أدلّ‌، إذ ظاهره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انحصار المنع بالأكل من الآنية التي يُشرب فيها الخمر، دون ما يشرب فيه الماء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المنع عن أكل طعامهم الذي يطبخون، فيحتمل قويّاً أنْ يكون من جهة عدم تجنّبهم عن مزجه بالأشياء المحرّمة من الميتة وغير ذلك من المحرّمات كلحم الخنزير، ولا أقلّ من كون أوانيهم المعدّة للطبخ متنجّسة بمثل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الأكل في آنيتهم في صدر الحديث مطلق، وذِكْره في الذيل ثانياً مقيّداً إنّما يكون بحسب الظاهر لبيان حكمٍ آخر غير ما استُفيد من الصّدر، فصدره سيق لبيان نجاستهم الذاتيّة، وذيله لبيان نجاسة الخمر،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الأكل من طعامهم الذي يطبخون بما أنّه مطلقٌ شاملٌ لما لم يمزج بما ذكر، ولا طبخ في الآنية المتنجّسة به، فلا محالة يستفاد منه أنّ المنع إنّما يكون لأجل مباشرتهم برطوبة مُسرية، فيستفاد منه نجاستهم، وبذلك تظهر دلالة سائر الأخبار الناهية عن أكل طعامهم كأخبار هارون بن خارجة، وسماعة، ومحمّد بن مسلم وغيرها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النصراني يغتسل مع المسلم في الحمّام‌؟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نصراني اغتسل بغير ماء الحمّام، إلّاأن يغتسل وحده على الحوض فيغسله ثمّ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اليهودي والنصراني يُدخل يده في الماء أيتوضّأ منه للصّلاة‌؟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يضطرّ إليه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مفاده جواز الوضوء بالماء الذي أدخل اليهوديّ أو النصرانيّ يده فيه لدى الضرورة، وهو ينافي نجاسته، ولا يستفاد من صدره لإجمال وجه المنع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الاغتسال بما اغتسل به النصراني نجاسة النصرانيّ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المراد من الاضطرار التقيّة، إذ لا يصحّ التعبير عن عدم وجود ماء غيره بالاضطرار إلى الوضوء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صدره فلا وجه للمنع عنه بقول مطلق، والأمر بغسل الحوض الذي اغتسل فيه، ثمّ الاغتسال منه كذلك سوى نجاسته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آنية المجوس‌؟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اضطررتم إليها فاغسلوها بالماء</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اَلَّذِينَ أُوتُوا اَلْكِتابَ حِلٌّ لَكُمْ‌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 في جملةٍ من النصوص المعتبرة بالحبوب وأشباهها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وبطوائف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الصّلاة في الثوب الذي يعمله أهل الكتاب والمجوس أو يُشترى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الثياب السابريّة يعملها المجوس، وهم أخباث، يشربون الخمر، ونسائهم على تلك الحالة، ألبسها ولا أغسلها واُصلّىُ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علي البزّاز،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جعفر بن محمّد عليه السلام عن الثوب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يعمله أهل الكتاب، اُصلّي فيه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أبى جميلة،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ثوب المجوسي ألبسه واُصلّي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نشتري الثياب السّابُريّة فنلبسها ولا نغلسها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بيان حكم صورة عدم العلم بتنجيسهم للثوب، كما يشهد له ذيل خبر أبي 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الخمر نجسة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الثوب الذي يُعار، مع العلم بأنّه يشرب الخمر، ويأكل لحم الخنزير؟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ولا تغسله من أجل ذلك، فإنّك أعرته إيّاه وهو طاهر، ولم تستيقن أنّه نجّسه، فلا بأس أن تُصلّي فيه حتّى تستيقن أنّه نجس</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أنّه في الصحيح فَرَض السائل كونهم أخباثاً، وقرّره الإمام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مؤاكلتهم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مؤاكلة اليهودي والنصرانى والمجوسي‌؟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طعامك، وتوضّأ فلا بأس</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المؤاكلة لا تلازم ملاقاة الطعام الذي يأكله المسلم مع بدن الكافر، كي يدلّ ما دلّ على جوازها على طهارته، والأمر بالوضوء يمكن أن يكون لأجل كونه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آداب الأكل، فمفاد هذه النصوص جواز مؤاكلة أهل الكتاب، وبها تُرفع اليد عن ظاهر ما دلّ على المنع عن مؤاكلتهم من حيث هي، الذي يحتمل أن يكون وجهه كونها نحواً من الموادّة التي يمقتها اللّه وأوليائه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الأكل من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طعام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ولا تتركه، تقول إنّه حرام، ولكن تتركه تنزّهاً عنه أنّ في آنيتهم الخمر ولحم الخنزير</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زكريّا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الكتاب، وإنّي أسلمتُ وبقي أهلي كلّهم على النصرانيّة، وأنا معهم في بيتٍ واحد، لم اُفارقهم بعدُ فآكل من طعامهم‌؟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الخنزير؟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يشربون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معهم واشرب</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الصحيح؛ فبما أنّ تكرار النهي والاهتمام به، لا يُلائم كونه تنزيهيّاً، لاسيّما مع تعليله بأنّ في آنيتهم الخمر والخنزير، الّذين هما نجسان بلا كلامٍ‌، فلابدّ من حمله على التقيّة، كما أنّ التفصيل في الخبر بين كونهم آكلين لحم الخنزير، وشاربين الخمر، ممّا يشهد لعدم صدور الحكم لبيان الحكم الواقعي، مضافاً إلى أنّهما على فرض تماميّة دلالتهما، يعارضان مع النصوص الدالّة على عدم جواز أكل طعامهم من غير الحبوب وأشباهها، وهي تقدّم لكونها أخصّ‌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ضعف ما ذكره بعض المحقّقين رحمه الله</w:t>
      </w:r>
      <w:r>
        <w:rPr>
          <w:rStyle w:val="FootnoteAnchor"/>
          <w:rtl w:val="true"/>
        </w:rPr>
        <w:footnoteReference w:id="304"/>
      </w:r>
      <w:r>
        <w:rPr>
          <w:rFonts w:ascii="Amiri" w:hAnsi="Amiri" w:eastAsia="Amiri" w:cs="Amiri"/>
          <w:color w:val="111111"/>
          <w:sz w:val="28"/>
          <w:sz w:val="28"/>
          <w:szCs w:val="28"/>
          <w:rtl w:val="true"/>
          <w:lang w:bidi="ar-SA"/>
        </w:rPr>
        <w:t>من أنّ الصحيح يصلح قرينةً بمدلوله اللّفظي على صرف الأخبار الظاهرة في النجاسة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الأكل في آنيتهم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في آنيتهم إذا كانوا يأكلون فيها الميتة والدّم ولحم الخنزير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له كي يدلّ على جواز الأكل فيها في غير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الوضوء عن سؤرهم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يتوضّأ من كوز أو إناء غيره إذا شرب منه، على أنّه يهودي‌؟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الماء الذي يشرب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حمله الشيخ رحمه الله</w:t>
      </w:r>
      <w:r>
        <w:rPr>
          <w:rStyle w:val="FootnoteAnchor"/>
          <w:rtl w:val="true"/>
        </w:rPr>
        <w:footnoteReference w:id="307"/>
      </w:r>
      <w:r>
        <w:rPr>
          <w:rFonts w:ascii="Amiri" w:hAnsi="Amiri" w:eastAsia="Amiri" w:cs="Amiri"/>
          <w:color w:val="111111"/>
          <w:sz w:val="28"/>
          <w:sz w:val="28"/>
          <w:szCs w:val="28"/>
          <w:rtl w:val="true"/>
          <w:lang w:bidi="ar-SA"/>
        </w:rPr>
        <w:t>على صورة عدم العلم بكونه يهوديّاً، وهو كما ترى‌، ولكن يمكن أن يكون المراد به عدم نجاسة الماء القليل بملاقاة النجاسة، فلا يدلّ على عدم 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بن أبي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النصرانيّة تخدمك، وأنتَ تعلم أنّها نصرانيّة لا تتوضّأ ولا تغتسل من جنابة‌؟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تغسل يديها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فيه عن القضيّة المعيّنة الخارجيّة، وهي الجارية التي تخدمه عليه السلام،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أنّ حال هذا الاستخدام مجهولٌ من حيث أنّه كان باختياره أو باختيار السلطان الجائر، وكان مجبوراًعليذلك، فالواقعة مجملة لايمكن الاستدلال بها،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تغسيل النصراني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رجلٌ مسلم، وليس معه رجلٌ مسلم ولا إمرأه مسلمة من ذوي قرابته، ومعه رجال نصارى ونساءٌ مسلمات، ليس بينه وبينهن قرابة‌؟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النصارى ثمّ يغسلونه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w:t>
      </w:r>
      <w:r>
        <w:rPr>
          <w:rStyle w:val="FootnoteAnchor"/>
          <w:rtl w:val="true"/>
        </w:rPr>
        <w:footnoteReference w:id="310"/>
      </w:r>
      <w:r>
        <w:rPr>
          <w:rFonts w:ascii="IRNazanin" w:hAnsi="IRNazanin" w:eastAsia="IRNazanin"/>
          <w:color w:val="111111"/>
          <w:sz w:val="28"/>
          <w:sz w:val="28"/>
          <w:szCs w:val="28"/>
          <w:rtl w:val="true"/>
          <w:lang w:bidi="fa-IR"/>
        </w:rPr>
        <w:t>ابن خالد، وقد عمل الأصحاب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على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نجاستهم لا تنافي صحّة الغُسل، إذ يمكن أن يكون الوجه في الصحّة العفو عن هذه النجاسة، أو عدم تنجّس الماء المستعمل في الغُسل، ولا بدن الميّت من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طهارة الكافر، كي يُعارض ما دلّ على نجاسته، وعلى فرض التنزّل وتسليم الدلالة، فجميع الطوائف سوى الطائفة الأخيرة يمكن الالتزام بأنّها لإعراض الأصحاب عنها تُطرح أو تُحمل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تلك الطائفة، فلا يمكن فيها ذلك، لما عرفت من عمل الأصحاب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الوجه في عدم عملهم بنصوص الطهارة، تخيّلهم معارضتها مع نصوص النجاسة وترجيحها عليها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يحتمل في حقّهم، حيث يكون بنائهم على الجمع العرفي في جميع أبواب الفقه، وهو في المقام ممكن بحمل نصوص النجاسة على 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الشيخ الأعظم رحمه الله</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حمل نصوص الطهارة على التقيّة لموافقتها للعامّة، إذ موافقة العامّة إنّما تكون مرجّحة لإحدى الحجّتين على الاُخرى‌، بعد عدم إمكان الجمع بينهما، وفقد جملةٍ من المرجّحات، لا من مميّزات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عدم الفرق بين المرتدّ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 نجاسة أجزائه بين ماتحلّه الحياة وغيره، كماهو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312"/>
      </w:r>
      <w:r>
        <w:rPr>
          <w:rFonts w:ascii="Amiri" w:hAnsi="Amiri" w:eastAsia="Amiri" w:cs="Amiri"/>
          <w:color w:val="111111"/>
          <w:sz w:val="28"/>
          <w:sz w:val="28"/>
          <w:szCs w:val="28"/>
          <w:rtl w:val="true"/>
          <w:lang w:bidi="ar-SA"/>
        </w:rPr>
        <w:t xml:space="preserve">وجدّه،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نجاسة أجزائه التي لاتحلّها الحياة، وهو الأقوى في غير المشرك، وذلك لأنّ مقتضى الآية الشريفة المختصّة بالمشرك، المعلّق فيها الحكم على المُسمّى عموم الحكم لجميع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النصوص الدالّة على نجاستهم، ليس لسانهانجاستهم، بل تكون دلالتها عليها من جهة دلالتها على لزوم الاجتناب عن مساورتهم ومخالطتهم، وغيرهما من العناوين، فلا دليل على ثبوتها في تلك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اندفع اعتراض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على صاحب المعالم رحمه الله، بأنّ الأخبار التي تدلّ على نجاسة اليهود والنصارى‌، قد عُلّق الحكم فيها على عنوان اليهود والنصارى‌، وهو عبارةٌ عن مجموع أجزاء الشخص المنسوب إليهم، والشخص عبارةٌ عن مجموع الأجزاء،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ثبت الإجماع على نجاسة تلك الأجزاء، ولم يُحتمل استناد المجمعين إلى ما ذكر فهو الحجّة في المقام، ولكن من أين له إثبات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40" w:name="pg11798_104514"/>
    </w:p>
    <w:p>
      <w:pPr>
        <w:pStyle w:val="Heading6"/>
        <w:numPr>
          <w:ilvl w:val="5"/>
          <w:numId w:val="1"/>
        </w:numPr>
        <w:rPr/>
      </w:pPr>
      <w:bookmarkStart w:id="141" w:name="__RefHeading___Toc10416866_73709187"/>
      <w:bookmarkStart w:id="142" w:name="_Toc51"/>
      <w:bookmarkEnd w:id="140"/>
      <w:bookmarkEnd w:id="141"/>
      <w:r>
        <w:rPr>
          <w:rtl w:val="true"/>
        </w:rPr>
        <w:t>مسائل</w:t>
      </w:r>
      <w:r>
        <w:rPr>
          <w:rtl w:val="true"/>
        </w:rPr>
        <w:t>:</w:t>
      </w:r>
      <w:bookmarkEnd w:id="142"/>
    </w:p>
    <w:p>
      <w:pPr>
        <w:pStyle w:val="Heading6"/>
        <w:numPr>
          <w:ilvl w:val="5"/>
          <w:numId w:val="1"/>
        </w:numPr>
        <w:rPr/>
      </w:pPr>
      <w:bookmarkStart w:id="143" w:name="__RefHeading___Toc10416868_73709187"/>
      <w:bookmarkStart w:id="144" w:name="_Toc52"/>
      <w:bookmarkEnd w:id="143"/>
      <w:r>
        <w:rPr>
          <w:rtl w:val="true"/>
        </w:rPr>
        <w:t>حكم مُنكِر الضروري</w:t>
      </w:r>
      <w:bookmarkEnd w:id="144"/>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الضروري كافرٌ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جماعةٍ‌</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الإسلام هو الشهادة بالوحدانيّة، والتصديق بجميع ما جاء به النبيّ صلى الله عليه و آله، ولكن حيث لم يثبت الإجماع على نجاسة كلّ كافر، والأدلّة إنّما دلّت على نجاسة أهل الكتاب، وتتعدّى إلى كلّ من لا يؤمن بالنبيّ صلى الله عليه و آله رأساً لا من آمن ببعضٍ وكفر ببعض، فلا دليل على نجاسة مُنكر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المنسوب إلى جملةٍ من الأساطين</w:t>
      </w:r>
      <w:r>
        <w:rPr>
          <w:rStyle w:val="FootnoteAnchor"/>
          <w:rtl w:val="true"/>
        </w:rPr>
        <w:footnoteReference w:id="315"/>
      </w:r>
      <w:r>
        <w:rPr>
          <w:rFonts w:ascii="Amiri" w:hAnsi="Amiri" w:eastAsia="Amiri" w:cs="Amiri"/>
          <w:color w:val="111111"/>
          <w:sz w:val="28"/>
          <w:sz w:val="28"/>
          <w:szCs w:val="28"/>
          <w:rtl w:val="true"/>
          <w:lang w:bidi="ar-SA"/>
        </w:rPr>
        <w:t>هو النجاسة، وإنْ كان يحتمل أن يكون مدركهم صدق الكافر عليه، فالأحوط هو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فرض كونه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يكون إنكار الضروري سبباً مستقلّاً للنجاسة،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نسبته إلى ظاهر الأصحاب‌؟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يوجب النجاسة لرجوع إنكاره إلى إنكار النبوّة كما عن الأردبيلي</w:t>
      </w:r>
      <w:r>
        <w:rPr>
          <w:rStyle w:val="FootnoteAnchor"/>
          <w:rtl w:val="true"/>
        </w:rPr>
        <w:footnoteReference w:id="317"/>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والخوانساري</w:t>
      </w:r>
      <w:r>
        <w:rPr>
          <w:rStyle w:val="FootnoteAnchor"/>
          <w:rtl w:val="true"/>
        </w:rPr>
        <w:footnoteReference w:id="319"/>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بعطف مُنكر الضروري في كلامهم على الخارج عن الإسلام، وظاهر العطف المغايرة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كان سبباً لها لرجوعه إلى إنكار الرسالة، لم يكن وجهٌ لتقييدهم إيّاه بالضروري، بل كان المتعيّن تعليق الحكم على إنكار ما عُلم أنّه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 الدالّة على ثبوت الكفر بمجرّد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عبد الرحيم القصير الصحيحة،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يخرجه إلى الكفر إلّاالجحود والإستحلال، بأن يقول للحلال هذا حرامٌ‌، وللحرام هذا حلال</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ارتكب كبيرةً من الكبائر، فزعم أنّها حلال، أخرجه ذلك عن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وبتسالمهم عليكفر النواصب والخوارج، متمسّكين لذلك بإنكارهم للضروري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ورد</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الإسلام بُنيَ على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أن يكون العطف باعتبار أنّ مُنكر الضروري مؤمنٌ ببعضٍ وكافرٌ ببعض، وهو غير الخارج عن الإسلام بالكليّة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التقييد بالضروري، يمكن أن يكون لأجل أنّ مَنْ عاشر المسلمين يعلم بديهةً كونه من الدِّين، فإنكاره يرجع إلى إنكار النبوّة، ويؤيّد ذلك ما اشتهر من إخراج صورة الشُّبهة، واكتفاء القدماء بذكر الكفر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النصوص المشتملة على الجُحُود والإنكار، اختصاصها بصورة العلم، الموجب إنكاره حينئذٍ إنكار الرسالة واضح، وما لم يشتمل عليهما مطلق، وحيثُ لا يمكن الالتزام بإطلاقه، كما هو واضح، فلابدّ من تقييده بالضروري، أو بصورة العلم، وليس الأوّل بأولى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لنجاسة الطائفتين به إنّما يكون من بعضٍ لا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بنائه على ذوات الخمس، لا من حيث صيرورتها ضروريّة، كي يتعدّى إلى كلّ ما أصبح ضروريّاً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سببيّة إنكار الضروري من حيثُ هو للنجاسة</w:t>
      </w:r>
      <w:r>
        <w:rPr>
          <w:rFonts w:eastAsia="Amiri" w:cs="Amiri" w:ascii="Amiri" w:hAnsi="Amiri"/>
          <w:color w:val="111111"/>
          <w:sz w:val="28"/>
          <w:szCs w:val="28"/>
          <w:rtl w:val="true"/>
          <w:lang w:bidi="ar-SA"/>
        </w:rPr>
        <w:t>.</w:t>
      </w:r>
      <w:bookmarkStart w:id="145" w:name="pg11798_104517"/>
    </w:p>
    <w:p>
      <w:pPr>
        <w:pStyle w:val="Heading6"/>
        <w:numPr>
          <w:ilvl w:val="5"/>
          <w:numId w:val="1"/>
        </w:numPr>
        <w:rPr/>
      </w:pPr>
      <w:bookmarkStart w:id="146" w:name="__RefHeading___Toc10416870_73709187"/>
      <w:bookmarkStart w:id="147" w:name="_Toc53"/>
      <w:bookmarkEnd w:id="145"/>
      <w:bookmarkEnd w:id="146"/>
      <w:r>
        <w:rPr>
          <w:rtl w:val="true"/>
        </w:rPr>
        <w:t>ولد الكافر تابعٌ للكافر</w:t>
      </w:r>
      <w:bookmarkEnd w:id="14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الكافر يتبعه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مميّزاً يمكن له الإسلام عن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أسلم قُبل إسلامه، وحُكم بطهارته، لإطلاق ما يكون شارحاً للإسلام الشامل للصبي والبالغ، ولما حقّقناه في محلّه من شرعيّة عبادات الصبي المتوقّفة صحّتها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رفع القلم</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أنّ المراد منه رفع قلم التكليف لا المؤأخذة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 مجالاً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يدلّ عليه رفع التكليف عن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فعل الصبي موضوعاً للحكم المتوجّه إلى البالغين، كإسلامه وكفره الموضوعين للزوم الاجتناب وعدمه على البالغين، فلا يدلّ الحديث على رفعه، فهو لا يدلّ إلّاعلى عدم وجوب الإسلام عليه لا على عدم قبوله،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وإنْ كان مطلقاً غير مذيّلٍ بقوله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وجه لحمله على ما يكون مقيّداً به، كما لا يخفى‌، إلّاأنّه أيضاً مختصّ بباب الضمانات، إذ تنزيل شيءٍ منزلة آخر يتوقّف على ثبوت المنزّل والمنزّل عليه، فمورد هذه الروايات ما يتصوّر فيه القسمان؛ أي العمد والخطأ، كالإتلاف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لا يتصوّر فيه إلّاقسمٌ واحد، ولا يتصوّر فيه الخطأ، كباب العقود والإيقاعات، المتوقّف تحقّقها على القصد والإنشاء، فلا يكون مشمولاً لهذه النصوص، والإسلامُ من هذا القبيل، لتوقّف تحقّقه على القصد، فهي أيضاً لا تدلّ على عدم قبول إسلام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ظهر أنّه لو لم يُسْلِم حُكم بكفره ونجاسته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الصبي غير المميّز، فالظاهر أنّه لا خلاف في كونه تابعاً للكافر في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باستصحاب النجاسة الثابتة له حال كونه جنيناً في بطن اُمّه، لأجل كونه جزءً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وبتنقيح المناط عند أهل الشّرع، حيث أنّهم يتعدّون من نجاسة الأبوين ذاتاً إلى المتولّد منهما، فهو شيءٌ مركوزٌ في أذهانهم، وإنْ لم يُعلم وجهه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أولاد المشركين يموتون قبل أن يبلغوا الحنث‌؟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واللّه اعلم بما كانوا عاملين، يدخلون مداخل آبائهم</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من أهل الحرب إذا أسلم في دار الحرب، فظهر عليه المسلمون بعد ذلك‌؟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إسلامٌ لنفسه ولولده الصغار، وهم أحرار، وولده ومتاعه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ورفيقه له، فأمّا الولد الكبار فهم فيءٌ للمسلمين إلّاأن يكونوا أسلموا قبل ذلك</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وبالسيرة القطعيّة على معاملتهم معاملة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كون الجنين جزء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عدم المناط، كيف يُدّعى ثبوته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تلك النصوص أنّ حكمهم في الآخرة حكم آبائهم، وهذا مع أنّه مخالفٌ لاُصول العدليّة غير مربوط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يدلّ على أنّ إسلام الأب إسلامٌ للولد، وأمّا كون كفره كفراً له فهو يتوقّف على ثبوت المفهوم للوصف، ولا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لو سُلّم دلالته عليه، لكن لا دليل على نجاسة كلّ كافرٍ حتّى مثل هذا الكافر الذي لا شعور له، ويكون كافراً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السيرة في هذه الأزمنة إنّما تكون لأجل فتاوى العلماء، وفي عصر الحضور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العمدة هو الإجماع إنْ لم يُحتمل كون مدرك الُمجمِعين بعض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 ذلك بين كونه من النكاح أو السِّفاح والزنا، كما هو مقتضى إطلاق معاقد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استثناء ما يكون من الزنا، لعلّه يكون لأجل ما ذكروه في محلّه من نفي ولدية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نفي ولديته مطلقاً، وما ثبت إنّما هو في مواردخاصّة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يوجب القطع بالإلحاق فيؤخذ بالمتيقّن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دعوى القطع بعدم أسوئيّة حال ولد الحلال عن ولد الزنا قريبةٌ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الأحوط الاجتناب عنه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الأبوين مسلماً، فالولد تابعٌ له كما هو المشهور</w:t>
      </w:r>
      <w:r>
        <w:rPr>
          <w:rStyle w:val="FootnoteAnchor"/>
          <w:rtl w:val="true"/>
        </w:rPr>
        <w:footnoteReference w:id="328"/>
      </w:r>
      <w:r>
        <w:rPr>
          <w:rFonts w:ascii="Amiri" w:hAnsi="Amiri" w:eastAsia="Amiri" w:cs="Amiri"/>
          <w:color w:val="111111"/>
          <w:sz w:val="28"/>
          <w:sz w:val="28"/>
          <w:szCs w:val="28"/>
          <w:rtl w:val="true"/>
          <w:lang w:bidi="ar-SA"/>
        </w:rPr>
        <w:t>، ويشهد لتبعيّته للأب خبر حفص المتقدّم، وللاُمّ عدم الدليل على نجاسته، إذ كما عرفت لا دليل على نجاسة ولد الكافر، سوى الإجماع، ولا إجماع على نجاسته في الفرض، لو لم يكن الإجماع على العدم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8" w:name="pg11798_104521"/>
    </w:p>
    <w:p>
      <w:pPr>
        <w:pStyle w:val="Heading6"/>
        <w:numPr>
          <w:ilvl w:val="5"/>
          <w:numId w:val="1"/>
        </w:numPr>
        <w:rPr/>
      </w:pPr>
      <w:bookmarkStart w:id="149" w:name="__RefHeading___Toc10416872_73709187"/>
      <w:bookmarkStart w:id="150" w:name="_Toc54"/>
      <w:bookmarkEnd w:id="148"/>
      <w:bookmarkEnd w:id="149"/>
      <w:r>
        <w:rPr>
          <w:rtl w:val="true"/>
        </w:rPr>
        <w:t>طهارة ولد الزِّنا</w:t>
      </w:r>
      <w:bookmarkEnd w:id="15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ولد الزّنا طاهرٌ كما هو المشهور شهرةً عظيمة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330"/>
      </w:r>
      <w:r>
        <w:rPr>
          <w:rFonts w:ascii="Amiri" w:hAnsi="Amiri" w:eastAsia="Amiri" w:cs="Amiri"/>
          <w:color w:val="111111"/>
          <w:sz w:val="28"/>
          <w:sz w:val="28"/>
          <w:szCs w:val="28"/>
          <w:rtl w:val="true"/>
          <w:lang w:bidi="ar-SA"/>
        </w:rPr>
        <w:t>والحِلّي</w:t>
      </w:r>
      <w:r>
        <w:rPr>
          <w:rStyle w:val="FootnoteAnchor"/>
          <w:rtl w:val="true"/>
        </w:rPr>
        <w:footnoteReference w:id="331"/>
      </w:r>
      <w:r>
        <w:rPr>
          <w:rFonts w:ascii="Amiri" w:hAnsi="Amiri" w:eastAsia="Amiri" w:cs="Amiri"/>
          <w:color w:val="111111"/>
          <w:sz w:val="28"/>
          <w:sz w:val="28"/>
          <w:szCs w:val="28"/>
          <w:rtl w:val="true"/>
          <w:lang w:bidi="ar-SA"/>
        </w:rPr>
        <w:t>والسيّد</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بنجاسته وكفره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الدالّة على لزوم الاجتناب عن سؤره، وعلى المنع من الإغتسال من البئر التي يجتمع فيها ماءُ الحمّام، معلّلاً بأنّه يغتسل فيه ولد الزِّنا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الوشّاء،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سؤر ولد الزنا واليهودي والنصراني والمشرك، وكلّ مَنْ خالف الإسلام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تجتمع فيها غُسالة الحمّام، فإنّ فيها غُسالة ولد الزنا، وهو لا يطهر إلى سبعة آباء</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تضمّن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اليهوديّة والنصرانيّة والمجوسيّة أحب من لبن الزانية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مرسل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الكراهة أعمّ من المنع، فلا يدلّ على النجاسة، وعطف الإنجاس على ولد الزنا، لا يكون قرينةً على إرادة المنع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دلّ على المنع عن الاغتسال؛ فلا يكون ظاهراً في كونه بلحاظ نجاسة ولد الزنا، لاشتماله على أنّه لا يطهر إلى سبعة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ريب في عدم تعدّي النجاسة منه على فرض القول بها، وما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شرٌّ وأنّ الناصب شرٌّ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الشرّية ظاهرة في الخباثة النفسانيّة، فلا يدلّ على نجاسته، وقد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إرادة النجاسة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أحبيّة لبن الكافرة من لبن الزانية، فإنّها يمكن أن تكون للخباثة النفسانيّة لا النجاسة، ونفي الخير فيه لا يدلّ على النجاسة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بمقتضى إطلاق ما دلّ على أنّ الإسلام هو الشهادة بالوحدانيّة، والرسالة، وأصالة الطهارة، هو طهارة ولد الزّنا</w:t>
      </w:r>
      <w:r>
        <w:rPr>
          <w:rFonts w:eastAsia="Amiri" w:cs="Amiri" w:ascii="Amiri" w:hAnsi="Amiri"/>
          <w:color w:val="111111"/>
          <w:sz w:val="28"/>
          <w:szCs w:val="28"/>
          <w:rtl w:val="true"/>
          <w:lang w:bidi="ar-SA"/>
        </w:rPr>
        <w:t>.</w:t>
      </w:r>
      <w:bookmarkStart w:id="151" w:name="pg11798_104523"/>
    </w:p>
    <w:p>
      <w:pPr>
        <w:pStyle w:val="Heading6"/>
        <w:numPr>
          <w:ilvl w:val="5"/>
          <w:numId w:val="1"/>
        </w:numPr>
        <w:rPr/>
      </w:pPr>
      <w:bookmarkStart w:id="152" w:name="__RefHeading___Toc10416874_73709187"/>
      <w:bookmarkStart w:id="153" w:name="_Toc55"/>
      <w:bookmarkEnd w:id="151"/>
      <w:bookmarkEnd w:id="152"/>
      <w:r>
        <w:rPr>
          <w:rtl w:val="true"/>
        </w:rPr>
        <w:t>الغُلاة والخَوارج والنّواصب</w:t>
      </w:r>
      <w:bookmarkEnd w:id="15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338"/>
      </w:r>
      <w:r>
        <w:rPr>
          <w:rFonts w:ascii="Amiri" w:hAnsi="Amiri" w:eastAsia="Amiri" w:cs="Amiri"/>
          <w:color w:val="111111"/>
          <w:sz w:val="28"/>
          <w:sz w:val="28"/>
          <w:szCs w:val="28"/>
          <w:rtl w:val="true"/>
          <w:lang w:bidi="ar-SA"/>
        </w:rPr>
        <w:t>نجاسة الغُلاة والخوارج والنّواصب، بلا خلافٍ في شيءٍ من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اُريد منهم من يعتقد ربوبيّة أميرالمؤمنين أو أحدٍ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أنّ الشخص المعيّن الخارجي الحادث ربٌّ‌، فهو نجس، لإنكاره الضروري، وهو كونه تعالى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أنّ اللّه تعالى في كلّ زمانٍ متشكّلٌ بشكلٍ‌، وفي عصر أمير المؤمنين عليه السلام ظهر على صورته وهيئته المعلومة، فنجاسته على هذا تتوقّف على نجاسة المجسّمة، والإجماع بما أنّه ليس تعبّديّاً كما لا يخفى‌، لا يكون موجباً للحكم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بالغلوّ تجاوز الحدّ في صفات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اختصاص الصّفة به تعالى ضروريّاً من الدِّين كالخالقيّة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كعدم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النجاسة على ثبوتها بإنكار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ابن حاتم الغالي، عن أبي الحسن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توقّوامشاورته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فإنّه مضافاً إلى عدم ثبوت كيفيّة غلوّه، يحتمل أن يكون الصحيح مشاورته بالشين لا بالسين، فيكون أجنبيّاً عن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بهم من يعتقد ما اعتقدته الطائفة التي خرجت في صفّين على أمير المؤمنين عليه السلام فاعتقدوا كفره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نجاسة هذه الطائفة، هو الدليل على نجاسة النّواصب، لأنّهم من أظهر أفرادهم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على أبي جعفر عليه السلام رجلٌ محصورٌ عظيم البطن، فجلس معه على سريره، فحيّاه به ورحّب به، فلمّا قام،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الخوارج كما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واللّه مشرك</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غير واحدٍ دعوى الإجماع على 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يخلق خَلْقاً أنجس من الكلب، وأنّ النّاصب لنا أهل البيت أنجسُ منه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النجاسة القابلة للزيادة والنقيصة هي المعنويّة، وإلّا فالنجاسة الظاهريّة الّتي ليست حقيقتها سوى الاعتبار، لا تقبل الزيادة والنقيصة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طائفةً من النصوص تدلّ على أنّ غير الإثنا عشريّة من فرق المسلمين ممّن أزال الأئمة عن مراتبهم هم النّواصب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علي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النّاصب، هل أحتاج في امتحانه إلى أكثر من تقديمه الجبت والطاغوت، واعتقاده بإمامتهما؟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هذا فهو ناصب</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لا يمكن الالتزام بنجاستهم، فيُحمل الخبر على ما لا ينافي الإسلام الظاهري، المترتّب عليه الطهارة، كسائر الأخبار الدالّة على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باختلاط أصحاب الأئمّة في دولة بني اُميّة مع الناصبين، مع عدم معروفية تجنّبهم عنهم، بل الظاهر أنّهم كانوا يعاملون معهم معاملة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النجاسة الظاهريّة باعتبار آثارها قابلة للشدّة والضعف، ولذا ترى اشتهار أنّ نجاسة البول أشدّ من نجاسة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موضوع الحكم بالنجاسة في الخبر، هو النّاصب لأهل البيت، لا مطلق النّاصب، فكون المخالف ناصبيّاً لا يلزم الاجتناب عنه، ولا ينافي نجاسة النّاصب بالمعني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انتشار أكثر الأحكام إنّما يكون من زمان الصادقين عليهما السلام، فليكن هذا الحكم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دلالة الخبر على النجاسة، ويؤيّدها خبر الفُضيل،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العارفة اُزوّجها النّاصب‌؟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النّاصب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w:t>
      </w:r>
      <w:r>
        <w:rPr>
          <w:rStyle w:val="FootnoteAnchor"/>
          <w:rtl w:val="true"/>
        </w:rPr>
        <w:footnoteReference w:id="344"/>
      </w:r>
      <w:r>
        <w:rPr>
          <w:rFonts w:ascii="Amiri" w:hAnsi="Amiri" w:eastAsia="Amiri" w:cs="Amiri"/>
          <w:color w:val="111111"/>
          <w:sz w:val="28"/>
          <w:sz w:val="28"/>
          <w:szCs w:val="28"/>
          <w:rtl w:val="true"/>
          <w:lang w:bidi="ar-SA"/>
        </w:rPr>
        <w:t>والشهيد</w:t>
      </w:r>
      <w:r>
        <w:rPr>
          <w:rStyle w:val="FootnoteAnchor"/>
          <w:rtl w:val="true"/>
        </w:rPr>
        <w:footnoteReference w:id="345"/>
      </w:r>
      <w:r>
        <w:rPr>
          <w:rFonts w:ascii="Amiri" w:hAnsi="Amiri" w:eastAsia="Amiri" w:cs="Amiri"/>
          <w:color w:val="111111"/>
          <w:sz w:val="28"/>
          <w:sz w:val="28"/>
          <w:szCs w:val="28"/>
          <w:rtl w:val="true"/>
          <w:lang w:bidi="ar-SA"/>
        </w:rPr>
        <w:t>و جماعةٌ ممّن تأخّرعنهما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بنجاستهم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المجسّمة بالحقيقة، والمجسّمة 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للنجاسة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وبأنّهم منكرون للضروري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وباستلزام التجسيم إنكار الضروري وهو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وبنصوص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داود بن القاسم،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بخلقه فهو مشرك، ومَن وَصَفه بالمكان فهو كافر، ومَنْ نَسَب إليه ما نهى عنه فهو كاذب</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349"/>
      </w:r>
      <w:r>
        <w:rPr>
          <w:rFonts w:ascii="Amiri" w:hAnsi="Amiri" w:eastAsia="Amiri" w:cs="Amiri"/>
          <w:color w:val="111111"/>
          <w:sz w:val="28"/>
          <w:sz w:val="28"/>
          <w:szCs w:val="28"/>
          <w:rtl w:val="true"/>
          <w:lang w:bidi="ar-SA"/>
        </w:rPr>
        <w:t>بدعوى أنّ التجسيم نوعٌ من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الهروي،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وَصَف الإله بوجهٍ كالوجوه فقد كَفَر</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بإطلاق التنزيل يدلّ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لذهاب جماعة من الأساطين إلى الطهارة،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التجسيم، ليس من الضروريّات، لإيهام جملةٍ من النصوص و الآيات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واستلزامه لإنكار الضروري، لا يوجب النجاسة، مع عدم الالتفات إلى اللّازم، وأنّه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فقرينة التفصيل بينه وبين التوصيف بالمكان، يكون المراد منها التشبيه المطلق لا مطلق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مَنْ وصفه تعالى بالمكان، أو بوجهٍ من الوجوه فقد كفر، لا يدلّ على النجاسة، لما عرفت مراراً من عدم كون الكفر من حيث هو موضوعاًللنجاسة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الأعاظم</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التنزيل في هذه النصوص، بقرينة التفصيل، كونه بلحاظ أحكامه الخاصّة لا المشتركة، لم يعلم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لو سُلّم دلالة بعض ما تقدّم على النجاسة، لا يدلّ عليها إلّافي المجسّمة حقيقةً‌، وأمّا من يقول 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أجلّة أصحابنا ومتكلّميهم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شيءٌ منها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طهارة المجسّمة، لا سيّما المجسّمة 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حال الُمجبّرة، إذ لا دليل على نجاستهم، لأنّ النصوص الدالّة على أنّ القائل بالجبر كافرٌ، قد عرفت عدم دلالتها على النجاسة، واستلزامه لإنكار الضروري وهو الثواب والعقاب قد تقدّم أنّه لا يدلّ على النجاسة من حيثُ هو</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4" w:name="pg11798_104528"/>
    </w:p>
    <w:p>
      <w:pPr>
        <w:pStyle w:val="Heading6"/>
        <w:numPr>
          <w:ilvl w:val="5"/>
          <w:numId w:val="1"/>
        </w:numPr>
        <w:rPr/>
      </w:pPr>
      <w:bookmarkStart w:id="155" w:name="__RefHeading___Toc10416876_73709187"/>
      <w:bookmarkStart w:id="156" w:name="_Toc56"/>
      <w:bookmarkEnd w:id="154"/>
      <w:bookmarkEnd w:id="155"/>
      <w:r>
        <w:rPr>
          <w:rtl w:val="true"/>
        </w:rPr>
        <w:t>طهارة المخالفين</w:t>
      </w:r>
      <w:bookmarkEnd w:id="15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الاثني عشريّة من فرق الشيعة، بل من فرق المسلمين طاهرون كما هو المشهور شهرةً عظيمة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بنجاستهم، 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الذي ادّعاه الحِلّي على أنّ المخالف للحقّ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 الدالّة على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بابٌ فتحه اللّه تعالى‌، مَنْ دخله كان مؤمناً، ومن خرج عنه كان كافراً</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وبأنّهم مُنكرون للضروري وهو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الدالّة على أنّهم من النّواصب، بضميمة مادلَّ على نجاسة النّواصب</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يَجْعَلُ اَللّهُ اَلرِّجْسَ عَلَى اَلَّذِينَ لا يُؤْمِنُونَ‌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ادُّعي على كفرهم لا على نجاستهم، والنصوص الدالّة على كفرهم لا تدلّ عليها،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الشهادتين، ويشهد له موثّق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والإيمان أهما مختلفان‌؟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يشارك الإسلام، والإسلام لا يشارك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إلّااللّه، والتصديق برسول اللّه، به حُقِنت الدّماء، وعليه جرت المناكح والمواريث، وعلى ظاهره جماعة الناس، والإيمان الهدي‌، ومايثبتُفي القلوب من صفة الإسلام، و ما ظهر من العمل به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حمران، عن ابن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والإسلام ما ظَهَر مِنْ قولٍ أو فعلٍ‌، وهو الذي عليه جماعة الناس من الفرق كلّها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بالشهادتين، الذي يُطلق على مَن اعتقد به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 الإسلامُ الكفر في الثلاثة، والموضوع للنجاسة هو الكفر المقابل للإسلام بالمعنى الأوّل، وأمّا المقابل له في الأخيرين، فلادليل على كونه موضوعاً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وكونهم منكرين للضروري ممنوعٌ‌، لعدم كون الولاية من ضروريّات الدِّين، نعم من علم بأنّها من الدِّين وأنكرها يكون نجساً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دلّ على أنّهم من النّواصب، لا يدلّ على النجاسة، لما عرفت من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النّاصب بقولٍ مطلق لا يكون نجساً، بل النّاصب لأهل البيت عليهم السلام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الشريفة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كونه بمعنى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المصداق لغيرها، كما تشهد 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وَ إِنْ تُطِيعُوا اَللّهَ وَ رَسُولَهُ لا يَلِتْكُمْ مِنْ أَعْمالِكُمْ شَيْئاً إِنَّ اَللّهَ غَفُورٌ رَحِيمٌ‌ </w:t>
      </w:r>
      <w:r>
        <w:rPr>
          <w:rStyle w:val="FootnoteAnchor"/>
          <w:rtl w:val="true"/>
        </w:rPr>
        <w:footnoteReference w:id="365"/>
      </w:r>
      <w:r>
        <w:rPr>
          <w:rFonts w:ascii="Amiri" w:hAnsi="Amiri" w:eastAsia="Amiri" w:cs="Amiri"/>
          <w:color w:val="111111"/>
          <w:sz w:val="28"/>
          <w:sz w:val="28"/>
          <w:szCs w:val="28"/>
          <w:rtl w:val="true"/>
          <w:lang w:bidi="ar-SA"/>
        </w:rPr>
        <w:t>فلا تدلّ على نجاسة غير المُقر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نجاستهم، فالمرجع إلى ما تقتضيه أصالة الطهارة، والنصوص الشّارحة للإسلام، فيحكم بطهارتهم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الآتية الواردة في طهارة ما يُؤخذ من أيديهم، ممّا يعلم مباشرتهم له كالعصير الذي ذهب ثُلثاه وغيره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57" w:name="pg11798_104531"/>
    </w:p>
    <w:p>
      <w:pPr>
        <w:pStyle w:val="Heading6"/>
        <w:numPr>
          <w:ilvl w:val="5"/>
          <w:numId w:val="1"/>
        </w:numPr>
        <w:rPr/>
      </w:pPr>
      <w:bookmarkStart w:id="158" w:name="__RefHeading___Toc10416878_73709187"/>
      <w:bookmarkStart w:id="159" w:name="_Toc57"/>
      <w:bookmarkEnd w:id="157"/>
      <w:bookmarkEnd w:id="158"/>
      <w:r>
        <w:rPr>
          <w:rtl w:val="true"/>
        </w:rPr>
        <w:t>حكم المشكوك إسلامه أو كفره</w:t>
      </w:r>
      <w:bookmarkEnd w:id="15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إسلامه وكفره، لا يترتّب عليه أحكام المسلم، لأنّ مقتضى استصحاب عدم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له، لكون الإسلام أمراً وجوديّاً مسبوقاً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العدم ليس كفراً، لكونه من قبيل عدم الملكة، والعدم عمّا من شانه أن يكون مسلماً، ليس له حالة سابقة حال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يوجب تعدّد المشكوك فيه والمتيقّن، بل هما شيءٌ واحد، غاية الأمرالعدم حال كونه متيقّناً، لم يكن ينطبق عليه الكفر، وفي حال كونه مشكوكاً فيه ينطبق عليه ذلك، وهذا لايوجب تعدّد الموضوع كي لايكون إبقائه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لأصالة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بحديث</w:t>
      </w:r>
      <w:r>
        <w:rPr>
          <w:rStyle w:val="FootnoteAnchor"/>
          <w:rtl w:val="true"/>
        </w:rPr>
        <w:footnoteReference w:id="366"/>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وبالمرسل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بدعوى أنّ المراد منه أنّه في كلّ مورد احتُمل الإسلام والكفر قُدِّم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فلضعف سنده، مضافاً إلى ما ادّعاه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368"/>
      </w:r>
      <w:r>
        <w:rPr>
          <w:rFonts w:ascii="Amiri" w:hAnsi="Amiri" w:eastAsia="Amiri" w:cs="Amiri"/>
          <w:color w:val="111111"/>
          <w:sz w:val="28"/>
          <w:sz w:val="28"/>
          <w:szCs w:val="28"/>
          <w:rtl w:val="true"/>
          <w:lang w:bidi="ar-SA"/>
        </w:rPr>
        <w:t xml:space="preserve">في كتاب اللّقطة من إعراض الأصحاب عنه، فيُحمل على ما حمله عليه بعض </w:t>
      </w:r>
    </w:p>
    <w:p>
      <w:pPr>
        <w:pStyle w:val="BookText"/>
        <w:rPr/>
      </w:pPr>
      <w:r>
        <w:rPr>
          <w:rFonts w:ascii="Amiri" w:hAnsi="Amiri" w:eastAsia="Amiri" w:cs="Amiri"/>
          <w:color w:val="111111"/>
          <w:sz w:val="28"/>
          <w:sz w:val="28"/>
          <w:szCs w:val="28"/>
          <w:rtl w:val="true"/>
          <w:lang w:bidi="ar-SA"/>
        </w:rPr>
        <w:t>الأصحاب من أنّ كلّ مولودٍ لو بقي وصار مميّزاً يصبح مسلماً بالطبع، إلّاأن يمنع عن ذلك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إرساله، غيرُ ظاهرٍ فيما ذكر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يقتضى الكفر، إلّاإذا كانت أمارة على الإسلام كأرض المسلمين وسوقهم، اللّتين عرفت في محلّه كونهما أمارة لكون من فيهما مسلماً</w:t>
      </w:r>
      <w:r>
        <w:rPr>
          <w:rFonts w:eastAsia="Amiri" w:cs="Amiri" w:ascii="Amiri" w:hAnsi="Amiri"/>
          <w:color w:val="111111"/>
          <w:sz w:val="28"/>
          <w:szCs w:val="28"/>
          <w:rtl w:val="true"/>
          <w:lang w:bidi="ar-SA"/>
        </w:rPr>
        <w:t>.</w:t>
      </w:r>
      <w:bookmarkStart w:id="160" w:name="pg11798_104533"/>
    </w:p>
    <w:p>
      <w:pPr>
        <w:pStyle w:val="Heading6"/>
        <w:numPr>
          <w:ilvl w:val="5"/>
          <w:numId w:val="1"/>
        </w:numPr>
        <w:rPr/>
      </w:pPr>
      <w:bookmarkStart w:id="161" w:name="__RefHeading___Toc10416880_73709187"/>
      <w:bookmarkStart w:id="162" w:name="_Toc58"/>
      <w:bookmarkEnd w:id="160"/>
      <w:bookmarkEnd w:id="161"/>
      <w:r>
        <w:rPr>
          <w:rtl w:val="true"/>
        </w:rPr>
        <w:t>التاسع</w:t>
      </w:r>
      <w:r>
        <w:rPr>
          <w:rtl w:val="true"/>
        </w:rPr>
        <w:t xml:space="preserve">: </w:t>
      </w:r>
      <w:r>
        <w:rPr>
          <w:rtl w:val="true"/>
        </w:rPr>
        <w:t>المُسْكِر</w:t>
      </w:r>
      <w:bookmarkEnd w:id="162"/>
    </w:p>
    <w:p>
      <w:pPr>
        <w:pStyle w:val="Heading6"/>
        <w:numPr>
          <w:ilvl w:val="5"/>
          <w:numId w:val="1"/>
        </w:numPr>
        <w:rPr/>
      </w:pPr>
      <w:bookmarkStart w:id="163" w:name="__RefHeading___Toc10416882_73709187"/>
      <w:bookmarkStart w:id="164" w:name="_Toc59"/>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والمُسْكِر</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0416884_73709187"/>
      <w:bookmarkStart w:id="166" w:name="_Toc60"/>
      <w:bookmarkEnd w:id="165"/>
      <w:r>
        <w:rPr>
          <w:rtl w:val="true"/>
        </w:rPr>
        <w:t>نجاسة الخمر</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النجاسات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السيّدين</w:t>
      </w:r>
      <w:r>
        <w:rPr>
          <w:rStyle w:val="FootnoteAnchor"/>
          <w:rtl w:val="true"/>
        </w:rPr>
        <w:footnoteReference w:id="370"/>
      </w:r>
      <w:r>
        <w:rPr>
          <w:rFonts w:ascii="Amiri" w:hAnsi="Amiri" w:eastAsia="Amiri" w:cs="Amiri"/>
          <w:color w:val="111111"/>
          <w:sz w:val="28"/>
          <w:sz w:val="28"/>
          <w:szCs w:val="28"/>
          <w:rtl w:val="true"/>
          <w:lang w:bidi="ar-SA"/>
        </w:rPr>
        <w:t>، والشيخ</w:t>
      </w:r>
      <w:r>
        <w:rPr>
          <w:rStyle w:val="FootnoteAnchor"/>
          <w:rtl w:val="true"/>
        </w:rPr>
        <w:footnoteReference w:id="371"/>
      </w:r>
      <w:r>
        <w:rPr>
          <w:rFonts w:ascii="Amiri" w:hAnsi="Amiri" w:eastAsia="Amiri" w:cs="Amiri"/>
          <w:color w:val="111111"/>
          <w:sz w:val="28"/>
          <w:sz w:val="28"/>
          <w:szCs w:val="28"/>
          <w:rtl w:val="true"/>
          <w:lang w:bidi="ar-SA"/>
        </w:rPr>
        <w:t>، والمحقّق</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373"/>
      </w:r>
      <w:r>
        <w:rPr>
          <w:rFonts w:ascii="Amiri" w:hAnsi="Amiri" w:eastAsia="Amiri" w:cs="Amiri"/>
          <w:color w:val="111111"/>
          <w:sz w:val="28"/>
          <w:sz w:val="28"/>
          <w:szCs w:val="28"/>
          <w:rtl w:val="true"/>
          <w:lang w:bidi="ar-SA"/>
        </w:rPr>
        <w:t>وأبيه، والجُعفي</w:t>
      </w:r>
      <w:r>
        <w:rPr>
          <w:rStyle w:val="FootnoteAnchor"/>
          <w:rtl w:val="true"/>
        </w:rPr>
        <w:footnoteReference w:id="374"/>
      </w:r>
      <w:r>
        <w:rPr>
          <w:rFonts w:ascii="Amiri" w:hAnsi="Amiri" w:eastAsia="Amiri" w:cs="Amiri"/>
          <w:color w:val="111111"/>
          <w:sz w:val="28"/>
          <w:sz w:val="28"/>
          <w:szCs w:val="28"/>
          <w:rtl w:val="true"/>
          <w:lang w:bidi="ar-SA"/>
        </w:rPr>
        <w:t>والعُمّاني</w:t>
      </w:r>
      <w:r>
        <w:rPr>
          <w:rStyle w:val="FootnoteAnchor"/>
          <w:rtl w:val="true"/>
        </w:rPr>
        <w:footnoteReference w:id="375"/>
      </w:r>
      <w:r>
        <w:rPr>
          <w:rFonts w:ascii="Amiri" w:hAnsi="Amiri" w:eastAsia="Amiri" w:cs="Amiri"/>
          <w:color w:val="111111"/>
          <w:sz w:val="28"/>
          <w:sz w:val="28"/>
          <w:szCs w:val="28"/>
          <w:rtl w:val="true"/>
          <w:lang w:bidi="ar-SA"/>
        </w:rPr>
        <w:t>والأردبيلي</w:t>
      </w:r>
      <w:r>
        <w:rPr>
          <w:rStyle w:val="FootnoteAnchor"/>
          <w:rtl w:val="true"/>
        </w:rPr>
        <w:footnoteReference w:id="37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في ثوبٍ قد أصابه خمر أو مسكر حتّى يغسل</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النبيذ ما يبلُّ المِيل ينجسُ حِبّاً </w:t>
      </w:r>
    </w:p>
    <w:p>
      <w:pPr>
        <w:pStyle w:val="BookText"/>
        <w:rPr/>
      </w:pPr>
      <w:r>
        <w:rPr>
          <w:rFonts w:ascii="Amiri" w:hAnsi="Amiri" w:eastAsia="Amiri" w:cs="Amiri"/>
          <w:color w:val="111111"/>
          <w:sz w:val="28"/>
          <w:sz w:val="28"/>
          <w:szCs w:val="28"/>
          <w:rtl w:val="true"/>
          <w:lang w:bidi="ar-SA"/>
        </w:rPr>
        <w:t>من ماء، يقولها ثلاثاً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زكريّا 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قطرة خمرٍ أو نبيذٍ مُسكرٍ قطرتْ في قِدرٍ فيه لحمٌ كثيرٌ ومرق كثير؟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الكلب، واللّحم اغسله وكُله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السّاباطي،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الإبريق وغيره يكون فيه خمر أيصلح أن يكون فيه 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قدحٍ أو إناء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أيُجزيه أن يصبّ فيه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يدلكه بيده ويغسل ثلاث مرّات</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مجموعها يقرُب من 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وبإزائها جملةٌ من النصوص ظاهرة في الطهارة، قال الشيخ الأعظم قدس سره في طهارته</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تبلغ اثنى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الخمر والنبيذ المسكر يُصيب ثوبي أغسله أو اُصلّي فيه‌؟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إلّاأن تقذره فتغسل منه موضع الأثر، إنّ اللّه تعالى إنّما حَرّم شربها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ابن أبي سارة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ثوبي شيءٌ من الخمر أُصلّي فيه قبل أن 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الثوب لا يُسكر</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الأعور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الدِّن يكون فيه الخمر، ثمّ يُجفّف ويُجعل فيه الخلّ؟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مقام العلاج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العرفي يقتضي حَمل الأُولى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جمعاً عرفيّاً، إذ نصوص النجاسة كالصريحة في النجاسة، لا يمكن حملها على الاستحباب، لاحظ خبري زكريّا وأبي بصير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نصوص النجاسة، لموافقتها مع الكتاب، وهو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وجهين لدلالته على نجاسة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كونه بمعنى النجس، كما مرّ غير مرّةٍ‌، بل بما أنّه اُسند إلى شُرب الخمر، كما يشهد له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 ، فلا محالة اُريد منه الحرمة لا النجاسة، كما لا يخفى‌، فالآية الشريفة لا تدلّ على النجاسة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نصوص النجاسة لمخالفتها لعمل اُمراء ذلك الوقت،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ولمذهب ربيعة الرأي، الّذي هو من مشايخ مالك، وكان معاصراً للصادقين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مخالفته العامّة الّتي هي من المرجّحات، هي مخالفة فتاوى علمائهم، لا عمل سلاطينهم، ومجرّد الموافقة لمذهب ربيعة مع المخالفة لمذهب غيره ليس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تقديم نصوص الطهارة لمخالفتها لمذهب العامّة، ولكنّه ضعيفٌ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لأشهريّة نصوص النجاسة فتوى، تُقدّم علينصوص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من المرجّحات،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في النصوص ما يكون دليلاً على تقديم نصوص النجاسة، كان المتعيّن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بما أنّ نصوص الطهارة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إناء الخمر لا ينجّس الماء وغيره، كخبر حفص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صحّة الصّلاة مع الثوب الذي أصابه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بينهما وبين نصوص النجاسة يقتضي حمل الأُولى على إرادة بيان عدم تنجيس المتنجّس، والثانية على أنّ الخمر نجسة معفوّ عنها كالدّم الأقلّ من الدرهم، ودم القروح والنجاسات في حال الضرورة، ولا يلزم محذور، ويكون ذلك أخذاً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صحيح علي بن مهزيار،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عبد اللّه بن محمّد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أبي جعفر وأبي عبد اللّه عليهما السلام في الخمر تُصيب ثوب الرّجل،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يُصلّي فيه، إنّما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غَير زرارة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فاغسله إنْ عرفتَ موضعه، وإنْ </w:t>
      </w:r>
    </w:p>
    <w:p>
      <w:pPr>
        <w:pStyle w:val="BookText"/>
        <w:rPr/>
      </w:pPr>
      <w:r>
        <w:rPr>
          <w:rFonts w:ascii="Amiri" w:hAnsi="Amiri" w:eastAsia="Amiri" w:cs="Amiri"/>
          <w:color w:val="111111"/>
          <w:sz w:val="28"/>
          <w:sz w:val="28"/>
          <w:szCs w:val="28"/>
          <w:rtl w:val="true"/>
          <w:lang w:bidi="ar-SA"/>
        </w:rPr>
        <w:t>لم تعرف موضعه، فاغسله كلّه، وإنْ صلّيت فيه فأعد صلاتك، فأعلمني ما آخذ به‌؟</w:t>
      </w:r>
    </w:p>
    <w:p>
      <w:pPr>
        <w:pStyle w:val="BookText"/>
        <w:rPr/>
      </w:pPr>
      <w:r>
        <w:rPr>
          <w:rFonts w:ascii="Amiri" w:hAnsi="Amiri" w:eastAsia="Amiri" w:cs="Amiri"/>
          <w:color w:val="111111"/>
          <w:sz w:val="28"/>
          <w:sz w:val="28"/>
          <w:szCs w:val="28"/>
          <w:rtl w:val="true"/>
          <w:lang w:bidi="ar-SA"/>
        </w:rPr>
        <w:t>فوقّع عليه السلام بخطّه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بقول أبي عبد اللّه عليه السلام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خيران الخادم،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 أسأله عن الثوب يُصيبه الخَمر ولحم الخنزير، أيُصلّى فيه أم لا؟ فإنّ أصحابنا قد اختلفوا فيه، فقال بعضهم صَلِّ فيه، فإنّ اللّه تعالى إنّما حَرّم شربها، وقال بعضهم لا تُصلِّ فيه‌؟</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 فإنّه رجس</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يدلّان على تحقّق المعارضة بين نصوص الطهارة، وطائفةٌ من نصوص النجاسة، وهي الناهية عن الصّلاة في الثوب الذي أصابته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دلالتها على النجاسة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تلك النصوص على نصوص الطهارة، وعليه فلا مجال للعمل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تماميّة ما ذكره بعض الأعاظم، من دلالة الروايتين على أنّ التعارض بين روايتي الطهارة والنجاسة مستحكمٌ‌، على نحوٍ لا مجال للجمع العرفي بينهما، وأنّ الترجيح لرواية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نجاستها، وعدم صحّة الصّلاة في الثوب الذي أصابها، ومورد أغلب النصوص وإنْ كان هو الخمر والنبيذ، إلّاأنّه يثبت الحكم في كلّ 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موثّق عمّار المتقدّم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قدح من مُسكر يصبّ عليه الماء حتّى تذهب عاديته‌؟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قطرة قطرت في حِبّ إلّااُهريق ذلك الحِب</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فالأقوى ثبوت نجاسة كلّ مُسكر كما هو المشهور، بل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 مقتضى الأدلّة عدم الفرق بين المسكر المايع بالأصالة، والجامد، كالبنج لإطلاق الموثّق والصحيح، ولكن بما أنّ الإجماع قام على عدم نجاسة الثاني، يقيّد به إطلاق الخبرين، وهذا هو الوجه في الحكم بعدم نجاسته، لا ما ذكره بعض الأعاظم من المحقّقين</w:t>
      </w:r>
      <w:r>
        <w:rPr>
          <w:rStyle w:val="FootnoteAnchor"/>
          <w:rtl w:val="true"/>
        </w:rPr>
        <w:footnoteReference w:id="390"/>
      </w:r>
      <w:r>
        <w:rPr>
          <w:rFonts w:ascii="Amiri" w:hAnsi="Amiri" w:eastAsia="Amiri" w:cs="Amiri"/>
          <w:color w:val="111111"/>
          <w:sz w:val="28"/>
          <w:sz w:val="28"/>
          <w:szCs w:val="28"/>
          <w:rtl w:val="true"/>
          <w:lang w:bidi="ar-SA"/>
        </w:rPr>
        <w:t>من عدم الدليل على نجاسة كلّ مُسكر، إذ ما يتوهّم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قوله عليه السلام في خبر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عاقبته عاقبة الخمر فهو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قوله عليه السلام في خبر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الأوّل بإرادة التشبيه من حيث الحرمة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منصرفٌ إليها، لأنّ الحرمة من أظهر أوصاف الخمر دون النجاسة، ولذا وقع الاختلاف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مقتضى إطلاق التنزيل، ثبوت النجاسة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لثبوت النجاسة لكلّ مُسكرٍ الخبران المتقدّمان، فإذاً لا وجه للحكم بعدمها سوى الإجماع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7" w:name="pg11798_104539"/>
    </w:p>
    <w:p>
      <w:pPr>
        <w:pStyle w:val="Heading6"/>
        <w:numPr>
          <w:ilvl w:val="5"/>
          <w:numId w:val="1"/>
        </w:numPr>
        <w:rPr/>
      </w:pPr>
      <w:bookmarkStart w:id="168" w:name="__RefHeading___Toc10416886_73709187"/>
      <w:bookmarkStart w:id="169" w:name="_Toc61"/>
      <w:bookmarkEnd w:id="167"/>
      <w:bookmarkEnd w:id="168"/>
      <w:r>
        <w:rPr>
          <w:rtl w:val="true"/>
        </w:rPr>
        <w:t>في نجاسة العصير العنبي وعدمها</w:t>
      </w:r>
      <w:bookmarkEnd w:id="169"/>
    </w:p>
    <w:p>
      <w:pPr>
        <w:pStyle w:val="Heading6"/>
        <w:numPr>
          <w:ilvl w:val="5"/>
          <w:numId w:val="1"/>
        </w:numPr>
        <w:rPr/>
      </w:pPr>
      <w:bookmarkStart w:id="170" w:name="__RefHeading___Toc10416888_73709187"/>
      <w:bookmarkStart w:id="171" w:name="_Toc62"/>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ألحق المشهور بالخمر العصير العنبي إذا غَلى‌، والكلامُ فيه يقع في مقامين</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10416890_73709187"/>
      <w:bookmarkStart w:id="173" w:name="_Toc63"/>
      <w:bookmarkEnd w:id="172"/>
      <w:r>
        <w:rPr>
          <w:rtl w:val="true"/>
        </w:rPr>
        <w:t>في نجاسته</w:t>
      </w:r>
      <w:bookmarkEnd w:id="17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أكثر العلماء إلى النجاسة مطلقاً، وعن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حمزة</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غَلى بنفسه فنجسٌ‌، وبين ما إذا غلى بالنّار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إدريس</w:t>
      </w:r>
      <w:r>
        <w:rPr>
          <w:rStyle w:val="FootnoteAnchor"/>
          <w:rtl w:val="true"/>
        </w:rPr>
        <w:footnoteReference w:id="394"/>
      </w:r>
      <w:r>
        <w:rPr>
          <w:rFonts w:ascii="Amiri" w:hAnsi="Amiri" w:eastAsia="Amiri" w:cs="Amiri"/>
          <w:color w:val="111111"/>
          <w:sz w:val="28"/>
          <w:sz w:val="28"/>
          <w:szCs w:val="28"/>
          <w:rtl w:val="true"/>
          <w:lang w:bidi="ar-SA"/>
        </w:rPr>
        <w:t>والمحقّق</w:t>
      </w:r>
      <w:r>
        <w:rPr>
          <w:rStyle w:val="FootnoteAnchor"/>
          <w:rtl w:val="true"/>
        </w:rPr>
        <w:footnoteReference w:id="395"/>
      </w:r>
      <w:r>
        <w:rPr>
          <w:rFonts w:ascii="Amiri" w:hAnsi="Amiri" w:eastAsia="Amiri" w:cs="Amiri"/>
          <w:color w:val="111111"/>
          <w:sz w:val="28"/>
          <w:sz w:val="28"/>
          <w:szCs w:val="28"/>
          <w:rtl w:val="true"/>
          <w:lang w:bidi="ar-SA"/>
        </w:rPr>
        <w:t>والمصنّف</w:t>
      </w:r>
      <w:r>
        <w:rPr>
          <w:rStyle w:val="FootnoteAnchor"/>
          <w:rtl w:val="true"/>
        </w:rPr>
        <w:footnoteReference w:id="396"/>
      </w:r>
      <w:r>
        <w:rPr>
          <w:rFonts w:ascii="IRNazanin" w:hAnsi="IRNazanin" w:eastAsia="IRNazanin"/>
          <w:color w:val="111111"/>
          <w:sz w:val="28"/>
          <w:sz w:val="28"/>
          <w:szCs w:val="28"/>
          <w:rtl w:val="true"/>
          <w:lang w:bidi="fa-IR"/>
        </w:rPr>
        <w:t>والفاضل المقداد</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إثباتها مع الاشتداد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ظاهر كلامهم أنّها مع الاشتداد لا خلاف فيها ولا كلام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الصحيح أنّ العصير إذا كان مُسكراً يكون نجساً وإلّا فلا، وأنّ هذا هو المعروف بين الأصحاب، بل لم يُعرف القائل بالنجاسة مع عدم الإسكار، لأنّ‌ </w:t>
      </w:r>
    </w:p>
    <w:p>
      <w:pPr>
        <w:pStyle w:val="BookText"/>
        <w:rPr/>
      </w:pPr>
      <w:r>
        <w:rPr>
          <w:rFonts w:ascii="Amiri" w:hAnsi="Amiri" w:eastAsia="Amiri" w:cs="Amiri"/>
          <w:color w:val="111111"/>
          <w:sz w:val="28"/>
          <w:sz w:val="28"/>
          <w:szCs w:val="28"/>
          <w:rtl w:val="true"/>
          <w:lang w:bidi="ar-SA"/>
        </w:rPr>
        <w:t>الحلبيّين الأربعة القائلين بالنجاسة مع الإشتداد، أرادوا به الإسكار، وإرادته منه غير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الخمر عصير العنب المشتدّة، وهو العصير الذي يُسكر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في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محترمة، وهي التي اتّخذ عصيرها ليصير خلّاً، وإنّما كانت محترمة لأنّ اتّخاذ الخَلّ جائزٌ إجماعاً، والعصيرُ لا ينقلب إلى الحموضة إلّابتوسّط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مجمعٌ على تحريمها، وهو عصيرُ العنب الذي اشتدّ وأسكر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انقلب خلّاً، زالت الشدّة وعاد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هذه الكلمات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الترديد في أنّ مراد هؤلاء العلماء الأعاظم،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كلمات من تأخّر عنهم، الواردة في مقام تفسير كلامهم، وبيان الشدّة التي أخذوها قيداً للنجاسة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جماعة منهم</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باشتداده أوّل أخذه في الثخانة، وهو لازم الغليان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هذا التفسير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لم يكن قيد الاشتداد في شيءٍ من الأخبار، حُمل كلام الأصحاب على ما يوافقها، ولا يمكن إلّابحمل الاشتداد على ما يلازم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التفسير مخالفٌ لصريح كلماتهم، لاحظ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من العنب قبل غليانه طاهرٌ حلالٌ‌، وبعد غليانه واشتداده نجس حرام، وذلك إجماعُ فقهائنا، وأمّا بعد غليانه وقبل اشتداده فحرامٌ إجماعاً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4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 وعليه فلا يمكن حمل كلماتهم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جماعةٍ‌آخرين</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الثخانة المحسوسة، المنفكّة عن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هذا القيد لم يُذكر في الأخبار، ولا في كلمات علمائنا الأبرار، وهؤلاء الأعاظم بناؤهم على الاستدلال لكلّ ما يفتون به، ومع ذلك لم يذكروا دليلاً لأخذهم هذا القيد، فقد 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إلى أنّ ذكر هذا القيد غفلة منهم، وما المعصوم إلّامن عَصَمه اللّه، ولكنّك ترى بأنّ إضافة مثل هذا القيد مع هذه الخصوصيّات غفلة لا تُحتمل في حقّهم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الأعظم رحمه الله</w:t>
      </w:r>
      <w:r>
        <w:rPr>
          <w:rStyle w:val="FootnoteAnchor"/>
          <w:rtl w:val="true"/>
        </w:rPr>
        <w:footnoteReference w:id="409"/>
      </w:r>
      <w:r>
        <w:rPr>
          <w:rFonts w:ascii="Amiri" w:hAnsi="Amiri" w:eastAsia="Amiri" w:cs="Amiri"/>
          <w:color w:val="111111"/>
          <w:sz w:val="28"/>
          <w:sz w:val="28"/>
          <w:szCs w:val="28"/>
          <w:rtl w:val="true"/>
          <w:lang w:bidi="ar-SA"/>
        </w:rPr>
        <w:t>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نجاسة العصير سوى موثّق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w:t>
      </w:r>
      <w:r>
        <w:rPr>
          <w:rStyle w:val="FootnoteAnchor"/>
          <w:rtl w:val="true"/>
        </w:rPr>
        <w:footnoteReference w:id="410"/>
      </w:r>
      <w:r>
        <w:rPr>
          <w:rFonts w:ascii="Amiri" w:hAnsi="Amiri" w:eastAsia="Amiri" w:cs="Amiri"/>
          <w:color w:val="111111"/>
          <w:sz w:val="28"/>
          <w:sz w:val="28"/>
          <w:szCs w:val="28"/>
          <w:rtl w:val="true"/>
          <w:lang w:bidi="ar-SA"/>
        </w:rPr>
        <w:t>، المتضمّن لجوابه عليه السلام بعد السؤال عن العصير الذي يشرب صاحبه على النصف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مختصٌّ بما ثَخُن كما لا يخفى‌، فيقتصر في الحكم بالنجاسة على ما دلَّ عليه الدليل، وهو النجاسة مع الثخانة والقوام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يرد على هذا التوجيه،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وغيره، من أنّ أوّل من تمسّك بهذا الحديث هو الأمين الاسترابادي، وقبله لم يستدلّ أحدٌ به، فلا يحتمل اعتمادهم في اعتبار القيد المزبور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كلماتهم يقتضي أن يُقال إنّ مرادهم بالاشتداد هو الإسكار، وعليه فيتمّ ما في كنز العرفان، من دعوى الإجماع على نجاسة العصير معه، إذ قد عرفت أنّه لا خلاف يعتدّ به في نجاسة الخمر والمسكر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يكون أخذهم هذا القيد معتمداً على الدليل، والوجه الواضح الذي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المحكيّة عن جماعةٍ‌</w:t>
      </w:r>
      <w:r>
        <w:rPr>
          <w:rStyle w:val="FootnoteAnchor"/>
          <w:rtl w:val="true"/>
        </w:rPr>
        <w:footnoteReference w:id="412"/>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عرفت ما فيه، وأنّه إنّما يدّعي الإجماع على النجاسة مع الإسكار لا مطلقاً، ونجاسته معه لا كلام فيها، ولا خلاف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عدم حجّيّتها، قد عرفت أنّ أصلها ما ذكره المحقّق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414"/>
      </w:r>
      <w:r>
        <w:rPr>
          <w:rFonts w:ascii="Amiri" w:hAnsi="Amiri" w:eastAsia="Amiri" w:cs="Amiri"/>
          <w:color w:val="111111"/>
          <w:sz w:val="28"/>
          <w:sz w:val="28"/>
          <w:szCs w:val="28"/>
          <w:rtl w:val="true"/>
          <w:lang w:bidi="ar-SA"/>
        </w:rPr>
        <w:t xml:space="preserve">من حكاية نسبة القول بالنجاسة إلى المشهور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مع أنّه ينسب إلى أكثر العلماء، مع أنّ ظاهر كلامه وإنْ كان نسبته إلى أكثر العلماء، إلّاأنّه بواسطة قرائن لا مناص على صرفه عن ظاهره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وكلّ مُسكر والفقّاع والعصير إذا غَلى قبل ذهاب ثُلثيه بالنّار أو بنفسه، نجسٌ‌، ذهب إليه أكثر علمائنا، كالشيخ المفيد، والشيخ أبي جعفر، والسيّد المرتضى‌، وأبي الصلاح، وسلّار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الإجماع على ذلك، فإنّ السيّد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نجاسة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نجسة بلا خلاف، وكلّ مُسكرٍ عندنا حكمه حكم الخمر، وألحق أصحابنا بذلك الفقاع، وقول السيّد المرتضى والشيخ حجّة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الروايات، مثل قول الصادق عليه السلام في رواية</w:t>
      </w:r>
      <w:r>
        <w:rPr>
          <w:rStyle w:val="FootnoteAnchor"/>
          <w:rtl w:val="true"/>
        </w:rPr>
        <w:footnoteReference w:id="417"/>
      </w: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ثوبٍ أصابه خمرٌ أو مُسكر حتّى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احتجاج ابن عقيل والصدوق على طهارة الخمر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أن يشكّ أحدٌ بعد التدبّر في هذا الكلام 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نسبة الخلاف إلى العَلَمين اللّذين هما مخالفان في نجاسة الخمر، واختصاص الوجوه الثلاثة المذكورة دليلاً لما حُكم به، ونسبته إلى أكثر الأصحاب، وأنّ الجماعة الذين نُسب إليهم لم يعهد منهم القول بنجاسة العصير، إذا لم يُسكر، ولم يفتوا به في كتبهم،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 ذلك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تعيّن التصرّف في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ذهاب أكثر العلماء إلى نجاسة الخمر وغرضه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ذهاب ثُلثيه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أنّه لا إجماع على النجاسة، لا قائل بها إلّاشاذٌّ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الخمر عليه في كلمات فقهاء الخاصّة والعامّة،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الخمر حقيقةٌ في عصير العنب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وحيثُ أنّ نجاسة الخمر مطلقاً لا ريب فيها، فلابدَّ من الحكم بنجاسة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كلمات الفقهاء فإنّما هي للإشارة إلى أنّ المختار عندهم في ما وقع الخلاف فيه من أنّ الخمر هل هي اسمٌ لخصوص مُسكر خاص، وهو العصير الذي صار مُسكراً، أو كلّ مسكرٍ هو الأوّل، كما أنّ الإجماع المُدّعى إشارة إلى أنّ العصير الذي أسكر خمرٌ على كلا القولين، ولا تدلّ هذه الكلمات والإجماع على أنّ العصير الذي لا يُسكر نجسٌ‌، مع بداهة أخذ الإسكار في مفهوم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فإنّمايدلّ على أنّ الخمر تُؤخذ من العصير، لا أنّ كلّ عصيرٍ خمر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غليان العصير للإسكار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منافٍ للحسّ‌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من أهل المعرفة بالحقّ يأتيني بالبُختَج،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طُبخ على الثُّلث، وأنا أعرف أنّه يشربُ على النصف، أفأشربه بقوله، وهو يشربه على النصف‌؟</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هكذا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التنزيل، ثبوت النجاسة الّتي هي من أحكام الخمر للبُختَج الذي هو العصير المطبوخ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مرويٌّ عن جميع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 أمّا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فخالية عن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ولأجل كون الكليني أضبط، والمرويّ عن الشيخ مختلفٌ‌، وكثرة الخلل في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مجال للاعتماد على أصالة عدم الزيادة المقدّمة على أصالة عدم النقيصة عند التعارض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التنزيل بقرينة السؤالين والجوابين المذكورين في الخبر، إرادة التنزيل من حيث الحرمة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يكون في مقام جعل الحكم الظاهري، حيث أنّ ظاهره أنّ حرمة العصير قبل ذهاب الثلثين وحليّته بعده كانتا معلومتين عنده، والسؤال إنّما عن صورة الشكّ‌، فليس في مقام بيان الحكم الواقعي، حتّى يتمسّك بإطلاقه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التشبيه بالخمر، هو أنّ العصير المطبوخ قبل ذهاب ثُلثيه لو تُرك يَغلي بنفسه سريعاً ويُسكر، فيكون خمراً، وهو الذي يُسمّى بالباذق، وهو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من أسماء الخمر، فتدبّر جيّداً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أنّه لا خير في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محمّد بن الهيثم، عن رجلٍ‌،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العصير يُطبخ بالنار حتّى يغلي من ساعته، أيشربه صاحبه‌؟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عن حاله وغَلى، فلا خير فيه حتّى يذهب ثُلثاه ويبقى ثُلثه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بدعوى أنّ نفي الخير فيه بقول مطلق يدلّ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منه عدم ترتّب الأثر المترقّب منه، وهو الشرب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423"/>
      </w:r>
      <w:r>
        <w:rPr>
          <w:rFonts w:ascii="Amiri" w:hAnsi="Amiri" w:eastAsia="Amiri" w:cs="Amiri"/>
          <w:color w:val="111111"/>
          <w:sz w:val="28"/>
          <w:sz w:val="28"/>
          <w:szCs w:val="28"/>
          <w:rtl w:val="true"/>
          <w:lang w:bidi="ar-SA"/>
        </w:rPr>
        <w:t>المتضمّنة لنزاع آدم ونوح مع إبليس، وأنّ الثُّلث لآدم ونوح والثلثين لإبليس لعنه اللّه، الواردة في أصل تحريم الخمر، الدالّة على أنّ تلك الواقعة منشأتحريم الخمر، فإنّها تدلّ على أنّ العصير إذا غلى حُكمه حُكم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تلك النصوص على أنّ العصير إذا غَلى يُشارك الخمر في الحرمة، وأنّ حرمته حرمة خمريّة، وإنْ كانت لا تنكر، إلّاأنّ النجاسة التابعة لصدق اسم الخمر لا لحرمتها لا تثبت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يَهدي إلى البُختَج من غير أصحابنا؟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يستحلّ المُسكر فلا تشربه، وإنْ كان ممّن لا يستحلّ فاشربه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التعبير عمّا لم يذهب ثُلثاه بكون من أهداه مستحلّاً للمُسكر، يدلّ على أنّه في حكم المُسكر، وإلّا لما صحّ هذا التعبير الكنائي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 التعبير عنه بذلك، يمكن أن يكون لأجل أنّ العصير إذا لم يذهب ثُلثاه يتسارع إليه الإسكار، فيصير مُسكراً لا أنّه بحكمه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نجاسة العصير إذا غَلى، ما لم يصر مُسكراً، فالأقوى طهارته</w:t>
      </w:r>
      <w:r>
        <w:rPr>
          <w:rFonts w:eastAsia="Amiri" w:cs="Amiri" w:ascii="Amiri" w:hAnsi="Amiri"/>
          <w:color w:val="111111"/>
          <w:sz w:val="28"/>
          <w:szCs w:val="28"/>
          <w:rtl w:val="true"/>
          <w:lang w:bidi="ar-SA"/>
        </w:rPr>
        <w:t>.</w:t>
      </w:r>
      <w:bookmarkStart w:id="174" w:name="pg11798_104548"/>
    </w:p>
    <w:p>
      <w:pPr>
        <w:pStyle w:val="Heading6"/>
        <w:numPr>
          <w:ilvl w:val="5"/>
          <w:numId w:val="1"/>
        </w:numPr>
        <w:rPr/>
      </w:pPr>
      <w:bookmarkStart w:id="175" w:name="__RefHeading___Toc10416892_73709187"/>
      <w:bookmarkStart w:id="176" w:name="_Toc64"/>
      <w:bookmarkEnd w:id="174"/>
      <w:bookmarkEnd w:id="175"/>
      <w:r>
        <w:rPr>
          <w:rtl w:val="true"/>
        </w:rPr>
        <w:t>حُرمة العصير العنبي</w:t>
      </w:r>
      <w:bookmarkEnd w:id="176"/>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حرمة العصير إذا غلى بنفسه أو بالنّار، ولا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إذا طبخ حتّى يذهب ثُلثاه ويبقى ثُلثه فهو حلال</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 أصابته النّار فهو حرام، حتّى يذهب ثُلثاه ويبقى ثُلثه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العصير حتّى يغلي</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شُرب العصير؟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ما لم يغل، وإذا غَلى فلا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الغليان‌؟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ذريح،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وغَلى حَرُم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يقع في حَدّ الحرمة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هل يكون ذهاب الثُّلثين موجباً للحليّة مطلقاً سواءٌ أكان الغليان بنفسه أو بالنّار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العصير الذي غَلى بنفسه حراماً إلى أن يعود خلّاً، والذي غَلى بالنار حراماً إلى أن يذهب ثُلثاه‌؟</w:t>
      </w:r>
    </w:p>
    <w:p>
      <w:pPr>
        <w:pStyle w:val="BookText"/>
        <w:rPr/>
      </w:pPr>
      <w:r>
        <w:rPr>
          <w:rFonts w:ascii="Amiri" w:hAnsi="Amiri" w:eastAsia="Amiri" w:cs="Amiri"/>
          <w:color w:val="111111"/>
          <w:sz w:val="28"/>
          <w:sz w:val="28"/>
          <w:szCs w:val="28"/>
          <w:rtl w:val="true"/>
          <w:lang w:bidi="ar-SA"/>
        </w:rPr>
        <w:t>نُسب الأوّل إلى المشهور</w:t>
      </w:r>
      <w:r>
        <w:rPr>
          <w:rStyle w:val="FootnoteAnchor"/>
          <w:rtl w:val="true"/>
        </w:rPr>
        <w:footnoteReference w:id="430"/>
      </w:r>
      <w:r>
        <w:rPr>
          <w:rFonts w:ascii="Amiri" w:hAnsi="Amiri" w:eastAsia="Amiri" w:cs="Amiri"/>
          <w:color w:val="111111"/>
          <w:sz w:val="28"/>
          <w:sz w:val="28"/>
          <w:szCs w:val="28"/>
          <w:rtl w:val="true"/>
          <w:lang w:bidi="ar-SA"/>
        </w:rPr>
        <w:t>والثاني إلى أبي حمزة</w:t>
      </w:r>
      <w:r>
        <w:rPr>
          <w:rStyle w:val="FootnoteAnchor"/>
          <w:rtl w:val="true"/>
        </w:rPr>
        <w:footnoteReference w:id="431"/>
      </w:r>
      <w:r>
        <w:rPr>
          <w:rFonts w:ascii="Amiri" w:hAnsi="Amiri" w:eastAsia="Amiri" w:cs="Amiri"/>
          <w:color w:val="111111"/>
          <w:sz w:val="28"/>
          <w:sz w:val="28"/>
          <w:szCs w:val="28"/>
          <w:rtl w:val="true"/>
          <w:lang w:bidi="ar-SA"/>
        </w:rPr>
        <w:t xml:space="preserve">، ولكن القائل بالثاني لا ينحصر به، بل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والقاضي نعمان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وابن البرّاج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 وابن بابويه والد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جميعاً ذهبوا إلى هذا التفصيل، وهو الأقوى‌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النصوص المتضمّنة للتحديد، كلّها واردة في تحديدحُرمة المغليّ بالنار، ولم يرد شيءٌ منها في تحديد المغليّ بنفسه أو مطلق المغليّ‌، والنصوص الدالّة على تحريم العصير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باعتبار استناد الغليان إلى العَصير من دون ذكر السّبب في حدوثه فيه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مغيّاة بذهاب الثُّلثين، ولعلّ السرّ فيه أنّ العصير إذا غَلى بنفسه أو بالشمس يصيرُ مُسكراً، لا سيّما إذا سكن كما صرّح بذلك جملةٌ من أئمّة اللّغة والفقه</w:t>
      </w:r>
      <w:r>
        <w:rPr>
          <w:rStyle w:val="FootnoteAnchor"/>
          <w:rtl w:val="true"/>
        </w:rPr>
        <w:footnoteReference w:id="438"/>
      </w:r>
      <w:r>
        <w:rPr>
          <w:rFonts w:ascii="Amiri" w:hAnsi="Amiri" w:eastAsia="Amiri" w:cs="Amiri"/>
          <w:color w:val="111111"/>
          <w:sz w:val="28"/>
          <w:sz w:val="28"/>
          <w:szCs w:val="28"/>
          <w:rtl w:val="true"/>
          <w:lang w:bidi="ar-SA"/>
        </w:rPr>
        <w:t xml:space="preserve">، ويشير إليه ما دلّ من النصوص على أنّ النقيع إذا مضىفي </w:t>
      </w:r>
    </w:p>
    <w:p>
      <w:pPr>
        <w:pStyle w:val="BookText"/>
        <w:rPr/>
      </w:pPr>
      <w:r>
        <w:rPr>
          <w:rFonts w:ascii="Amiri" w:hAnsi="Amiri" w:eastAsia="Amiri" w:cs="Amiri"/>
          <w:color w:val="111111"/>
          <w:sz w:val="28"/>
          <w:sz w:val="28"/>
          <w:szCs w:val="28"/>
          <w:rtl w:val="true"/>
          <w:lang w:bidi="ar-SA"/>
        </w:rPr>
        <w:t>عليه ليلةً في الصيف يصبحُ مُسكراً، وهذا بخلاف ما إذا غَلى بالنّار، فإنّه لا يعرضه الإسكار بالغليان، ولا بعدما سكن إذا 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غَلي بنفسه أو بالشمس بعد ذهاب ثلثيه يكون مُسكراً، فلا وجه لحلّيّته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عاد خلّاً يصيرُ حلالاً، لما دلّ من النصوص على أنّ الخمر أو المُسكر إذا صار خَلّاً يعود حلالاً، ويشير إلى ما ذكرناه خبر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لي أبو عبد اللّه عليه السلام المطبوخ كيف يُطبخ، حتّى يصير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رُبعاً من زبيبٍ ثمّ تصبّ عليه اثني عشر رِطْلاً من ماء، ثمّ تقنعه ليلةً‌، فإذا كان أيّام الصيف وخشيتَ أن ينشّ‌، فاجعله في تنورٍ مسجور قليلاً حتّى لا ينشّ‌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تغليه بالنّار، فلاتزال تغليه حتّى يذهب الثُّلثان، ويبقى الثُّلث</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لو لم يكن العصير الّذي غَلى بنفسه ونشّ‌، لا يُحلّله ذهاب ثُلثيه، لم يكن وجهٌ لما علّمه عليه السلام بجعله في التنور لئلّا ينشّ بنفسه،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 وإنْ كان تامّاً، ولكن ينافيه ويردّه خبر زيد النرسي الذي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والشيخ الأعظم</w:t>
      </w:r>
      <w:r>
        <w:rPr>
          <w:rStyle w:val="FootnoteAnchor"/>
          <w:rtl w:val="true"/>
        </w:rPr>
        <w:footnoteReference w:id="441"/>
      </w:r>
      <w:r>
        <w:rPr>
          <w:rFonts w:ascii="Amiri" w:hAnsi="Amiri" w:eastAsia="Amiri" w:cs="Amiri"/>
          <w:color w:val="111111"/>
          <w:sz w:val="28"/>
          <w:sz w:val="28"/>
          <w:szCs w:val="28"/>
          <w:rtl w:val="true"/>
          <w:lang w:bidi="ar-SA"/>
        </w:rPr>
        <w:t>وهو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زيدٌ عن الإمام الصادق عليه السلام في الزبيب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يُدقّ ويُلقى في القدر، ويُصبّ عليه الماء؟</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حتّى يذهب ثُلثاه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 كما هو يُلقى في القِدر؟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إذا أدّت الحلاوة إلى الماء، فقد فَسَد كلّ ما غَلى بنفسه أو بالنّار، فقد حَرُم حتّى يذهب ثُلثاه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النرسي مجهولٌ‌، لم يُنصَّ عليه بمدحٍ‌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ابن أبي عُمير عنه فلا تدلّ على وثاقته، لأنّ ما قيل إنّ لا يُنقل إلّاعن ثقة اُريد به الوثاقة في خصوص ذلك الخبر، ولو بواسطة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الغضائري</w:t>
      </w:r>
      <w:r>
        <w:rPr>
          <w:rStyle w:val="FootnoteAnchor"/>
          <w:rtl w:val="true"/>
        </w:rPr>
        <w:footnoteReference w:id="444"/>
      </w:r>
      <w:r>
        <w:rPr>
          <w:rFonts w:ascii="Amiri" w:hAnsi="Amiri" w:eastAsia="Amiri" w:cs="Amiri"/>
          <w:color w:val="111111"/>
          <w:sz w:val="28"/>
          <w:sz w:val="28"/>
          <w:szCs w:val="28"/>
          <w:rtl w:val="true"/>
          <w:lang w:bidi="ar-SA"/>
        </w:rPr>
        <w:t xml:space="preserve">وشيخ الطائفة نقلا أنّ كتاب زيد النرسي الذي نُقل عنه هذا الخبر، رواه بن أبي عُمير عنه، فعلى فرض تسليم أنّ المراد من أنّ ابن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يَروي ولا يُرسل إلّاعن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الوثاقة في خصوص الخبر، لكن بما أنّ كتابه هذا رواه ابن أبي عمير، تكون جميع نصوصه موثّقات، ومنها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دعوى روايته عن الضعفاء ممنوعة جدّاً، فروايته عن النرسي مع اكثاره عنه تدلّ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اندفع إشكالٌ آخر</w:t>
      </w:r>
      <w:r>
        <w:rPr>
          <w:rStyle w:val="FootnoteAnchor"/>
          <w:rtl w:val="true"/>
        </w:rPr>
        <w:footnoteReference w:id="445"/>
      </w:r>
      <w:r>
        <w:rPr>
          <w:rFonts w:ascii="Amiri" w:hAnsi="Amiri" w:eastAsia="Amiri" w:cs="Amiri"/>
          <w:color w:val="111111"/>
          <w:sz w:val="28"/>
          <w:sz w:val="28"/>
          <w:szCs w:val="28"/>
          <w:rtl w:val="true"/>
          <w:lang w:bidi="ar-SA"/>
        </w:rPr>
        <w:t>، وهو أنّ ابن الوليد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كتابَي زيد النرسي وزيد الزرّاد موضوعان، وكذلك كتاب خالد بن عبد اللّه بن سُدير،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هذه الاُصول الهمداني المعروف بالسمّان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وإنْ علمنا وثاقته واعتبار أصله، إلّاأنّ الكلام في أنّ النسخة العتيقة التي وجدت في زمن العلّامة المجلسي رحمه الله هل هي ذلك الكتاب، وهو محلّ إشكال، لا سيّما أنّه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النسخة مصحّحة بخطّ الشيخ منصور بن الحسن الآبي، وهو نقله من خطّ محمّد بن الحسن القُمّي، وكان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كتابتها سنة أربع وسبعين وثلثمائة، ومنصور مجهولٌ‌، إذ المنصور الذي وثّقه الرجاليّون هو من كانت ولادته في خمس وثمانين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منصور ابن الحسين لا منصور بن الحسن، ولعلّه لذلك لم يرو عنه شيخنا الحُرّ، برغم امتلاكه النسخة وكتابته لها بخطّه على ما حكى عنه السيّد صدر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على ما نقل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والعلّامة الطباطبائي</w:t>
      </w:r>
      <w:r>
        <w:rPr>
          <w:rStyle w:val="FootnoteAnchor"/>
          <w:rtl w:val="true"/>
        </w:rPr>
        <w:footnoteReference w:id="447"/>
      </w:r>
      <w:r>
        <w:rPr>
          <w:rFonts w:ascii="Amiri" w:hAnsi="Amiri" w:eastAsia="Amiri" w:cs="Amiri"/>
          <w:color w:val="111111"/>
          <w:sz w:val="28"/>
          <w:sz w:val="28"/>
          <w:szCs w:val="28"/>
          <w:rtl w:val="true"/>
          <w:lang w:bidi="ar-SA"/>
        </w:rPr>
        <w:t>، والعلّامة المجلسي</w:t>
      </w:r>
      <w:r>
        <w:rPr>
          <w:rStyle w:val="FootnoteAnchor"/>
          <w:rtl w:val="true"/>
        </w:rPr>
        <w:footnoteReference w:id="44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نُقل، بل ضبطه عندهم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الزبيب يُدقّ ويُلقى في القِدر، ثمّ يصبّ عليه الماء ويُوقد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حتّى يذهب الثلثان ويبقى الثلث، فإنّ النار قدأصابته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فالزبيب كما هو يُلقى في القِدر ويصبّ عليه الماء ثمّ يُطبخ ويُصفّى عنه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سواءٌ إذا أدّت الحلاوة إلى الماء فصار حُلواً بمنزلة العصير، ثمّ نشّ من غير أن يصيبه النّار فقد حَرُم، وكذلك إذا أصابه النّار فأغلاه فقد فَسد</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فلا ينافي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الأظهر أنّ العصير العنبي إذا غَلى بنفسه لا يحلّ إلّابعد عوده خَلّاً، وإنْ غَلى بالنّار حلّ إذا 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هل يحرم العصير بمجرّد النشيش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ذريح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أو غَلى حَرُم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من النشيش هو الصوت المتصاعد قبل الغليان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177" w:name="pg11798_104553"/>
    </w:p>
    <w:p>
      <w:pPr>
        <w:pStyle w:val="BookText"/>
        <w:rPr/>
      </w:pPr>
      <w:bookmarkEnd w:id="177"/>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بدل أو، وهو أصحّ لأضبطيّة الكليني، ولأنّه لا وجه للمقابلة بينه وبين الغليان مع حصوله قبله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عمّار المتقدّم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أيّام الصيف وخشيتَ أن 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لو لم يكن النشيش سبباً للحرمة، لما كان محذورٌ فيه، ولما احتاج الإمام عليه السلام إلى تعليم ما يداوى به هذا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النشيش الحاصل بنفسه من علامات الإسكار، ولا خلاف في حرمته في هذه الصورة، وإنّما الكلام فيما إذا نشّ وهو على النّار، ولم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عدم صحّة الاستدلال له بخبر زيد النّرسي المتقدّم آنفاً، فإذاً لا دليل على حرمته بمجرّد النشيش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خبر حمّاد،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شرب العصير؟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تشرب ما لم يغل، فإذا غَلى فلا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الغليان‌؟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تدلّ على عدم الحرمة</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0416894_73709187"/>
      <w:bookmarkStart w:id="179" w:name="_Toc65"/>
      <w:bookmarkEnd w:id="178"/>
      <w:r>
        <w:rPr>
          <w:rtl w:val="true"/>
        </w:rPr>
        <w:t>حكم غليان العنب</w:t>
      </w:r>
      <w:bookmarkEnd w:id="179"/>
    </w:p>
    <w:p>
      <w:pPr>
        <w:pStyle w:val="BookText"/>
        <w:rPr/>
      </w:pPr>
      <w:r>
        <w:rPr>
          <w:rFonts w:ascii="Amiri" w:hAnsi="Amiri" w:eastAsia="Amiri" w:cs="Amiri"/>
          <w:color w:val="111111"/>
          <w:sz w:val="28"/>
          <w:sz w:val="28"/>
          <w:szCs w:val="28"/>
          <w:rtl w:val="true"/>
          <w:lang w:bidi="ar-SA"/>
        </w:rPr>
        <w:t>المشهور بين المتأخّرين أنّه لا فرق بين العصير ونفس العنب، فإذا غَلى نفس العنب من غير أن يُعصر كان حراماً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قدماء أصحابنا لهذه المسألة، فإسناد القول بالحرمة إليهم غير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المقدّس الأردبيلي</w:t>
      </w:r>
      <w:r>
        <w:rPr>
          <w:rStyle w:val="FootnoteAnchor"/>
          <w:rtl w:val="true"/>
        </w:rPr>
        <w:footnoteReference w:id="451"/>
      </w:r>
      <w:r>
        <w:rPr>
          <w:rFonts w:ascii="Amiri" w:hAnsi="Amiri" w:eastAsia="Amiri" w:cs="Amiri"/>
          <w:color w:val="111111"/>
          <w:sz w:val="28"/>
          <w:sz w:val="28"/>
          <w:szCs w:val="28"/>
          <w:rtl w:val="true"/>
          <w:lang w:bidi="ar-SA"/>
        </w:rPr>
        <w:t>، والعلّامة المجلسي</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الحرمة، لعدم صدق العصير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العمومات وحصر المحرّمات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أُخذ في لسان الأدلّة وإنْ كان هو العصير، إلّاأنّه لوضوح كون موضوع الحكم هو ماء العنب، بلا دخلٍ للعصر فيه، ولذا لم يتوقّف أحدٌ في أنّه إذا خرج ماءُ العنب من غير عصرٍ وغَلي يُحرَم، وعليه فلو غَلى الماء وهو فيه حَرُم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الحكم هو العصير، وهو ماء العنب الذي خرج بالعصر، والذي لابد من إلقائه هو القيد الثاني، إمّا للإجماع أو للنصوص الدالّة على حرمة البُختَج والطّلاء، حيث لم يُؤخذ في مفهوميهما عنوان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القيد الأوّل، وهو خروج ماء العنب، فلا وجه لإلقائه، والتعدّي عنه إلى ما في العنب مع الفرق بينهما، إذ الماء الخارج إذا غَلى بنفسه، أو إذا غلي بالنار، ولم يذهب ثلثاه، وسكن يصبح مسكراً، وهذا بخلاف الماء الموجود داخل العنب فإنّه ما دام فيه، لا يعرض له الإسكار بوجهٍ‌، ولذلك يعدّ قياسه بذلك قياساً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أنّ العنب بنفسه إذ غَلى لا يصير حراماً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0" w:name="pg11798_104555"/>
    </w:p>
    <w:p>
      <w:pPr>
        <w:pStyle w:val="Heading6"/>
        <w:numPr>
          <w:ilvl w:val="5"/>
          <w:numId w:val="1"/>
        </w:numPr>
        <w:rPr/>
      </w:pPr>
      <w:bookmarkStart w:id="181" w:name="__RefHeading___Toc10416896_73709187"/>
      <w:bookmarkStart w:id="182" w:name="_Toc66"/>
      <w:bookmarkEnd w:id="180"/>
      <w:bookmarkEnd w:id="181"/>
      <w:r>
        <w:rPr>
          <w:rtl w:val="true"/>
        </w:rPr>
        <w:t>حكم العصير من التمر</w:t>
      </w:r>
      <w:bookmarkEnd w:id="182"/>
    </w:p>
    <w:p>
      <w:pPr>
        <w:pStyle w:val="BookText"/>
        <w:rPr/>
      </w:pPr>
      <w:r>
        <w:rPr>
          <w:rFonts w:ascii="Amiri" w:hAnsi="Amiri" w:eastAsia="Amiri" w:cs="Amiri"/>
          <w:color w:val="111111"/>
          <w:sz w:val="28"/>
          <w:sz w:val="28"/>
          <w:szCs w:val="28"/>
          <w:rtl w:val="true"/>
          <w:lang w:bidi="ar-SA"/>
        </w:rPr>
        <w:t>وأمّا عصير التمر فإن أسكر، فلا إشكال في نجاسته وحرمته، وإلّا فالظاهر الإجماع على طهارته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اجد القائل بها بين المتقدّمين، وقد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54"/>
      </w:r>
      <w:r>
        <w:rPr>
          <w:rFonts w:ascii="Amiri" w:hAnsi="Amiri" w:eastAsia="Amiri" w:cs="Amiri"/>
          <w:color w:val="111111"/>
          <w:sz w:val="28"/>
          <w:sz w:val="28"/>
          <w:szCs w:val="28"/>
          <w:rtl w:val="true"/>
          <w:lang w:bidi="ar-SA"/>
        </w:rPr>
        <w:t>أنّه حدث القول بالحرمة في الأعصار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للحرمة بطوائف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بالعموم على أنّ كلّ عصيرٍ إذا غَلى فهو حرام، كصحيح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 أصابته النار فهو حرام حتّى يذهب ثُلثاه ويبقى ثُلثه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والمعتصر من التمر بعد نبذه في الماء عصيرٌ فيحرم بالغليان، إذ لا يفرق في صدق العصير بين استخراج الماء العارضي أو الأصلي، ابتدائيّاً كان الاستخراج أم مسبوقاً بعمل كالنبذ</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العصير وإنْ كان بمقتضى وضعه عامّاً شاملاً لكلّ ما استُخرِج عن شيء بالعصر، وعليه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ادّعاه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اختصاص العصير لغةً وعرفاً وشرعاً بما اعتصر من العنب غير تامّ‌، إذ العصير كغيره لهيئته وضع وكذلك لمادّته، وأمّا المجموع المركّب، فلم يثبت وضعه بالخصوص لمعنى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أنّ العصير بحسب وضعه لا يصدق على ماء العنب وغيره، إذ ليس عاصراً ولا معصوراً، بل يسمّى ذلك عصار أو عصارة، قال</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فاستعماله في ماء العنب وغيره لا يكون إلّا مجازيّاً، وحيثُ يُحتمل استعماله في خصوص ماء العنب، فلا يعلم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صحيح، إذ إطلاق الفعيل بمعنى المفعول لا يختصّ بالمفعول المطلق، بل يعمّ المفعول مع التقيّد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ترى استعمال النبيذ في الماء المنبوذ فيه التمر، وعليه فالماء المستخرج من الشيء بالعصر، وإنْ لم يصدق عليه المعصور، إلّا أنّه يصدق عليه المعصور منه، ولهذه الجهة يصحّ استعمال العصير فيه بمقتضى وضعه الاشتقاقي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العصير في مواقع استعماله في هذه النصوص وغيرها، اُريد منه خصوص العصير العنبي، وهو الذي كان إطلاق العصير عليه شائعاً، ولذا لم يفهم الأصحاب من النصوص الحاكمة بنجاسة العصير إذا غَلى، نجاسة كلّ عصيرٍ حتّى عصير السّفرجل والتفّاح وغيرهما من الثمار والأدوية، بل والماء المعصور من الثوب ونحوه، وهو الذي كانوا يسألون عن بيعه ممّن يخمّره، وعن جواز شربه وعدمه في النصوص، ويشير إليه التعبير في النصوص عن عصير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الزبيب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عصير التمر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موارد استعمال هذا اللّفظ في النصوص وغيرها، لا يكاد يشكّ في أنّ المراد منه عند إطلاقه هو العصير العنبي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كلّ شرابٍ غَلى ولم يذهب ثُلثاه، خرج ما خرج وبقي ما لم يعلم خروجه؛ كموثّق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بالشراب ويقول هذا مطبوخٌ على الثُّلث‌؟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مسلماً ورِعاً مأموناً فلا بأس أنْ يشرب</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علي بن جعفر عليه السلام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لزوم تخصيص الأكثر، وأنّهما يعارضان مع النصوص الكثيرة الدالّة على جواز الأخذ من سوق المسلمين، واستيمان الصانع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مسوقان لبيان الحكم الظاهري، في ظرف الشكّ‌، مع فرض العلم بما هو التكليف الواقعي، وعليه فهما أجنبيّان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بالمقام، كموثّق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عن النضوح المعتق، كيف يُصنع به حتّى يحل‌؟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ماء التمر فاغله حتّى يذهب ثُلثا ماء التمر</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النضوح‌؟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يطبخ التمر حتّى يذهب ثُلثاه، ويبقى ثُلثه ثمّ يتمشطن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السؤال فيهما لم يكن عن الأكل، وعمّا يوجب الحليّة والحرمة، إذ النضوح على ما ذَكره بعض الأفاضل</w:t>
      </w:r>
      <w:r>
        <w:rPr>
          <w:rStyle w:val="FootnoteAnchor"/>
          <w:rtl w:val="true"/>
        </w:rPr>
        <w:footnoteReference w:id="461"/>
      </w:r>
      <w:r>
        <w:rPr>
          <w:rFonts w:ascii="Amiri" w:hAnsi="Amiri" w:eastAsia="Amiri" w:cs="Amiri"/>
          <w:color w:val="111111"/>
          <w:sz w:val="28"/>
          <w:sz w:val="28"/>
          <w:szCs w:val="28"/>
          <w:rtl w:val="true"/>
          <w:lang w:bidi="ar-SA"/>
        </w:rPr>
        <w:t>طيب مائع يُنقع التمر والسكر والقرنفل والتفاح والزعفران وأشباه ذلك في قارورة فيها قدر مخصوص من الماء، ويُشدّ رأسها، ويصبر أيّاماً حتّى ينشّ ويختمر، وهو كان شائعاً بين نساء الحرمين، وعليه فالمفروض في السؤال صيرورته مُسكراً، وكان السؤال عن أنّه كيف نداوي هذا الدّاء، وهو صيرورته مُسكراً نجساً موجباً لفساد الصّلاة مع التطيّب به،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ماء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علاجٍ لذلك، وأنّه بعد ذهاب الثُلثين لا يعرضه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فالنضوح ليس من المشروبات، وإنّما هو شيء يُتطيّب به، ومعلومٌ أنّ ما يحرم شربه يجوز التطيّب به، وعليه فالغرض من السؤال بيان ما يحلّ استعماله في التطيّب، لعلمه بأنّه لو بقى ماء التمر مدّةً بعد الغليان يصبح مسكراً ويعدّ حينئذٍ نجساً، ولذلك سأل عنه عليه السلام عمّا يعالج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الخبران أيضاً أجنبيّان عن حرمة العصير التمري إذا لم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الحرمة، بل جملةٌ من النصوص تدلّ على 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محمّد بن جعفر،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وفدٍ من اليمن قدموا على النبي صلى الله عليه و آله وسألوه عن النبيذ، وبعد توصيفهم له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أكثرتَ عَليَّ أفيُسكر؟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ودلالته على الحليّة مع عدم الإسكار 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الفضيل بن يسار،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الخمر بعينها، وحرّم النبيّ صلى الله عليه و آله من الأشربة كلّ مُسكرٍ، لم يفرّق بين أن يغلي النبيذ بالنّار ولم يذهب ثُلثاه، وبين أنْ لا يغلي</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 لو سُلّم شمول الطائفتين الأوليتين اللّتين استدلّ بهما على الحرمة لعصيرالتمر، لابدّ من تقييدهما بهذه النصوص الدالّة على حليّته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حليّة العصير التمري إذا غلى ما لم يسكر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83" w:name="pg11798_104560"/>
    </w:p>
    <w:p>
      <w:pPr>
        <w:pStyle w:val="Heading6"/>
        <w:numPr>
          <w:ilvl w:val="5"/>
          <w:numId w:val="1"/>
        </w:numPr>
        <w:rPr/>
      </w:pPr>
      <w:bookmarkStart w:id="184" w:name="__RefHeading___Toc10416898_73709187"/>
      <w:bookmarkStart w:id="185" w:name="_Toc67"/>
      <w:bookmarkEnd w:id="183"/>
      <w:bookmarkEnd w:id="184"/>
      <w:r>
        <w:rPr>
          <w:rtl w:val="true"/>
        </w:rPr>
        <w:t>حكم العصير الزبيبي</w:t>
      </w:r>
      <w:bookmarkEnd w:id="185"/>
    </w:p>
    <w:p>
      <w:pPr>
        <w:pStyle w:val="BookText"/>
        <w:rPr/>
      </w:pPr>
      <w:r>
        <w:rPr>
          <w:rFonts w:ascii="Amiri" w:hAnsi="Amiri" w:eastAsia="Amiri" w:cs="Amiri"/>
          <w:color w:val="111111"/>
          <w:sz w:val="28"/>
          <w:sz w:val="28"/>
          <w:szCs w:val="28"/>
          <w:rtl w:val="true"/>
          <w:lang w:bidi="ar-SA"/>
        </w:rPr>
        <w:t>وأمّا عصير الزبيب، فالمشهور بين الأصحاب حليّته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نجاسته، فلم يُعرف الخلاف فيها، وإنّما حدثَ القول بتحريمه في العصور المتأخّرة، وذهب إليه جماعة من علمائنا الأخباريّين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العلّامة الطباطبائي</w:t>
      </w:r>
      <w:r>
        <w:rPr>
          <w:rStyle w:val="FootnoteAnchor"/>
          <w:rtl w:val="true"/>
        </w:rPr>
        <w:footnoteReference w:id="466"/>
      </w:r>
      <w:r>
        <w:rPr>
          <w:rFonts w:ascii="Amiri" w:hAnsi="Amiri" w:eastAsia="Amiri" w:cs="Amiri"/>
          <w:color w:val="111111"/>
          <w:sz w:val="28"/>
          <w:sz w:val="28"/>
          <w:szCs w:val="28"/>
          <w:rtl w:val="true"/>
          <w:lang w:bidi="ar-SA"/>
        </w:rPr>
        <w:t>وأتعب نفسه الزكيّة في إثباته من أنّ القول بتحريمه مشهورٌ بين المتأخّرين، لا يمكن المساعدة عليه، إذ ما ذكره من الوجوه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لتحريمه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لأنّه حين ما كان عنباً كان يحرم لو غَلي، فهو باقٍ على ما كان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حقّقناه، وأشبعنا الكلام فيه في حاشيتناعلى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 من عدم حجيّة الاستصحاب التعليقي، وعدم جريان استصحاب ملازمة الغليان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جريان الاستصحاب على أحد النحوين، لا يجري في المقام، لتبدّل الموضوع، لا لما قيل من إنّ الزبيب غير العنب، لأنّه لا يخلو عن تأمّلٍ‌، بل </w:t>
      </w:r>
    </w:p>
    <w:p>
      <w:pPr>
        <w:pStyle w:val="BookText"/>
        <w:rPr/>
      </w:pPr>
      <w:r>
        <w:rPr>
          <w:rFonts w:ascii="Amiri" w:hAnsi="Amiri" w:eastAsia="Amiri" w:cs="Amiri"/>
          <w:color w:val="111111"/>
          <w:sz w:val="28"/>
          <w:sz w:val="28"/>
          <w:szCs w:val="28"/>
          <w:rtl w:val="true"/>
          <w:lang w:bidi="ar-SA"/>
        </w:rPr>
        <w:t>لأنّ موضوع الحكم في حال العنبيّة ليس هو العنب، بل ماء العنب كما عرفت في بحث العصير العنبي، والزبيب لا ماء له، وإنّما يُنقَع في الماء، ويكتسب من الزبيب الطعم والحلاوة، وهل يتوهّم اتّحاد الماء الخارجي مع ماء العنب حتّى يصحّ استصحاب حكمه لإثباته له‌؟</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لا تختصّ بماء العنب، بل تكون ثابتة للماء الخارجي الممزوح به، فإنّه لو غَلى الجميع لا شكّ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بالتحريم في الفرض إنّما يكون لأجل غليان ماء العنب في ضمن الجميع، فيتحقّق موضوع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بعمومه على أنّ العصير إذا غَلي يحرم، فإنّه كما يشمل العصير العنبي، كذلك يشمل الزبيبي، وقد عرفت في بحث عصير التمر الجواب عن ذلك، وأنّ المراد منه خصوص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كلّ شرابٍ إذا غلي ولم يذهب ثُلثاه، وتقدّم الجواب عن ذلك أيضاً في ذلك المبحث، فراجع</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النرسي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الزبيب يُدقّ ويُلقى في القِدر ثمّ يصبّ عليه الماء، ويوقد تحته‌؟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حتّى يذهب الثُلثان، ويبقى الثُلث، فإنّ النار قد أصابته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فالزبيب كما هو يُلقى في القِدر، ويصبّ عليه الماء، ثمّ يطبخ ويُصفّى عنه الماء؟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سواءٌ إذا أدّت الحلاوة إلى الماء فصار حُلواً بمنزلة العصير، ثمّ نشّ من غير أن تُصيبه النار فقد حَرُم، وكذلك إذا أصابته النار فأغلاهد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فسد</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بحث العصير العنبي من أنّ زيداً وإنْ كان في نفسه ثقة، وأصله معتبراً، إلّاأنّ كون النسخة العتيقة التي أخذ عنها هذا الحديث هي بعينها الكتاب المزبور، محلّ تأمّلٍ وإشكال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إعراض الأصحاب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Style w:val="FootnoteAnchor"/>
          <w:rtl w:val="true"/>
        </w:rPr>
        <w:footnoteReference w:id="471"/>
      </w:r>
      <w:r>
        <w:rPr>
          <w:rFonts w:ascii="Amiri" w:hAnsi="Amiri" w:eastAsia="Amiri" w:cs="Amiri"/>
          <w:color w:val="111111"/>
          <w:sz w:val="28"/>
          <w:sz w:val="28"/>
          <w:szCs w:val="28"/>
          <w:rtl w:val="true"/>
          <w:lang w:bidi="ar-SA"/>
        </w:rPr>
        <w:t>المتضمّنة لنزاع إبليس مع آدم ونوح عليهما السلام، الدالّة على أنّ علّة تحريم الثُلثين وتحريم الخمر هو أنّ ثُلثي ما يحصل من الكَرْم عنباً كان أم زبيباً لإبليس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واردة في بيان حكمة حرمة العصير إذا غَلي ولم يذهب ثُلثاه والخمر، فلا يمكن التمسّك بإطلاق ما رتّب عليها، لعدم ثبوته له، ولا بعموم العلّة لكونها حِكمةً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الزبيب بخصوصه، كموثّقي</w:t>
      </w:r>
      <w:r>
        <w:rPr>
          <w:rStyle w:val="FootnoteAnchor"/>
          <w:rtl w:val="true"/>
        </w:rPr>
        <w:footnoteReference w:id="472"/>
      </w:r>
      <w:r>
        <w:rPr>
          <w:rFonts w:ascii="Amiri" w:hAnsi="Amiri" w:eastAsia="Amiri" w:cs="Amiri"/>
          <w:color w:val="111111"/>
          <w:sz w:val="28"/>
          <w:sz w:val="28"/>
          <w:szCs w:val="28"/>
          <w:rtl w:val="true"/>
          <w:lang w:bidi="ar-SA"/>
        </w:rPr>
        <w:t xml:space="preserve">عمّار الواردين في بيان كيفيّة الطبخ حتّى يصير حلالاً، المذكورين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ماء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الزبيب، هل يصلح أن يطبخ حتّى يخرج طعمه، ثمّ يُؤخذ ذلك الماء فيُطبخ حتّى يذهب ثُلثاه، ويبقى الثلث، ثمّ يرفع ويشرب عنه السنة‌؟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بقرينة الخصوصيّات المذكورة في الأوليين، والمقادير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فيهما، وقوله عليه السلام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أن يطول مكثه عندك فروّقه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ويَشرب عنه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إنّما يكون عن الحليّة المقابلة للحرمة العارضة للمطبوخ، الذي لم يذهب ثُلثاه إذا بقي مدّة، من جهة طروّ الإسكار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 خبر</w:t>
      </w:r>
      <w:r>
        <w:rPr>
          <w:rStyle w:val="FootnoteAnchor"/>
          <w:rtl w:val="true"/>
        </w:rPr>
        <w:footnoteReference w:id="474"/>
      </w:r>
      <w:r>
        <w:rPr>
          <w:rFonts w:ascii="Amiri" w:hAnsi="Amiri" w:eastAsia="Amiri" w:cs="Amiri"/>
          <w:color w:val="111111"/>
          <w:sz w:val="28"/>
          <w:sz w:val="28"/>
          <w:szCs w:val="28"/>
          <w:rtl w:val="true"/>
          <w:lang w:bidi="ar-SA"/>
        </w:rPr>
        <w:t>إسماعيل بن الفضل الهاشمي،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شرابٌ لا يتغيّر إذا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العصير الزبيبي إذا غَلى ما لم يُسكر، فالأقوى حليّته وطهارته، ويؤيّد القول بالحليّة؛ النصوص الدالّة على إناطة حرمة النبيذ بالإسكار، بناءً على شموله لما ينبذ فيه الزبيب، وما دلّ على حليّة الطعام الزبيبيّة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يُسكر، وإلّا فلا شبهة في نجاسته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حرمة المطبوخ ما لم يذهب ثُلثاه، بين صيرورته دبساً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بالدبسيّة في حليّة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بإطلاق ما دلّ على أنّ الدبس حلال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الدليل يختصّ بما إذا كان عصيراً، أوإذا انتقل عنه وصار دبساً يرتفع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w:t>
      </w:r>
      <w:r>
        <w:rPr>
          <w:rStyle w:val="FootnoteAnchor"/>
          <w:rtl w:val="true"/>
        </w:rPr>
        <w:footnoteReference w:id="477"/>
      </w: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يخضب الإناء فاشربه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يدلّ على حليّته حتّى مع انطباق عنوانٍ محرمٍ آخر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الانتقال والاستحاله بتثخّن الشيء ممّا لا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منه بقرينة صدره، وروده في مقام بيان حال الشكّ‌، وجعله أمارةً لذهاب الثُلثين، بل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العصير لا يصير دبساً حتّى يذهب أربعة أخماسه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الاكتفاء في ارتفاع الحرمة بمجرّد صيرورته دِبْساً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86" w:name="pg11798_104565"/>
    </w:p>
    <w:p>
      <w:pPr>
        <w:pStyle w:val="Heading6"/>
        <w:numPr>
          <w:ilvl w:val="5"/>
          <w:numId w:val="1"/>
        </w:numPr>
        <w:rPr/>
      </w:pPr>
      <w:bookmarkStart w:id="187" w:name="__RefHeading___Toc10416900_73709187"/>
      <w:bookmarkStart w:id="188" w:name="_Toc68"/>
      <w:bookmarkEnd w:id="186"/>
      <w:bookmarkEnd w:id="187"/>
      <w:r>
        <w:rPr>
          <w:rtl w:val="true"/>
        </w:rPr>
        <w:t>العاشر</w:t>
      </w:r>
      <w:r>
        <w:rPr>
          <w:rtl w:val="true"/>
        </w:rPr>
        <w:t xml:space="preserve">: </w:t>
      </w:r>
      <w:r>
        <w:rPr>
          <w:rtl w:val="true"/>
        </w:rPr>
        <w:t>الفقّاع</w:t>
      </w:r>
      <w:bookmarkEnd w:id="188"/>
    </w:p>
    <w:p>
      <w:pPr>
        <w:pStyle w:val="BookText"/>
        <w:rPr/>
      </w:pPr>
      <w:r>
        <w:rPr>
          <w:rFonts w:ascii="Amiri" w:hAnsi="Amiri" w:eastAsia="Amiri" w:cs="Amiri"/>
          <w:color w:val="111111"/>
          <w:sz w:val="28"/>
          <w:sz w:val="28"/>
          <w:szCs w:val="28"/>
          <w:rtl w:val="true"/>
          <w:lang w:bidi="ar-SA"/>
        </w:rPr>
        <w:t>والفُقّاع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من النجاسات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نجاسته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جماعةٍ منهم السيّدان</w:t>
      </w:r>
      <w:r>
        <w:rPr>
          <w:rStyle w:val="FootnoteAnchor"/>
          <w:rtl w:val="true"/>
        </w:rPr>
        <w:footnoteReference w:id="478"/>
      </w:r>
      <w:r>
        <w:rPr>
          <w:rFonts w:ascii="Amiri" w:hAnsi="Amiri" w:eastAsia="Amiri" w:cs="Amiri"/>
          <w:color w:val="111111"/>
          <w:sz w:val="28"/>
          <w:sz w:val="28"/>
          <w:szCs w:val="28"/>
          <w:rtl w:val="true"/>
          <w:lang w:bidi="ar-SA"/>
        </w:rPr>
        <w:t>، والشيخ</w:t>
      </w:r>
      <w:r>
        <w:rPr>
          <w:rStyle w:val="FootnoteAnchor"/>
          <w:rtl w:val="true"/>
        </w:rPr>
        <w:footnoteReference w:id="479"/>
      </w:r>
      <w:r>
        <w:rPr>
          <w:rFonts w:ascii="Amiri" w:hAnsi="Amiri" w:eastAsia="Amiri" w:cs="Amiri"/>
          <w:color w:val="111111"/>
          <w:sz w:val="28"/>
          <w:sz w:val="28"/>
          <w:szCs w:val="28"/>
          <w:rtl w:val="true"/>
          <w:lang w:bidi="ar-SA"/>
        </w:rPr>
        <w:t>، والعلّامة</w:t>
      </w:r>
      <w:r>
        <w:rPr>
          <w:rStyle w:val="FootnoteAnchor"/>
          <w:rtl w:val="true"/>
        </w:rPr>
        <w:footnoteReference w:id="480"/>
      </w:r>
      <w:r>
        <w:rPr>
          <w:rFonts w:ascii="IRNazanin" w:hAnsi="IRNazanin" w:eastAsia="IRNazanin"/>
          <w:color w:val="111111"/>
          <w:sz w:val="28"/>
          <w:sz w:val="28"/>
          <w:szCs w:val="28"/>
          <w:rtl w:val="true"/>
          <w:lang w:bidi="fa-IR"/>
        </w:rPr>
        <w:t>، والمقداد</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لها نصوصٌ 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فإنّه خمر مجهولٌ‌، وإذا أصاب ثوبك فاغسله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زاذان،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لي سلطاناً على أسواق المسلمين، لرفعت عنهم هذه الخميرة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الفقاع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الوشّا، عن أبي الحسن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خمرة استصغرها الناس</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في الجملة لا كلام فيها، وإنّما 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منهم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وأبو هاشم الواسطي</w:t>
      </w:r>
      <w:r>
        <w:rPr>
          <w:rStyle w:val="FootnoteAnchor"/>
          <w:rtl w:val="true"/>
        </w:rPr>
        <w:footnoteReference w:id="488"/>
      </w:r>
      <w:r>
        <w:rPr>
          <w:rFonts w:ascii="Amiri" w:hAnsi="Amiri" w:eastAsia="Amiri" w:cs="Amiri"/>
          <w:color w:val="111111"/>
          <w:sz w:val="28"/>
          <w:sz w:val="28"/>
          <w:szCs w:val="28"/>
          <w:rtl w:val="true"/>
          <w:lang w:bidi="ar-SA"/>
        </w:rPr>
        <w:t xml:space="preserve">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وغيرهما</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شرابٌ متّخذٌ من ماء الشعير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جماعةٍ‌آخرين</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ذلك وممّا يتّخذ من القمح والزبيب والذرّة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عن بعضهم</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يُصنع من أكثر الحبوب كالشعير والأرّز والدخن والتمر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الوضع بشهادة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معارضتها مع قول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فلابدّ من الأخذ بالمتيقّن، وهو خصوص ما يتّخذ من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بما إذا غَلى بنفسه ونشّ وأسكر، أو أعمّ منه ومن غيره‌؟ وجهان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للثاني بإطلاق الأدلّة، ولكن بما أنّ الظاهر من النصوص ورودها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مقام بيان أنّه من الأفراد الحقيقيّة للخمر، لأنّ الناس لأجل ما رؤوا أنّ إسكاره ضعيف لا يبلغ حَدّ السُكر الحاصل من شرب سائر أفراد الخمرة، ولذا يعبّر عنه بالإنتشاء، توهّموا عدم كونه خمراً، وعاملوا معه معاملة غير الخمر، وهذه الروايات وردت لبيان ذلك، وأنّ موضوع الحكم كلّ ما يُسكر، سواءٌ أكان إسكاره بحدٍّ أخذ من عقله أو ما دون ذلك، لا أنّها في مقام بيان التنزيل بلحاظ الآثار، كما يظهر لمن تدبّر في قوله عليه السلام في خبر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الوشّا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خمرة استصغرها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وعبّر عليه السلام عنه في خبر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أخذ الإسكار في مفهوم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اختصاص الحكم بما إذا صار مُسكراً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493"/>
      </w:r>
      <w:r>
        <w:rPr>
          <w:rFonts w:ascii="Amiri" w:hAnsi="Amiri" w:eastAsia="Amiri" w:cs="Amiri"/>
          <w:color w:val="111111"/>
          <w:sz w:val="28"/>
          <w:sz w:val="28"/>
          <w:szCs w:val="28"/>
          <w:rtl w:val="true"/>
          <w:lang w:bidi="ar-SA"/>
        </w:rPr>
        <w:t>ابن أبي عُمير، عن مرازم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يُعمل لأبي الحسن عليه السلام الفقاع في منزلة،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فقاع يَغلي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Style w:val="FootnoteAnchor"/>
          <w:rtl w:val="true"/>
        </w:rPr>
        <w:footnoteReference w:id="494"/>
      </w:r>
      <w:r>
        <w:rPr>
          <w:rFonts w:ascii="Amiri" w:hAnsi="Amiri" w:eastAsia="Amiri" w:cs="Amiri"/>
          <w:color w:val="111111"/>
          <w:sz w:val="28"/>
          <w:sz w:val="28"/>
          <w:szCs w:val="28"/>
          <w:rtl w:val="true"/>
          <w:lang w:bidi="ar-SA"/>
        </w:rPr>
        <w:t>في مكاتبة الرازي إلى أبي جعفر الثانى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 الفقاع إلّاما لم يضرّ أو كان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w:t>
      </w:r>
      <w:r>
        <w:rPr>
          <w:rStyle w:val="FootnoteAnchor"/>
          <w:rtl w:val="true"/>
        </w:rPr>
        <w:footnoteReference w:id="495"/>
      </w:r>
      <w:r>
        <w:rPr>
          <w:rFonts w:ascii="Amiri" w:hAnsi="Amiri" w:eastAsia="Amiri" w:cs="Amiri"/>
          <w:color w:val="111111"/>
          <w:sz w:val="28"/>
          <w:sz w:val="28"/>
          <w:szCs w:val="28"/>
          <w:rtl w:val="true"/>
          <w:lang w:bidi="ar-SA"/>
        </w:rPr>
        <w:t>علي بن يقطين، عن الإمام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شرب الفقّاع الذي يُعمل في السوق، ويُباع، وكيف عمل ومتى عمل، أيحلّ شربه‌؟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يُشعر بكراهة المجهول، ويدلّ على أنّ للفقاع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وحراماً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اختصاص الحكم بما أسكر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89" w:name="pg11798_104568"/>
    </w:p>
    <w:p>
      <w:pPr>
        <w:pStyle w:val="Heading6"/>
        <w:numPr>
          <w:ilvl w:val="5"/>
          <w:numId w:val="1"/>
        </w:numPr>
        <w:rPr/>
      </w:pPr>
      <w:bookmarkStart w:id="190" w:name="__RefHeading___Toc10416902_73709187"/>
      <w:bookmarkStart w:id="191" w:name="_Toc69"/>
      <w:bookmarkEnd w:id="189"/>
      <w:bookmarkEnd w:id="190"/>
      <w:r>
        <w:rPr>
          <w:rtl w:val="true"/>
        </w:rPr>
        <w:t>المشهور كون النجاسات اثنى عشرة</w:t>
      </w:r>
      <w:bookmarkEnd w:id="191"/>
    </w:p>
    <w:p>
      <w:pPr>
        <w:pStyle w:val="Heading6"/>
        <w:numPr>
          <w:ilvl w:val="5"/>
          <w:numId w:val="1"/>
        </w:numPr>
        <w:rPr/>
      </w:pPr>
      <w:bookmarkStart w:id="192" w:name="__RefHeading___Toc10416904_73709187"/>
      <w:bookmarkStart w:id="193" w:name="_Toc70"/>
      <w:bookmarkEnd w:id="192"/>
      <w:r>
        <w:rPr>
          <w:rtl w:val="true"/>
        </w:rPr>
        <w:t>الحادي عشر عَرَق الجُنُب من الحرام</w:t>
      </w:r>
      <w:bookmarkEnd w:id="193"/>
    </w:p>
    <w:p>
      <w:pPr>
        <w:pStyle w:val="Heading6"/>
        <w:numPr>
          <w:ilvl w:val="5"/>
          <w:numId w:val="1"/>
        </w:numPr>
        <w:rPr/>
      </w:pPr>
      <w:bookmarkStart w:id="194" w:name="__RefHeading___Toc10416906_73709187"/>
      <w:bookmarkStart w:id="195" w:name="_Toc71"/>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المشهور كون النجاسات اثنى عشرة، وهي العشرة المتقدّمة، ويضاف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عَرَق الجُنُب من الحرام</w:t>
      </w:r>
      <w:r>
        <w:rPr>
          <w:rStyle w:val="FootnoteAnchor"/>
          <w:rtl w:val="true"/>
        </w:rPr>
        <w:footnoteReference w:id="496"/>
      </w:r>
      <w:r>
        <w:rPr>
          <w:rFonts w:ascii="Amiri" w:hAnsi="Amiri" w:eastAsia="Amiri" w:cs="Amiri"/>
          <w:color w:val="111111"/>
          <w:sz w:val="28"/>
          <w:sz w:val="28"/>
          <w:szCs w:val="28"/>
          <w:rtl w:val="true"/>
          <w:lang w:bidi="ar-SA"/>
        </w:rPr>
        <w:t>، وعَرَق الإبل الجلّاله، بل مطلق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عَرَق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القول بنجاسته إلى الأشهر بين المتقدّمين تارةً‌، والى الشهرة العظيمة بينهم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499"/>
      </w:r>
      <w:r>
        <w:rPr>
          <w:rFonts w:ascii="Amiri" w:hAnsi="Amiri" w:eastAsia="Amiri" w:cs="Amiri"/>
          <w:color w:val="111111"/>
          <w:sz w:val="28"/>
          <w:sz w:val="28"/>
          <w:szCs w:val="28"/>
          <w:rtl w:val="true"/>
          <w:lang w:bidi="ar-SA"/>
        </w:rPr>
        <w:t>، والفاضلين</w:t>
      </w:r>
      <w:r>
        <w:rPr>
          <w:rStyle w:val="FootnoteAnchor"/>
          <w:rtl w:val="true"/>
        </w:rPr>
        <w:footnoteReference w:id="500"/>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الحِلّي</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w:t>
      </w:r>
      <w:r>
        <w:rPr>
          <w:rStyle w:val="FootnoteAnchor"/>
          <w:rtl w:val="true"/>
        </w:rPr>
        <w:footnoteReference w:id="5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الجنابة من حرامٍ‌، وجب غَسل ما عَرَق فيه على ما رواه بعض أصحابنا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همام، بإسناده إلى إدريس بن زياد الكفرثوثي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يقول بالوقف، فدخل سُرّ من رأى في عهد أبي </w:t>
      </w:r>
    </w:p>
    <w:p>
      <w:pPr>
        <w:pStyle w:val="BookText"/>
        <w:rPr/>
      </w:pPr>
      <w:r>
        <w:rPr>
          <w:rFonts w:ascii="Amiri" w:hAnsi="Amiri" w:eastAsia="Amiri" w:cs="Amiri"/>
          <w:color w:val="111111"/>
          <w:sz w:val="28"/>
          <w:sz w:val="28"/>
          <w:szCs w:val="28"/>
          <w:rtl w:val="true"/>
          <w:lang w:bidi="ar-SA"/>
        </w:rPr>
        <w:t>الحسن عليه السلام وأراد أن يسأله عن الثوب الذي يَعرق فيه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حلال فصلِّ فيه، وإنْ كان من حرامٍ فلا تُصلِّ فيه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مناقب ابن شهر آشوب،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في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مهزيار، وفيه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عَرَق الجُنُب في الثوب وجنابته من حرام، لا تجوز الصّلاة فيه، وإنْ كانت جنابته من حلال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ونحوهما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506"/>
      </w:r>
      <w:r>
        <w:rPr>
          <w:rFonts w:ascii="Amiri" w:hAnsi="Amiri" w:eastAsia="Amiri" w:cs="Amiri"/>
          <w:color w:val="111111"/>
          <w:sz w:val="28"/>
          <w:sz w:val="28"/>
          <w:szCs w:val="28"/>
          <w:rtl w:val="true"/>
          <w:lang w:bidi="ar-SA"/>
        </w:rPr>
        <w:t>عن كتاب يعتقده كونه من مؤلّفات قدماء أصحابنا، عن غازي بن محمّد الطرائفي، عن عليّ بن عبد اللّه الميموني، عن محمّد بن علي بن معمّر، عن عليّ بن مهزيار،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عرقتَ في ثوبك وأنتَ جُنُبٌ وكانت الجنابة من حلال فتجوز الصّلاة فيه، وإنْ كانت حراماً فلا تجوز الصّلاة فيه حتّى يغسل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الاستدلال بها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اختفاء هذا الحكم إلى زمان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مرجعها إلى روايتين صادرتين عنه عليه السلام في مقام الإعجاز، الذي يحسن التفصيل فيه أدنى فرق بين الصورتين، وعليه فحملها على الكراهة أهون من تحكيمها على قاعدة الطهارة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الأخبار الواردة في مقام بيان حكم عرق الجُنُب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بيان حكمٍ في مدّةٍ لمانعٍ‌، لا يكون دليلاً لعدم ثبوته، بحيث يعارض ما دلّ عليه، مع أنّ عدم الوصول إلينا لا يدلّ على عدم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النهي على الكراهة يحتاجُ إلى قرينة، وصدورها في مقام الإعجاز لا يكون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المطلق يتعيّن حمله على المقيّد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منجبرٌ بعمل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يرد عليها أنّها تدلّ على المنع عن الصّلاة لا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بين القول به والقول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جماعة من القدماء لم تنقل فتاويهم في ذلك كالمرتضى وغيره، وجماعة آخرين</w:t>
      </w:r>
      <w:r>
        <w:rPr>
          <w:rStyle w:val="FootnoteAnchor"/>
          <w:rtl w:val="true"/>
        </w:rPr>
        <w:footnoteReference w:id="507"/>
      </w:r>
      <w:r>
        <w:rPr>
          <w:rFonts w:ascii="Amiri" w:hAnsi="Amiri" w:eastAsia="Amiri" w:cs="Amiri"/>
          <w:color w:val="111111"/>
          <w:sz w:val="28"/>
          <w:sz w:val="28"/>
          <w:szCs w:val="28"/>
          <w:rtl w:val="true"/>
          <w:lang w:bidi="ar-SA"/>
        </w:rPr>
        <w:t>منهم حكموا بعدم جواز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النصوص المنع عن الصّلاة في الثّوب الذي أصابه العرق، وإن ذهبت عينه، ولازم ذلك المنع عن الصّلاة فيه حتّى بعد الغَسل، وحيث لا يمكن الالتزام به، فيدور الأمر بين حملها على صورة وجود العرق حال الصّلاة، وبين الحمل على ما إذا لم يغسل، والثاني أقرب، إذ الظاهر من السؤال فيها السؤال عن النجاسة والطهارة، كما يظهر من الأخبار الواردة في عرق الجُنُب مطلقاً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في أنفسها ظاهرة في إرادة المنع في صورة وجود العرق، إذ ظاهر أخذ كلّ عنوان في موضوع الحكم دخله فيه، ودوران الحكم مداره وجوداً وعدماً، وحيث أنّ المأخوذ في هذا حكم عرق الجُنُب، فالمنع عن الصّلاة يدور مدار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وجوده، فلا سبيل إلى القول بأنّ مقتضى الجمود على ظاهر النصوص المنع عن الصّلاة في الثوب الذي أصابه عَرَق الجُنُب، وإنّ ذهبت عينه، مع أنّ قوله عليه السلام في خبر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عَرَق الجُنُب في الثوب، وكانت جنابته من حرامٍ‌، فلا يجوز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 وإنْ تمّ في غير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لا يتمّ فيه،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غَسل ما عَرَق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كونه إرشاداً إلى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عبارة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ذيلها على ما رواه أصحابنا لا يدلّ على أنّ هذه العبارة بعينها ألفاظ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لا تدلّ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النهي عن غُسالة الحمّام معلّلاً بأنّه يغتسل فيه من الزّنا، كمرسل علي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غُسالة الحمّام، فإنّه يغتسل فيه من الزّنا، ويغتسل فيه ولد الزنا والنّاصب لنا أهل البيت وهو شرّهم</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ونحوه غيره</w:t>
      </w:r>
      <w:r>
        <w:rPr>
          <w:rStyle w:val="FootnoteAnchor"/>
          <w:rtl w:val="true"/>
        </w:rPr>
        <w:footnoteReference w:id="509"/>
      </w:r>
      <w:r>
        <w:rPr>
          <w:rFonts w:ascii="Amiri" w:hAnsi="Amiri" w:eastAsia="Amiri" w:cs="Amiri"/>
          <w:color w:val="111111"/>
          <w:sz w:val="28"/>
          <w:sz w:val="28"/>
          <w:szCs w:val="28"/>
          <w:rtl w:val="true"/>
          <w:lang w:bidi="ar-SA"/>
        </w:rPr>
        <w:t xml:space="preserve">، فهي أجنبيّة عن المقام، إذ مفاد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غسالته الملاقية لبدن الزاني لا 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هو القول بالطهارة والمنع عن الصّلاة فيه ما دام موجوداً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bookmarkStart w:id="196" w:name="pg11798_104572"/>
    </w:p>
    <w:p>
      <w:pPr>
        <w:pStyle w:val="Heading6"/>
        <w:numPr>
          <w:ilvl w:val="5"/>
          <w:numId w:val="1"/>
        </w:numPr>
        <w:rPr/>
      </w:pPr>
      <w:bookmarkStart w:id="197" w:name="__RefHeading___Toc10416908_73709187"/>
      <w:bookmarkStart w:id="198" w:name="_Toc72"/>
      <w:bookmarkEnd w:id="196"/>
      <w:bookmarkEnd w:id="197"/>
      <w:r>
        <w:rPr>
          <w:rtl w:val="true"/>
        </w:rPr>
        <w:t>فروع عرق الجُنب</w:t>
      </w:r>
      <w:bookmarkEnd w:id="198"/>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الوطء بين وقوعه على الإنسان من المرأة أو الغلام أو وقوعه على البهيمة، أمّا في الوطي في الحيض والصوم، ووطي المظاهرة، فهل يحكم بالطهارة أو النجاسة، أو يفصّل بين الأولين والأخير، فالطهارة فيهما والنجاسة، أو الإشكال في الأخير أو العكس‌؟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الجنابة من الحرام، كون الحرمة من جهة الفاعل أو القابل، لا من جهة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النصوص، عدم الفرق بين الحرمة من جهتهما ونفس الفعل، فالحكم الثابت لعرق الجُنُب من الحرام، يكون ثابتاً لعرق الجُنُب في جميع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الخارجُ منه حال الإغتسال، حكمه حكم الخارج منه قبله لأنّه جُنُب، وإنّما ترفع الجنابة بتمام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من حلالٍ ثمّ من حرام، فالظاهر عدم ثبوت حكم عرق الجُنُب من الحرام لعرقه، إذ الظاهر من الأدلّة أنّ النجاسة أو المانعيّة مترتّبة على الجنابة من حرام، لا على السبب المحرم، وحيثُ أنّ المجنب لا يُجنب ثانياً، لأنّ الظاهر من الأدلّة أنّ الجنابة شيءٌ واحد تحصل عند تحقّق أحد أسبابها بنحو صرف الوجود، فلا تتحقّق الجنابة من حرام ليثبت الحكم لعرقه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أدلّة السببيّة، مع الاختلاف في الآثار كما في المقام ثبوته 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هذا الحكم الجنابة الحاصلة من سببٍ حرام، ومع عدم حصولها منه، لا وجه للحكم بثبوته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أجنَب من حرامٍ‌، ثمّ من حلالٍ‌، لا ينبغي التوقّف في ثبوت الحكم لعَرَقه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المُجنب من حرام إذا لم يتمكّن من الغُسل وتيمّم، فارتفاع حكم عرقه بالتيمّم، كان ذلك بناءً على كون التيمّم رافعاً، حيث أنّ مقتضى إطلاق دليل البدليّة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عليكونه مبيحاً، فإطلاق ذلك الدليل أجنبيٌ عن ارتفاع حكم 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غير البالغ إذا أجنَب من حرام، لا يترتّب على عرقه حُكم عرق الجُنُب من الحرام، لأنّ ظاهر أخذ كلّ عنوانٍ في موضوع الحكم، دوران الحكم مداره، وحيثُ أنّ القلم مرفوعٌ عن الصبي، فجنابته وإنْ كانت عن أحد الأسباب المحرّمة، لكنّها لا تكون حراماً، فلا تكون جنابته عن حرام حتّى يترتّب عليها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جنابته عن حرامٍ ذاتي، وموضوع الحكم هو الحرمة في 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الحرمة من الأحكام الشرعيّة، وليست قسمان ذاتيّة وعَرَضيّة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وإرادة الحرمة مع وجود شرائط التكليف من الحرمة الذاتيّة، لا تفيد، إذ الظاهر من الدليل أنّ الموضوع هو الحرمة الفعليّة لا الشأنيّة، فلاحظ</w:t>
      </w:r>
      <w:r>
        <w:rPr>
          <w:rFonts w:eastAsia="Amiri" w:cs="Amiri" w:ascii="Amiri" w:hAnsi="Amiri"/>
          <w:color w:val="111111"/>
          <w:sz w:val="28"/>
          <w:szCs w:val="28"/>
          <w:rtl w:val="true"/>
          <w:lang w:bidi="ar-SA"/>
        </w:rPr>
        <w:t>.</w:t>
      </w:r>
      <w:bookmarkStart w:id="199" w:name="pg11798_104574"/>
    </w:p>
    <w:p>
      <w:pPr>
        <w:pStyle w:val="Heading6"/>
        <w:numPr>
          <w:ilvl w:val="5"/>
          <w:numId w:val="1"/>
        </w:numPr>
        <w:rPr/>
      </w:pPr>
      <w:bookmarkStart w:id="200" w:name="__RefHeading___Toc10416910_73709187"/>
      <w:bookmarkStart w:id="201" w:name="_Toc73"/>
      <w:bookmarkEnd w:id="199"/>
      <w:bookmarkEnd w:id="200"/>
      <w:r>
        <w:rPr>
          <w:rtl w:val="true"/>
        </w:rPr>
        <w:t>الثاني عشر عرق الإبل الجلّالة</w:t>
      </w:r>
      <w:bookmarkEnd w:id="201"/>
    </w:p>
    <w:p>
      <w:pPr>
        <w:pStyle w:val="Heading6"/>
        <w:numPr>
          <w:ilvl w:val="5"/>
          <w:numId w:val="1"/>
        </w:numPr>
        <w:rPr/>
      </w:pPr>
      <w:bookmarkStart w:id="202" w:name="__RefHeading___Toc10416912_73709187"/>
      <w:bookmarkStart w:id="203" w:name="_Toc74"/>
      <w:bookmarkEnd w:id="202"/>
      <w:r>
        <w:rPr>
          <w:rtl w:val="true"/>
        </w:rPr>
        <w:t>حكم عرق الإبل الجلّالة</w:t>
      </w:r>
      <w:bookmarkEnd w:id="203"/>
    </w:p>
    <w:p>
      <w:pPr>
        <w:pStyle w:val="BookText"/>
        <w:rPr/>
      </w:pPr>
      <w:r>
        <w:rPr>
          <w:rFonts w:ascii="Amiri" w:hAnsi="Amiri" w:eastAsia="Amiri" w:cs="Amiri"/>
          <w:color w:val="111111"/>
          <w:sz w:val="28"/>
          <w:sz w:val="28"/>
          <w:szCs w:val="28"/>
          <w:rtl w:val="true"/>
          <w:lang w:bidi="ar-SA"/>
        </w:rPr>
        <w:t>وأمّا عرق الإبل الجلّالة، فنجاسته منسوبة إلي جماعةٍ من القدماء والمتأخّرين،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Style w:val="FootnoteAnchor"/>
          <w:rtl w:val="true"/>
        </w:rPr>
        <w:footnoteReference w:id="511"/>
      </w:r>
      <w:r>
        <w:rPr>
          <w:rFonts w:ascii="Amiri" w:hAnsi="Amiri" w:eastAsia="Amiri" w:cs="Amiri"/>
          <w:color w:val="111111"/>
          <w:sz w:val="28"/>
          <w:sz w:val="28"/>
          <w:szCs w:val="28"/>
          <w:rtl w:val="true"/>
          <w:lang w:bidi="ar-SA"/>
        </w:rPr>
        <w:t>، والشيخ</w:t>
      </w:r>
      <w:r>
        <w:rPr>
          <w:rStyle w:val="FootnoteAnchor"/>
          <w:rtl w:val="true"/>
        </w:rPr>
        <w:footnoteReference w:id="512"/>
      </w:r>
      <w:r>
        <w:rPr>
          <w:rFonts w:ascii="Amiri" w:hAnsi="Amiri" w:eastAsia="Amiri" w:cs="Amiri"/>
          <w:color w:val="111111"/>
          <w:sz w:val="28"/>
          <w:sz w:val="28"/>
          <w:szCs w:val="28"/>
          <w:rtl w:val="true"/>
          <w:lang w:bidi="ar-SA"/>
        </w:rPr>
        <w:t>، والقاضي</w:t>
      </w:r>
      <w:r>
        <w:rPr>
          <w:rStyle w:val="FootnoteAnchor"/>
          <w:rtl w:val="true"/>
        </w:rPr>
        <w:footnoteReference w:id="513"/>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والمقدّس الأردبيلي</w:t>
      </w:r>
      <w:r>
        <w:rPr>
          <w:rStyle w:val="FootnoteAnchor"/>
          <w:rtl w:val="true"/>
        </w:rPr>
        <w:footnoteReference w:id="515"/>
      </w:r>
      <w:r>
        <w:rPr>
          <w:rFonts w:ascii="Amiri" w:hAnsi="Amiri" w:eastAsia="Amiri" w:cs="Amiri"/>
          <w:color w:val="111111"/>
          <w:sz w:val="28"/>
          <w:sz w:val="28"/>
          <w:szCs w:val="28"/>
          <w:rtl w:val="true"/>
          <w:lang w:bidi="ar-SA"/>
        </w:rPr>
        <w:t xml:space="preserve">، وصاحبا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حفص البُختري،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من ألبان الإبل الجلّالة، وإنْ أصابك شيءٌ من عرقها فاغسله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هشام،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لاتأكلوا لحوم الجلّالة، وإنْ أصابك من عرقها فاغسله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 عن ركوب الجلّالات وشُرب ألبانها، وإن أصابك من عرقها فاغسله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حيثُ لا قائل بلزوم غَسل ما أصابه عرق الجلّالة غير الإبل، عدا ما عن شاذٍّ لا يُعبأ به، فيدور الأمر في الصحيح والمرسل بين حمل الأمر فيهما على الاستحباب، وبين حمل الألف واللّام اللّتين في صدر الجلّالة </w:t>
      </w:r>
    </w:p>
    <w:p>
      <w:pPr>
        <w:pStyle w:val="BookText"/>
        <w:rPr/>
      </w:pPr>
      <w:r>
        <w:rPr>
          <w:rFonts w:ascii="Amiri" w:hAnsi="Amiri" w:eastAsia="Amiri" w:cs="Amiri"/>
          <w:color w:val="111111"/>
          <w:sz w:val="28"/>
          <w:sz w:val="28"/>
          <w:szCs w:val="28"/>
          <w:rtl w:val="true"/>
          <w:lang w:bidi="ar-SA"/>
        </w:rPr>
        <w:t>على العهد، والأوّل أولى لشيوع إرادة الاستحباب من الأمر، وبقرينتهما يُحمل الحسن أيضاً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إجماعٌ على عدم شمول الحكم لغير الإبل، يقيّد إطلاق الصحيح والمرسل به، ويختصّان بالإبل، فلا وجه لحمل الأمر فيهما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أفتوا بحُسن الإجتناب عمّا أصابه عَرَق الجلّالة غير الإبل، فهذا قرينة على حمل الأمر فيهما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ذلك لا يصير قرينةً لما ذُكر، ولما حقّقناه في محلّه</w:t>
      </w:r>
      <w:r>
        <w:rPr>
          <w:rStyle w:val="FootnoteAnchor"/>
          <w:rtl w:val="true"/>
        </w:rPr>
        <w:footnoteReference w:id="521"/>
      </w:r>
      <w:r>
        <w:rPr>
          <w:rFonts w:ascii="Amiri" w:hAnsi="Amiri" w:eastAsia="Amiri" w:cs="Amiri"/>
          <w:color w:val="111111"/>
          <w:sz w:val="28"/>
          <w:sz w:val="28"/>
          <w:szCs w:val="28"/>
          <w:rtl w:val="true"/>
          <w:lang w:bidi="ar-SA"/>
        </w:rPr>
        <w:t>من أنّ الوجوب والاستحباب خارجان عن حريم الموضوع له والمستعمل فيه في الأوامر، وإنّما ينتزعان من الترخيص في ترك المامور به وعدمه، وعليه فلو أمر باُمورٍ ورخّص في ترك بعضها، حُكم بوجوب ما لم يُرخّص في تركه، واستحباب ما رُخِّص فيه، بلا لزوم استعمال اللّفظ في المعنيين، أو في الجامع بين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بالاجتناب عن كلّ ما أصابه عرق الجلّالة، ورخّص الشارع في ترك الاجتناب في غير الإبل، فيُحمل الأمر فيه على الاستحباب، ولم يرخّص في تركه في الإبل، فيبقى الأمر على ظاهره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عمّا ذكرناه، غاية ما يلزم من ما ذُكر، حمل الأمر في الصحيح والمرسل على الجامع بين الاستحباب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فهما ليساقرينة لحمل الأمر فى الحَسَن الظاهر فى الوجوب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نجاسة عرق الإبل الجلّالة، والأحوط الاجتناب عن عرق سائر الحيوانات الجلّالات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04" w:name="pg11798_104576"/>
    </w:p>
    <w:p>
      <w:pPr>
        <w:pStyle w:val="Heading6"/>
        <w:numPr>
          <w:ilvl w:val="5"/>
          <w:numId w:val="1"/>
        </w:numPr>
        <w:rPr/>
      </w:pPr>
      <w:bookmarkStart w:id="205" w:name="__RefHeading___Toc10416914_73709187"/>
      <w:bookmarkStart w:id="206" w:name="_Toc75"/>
      <w:bookmarkEnd w:id="204"/>
      <w:bookmarkEnd w:id="205"/>
      <w:r>
        <w:rPr>
          <w:rtl w:val="true"/>
        </w:rPr>
        <w:t>حكم المُسُوخات</w:t>
      </w:r>
      <w:bookmarkEnd w:id="206"/>
    </w:p>
    <w:p>
      <w:pPr>
        <w:pStyle w:val="BookText"/>
        <w:rPr/>
      </w:pPr>
      <w:r>
        <w:rPr>
          <w:rFonts w:ascii="Amiri" w:hAnsi="Amiri" w:eastAsia="Amiri" w:cs="Amiri"/>
          <w:color w:val="111111"/>
          <w:sz w:val="28"/>
          <w:sz w:val="28"/>
          <w:szCs w:val="28"/>
          <w:rtl w:val="true"/>
          <w:lang w:bidi="ar-SA"/>
        </w:rPr>
        <w:t>وفي نجاسة الثَّعلب والأرنب والوَزَغ والعَقرب والفأرة، بل مطلق المسوخات،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غَسل ما لاقى مع الثعلب أو الأرنب أو الفأرة أو الوزغة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الثعلب والأرنب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موضعٍ آخر منها</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الفأرة والوَزَغة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الصّلاح</w:t>
      </w:r>
      <w:r>
        <w:rPr>
          <w:rStyle w:val="FootnoteAnchor"/>
          <w:rtl w:val="true"/>
        </w:rPr>
        <w:footnoteReference w:id="526"/>
      </w:r>
      <w:r>
        <w:rPr>
          <w:rFonts w:ascii="Amiri" w:hAnsi="Amiri" w:eastAsia="Amiri" w:cs="Amiri"/>
          <w:color w:val="111111"/>
          <w:sz w:val="28"/>
          <w:sz w:val="28"/>
          <w:szCs w:val="28"/>
          <w:rtl w:val="true"/>
          <w:lang w:bidi="ar-SA"/>
        </w:rPr>
        <w:t>وابن زُهرة</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الثعلب والأرنب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المسوخ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ونُسب إلى المشهور الطهارة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كادت تكون إجماعاً، بل لعلّه الظاهر من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للنجاسة في الأربعة، والعقرب وعامّة السّباع بجملةٍ‌ </w:t>
      </w:r>
    </w:p>
    <w:p>
      <w:pPr>
        <w:pStyle w:val="BookText"/>
        <w:rPr/>
      </w:pPr>
      <w:r>
        <w:rPr>
          <w:rFonts w:ascii="IRNazanin" w:hAnsi="IRNazanin" w:eastAsia="IRNazanin"/>
          <w:color w:val="111111"/>
          <w:sz w:val="28"/>
          <w:sz w:val="28"/>
          <w:szCs w:val="28"/>
          <w:rtl w:val="true"/>
          <w:lang w:bidi="fa-IR"/>
        </w:rPr>
        <w:t>من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يونس، عن بعض أصحابنا،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يحلّ أن يمسّ الثعلب أو الأرنب أو شيئاً من السّباع حيّاً أو ميّتاً؟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ولكن يغسل يده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الفأرة تقع في الماء، وتمشي على الثياب‌؟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رأيت من أثرها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الوارد في الخُنفَساء تقع في الماء،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عقرباً فأرق الماء وتوضّأ من ماء غيره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هارون بن حمزة الغَنَوي، الوارد في الوَزَغ والعَقرب وأشباههما تقع في الماء، وفيه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الوزغ، فإنّه لا ينتفع بما يقع فيه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نجد ما يدلّ على نجاسة المسوخات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طهارة الجميع، إذ النصوص الواردة في غير الأرنب والثعلب يتعيّن حملها على الاستحباب، بشهادة ما هو صريح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فضل الهرّة والشاة والبقرة والإبل والحمار والخيل والبغال والوحش والسّباع، فلم أترك شيئاً إلّاسألته عنه‌؟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حتّى انتهيت إلى الكلب،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العظّاية والحيّة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والوزغ، يقع في الماء، فلا يموت فيه، أيتوضّأ منه للصّلاة‌؟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فأرةٍ وقعتْ في حبّ دهنٍ فاُخرجت قبل أن تموت أيبيعه من مسلم‌؟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ويتدهّن منه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الفأرة تقع في السَّمن والزيت، ثمّ تخرج منه حيّاً؟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هارون بن حمزة،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والعقرب وأشباه ذلك، يقع في الماء، فيخرج حيّاً هل يشرب من ذلك الماء ويتوضّأ؟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يسكب منه ثلاث مرّات، وقليله وكثيره بمنزلة واحدة، ثمّ يشرب منه ويتوضّأ منه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الأرنب والثعلب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فيهما نصٌّ يدلّ على طهارتهما، فلا وجه لصرف المرسل عن ظاهره بالنسبة 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لاشتمال المرسل على السّباع، وأنّهما جُعلا فيه مشاركين معها في الحكم بغَسل اليد، وقد دلّ صحيح البقباق على طهارة السِّباع، فيتعيّن أن يكون الأمر بغسل اليد بالنسبة إليها وما يشاركها في هذا الحكم استحبابيّاً لا وجوبيّاً إرشاديّاً إلى النجاسة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الالتزام باستحباب الغَسل بالنسبة إلى السِّباع لدليلٍ آخر، لا يلازم حَمل الأمر بالنسبة إلى ما يشاركها، الذي لم يدلّ دليل على طهارته علىق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الاستحباب، كما عرفت في عرق الإبل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المرسل لضعفه في نفسه، لا لمجهوليّة يونس، إذ هو عند الإطلاق يُراد منه ابن عبد الرحمن الثقة على ما هو الحقّ‌، بل لإرساله ومجهوليّة حال الواسطة،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إفتاء الشيخ والصدوق والحليّين بالنجاسة، مع عدم مدركٍ سواه، يوجبُ جبر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 الطهارة النصوص الواردة في الصّلاة في جلودهما، منعاً وجوازاً، الدالّة على قبولهما للتذكية، إذ نجس العين لا يقبل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بنجاسة الأربعة المذكورة ضعيفٌ‌، وأضعفُ منه القول بنجاسة المسوخات، وأضعفُ منه القول بنجاسة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التردّد في نجاسة الدود المتولّد من العَذَرة، واستدلّ لها باستصحاب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يُعتمد عليه لتبدّل الموضوع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الجزء الرابع، ويتلوه بعونه تعالى الجزء الخامس، وفيه مسائل تتعلّق بالمتنجّسات، ثمّ الصّلاة وأحكامها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bookmarkStart w:id="207" w:name="pg11798_104580"/>
    </w:p>
    <w:p>
      <w:pPr>
        <w:pStyle w:val="Heading5"/>
        <w:numPr>
          <w:ilvl w:val="4"/>
          <w:numId w:val="1"/>
        </w:numPr>
        <w:rPr/>
      </w:pPr>
      <w:bookmarkStart w:id="208" w:name="__RefHeading___Toc10416916_73709187"/>
      <w:bookmarkStart w:id="209" w:name="_Toc76"/>
      <w:bookmarkEnd w:id="207"/>
      <w:bookmarkEnd w:id="208"/>
      <w:r>
        <w:rPr>
          <w:rtl w:val="true"/>
        </w:rPr>
        <w:t>المتنجّسات وأحكامها</w:t>
      </w:r>
      <w:bookmarkEnd w:id="209"/>
    </w:p>
    <w:p>
      <w:pPr>
        <w:pStyle w:val="Heading6"/>
        <w:numPr>
          <w:ilvl w:val="5"/>
          <w:numId w:val="1"/>
        </w:numPr>
        <w:rPr/>
      </w:pPr>
      <w:bookmarkStart w:id="210" w:name="__RefHeading___Toc10416918_73709187"/>
      <w:bookmarkStart w:id="211" w:name="_Toc77"/>
      <w:bookmarkEnd w:id="210"/>
      <w:r>
        <w:rPr>
          <w:rtl w:val="true"/>
        </w:rPr>
        <w:t>مسائل</w:t>
      </w:r>
      <w:r>
        <w:rPr>
          <w:rtl w:val="true"/>
        </w:rPr>
        <w:t>:</w:t>
      </w:r>
      <w:bookmarkEnd w:id="211"/>
    </w:p>
    <w:p>
      <w:pPr>
        <w:pStyle w:val="Heading6"/>
        <w:numPr>
          <w:ilvl w:val="5"/>
          <w:numId w:val="1"/>
        </w:numPr>
        <w:rPr/>
      </w:pPr>
      <w:bookmarkStart w:id="212" w:name="__RefHeading___Toc10416920_73709187"/>
      <w:bookmarkStart w:id="213" w:name="_Toc78"/>
      <w:bookmarkEnd w:id="212"/>
      <w:r>
        <w:rPr>
          <w:rtl w:val="true"/>
        </w:rPr>
        <w:t>في كيفيّة تنجّس المتنجّسات</w:t>
      </w:r>
      <w:bookmarkEnd w:id="213"/>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تنجّس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تنجّس الملاقي للنجس أو المتنجّس، أن يكون فيهما أو في أحدهما رطوبة مُسرية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كانا يابسين لم ينجّس، كما هو المشهور، بل عن جماعةٍ كثيرة دعوى الإجماع عليه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يبول ولا يكون عنده الماء، فيمسح ذكره بالحائط؟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يابس ذكي</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البقباق،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ثوبك من الكلب رطوبة فاغسله، وإنْ مسّه جافّاً فاصبب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 من النصوص الكثيرة الواردة في الأبواب المتفرّقة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الارتكاز العرفي، والمناسبة بين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هو الرطوبة المسرية، ولا تكفي الرطوبة غير المسرية، مضافاً إلى صدق الجاف المذكور في الصحيح على المرطوب بها</w:t>
      </w:r>
      <w:r>
        <w:rPr>
          <w:rFonts w:eastAsia="Amiri" w:cs="Amiri" w:ascii="Amiri" w:hAnsi="Amiri"/>
          <w:color w:val="111111"/>
          <w:sz w:val="28"/>
          <w:szCs w:val="28"/>
          <w:rtl w:val="true"/>
          <w:lang w:bidi="ar-SA"/>
        </w:rPr>
        <w:t xml:space="preserve">. </w:t>
      </w:r>
      <w:bookmarkStart w:id="214" w:name="pg11798_104581"/>
    </w:p>
    <w:p>
      <w:pPr>
        <w:pStyle w:val="BookText"/>
        <w:rPr/>
      </w:pPr>
      <w:bookmarkEnd w:id="214"/>
      <w:r>
        <w:rPr>
          <w:rFonts w:ascii="Amiri" w:hAnsi="Amiri" w:eastAsia="Amiri" w:cs="Amiri"/>
          <w:color w:val="111111"/>
          <w:sz w:val="28"/>
          <w:sz w:val="28"/>
          <w:szCs w:val="28"/>
          <w:rtl w:val="true"/>
          <w:lang w:bidi="ar-SA"/>
        </w:rPr>
        <w:t>نعم، وقع الخلاف في خصوص ملاقي الميتة، وقد تقدّم تنقيح القول فيه في ذلك المبحث، فراجع</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ولو شكّ في رطوبة أحد المتلاقيين، أو علم وجودها وشكّ في سرايتها، لم يحكم بالنجاسة لإستصحاب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إذا عُلم سَبق وجود الرطوبة المسرية، وشكّ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الشرط للنجاسة هو الملاقاة مع الرطوبة المسرية، كان المتعيّن الحكم بلزوم الإجتناب، إذ حينئذٍ يُستصحب الرطوبة الثابتة في السابق، وحيث أنّ الملاقاة وجدانيّة، فبضمّ الوجدان إلى الأصل، يثبت موضوع الحكم، فيحكم بالنجاسة كسائر الموارد التي يكون الموضوع مركّباً، ويكون أحد الجزئين وجدانيّاً والآخر ثابتاً بالأصل، كغَسل الشيء بالماء المستصحب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الشرط سراية الرطوبة من أحدهما إلى الآخر، فالمتعيّن الحكم بعدم لزوم الاجتناب، إذ استصحاب الرطوبة لا يثبت السراية، إلّابناءً على الأصل المثبت، فلا تثبت النجاسة، فيرجع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الظاهر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الارتكاز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فالأقوى عدم لزوم الاجتناب</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10416922_73709187"/>
      <w:bookmarkStart w:id="216" w:name="_Toc79"/>
      <w:bookmarkEnd w:id="215"/>
      <w:r>
        <w:rPr>
          <w:rtl w:val="true"/>
        </w:rPr>
        <w:t>الذّباب الواقع على النّجس الرّطب</w:t>
      </w:r>
      <w:bookmarkEnd w:id="21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الواقع على النّجس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 على ثوبٍ أو بدن شخصٍ‌، وإنْ كان فيه رطوبة مسرية، لا يُحكم بنجاسته، بناءً على عدم تنجّس بدن الحيوانات، إذ حينئذٍ يُشكّ في ملاقاته للنجس، فيرجع إلى الاستصحاب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القول بالتنجّس، وكون زوال العين من المطهّرات، فحيثُ أنّه حال وقوع الذباب على النّجس تكون نجاسة رجله معلومة، وبعدما يقع على </w:t>
      </w:r>
      <w:bookmarkStart w:id="217" w:name="pg11798_104582"/>
    </w:p>
    <w:p>
      <w:pPr>
        <w:pStyle w:val="BookText"/>
        <w:rPr/>
      </w:pPr>
      <w:bookmarkEnd w:id="217"/>
      <w:r>
        <w:rPr>
          <w:rFonts w:ascii="Amiri" w:hAnsi="Amiri" w:eastAsia="Amiri" w:cs="Amiri"/>
          <w:color w:val="111111"/>
          <w:sz w:val="28"/>
          <w:sz w:val="28"/>
          <w:szCs w:val="28"/>
          <w:rtl w:val="true"/>
          <w:lang w:bidi="ar-SA"/>
        </w:rPr>
        <w:t>الثّوب أو البَدَن يُحتمل مصاحبته لعين النّجس، فارتفاع نجاسة رجله مشكوكٌ فيه، فيستصحب بقاء نجاسته، ومن آثارها نجاسة ملاقيه</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10416924_73709187"/>
      <w:bookmarkStart w:id="219" w:name="_Toc80"/>
      <w:bookmarkEnd w:id="218"/>
      <w:r>
        <w:rPr>
          <w:rtl w:val="true"/>
        </w:rPr>
        <w:t>المتنجّس لا يتنجّس ثانياً</w:t>
      </w:r>
      <w:bookmarkEnd w:id="21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لا يتنجّس ثانياً، ولو بنجاسةٍ اُخرى إجماعاً، حكاه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القواعد تنجّس المتنجّس، إذ النجاسة سواءٌ أكانت من الأحكام الوضعيّة المستقلّة بالجعل، أم كانت منتزعة من الأحكام التكليفيّة، فهي قابلة للتعدّد، واجتماع فردين منها في شيءٍ واحد، وبما أنّ ظاهر الأدلّة تحقّق فردٍ من النجاسة عقيب تحقّق ملاقاة الشيء لكلّ واحدٍ من النجاسات العينيّة من غير فرق بين سبق ملاقاة اُخرى وعدمه، فيتعيّن الالتزام بتنجّس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لعدم النجاسة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نجاستين لشيءٍ واحد ومحلّ فارد، كما يمتنع اجتماع عَرَضين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النجاسة سواءٌ أكانت من الاُمور الاعتباريّة أم الانتزاعيّة، فهي قابلة لاجتماع فردين منها في محلٍّ واحد، إذ الاعتبار خفيف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وتوارد حكمين كوجوب الغَسل مرّتين على موضوعٍ واحد لا مانع عنه، من غير فرقٍ في ذلك بين النجاستين المحدودتين بحدّين، وبين المحدودتين بحدٍّواحد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بعض الأعاظم</w:t>
      </w:r>
      <w:r>
        <w:rPr>
          <w:rStyle w:val="FootnoteAnchor"/>
          <w:rtl w:val="true"/>
        </w:rPr>
        <w:footnoteReference w:id="544"/>
      </w:r>
      <w:r>
        <w:rPr>
          <w:rFonts w:ascii="Amiri" w:hAnsi="Amiri" w:eastAsia="Amiri" w:cs="Amiri"/>
          <w:color w:val="111111"/>
          <w:sz w:val="28"/>
          <w:sz w:val="28"/>
          <w:szCs w:val="28"/>
          <w:rtl w:val="true"/>
          <w:lang w:bidi="ar-SA"/>
        </w:rPr>
        <w:t>من تسليم الامتناع في الأوّل، غير تامّ‌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الأسباب الشرعيّة، كما يمكن أن تكون مؤثّرات، كذلك يمكن </w:t>
      </w:r>
    </w:p>
    <w:p>
      <w:pPr>
        <w:pStyle w:val="BookText"/>
        <w:rPr/>
      </w:pPr>
      <w:r>
        <w:rPr>
          <w:rFonts w:ascii="Amiri" w:hAnsi="Amiri" w:eastAsia="Amiri" w:cs="Amiri"/>
          <w:color w:val="111111"/>
          <w:sz w:val="28"/>
          <w:sz w:val="28"/>
          <w:szCs w:val="28"/>
          <w:rtl w:val="true"/>
          <w:lang w:bidi="ar-SA"/>
        </w:rPr>
        <w:t>أن تكون معرّفات، فيجوز تعدّدها على حكمٍ واحد شخصي، وبما أنّ ظاهر الدليل كون المسبّب واحداً، لتعلّق التكليف بصرف الوجود الممتنع أن يكون محكوماً بحكمين، فيتعيّن حمل السبب على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الدليل دخل العنوان المأخوذ في لسان الدليل في المسبّب، لا كونه معرّفاً لشيءٍ آخر، وليس ظاهر الدليل وحدة المسبّب، إذ بعد فرض ظهور الدليل في استقلال كلّ فردٍ من الملاقاة، في ترتّب النجاسة، أو وجوب الغَسل على الملاقي، سواءٌ سبقه فرد آخر أم لا، فلا محالة يصبح الدليل ظاهراً في تعدّد المسبّب بتعدّد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545"/>
      </w:r>
      <w:r>
        <w:rPr>
          <w:rFonts w:ascii="Amiri" w:hAnsi="Amiri" w:eastAsia="Amiri" w:cs="Amiri"/>
          <w:color w:val="111111"/>
          <w:sz w:val="28"/>
          <w:sz w:val="28"/>
          <w:szCs w:val="28"/>
          <w:rtl w:val="true"/>
          <w:lang w:bidi="ar-SA"/>
        </w:rPr>
        <w:t xml:space="preserve">وهو ظهور الدليل في الجنسيّة الصادقة على القليل والكثير، والواحد والمتعدّد، فلو دلّ الدليل على أنّ ملاقاة الدّم توجب النجاسة، وحيثُ أنّ الدّم ماهيّة صادقة على القليل والكثير، فإذا لاقى مرّةً يصدق عليه ملاقاة الدّم، وإنْ لاقى ذلك الشيء مع الدّم مرّةً ثانية انقلب الفرد الأوّل إلى الثاني، وأصبح مصداقاً واحداً للماهيّة، وهكذا كلّما يزداد ويدخل تحت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اختصاص هذا الوجه بمتّحد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فيه أيضاً، إذ القضايا الشرطيّة والحقيقيّة ينحلّ الحكم فيها بانحلال موضوعها وشرطها إلى أحكام عديدة، كما حُقّق في محلّه، وعليه فكلّما تحقّق فردٌ من ملاقاة الدّم، تحقّق فردٌ واحد من الحكم المترتّب عليها، فإذا كانت الملاقاة متعدّدة، فلا محالة يكون الحكم أيضاً متعدّداً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صورة اتّحاد الموضوع والشرط جنساً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0" w:name="pg11798_104584"/>
    </w:p>
    <w:p>
      <w:pPr>
        <w:pStyle w:val="BookText"/>
        <w:rPr/>
      </w:pPr>
      <w:bookmarkEnd w:id="220"/>
      <w:r>
        <w:rPr>
          <w:rFonts w:ascii="Amiri" w:hAnsi="Amiri" w:eastAsia="Amiri" w:cs="Amiri"/>
          <w:color w:val="111111"/>
          <w:sz w:val="28"/>
          <w:sz w:val="28"/>
          <w:szCs w:val="28"/>
          <w:rtl w:val="true"/>
          <w:lang w:bidi="ar-SA"/>
        </w:rPr>
        <w:t>وأمّا في صورة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فاستفادة التعدّد إنّما تكون من ظهور كلٍّ من القضيّتين في أنّ كلّاً من السببين مستقلٌّ في ترتّب المسبّب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من تعدّد المسبّب، تعدّد الوجوب لا الواجب، لأنّه المسبّب دونه، وهو لا يقتضي تعدّد متعلّقه، إذ قد تجتمع الإيجابات المتعدّدة في فعلٍ واحدٍ للتاكيد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الأعظم رحمه الله في طهارته</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المسبّب ليس هو الوجوب والطلب، لحصوله قبل وجود السبب بنفس الكلام الدالّ على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إنشاء الوجوب وإنْ كان قبل وجود السبب، إلّاأنّ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يوجد بعد وجود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المسبّب ليس هو الوجوب من حيث هو، بل وجوب خاص، ومن المعلوم أنّ تعدّد ذلك مستلزمٌ لتعدّد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الواحد، يمكن أن يكون كافياً في تحقّق تكليفين وإنْ علم تعدّدهما كما في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يحتاج إلى الدليل، لكونه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العمدة في عدم تنجّس المتنجّس الاتّفاق عليه، ومعقده التداخل في الأثر المشترك، لا فيما تمتاز به بعض النجاسات عن بعض، فلو لاقى الثّوب دمٍ‌، ثمّ لاقاه البول يجبُ عليه غسله مرّتين</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10416926_73709187"/>
      <w:bookmarkStart w:id="222" w:name="_Toc81"/>
      <w:bookmarkEnd w:id="221"/>
      <w:r>
        <w:rPr>
          <w:rtl w:val="true"/>
        </w:rPr>
        <w:t>لو علم تنجّس شيء بالأشدّ أو الأضعف</w:t>
      </w:r>
      <w:bookmarkEnd w:id="22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تنجّس الشيء إمّا بالبول أو الدّم، أو إمّا بالولوغ أو بغيره، فهل يجب إجراء حكم الأشدّ أو الأضعف‌؟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بقاء النجاسة بعد إجراء حكم الأضعف، حتّى يعلم بارتفاع النجاسة بإجراء حكم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عدم جريان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لعدم جريان الاستصحاب في القسم الثاني من أقسام استصحاب الكلّي، إذ المختار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لما قيل من أنّ الأثر في المقام للفرد، إذ المختار جريانه في الفرد المردّد بين فردين أحدهما مقطوع الارتفاع والآخر مقطوع البقاء أو مشكوكه، كما حقّقناه في الاُصول</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لأنّ الاستصحاب في الكلّي إنّما يجري فيما إذا تعارض الأصل الجاري في كلٍّ من الفردين، مع الأصل الجاري في الآخر، أو كان المستصحب موضوعاً، وأمّا إذا كان المستصحب حكماً، ولم يكن الأصل جارياً في الفرد المقطوع الارتفاع، فتجري أصالة عدم حدوث الفرد، ويترتّب عليها عدم بقاء الكلّي، مثلاً لو علم بالطلب الجامع بين الاستحباب والوجوب، وعلم بارتفاع الاستحباب على تقدير تحقّقه، ولم يكن هو مورد الأصل، فيجري استصحاب عدم تحقّق الوجوب، وبما أنّ تحقّق الطلب إنّما يكون بتحقّق الوجوب حقيقة، فيترتّب على استصحاب عدم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بارتفاع الاستحباب على تقدير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بقاء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بيان ذلك، وبيان الفرق بين كون المستصحب حكماً، وبين ما إذا كان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يترتّب على استصحاب عدم حدوث الفرد ارتفاع الكلّي في الأوّل، ولا يترتّب عليه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إلى محلّه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بما أنّ المستصحب من الأحكام الوضعيّة وهو النجاسة، ولا يجري</w:t>
      </w:r>
      <w:r>
        <w:rPr>
          <w:rFonts w:eastAsia="Amiri" w:cs="Amiri" w:ascii="Amiri" w:hAnsi="Amiri"/>
          <w:color w:val="111111"/>
          <w:sz w:val="28"/>
          <w:szCs w:val="28"/>
          <w:rtl w:val="true"/>
          <w:lang w:bidi="ar-SA"/>
        </w:rPr>
        <w:t xml:space="preserve">). </w:t>
      </w:r>
      <w:bookmarkStart w:id="223" w:name="pg11798_104586"/>
    </w:p>
    <w:p>
      <w:pPr>
        <w:pStyle w:val="BookText"/>
        <w:rPr/>
      </w:pPr>
      <w:bookmarkEnd w:id="223"/>
      <w:r>
        <w:rPr>
          <w:rFonts w:ascii="Amiri" w:hAnsi="Amiri" w:eastAsia="Amiri" w:cs="Amiri"/>
          <w:color w:val="111111"/>
          <w:sz w:val="28"/>
          <w:sz w:val="28"/>
          <w:szCs w:val="28"/>
          <w:rtl w:val="true"/>
          <w:lang w:bidi="ar-SA"/>
        </w:rPr>
        <w:t>الأصل في الأضعف لعدم ترتّب الأثر عليه، فيجري استصحاب عدم حدوث النجاسة الشديدة، ويترتّب عليه ارتفاع النجاسة بعد إجراء حكم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لزوم إجراء حكم الأضعف، وإنْ كان الأحوط إجراء حكم الأشدّ</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10416928_73709187"/>
      <w:bookmarkStart w:id="225" w:name="_Toc82"/>
      <w:bookmarkEnd w:id="224"/>
      <w:r>
        <w:rPr>
          <w:rtl w:val="true"/>
        </w:rPr>
        <w:t>المتنجّس منجّس</w:t>
      </w:r>
      <w:bookmarkEnd w:id="22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المتنجّس ينجس مطلقاً أو لا ينجس، أو يفصّل بين أقسامه‌؟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 الأصحاب</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القاضي</w:t>
      </w:r>
      <w:r>
        <w:rPr>
          <w:rStyle w:val="FootnoteAnchor"/>
          <w:rtl w:val="true"/>
        </w:rPr>
        <w:footnoteReference w:id="549"/>
      </w:r>
      <w:r>
        <w:rPr>
          <w:rFonts w:ascii="Amiri" w:hAnsi="Amiri" w:eastAsia="Amiri" w:cs="Amiri"/>
          <w:color w:val="111111"/>
          <w:sz w:val="28"/>
          <w:sz w:val="28"/>
          <w:szCs w:val="28"/>
          <w:rtl w:val="true"/>
          <w:lang w:bidi="ar-SA"/>
        </w:rPr>
        <w:t>والمحقّق</w:t>
      </w:r>
      <w:r>
        <w:rPr>
          <w:rStyle w:val="FootnoteAnchor"/>
          <w:rtl w:val="true"/>
        </w:rPr>
        <w:footnoteReference w:id="550"/>
      </w:r>
      <w:r>
        <w:rPr>
          <w:rFonts w:ascii="Amiri" w:hAnsi="Amiri" w:eastAsia="Amiri" w:cs="Amiri"/>
          <w:color w:val="111111"/>
          <w:sz w:val="28"/>
          <w:sz w:val="28"/>
          <w:szCs w:val="28"/>
          <w:rtl w:val="true"/>
          <w:lang w:bidi="ar-SA"/>
        </w:rPr>
        <w:t>، والفاضل الهندي</w:t>
      </w:r>
      <w:r>
        <w:rPr>
          <w:rStyle w:val="FootnoteAnchor"/>
          <w:rtl w:val="true"/>
        </w:rPr>
        <w:footnoteReference w:id="551"/>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52"/>
      </w:r>
      <w:r>
        <w:rPr>
          <w:rFonts w:ascii="Amiri" w:hAnsi="Amiri" w:eastAsia="Amiri" w:cs="Amiri"/>
          <w:color w:val="111111"/>
          <w:sz w:val="28"/>
          <w:sz w:val="28"/>
          <w:szCs w:val="28"/>
          <w:rtl w:val="true"/>
          <w:lang w:bidi="ar-SA"/>
        </w:rPr>
        <w:t>، والشيخ الأعظم</w:t>
      </w:r>
      <w:r>
        <w:rPr>
          <w:rStyle w:val="FootnoteAnchor"/>
          <w:rtl w:val="true"/>
        </w:rPr>
        <w:footnoteReference w:id="55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554"/>
      </w:r>
      <w:r>
        <w:rPr>
          <w:rFonts w:ascii="Amiri" w:hAnsi="Amiri" w:eastAsia="Amiri" w:cs="Amiri"/>
          <w:color w:val="111111"/>
          <w:sz w:val="28"/>
          <w:sz w:val="28"/>
          <w:szCs w:val="28"/>
          <w:rtl w:val="true"/>
          <w:lang w:bidi="ar-SA"/>
        </w:rPr>
        <w:t>، والكاشاني</w:t>
      </w:r>
      <w:r>
        <w:rPr>
          <w:rStyle w:val="FootnoteAnchor"/>
          <w:rtl w:val="true"/>
        </w:rPr>
        <w:footnoteReference w:id="555"/>
      </w:r>
      <w:r>
        <w:rPr>
          <w:rFonts w:ascii="Amiri" w:hAnsi="Amiri" w:eastAsia="Amiri" w:cs="Amiri"/>
          <w:color w:val="111111"/>
          <w:sz w:val="28"/>
          <w:sz w:val="28"/>
          <w:szCs w:val="28"/>
          <w:rtl w:val="true"/>
          <w:lang w:bidi="ar-SA"/>
        </w:rPr>
        <w:t xml:space="preserve">، والسيّد صدر الدِّين في حاشيته على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منجّسيّة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الخوانساري</w:t>
      </w:r>
      <w:r>
        <w:rPr>
          <w:rStyle w:val="FootnoteAnchor"/>
          <w:rtl w:val="true"/>
        </w:rPr>
        <w:footnoteReference w:id="557"/>
      </w:r>
      <w:r>
        <w:rPr>
          <w:rFonts w:ascii="Amiri" w:hAnsi="Amiri" w:eastAsia="Amiri" w:cs="Amiri"/>
          <w:color w:val="111111"/>
          <w:sz w:val="28"/>
          <w:sz w:val="28"/>
          <w:szCs w:val="28"/>
          <w:rtl w:val="true"/>
          <w:lang w:bidi="ar-SA"/>
        </w:rPr>
        <w:t>، 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للمنجّسيّة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الناجية عليها، بل إجماع المسلمين، بل 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تعرّض قدماء أصحابنا له، إنّه لمعلوميّة مستند المُجمعين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معروفيّتها لدى المتشرّعة، ومغروسيّتها في أذهانهم، على وجهٍ يزعمونها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المعروفيّة إنّما نشأت من تسالم الفقهاء عليها في برهةٍ من الزمن، ولم يثبت كونها سيرة متّصلة بزمان المعصوم، لتكون كاشفة عن إمضائه عليه السلام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استفادتها ممّا دلّ على سراية نجاسة النجاسات إلى ملاقيها، فإنّه وإنْ ورد في خصوص الأعيان النجسة، إلّاأنّه بملاحظة ما هو المرتكز في أذهان العرف أنّ السراية من أحكام مطلق النجاسة، يدلّ على السراية في غيرها أيضاً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التعدّي عن مورد الأدلّة إنْ كان لأجل قياس النجاسات بالقذارات العرفيّة، ويكون هذا هو المراد من المرتكز في ذهن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القذارات العرفيّة ليست على نسق واحد، ففي بعضها وإنْ كان يرى العُرف سرايتها منها إلى ما لاقاها، إلّاأنّ في بعضها ليست كذلك، فلعلّه تكون النجاسات الشرعيّة من قبيل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لأجل شيءٍ آخر، فعهدة إثباته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مختصّة بالنجاسة الذاتيّة، فالتعدّي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وهي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الاسئار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فضل الهرّة والشاة والبقرة والإبل والحمار والخيل والبغال والوحش والسّباع، فلم أترك شيئاً إلّاسألت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انتهيت إلى الكلب‌؟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فاصبب ذلك الماء واغسله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معاوية بن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عذاقر أبا عبد اللّه عليه السلام وأنا عنده عن سؤر السنور والشاة والبقرة والبعير والحمار والفرس والبغل والسّباع، يشرب منه أو يتوضّأ منه‌؟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اشرب منه، وتوضّأ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نجس، لا واللّه إنّه نجس</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علّل الحكم بعدم جواز الشرب والوضوء بكون الماء ملاقياً للنجس، فيدلّان بعموم العلّة على أنّ كلّ ما حُكم بنجاسته يوجبُ نجاسة ملاقيه، إذ عدم جواز الشرب والوضوء إرشادٌ إلى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أمّا 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يُرادف هذه الكلمة في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يُستعمل في مطلق ما حُكم بنجاسته، بل يختصّ بالنجاسة الذاتيّة، أنّه لم يعلّل لزوم الاجتناب عن الماء بكونه ملاقياً للنجس، وإنّما حكم عليه السلام بحكمين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نجاسة الكلب، والآخر لزوم الاجتناب عن ملاقيه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إنّه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وارداً في مقام التعليل، بل في مقام بيان الفرق بين الكلب وسائر السّباع، فلا يستفاد منه أنّ تمام الموضوع لهذا الحكم هو النجاسة، ألا ترى أنّه لو قيل لمن اختار أحد الرمانين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اخترت هذا؟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أكبر، هل يستفاد منه أن تمام الموضوع هو الأكبريّة‌؟ كلّا، مع أنّ النّجس لا يستعمل في المتنجّس، وإرادته منه تحتاج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استحباب غَسل اليدين قبل الوضوء، معلّلاً بأنّه لا يدري أنّه لما نام أين باتت يداه، فإنّه يدلّ على أنّ استحباب الغَسل إنّما يكون لأجل احتمال ملاقاة اليد مع المتنجّس، فيستفاد منه أنّ ملاقاته توجب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إشعاره بذلك لا يُنكر، إلّاأنّ في دلالته تأمّلاً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طوائف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المتقدّمة الدالّة على انفعال الماء القليل والأمر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بصبّه، وكذلك الزيت النّجس وغيرهما من المائعات، إذ بما أنّه لا يُحتمل أن يكون الصَّب بنفسه من الواجبات، فلا محالة يكون لأجل أنّه نجسٌ يوجب نجاسة ملاقيه، فلا ينتفع به منفعة يعتدّ بها، وهذا بخلاف ما لو لم يكن المتنجّس منجّساً، فإنّه يمكن الانتفاع به بغسل الثياب والأواني به، وعليه لا وجه للأمر بالصَّب، فمنه يُستكشف منجّسيّته لملاقيه التي صرّح بها عليه السلام في موثّق عمّار،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رجل يجد في إنائه الفأرة، وقد توضّأ من ذلك الماء مراراً واغتسل، أو غسل ثيابه، وقد كانت متسلّخة‌؟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رآها في الإناء قبل أن يغتسل أو يتوضّأ أو يغتسل ثيابه، ثمّ يفعل ذلك بعدما رآها، فعليه أن يغسل ثيابه، ويغسل كلّ ما أصابه ذلك الماء، ويُعيد 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الطائفة من النصوص ظاهرة في منجّسيّة المتنجّس، إلّاأنّها مختصّة بالمتنجّسات المائعة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w:t>
      </w:r>
      <w:r>
        <w:rPr>
          <w:rStyle w:val="FootnoteAnchor"/>
          <w:rtl w:val="true"/>
        </w:rPr>
        <w:footnoteReference w:id="561"/>
      </w:r>
      <w:r>
        <w:rPr>
          <w:rFonts w:ascii="Amiri" w:hAnsi="Amiri" w:eastAsia="Amiri" w:cs="Amiri"/>
          <w:color w:val="111111"/>
          <w:sz w:val="28"/>
          <w:sz w:val="28"/>
          <w:szCs w:val="28"/>
          <w:rtl w:val="true"/>
          <w:lang w:bidi="ar-SA"/>
        </w:rPr>
        <w:t>على وجوب غَسل الإناء والحِبّ والفرش والبسط ونحوها، فإنّها تدلّ على سراية النجاسة منها إلى ملاقيها، وإلّا لم يكن فائدة في التكليف بتطهيرها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الاستدلال بها المحقّق الهمداني قدس سره</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يستفاد من الأمر بغسل الأواني ونحوهما، إنّما هي حرمة استعمالها حال كونها متنجّسة في المأكول والمشروب، المطلوب فيهما النظافة والطهارة، وأمّا تأثيرها في نجاسة ما فيها،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تبقى نجاسته بعد نقله إلى مكان آخر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لزوم غَسل الفُرُش والبُسط، فلا يدلّ على لزوم أزيد من إزالة العين، مع أنّه لا يستفاد منه لزوم التطهير، ويكفى في حُسن تشريعة استحباب التنزّه عن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المحتملة في الأمر بغَسل هذه الأشياء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استعمالها في المأكول والمشروب ما دامت متنجّسة، نظير حرمة استعمال أواني الذّهب والفضّة، فالمأكول ما دام فيها يُحرم أكله، ولو نُقل إلى مكانٍ آخر لا مانع من 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التنزّه عن استعمالها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إرشاداً إلى نجاستها فقط لا نجاسة ملاقيها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إرشاداً إلى أنّه ما دام لم يزل العين توجب نجاسة ملاقيها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إرشاداً إلى منجسيّتها لملاقيها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من هذه الوجوه هو الأخير، إذ الأمر بالغَسل عند الملاقاة مع النّجس، ظاهرٌ في الوجوب الغيري، ولم يحتمل أحدٌ حرمة أكل المأكول الذي في الإناء المتنجّس على فرض عدم منجسيّته، والأمر ظاهرٌ في الوجوب، وإرادة الاستحباب تحتاج إلى القرينة، والنجاسة من الأحكام الوضعيّة، وجعلها بلا ترتّب أثر عملي عليها لغو، فكون الأمر إرشاداً إلى نجاستها، مع عدم ترتّب أثر على نجاسة الحِبّ والفرش على هذا الوجه يعدّ لغواً، وهذا بخلاف القول بمنجّسيّة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بلزوم الغَسل بمعنى لزوم إزالة العين خلاف ظاهر الأمر به، فيتعيّن الوجه السادس، فهذه النصوص أيضاً تكون ظاهرة في منجّسيّة المتنجّس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Style w:val="FootnoteAnchor"/>
          <w:rtl w:val="true"/>
        </w:rPr>
        <w:footnoteReference w:id="563"/>
      </w:r>
      <w:r>
        <w:rPr>
          <w:rFonts w:ascii="Amiri" w:hAnsi="Amiri" w:eastAsia="Amiri" w:cs="Amiri"/>
          <w:color w:val="111111"/>
          <w:sz w:val="28"/>
          <w:sz w:val="28"/>
          <w:szCs w:val="28"/>
          <w:rtl w:val="true"/>
          <w:lang w:bidi="ar-SA"/>
        </w:rPr>
        <w:t>الواردة في الجُنُب والمُحْدِث، الدالّة على أنّ اليد التي أصابها النّجس لا تدخل في الإناء، وفي بعضها عُلّق جواز الإدخال على كونها نظيفة، فإنّها ظاهرة في نجاسة ما في الإناء إذا أدخل يده التي ليست بطاهرة ونظيفة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التقريب يندفع ما قيل من اختصاص تلك النصوص بما إذا كانت النجاسة الذاتيّة موجودة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موثّقة عمّار، عن أبي عبد اللّه عليه السلام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رجلك رَطبة أو جبهتك رطبة أو غير ذلك منك ما يصيب ذلك الموضع القذر، فلا تصلِّ على ذلك الموضع حتّى ييبس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تدلّ على أنّ موضعاً من بدن المصلّي أو ثوبه إذا كان رطباً لا يصلّى على الموضع القذر، لصيرروته نجساً بالملاقاة، ولو لم يكن المتنجّس منجّساً لم يكن لذلك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الموضع القذر، يدفعه استلزام ذلك للغوية الشرطيّة،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عدّة من النصوص في منجّسيّة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عدّة من النصوص</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سليمان بن رشيد يخبره أنّه بال في ظلمة من اللّيل، وأنّه أصاب كفّه برد نقطة من البول، لم يشكّ أنّه أصابه ولم يَره، وأنّه مسحه بخرقة، ثمّ نَسى أن يغسله، وتمسّح بدهنٍ فمسح به كفّيه ووجهه ورأسه، ثمّ توضّأ وضوء الصّلاة فصلّى‌؟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 بجوابٍ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توهّمت من ما أصاب يدك، فليس بشيءٍ إلّا ما تحقّق، فإنْ حقّقت ذلك كنتَ حقيقاً أن تعيد الصّلوات اللّواتي كنت صلّيتهنّ بذلك الوضوء بعينه، ما كان منهنّ في وقتها، وما فاتَ وقتها فلا إعادة عليك لها، من قِبل أنّ الرّجل إذا كان ثوبه نجساً لم يعد الصّلاة إلّاما كان في وقتٍ‌، وإنْ كان جُنُباً أو صلّى على غير وضوء، فعليه إعادة الصّلوات المكتوبات اللّواتي فاتته، لأنّ الثّوب خلاف الجسد، فاعمل على ذلك إنْ شاء اللّه تعالى‌</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به على القول بالتنجيس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المستفاد منه صحّة الوضوء، ونجاسة موضع من البَدَن، كما لا يخفى‌، وعليه فيتعيّن أن يقال إنّ المتنجّس ينجّس، ونجاسة اليد توجبُ نجاسة الدّهن وما لاقاة من وجهه ورأسه، ومواضع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موضع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بالغَسل، إذ المتعارف الغَسل مرّتين، وأمّا موضع المسح فلابدّ من فرض عدم مسحه بالدهن، بل الممسوح به بقيّة رأسه، وعليه فذلك الموضع محكومٌ بالنجاسة، ويُعيد الصّلاة في الوقت لذلك، ولو لم يكن المتنجّس منجساً لم يكن وجه للحكم بصحّة الوضوء ونجاسة موضع من البَدَن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المتعارف من الغَسل في الوضوء، الغَسل مرّة واحدة، والمفروض في مورد الرواية النجاسة البوليّة التي يعتبر في ارتفاعها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المتعارف في التدهين تدهين مقدّم الرأس، وعليه فلو كان المتنجّس منجّساً، لزم نجاسة موضع المسح، فيبطل الوضوء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التقريب المزبور، فساد الصّلاة من ناحية نجاسة بقيّة الرأس، فلا فرق بين أن يتوضّأ ثانياً أم لا، مع 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حقيقاً أن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تُعيد الصّلوات اللّواتي كنتَ صلّيتهن بذلك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بطلان الصّلاة من ناحية ذلك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يدلّ على عدم تنجيس المتنجّس، إذ لا إشكال في أنّ الماء إذا كان نجساً يبطل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طهارة مواضع الوضوء، فمّما لم يدلّ عليه دليلٌ‌، ولو تمّ ما استند إلى المشهور، من اعتبارها فإنّما هو لأجل بنائهم على تنجيس المتنجّس، وأنّ نجاسة تلك المواضع توجب نجاسة الماء،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فبناءً على عدم تنجيس المتنجّس، يكون الوضوء صحيحاً، وموضع إصابة البول الذي مسحه بخرقة يكون نجساً، وبقيّة مواضع البَدَن طاهرة، فلزوم إعادة الصّلاة إنّما يكون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تخصيص الحكم بما إذا صلّى مع ذلك الوضوء، فلأنّه بالوضوء الأوّل يَغسل ذلك الموضع مرّة واحدة، ولو توضّأ ثانياً يَغسل مرّة اُخرى فيطهر، فلا وجه معه للحكم بإعادة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تدلّ على عدم تنجيس المتنجّس، إذ بناءً على القول بالتنجيس، يكون الوجه واليد والرأس محكومة بالنجاسة، فلا يصحّ الوضوء، وأمّا بناءً على القول بالعدم، يصحّ الوضوء، فافهم واغتنم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جُنُب أصاب يده جنابة، فمسحها بخرقةٍ ثمّ أدخل يده في غَسله قبل أن يغسلها، هل يجزيه أن يغتسل من ذلك الماء؟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غيره، فلا يجزيه أن يغتسل، وإنْ لم يجد غيره أجزأه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 الجملة الأُولى ظاهرة في التنجيس، والجملة الثانية محمولة على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دام يمكن حمل الخبر على بيان الحكم الواقعي، لا مجال لحمله على التقيّة، وفي المقام يمكن ذلك، إذ الجملة الأُولى وإن كانت ظاهرة فيما ذكر، إلّاأنّها تُصرف عن ظاهرها بقرينة الجملة الثانية الصريحة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بالَ في موضعٍ ليس فيه ماء، فمسح ذكره بحجر، وقد عرق ذكره وفخذاه‌؟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عمّن مسح ذكره بيده، ثمّ عرقت يده، فأصاب ثوبه يغسل ثوبه‌؟ قال عليه السلام لا</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صدره يدلّ على التنجيس، فذيله يُحمل على إرادة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السؤال عن مسح الذكر من حيث هو، لا مسح البول الذي على ذَكره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السؤال عن حكم صورة الشكّ في إصابة المحلّ الذي مسح به ذكره للثوب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الأوّل بعيدٌ غايته، لا سيّما مع كون السائل هو العيص، والمعنى الثاني خلاف الظاهر، لا أقلّ من أنّه خلاف الإطلاق، بل الصحيح أن يقال إنّ في الصدر بما أنّه قد فرض فيه مسح البول الذي على الذَكر حين ما عرق، فلا محالة تبقي الرطوبة البوليّة التي على الحشفة، فتلاقي مع العرق وتجعل العرق متنجّساً، وهو يلاقي مع الفخذ، فينجس هو أيضاً، فالصدر يدلّ على التنجيس، ولكن في المائعات، وأمّا ذيله فهو يدلّ على العدم في الجوامد، فلا تنافي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ما في كلام بعض الأعاظم</w:t>
      </w:r>
      <w:r>
        <w:rPr>
          <w:rStyle w:val="FootnoteAnchor"/>
          <w:rtl w:val="true"/>
        </w:rPr>
        <w:footnoteReference w:id="56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صدر الصحيحة ظاهرٌ في تنجيس المتنجّس، وذيلها ظاهرٌ في العدم، فالتنافي بين الصدر والذيل مانعٌ من الأخذ بالذيل، إذ قد عرفت عدم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يسأل أبا عبد اللّه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ربما بلتُ فلا أقدر على الماء، ويشتدّ ذلك عَليّ؟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وتمسّحت، فامسح ذَكرك بريقك، فإنْ وجدتَ شيئاً فقُل هذا من ذاك</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الظاهر منه كون الوجه في الاشتداد، أنّه إذا خرج شيءٌ يتنجّس بملاقاته لمخرج البول، فلو لم يكن المتنجّس منجساً لما كان وجهٌ لتنجّسه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ذَكَرك بريقك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مسح موضع البول بالرِّيق، فهو يدلّ على عدم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مسح موضعٍ آخر منه، فهو لا يفيدُ لعلاج الاشتداد، مع أنّ الرطوبة الخارجة قبل الاستبراء محكومة بالنجاسة، سواءٌ كان موضع البول متنجّساً أم لم يكن، فلا يختصّ الاشتداد بصورة عدم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الخبر هو مسح موضع البول بالرّيق، لئلّا يحصل العلم بخروج الرطوبة، إذ خروجها يكون غالباً بعد البول بفاصلةٍ ما، وحينئذٍ لو غَسل المحلّ لا يحصل العلم بخروجها، إذ كلّما يراه يحتمل أن يكون ماءً‌، وأمّا في صورة المسح فإنّه يحصل له العلم به، ولذلك سأل عنه لعلاج ذلك، فعلّمه بمسح الذَكَر بالرِّيق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الموثّق أيضاً يدلّ على عدم منجّسيّة المتنجّس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النصوص التي استدلّ بها على القول بالمنجسيّة تدلّ عليها، ولكن جملة منها تدلّ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إليها طائفة اُخرى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حكم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 فلا اُصيبُ الماء، وقد أصابَ يدي شيءٌ من البول فأمسحه بالحائط وبالتّراب، ثمّ تعرق يدي فأمسح وجهي أو بعض جسدي، أو يصيب ثوبي‌؟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كون المسح بالموضع الذي لم يصبه البول،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احتمال إرادة مجرّد الجواز التكليفي من نفي البأس،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الكنيف يصبّ فيه الماء، فينضح على الثياب ما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جافّاً فلا بأس</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المراد من الماء المستعمل في الاستنجاء ونحوه، من المياه الطاهرة، مع أنّ الاستدلال به يتوقّف على القول بانفعال الماء الوارد على النجاسة غير المستقرّ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هذا لا وجه لتعليق الحكم على الجفاف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 ذكر من الاحتمالين بين الجفاف وعدمه، فمن تعليق الحكم على الجفاف يُستكشف أنّ المراد أنّه في صورة بقاء عين النجاسة ينجس الماء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يصبّ فيه، فينتضح على الثياب بملاقاة النجاسة، وفي صورة الجفاف وزوال العين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الأعور،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يكون فيه الخمر ثم يجفّف، فيجعل فيه الخَلّ؟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 عدم غسل الإناء، وجعل الخَلّ فيه بعد تفريغ الخمر بلا واسطة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الشيخ رحمه الله</w:t>
      </w:r>
      <w:r>
        <w:rPr>
          <w:rStyle w:val="FootnoteAnchor"/>
          <w:rtl w:val="true"/>
        </w:rPr>
        <w:footnoteReference w:id="574"/>
      </w:r>
      <w:r>
        <w:rPr>
          <w:rFonts w:ascii="Amiri" w:hAnsi="Amiri" w:eastAsia="Amiri" w:cs="Amiri"/>
          <w:color w:val="111111"/>
          <w:sz w:val="28"/>
          <w:sz w:val="28"/>
          <w:szCs w:val="28"/>
          <w:rtl w:val="true"/>
          <w:lang w:bidi="ar-SA"/>
        </w:rPr>
        <w:t>من حمله على التجفيف، بعد أن يَغسل ثلاثاً، يندفع بأنّه خلاف الظاهر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التصريح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على ذلك للتجفيف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الجُنُب ينتهي إلى الماء القليل في الطريق، ويريد أن يغتسل، وليس معه إناءٌ يغترف منه، ويداه قذرتان‌؟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ثمّ يتوضّأ أي يتطهّر ثمّ يغتسل، هذا ممّا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وإنْ لم يكن المراد به خصوص ما هو المصطلح وهو ما يقابل الكُرّ، ولكن مقتضى إطلاقه، وعدم الاستفصال، هو شمول الخبر له، بل لعلّ الاستدلال بالآية الشريفة يوجب ظهور الخبر في خصوص القليل،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ذُكرت تعليلاً لصحّة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فساد الغُسل لا حرج فيه، إذ على فرض الفساد ينتقل الفرض إلى التيمّم الذي هو أسهل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وجه دلالة خبر عثمان بن زياد لهذا القول،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فآتي الماء النقيع ويدي قذرة فأغمسها في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أبول فأتمسّح بالأحجار، فيجيء منّي البَلَل ما يفسدُ سراويلي‌؟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نفي البأس نفي النجاسة، لا خصوص عدم انتقاض الوضوء به، بل ظاهره ذلك بقرينة السؤال، إذ لو كان محطّ السؤال والجواب انتقاض الوضوء وعدمه، لم يكن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أتمسّح بالأحجار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الإجتزاء بالأحجار في الاستنجاء من البول من دون ضرورة، فلابدَّ أن 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إنّما كان عن البَلَل الخارج لا عن طهارة المحلّ‌، فحمل الجواب على إرادة حصول طهارته بالمسح بالأحجار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خروج البَلل من دون أن يلاقي لحافّة الذَّكَر النجسة احتمالٌ غير عقلائي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لابدَّ من حمل الخبر على ما بعد الاستبراء، وتقييد إطلاقه بما دلّ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نجاسة البَلَل الخارج قبل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المتتبّع في النصوص الواردة في الأبواب المتفرّقة، يعثر على غير ما ذكرناه من الروايات، الظاهرة في عدم تنجيس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هذه النصوص، وبين النصوص الظاهرة في التنجيس، يقتضي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دلّ على التنجيس في المتنجّسات المائعة، لا صارف عن ظهوره، فيؤخذ به، وأمّا ما دلّ عليه في الجوامد، فيتعيّن حمل الأمر بالغَسل فيه على الاستحباب، بقرينة هذه النصوص الدالّة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 الأعاظم</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ما دلّ على العدم بصحيح حكم، والخروج عن ظاهر تلك النصوص الكثيرة القريبة من التواتر، الواردة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غير تامّ‌، إذ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النصوص الدالّة على التنجيس في الجوامدليس قريبة من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دلّ على العدم كثيرٌ غير مختصّ بصحيح حكمٍ‌، مع أنّ الصحيح الواحد يصلح أن يكون قرينةً لصرف ظهور الكتاب فضلاً عن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مجموع ما ذكرناه، يظهر ضعف ما عن المحقّق الخراساني رحمه الله</w:t>
      </w:r>
      <w:r>
        <w:rPr>
          <w:rStyle w:val="FootnoteAnchor"/>
          <w:rtl w:val="true"/>
        </w:rPr>
        <w:footnoteReference w:id="582"/>
      </w:r>
      <w:r>
        <w:rPr>
          <w:rFonts w:ascii="Amiri" w:hAnsi="Amiri" w:eastAsia="Amiri" w:cs="Amiri"/>
          <w:color w:val="111111"/>
          <w:sz w:val="28"/>
          <w:sz w:val="28"/>
          <w:szCs w:val="28"/>
          <w:rtl w:val="true"/>
          <w:lang w:bidi="ar-SA"/>
        </w:rPr>
        <w:t>من الالتزام بعدم تنجّس الماء القليل بالمتنجّس، مستنداً إلى خبري ابن ميسرة وعثمان ابن زياد المتقدّمين، بدعوى تقييد إطلاق ما دلّ على تنجيس المتنجّس بهما، إذ النصوص الدالّة على العدم لا تنحصر بهما، فلا وجه لتخصيص الحكم بالماء القليل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النصوص، يقتضي القول بعدم تنجيس المتنجّس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المتنجّسات الجامدة، ولكن عدم إفتاء أساطين الفنّ‌، والإجماعات المدّعاة في المقام، بل والضرورة، وكثرة عثرات من استبدّ برأيه ولم يعبأ بمخالفة القوم، توجبُ التوقّف في الإفتاء،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القول بالتنجيس، هل يختصّ الحكم بالملاقي للنجس بلا واسطة‌؟</w:t>
      </w:r>
    </w:p>
    <w:p>
      <w:pPr>
        <w:pStyle w:val="BookText"/>
        <w:rPr/>
      </w:pPr>
      <w:r>
        <w:rPr>
          <w:rFonts w:ascii="Amiri" w:hAnsi="Amiri" w:eastAsia="Amiri" w:cs="Amiri"/>
          <w:color w:val="111111"/>
          <w:sz w:val="28"/>
          <w:sz w:val="28"/>
          <w:szCs w:val="28"/>
          <w:rtl w:val="true"/>
          <w:lang w:bidi="ar-SA"/>
        </w:rPr>
        <w:t>أو يعمّ ما إذا لاقى مع ملاقيه، أو مع ملاقي ملاقيه وهكذا، وإنْ كانت الوسائط كثيرة‌؟</w:t>
      </w:r>
    </w:p>
    <w:p>
      <w:pPr>
        <w:pStyle w:val="BookText"/>
        <w:rPr/>
      </w:pPr>
      <w:r>
        <w:rPr>
          <w:rFonts w:ascii="Amiri" w:hAnsi="Amiri" w:eastAsia="Amiri" w:cs="Amiri"/>
          <w:color w:val="111111"/>
          <w:sz w:val="28"/>
          <w:sz w:val="28"/>
          <w:szCs w:val="28"/>
          <w:rtl w:val="true"/>
          <w:lang w:bidi="ar-SA"/>
        </w:rPr>
        <w:t>وجهان، أقواهما الثاني، إذ بعدما استُفيد من الأدلّة أنّ المتنجّس ينجس، فإنّه لا فرق بين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النصوص دلّت على أنّ اليد المتقذّرة توجبُ تنجّس الماء، وهذه النصوص بإطلاقها تدلّ على التنجيس في غير الواسطة الأُولى‌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فالتفصيل بين الواسطة الأُولى وغيرها في غير محلّه</w:t>
      </w:r>
      <w:r>
        <w:rPr>
          <w:rFonts w:eastAsia="Amiri" w:cs="Amiri" w:ascii="Amiri" w:hAnsi="Amiri"/>
          <w:color w:val="111111"/>
          <w:sz w:val="28"/>
          <w:szCs w:val="28"/>
          <w:rtl w:val="true"/>
          <w:lang w:bidi="ar-SA"/>
        </w:rPr>
        <w:t>.</w:t>
      </w:r>
      <w:bookmarkStart w:id="226" w:name="pg11798_104602"/>
    </w:p>
    <w:p>
      <w:pPr>
        <w:pStyle w:val="BookText"/>
        <w:rPr/>
      </w:pPr>
      <w:bookmarkEnd w:id="226"/>
      <w:r>
        <w:rPr>
          <w:rFonts w:ascii="Amiri" w:hAnsi="Amiri" w:eastAsia="Amiri" w:cs="Amiri"/>
          <w:color w:val="111111"/>
          <w:sz w:val="28"/>
          <w:sz w:val="28"/>
          <w:szCs w:val="28"/>
          <w:rtl w:val="true"/>
          <w:lang w:bidi="ar-SA"/>
        </w:rPr>
        <w:t>ويَجبُ إزالتها عن الثّوب والبَدَن للصَّلاة، عدا</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10416930_73709187"/>
      <w:bookmarkStart w:id="228" w:name="_Toc83"/>
      <w:bookmarkEnd w:id="227"/>
      <w:r>
        <w:rPr>
          <w:rtl w:val="true"/>
        </w:rPr>
        <w:t>اعتبار الطهارة في الصّلاة</w:t>
      </w:r>
      <w:bookmarkEnd w:id="22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ساتراً كان أو غير 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الظفر والشَّعر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إجماعاً منقولاً وتحصيلاً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المتجاوزة حَدّ التواتر، الواردة في الأبواب المتفرّقة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584"/>
      </w:r>
      <w:r>
        <w:rPr>
          <w:rFonts w:ascii="Amiri" w:hAnsi="Amiri" w:eastAsia="Amiri" w:cs="Amiri"/>
          <w:color w:val="111111"/>
          <w:sz w:val="28"/>
          <w:sz w:val="28"/>
          <w:szCs w:val="28"/>
          <w:rtl w:val="true"/>
          <w:lang w:bidi="ar-SA"/>
        </w:rPr>
        <w:t>الدالّة على أنّ الصّلاة تكون باطلة إذا كان في لباس المصلّي أو بدنه؛ بولٌ أو مَنيٌّ أو خمر أو نبيذ، أو دمٌ أو عَذَرة الإنسان والسّنور والكلب، فإنّ هذه النصوص وإنْ وردت في موارد خاصّة، إلّاأنّه لا شبهة في استفادة الكبرى الكليّة من مجموعها، وأنّ المانع هو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585"/>
      </w:r>
      <w:r>
        <w:rPr>
          <w:rFonts w:ascii="Amiri" w:hAnsi="Amiri" w:eastAsia="Amiri" w:cs="Amiri"/>
          <w:color w:val="111111"/>
          <w:sz w:val="28"/>
          <w:sz w:val="28"/>
          <w:szCs w:val="28"/>
          <w:rtl w:val="true"/>
          <w:lang w:bidi="ar-SA"/>
        </w:rPr>
        <w:t>الدالّة على جواز الصّلاة فيما لا تتمّ فيه الصّلاة، حيث أنّه علّق فيها الجواز على كونه كذلك، فيستفاد منها عدم الجواز إذا لم تكن ممّا تتمّ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 المتقدّم في المسألة السابقة، وفيه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الرجل إذا كان ثوبه نجساً لم يعد الصّلاة إلّاما كان في وقتٍ‌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الواردة في الأبواب المتفرّقة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إطلاقها عدم الفرق بين الصّلوات الواجبة والمندوبة، كما أنّ مقتضى إطلاقها اشتراط الطهارة في كلّ جزءٍ من أجزائها، وعليه فتعتبر في صلاة الاحتياط، وقضاء التشهّد، والسّجدة المنسيّين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الأدلّة أنّ ما يؤتى به بعد الصّلاة من أجزاء الصّلاة تبدّل مكانه، ولذا لو لم يأتِ بالسَّجدة المنسيّة أو التشهّد المنسيّ بعد الصّلاة تكون الصلاة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اعتبار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فيهما،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بأنّها جابرة لما يعتبر فيه الطهارة، وبالانصراف، وبغيرهما من الوجوه التي ضعفها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أدلّتهما، وأصالة البراءة، عدم اعتبارها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في الإقامة، لإطلاق التنزيل في خبر أبي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الإقامة من الصّلاة، فإذا أقمتَ فلاتتكلّم</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مع النصوص الدالّة على أنّ أوّلها التكبير المقدّمة عليه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بينهما، إذ يمكن أن يقال إنّ تلك النصوص واردة في مقام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حقيقة الصّلاة، وهذا الخبر يدلّ على أنّ الإقامة منها تعبّداً وتنزيلاً، أي يعتبر فيها ما يعتبر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لمعارضته في مورده مع النصوص الدالّة على جواز التكلّم، يتعيّن حمله على الكراهة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فلابدَّ من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الإقامة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بيان كونها من أجزائها الكماليّة، أي تكون الصّلاة معها أفضل، وعليه، فلا يشملها ما دلّ على اعتبار الطهارة في الصّلاة، كما لا يخفى‌</w:t>
      </w:r>
      <w:r>
        <w:rPr>
          <w:rFonts w:eastAsia="Amiri" w:cs="Amiri" w:ascii="Amiri" w:hAnsi="Amiri"/>
          <w:color w:val="111111"/>
          <w:sz w:val="28"/>
          <w:szCs w:val="28"/>
          <w:rtl w:val="true"/>
          <w:lang w:bidi="ar-SA"/>
        </w:rPr>
        <w:t>.</w:t>
      </w:r>
      <w:bookmarkStart w:id="229" w:name="pg11798_104605"/>
    </w:p>
    <w:p>
      <w:pPr>
        <w:pStyle w:val="Heading6"/>
        <w:numPr>
          <w:ilvl w:val="5"/>
          <w:numId w:val="1"/>
        </w:numPr>
        <w:rPr/>
      </w:pPr>
      <w:bookmarkStart w:id="230" w:name="__RefHeading___Toc10416932_73709187"/>
      <w:bookmarkStart w:id="231" w:name="_Toc84"/>
      <w:bookmarkEnd w:id="229"/>
      <w:bookmarkEnd w:id="230"/>
      <w:r>
        <w:rPr>
          <w:rtl w:val="true"/>
        </w:rPr>
        <w:t>وجوب إزالة النجاسة عن المسجد</w:t>
      </w:r>
      <w:bookmarkEnd w:id="231"/>
    </w:p>
    <w:p>
      <w:pPr>
        <w:pStyle w:val="Heading6"/>
        <w:numPr>
          <w:ilvl w:val="5"/>
          <w:numId w:val="1"/>
        </w:numPr>
        <w:rPr/>
      </w:pPr>
      <w:bookmarkStart w:id="232" w:name="__RefHeading___Toc10416934_73709187"/>
      <w:bookmarkStart w:id="233" w:name="_Toc85"/>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وتجبُ إزالة النجاسة عن المساجد؛ داخلها وسقفها وسطحها، كما هو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جماعةٍ‌، منهم الشيخ</w:t>
      </w:r>
      <w:r>
        <w:rPr>
          <w:rStyle w:val="FootnoteAnchor"/>
          <w:rtl w:val="true"/>
        </w:rPr>
        <w:footnoteReference w:id="590"/>
      </w:r>
      <w:r>
        <w:rPr>
          <w:rFonts w:ascii="Amiri" w:hAnsi="Amiri" w:eastAsia="Amiri" w:cs="Amiri"/>
          <w:color w:val="111111"/>
          <w:sz w:val="28"/>
          <w:sz w:val="28"/>
          <w:szCs w:val="28"/>
          <w:rtl w:val="true"/>
          <w:lang w:bidi="ar-SA"/>
        </w:rPr>
        <w:t>، والحِلّي</w:t>
      </w:r>
      <w:r>
        <w:rPr>
          <w:rStyle w:val="FootnoteAnchor"/>
          <w:rtl w:val="true"/>
        </w:rPr>
        <w:footnoteReference w:id="591"/>
      </w:r>
      <w:r>
        <w:rPr>
          <w:rFonts w:ascii="IRNazanin" w:hAnsi="IRNazanin" w:eastAsia="IRNazanin"/>
          <w:color w:val="111111"/>
          <w:sz w:val="28"/>
          <w:sz w:val="28"/>
          <w:szCs w:val="28"/>
          <w:rtl w:val="true"/>
          <w:lang w:bidi="fa-IR"/>
        </w:rPr>
        <w:t>، والفاضلان</w:t>
      </w:r>
      <w:r>
        <w:rPr>
          <w:rStyle w:val="FootnoteAnchor"/>
          <w:rtl w:val="true"/>
        </w:rPr>
        <w:footnoteReference w:id="592"/>
      </w:r>
      <w:r>
        <w:rPr>
          <w:rFonts w:ascii="Amiri" w:hAnsi="Amiri" w:eastAsia="Amiri" w:cs="Amiri"/>
          <w:color w:val="111111"/>
          <w:sz w:val="28"/>
          <w:sz w:val="28"/>
          <w:szCs w:val="28"/>
          <w:rtl w:val="true"/>
          <w:lang w:bidi="ar-SA"/>
        </w:rPr>
        <w:t>، والشهيد</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لحرمة التنجيس حدوثاً وبقاءً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مراراً من عدم حجّيّته، مع معلوميّة مدرك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Style w:val="FootnoteAnchor"/>
          <w:rtl w:val="true"/>
        </w:rPr>
        <w:footnoteReference w:id="595"/>
      </w:r>
      <w:r>
        <w:rPr>
          <w:rFonts w:ascii="Amiri" w:hAnsi="Amiri" w:eastAsia="Amiri" w:cs="Amiri"/>
          <w:color w:val="111111"/>
          <w:sz w:val="28"/>
          <w:sz w:val="28"/>
          <w:szCs w:val="28"/>
          <w:rtl w:val="true"/>
          <w:lang w:bidi="ar-SA"/>
        </w:rPr>
        <w:t>، بضميمة عدم الفصل بين المسجد الحرام وغيره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ستعرف في مسألة إدخال النّجس في المسجد الآتية، أنّها مختصّة بالمشركين، ولا تعمّ سائر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شمولها بمقتضى تفريع الحكم على نجاستهم لسائر النجاسات، لكنّها لا تشمل تنجيس المسجد بالمتنجّس، مع أنّ إدخال النجاسة فيه غير تنجيسه، والذى تدلّ عليه الآية هو الأوّل، ومحلّ‌ </w:t>
      </w:r>
    </w:p>
    <w:p>
      <w:pPr>
        <w:pStyle w:val="BookText"/>
        <w:rPr/>
      </w:pPr>
      <w:r>
        <w:rPr>
          <w:rFonts w:ascii="Amiri" w:hAnsi="Amiri" w:eastAsia="Amiri" w:cs="Amiri"/>
          <w:color w:val="111111"/>
          <w:sz w:val="28"/>
          <w:sz w:val="28"/>
          <w:szCs w:val="28"/>
          <w:rtl w:val="true"/>
          <w:lang w:bidi="ar-SA"/>
        </w:rPr>
        <w:t>الكلام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بَيْتِيَ لِلطّائِفِينَ‌ </w:t>
      </w:r>
      <w:r>
        <w:rPr>
          <w:rStyle w:val="FootnoteAnchor"/>
          <w:rtl w:val="true"/>
        </w:rPr>
        <w:footnoteReference w:id="596"/>
      </w:r>
      <w:r>
        <w:rPr>
          <w:rFonts w:ascii="Amiri" w:hAnsi="Amiri" w:eastAsia="Amiri" w:cs="Amiri"/>
          <w:color w:val="111111"/>
          <w:sz w:val="28"/>
          <w:sz w:val="28"/>
          <w:szCs w:val="28"/>
          <w:rtl w:val="true"/>
          <w:lang w:bidi="ar-SA"/>
        </w:rPr>
        <w:t>، لأنّ الأمر ظاهرٌ في الوجوب، والتطهير ظاهرٌ في إزالة النجاسة، وبضميمة عدم القول بالفصل بين المسجد الحرام وغيره، يثبت الحكم في سائر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عدم الأمر بالتطهير من حيث هو، بل أمر به للطائفين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التنظيف من القذارات الصوريّة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Style w:val="FootnoteAnchor"/>
          <w:rtl w:val="true"/>
        </w:rPr>
        <w:footnoteReference w:id="5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وعدم انجباره بعمل الأصحاب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مجملٌ تتطرّق فيه احتمالات، إذ كما يُحتمل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المعدّة للصَّلاة، يُحتمل أن يكون المواضع التي تقع عليها الأعضاء السَّبعة حال السجود، وأن يكون نفس تلك الأعضاء كما اُطلق عليها في رواية تحديد يد السارق التي يجب قطعها، وأن يكون خصوص موضع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 في مكانٍ بيننا وبين المسجد زقاق قذر، فدخلتُ على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 فقلتُ في 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بينكم زُقاقاً قذراً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له إنّ بيننا وبين المسجد زقاقاً قذراً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الأرض يطهِّر بعضها بعضاً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 تعليق نفي البأس على حصول الطهارة، يدلّ على أنّه مع النجاسة 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بقرينتين إرادة نفي البأس من حيث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عليه السلام بذلك في ذيل خبره الآخر،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فأطأ على الرّوث الرَّطِب‌؟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أنا واللّه ربما وطأتُ عليه ثمّ اُصلّي ولا أغسله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محطّ النظر تنجيس المسجد، لم يكن وجهٌ للتعليق على حصول الطهارة، بل كان الأولى التعليق على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الدابّة تبول فيصيبُ بولها المسجد أو حائطه، أيُصلّي فيه قبل أن يُغسل‌؟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فلا بأس</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وإنْ كان مطلق المرجوحيّة، لعدم نجاسة بول الدابّة، لكن المستفاد منه سؤالاً وجواباً أنّه كانت حرمة تنجيس المسجد لديهم مفروغاً عنها، حيث تحيّر السائل من جهة زعم نجاسة بول الدابّة في مزاحمتها للصَّلاة، فسأل عن جواز الصّلاة قبل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محطّ النظر في الخبر، مزاحمة لزوم تنظيف المسجد من القذارات الصوريّة للصَّلاة، كما قد يظهر ذلك من جوابه عليه السلام، إذ لو كان محطّ النظر في السؤال مزاحمة لزوم إزالة النجاسة الشرعيّة لها، لما كان جوابه عليه السلام مطابقاً للسؤال، وهذا بخلاف ما ذكرناه كما لا يخفى‌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الثمالي،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نبيّه أنْ طهِّر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مسجدك، وأخرج منه من يرقد باللّيل، ومُر بسدّ الأبواب</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اختصاص الأمر بالتطهير به عليه السلام، كما اختصّ به الأمر بالإخراج وسدّ الأبواب،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هو الاستدلال لها بالنصوص الكثيرة الواردة في اتّخاذ الكنيف مسجداً بعد تنظيفه أو 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المكان يكون حُشّاً زماناً؛ فيُنظّف ويُتّخَذمسجداً؟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عليه من التّراب حتّى يتوارى‌، فإنّ ذلك يطهِّره إن شاء اللّه</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مسعدة بن صدقة، عن جعفر بن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أيصلحُ مكانٌ حُشّ أنْ يُتّخذ مسجداً؟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اُلقي عليه من التّراب ما يواري ذلك، ويقطع ريحه فلا بأس، وذلك لأنّ التّراب يطهّره، وبه مضت السُنّة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هذه النصوص، عدم حرمة تنجيس باطن المسجد، كما لا يخفي‌، وعن المحقّق الأردبيلي</w:t>
      </w:r>
      <w:r>
        <w:rPr>
          <w:rStyle w:val="FootnoteAnchor"/>
          <w:rtl w:val="true"/>
        </w:rPr>
        <w:footnoteReference w:id="605"/>
      </w:r>
      <w:r>
        <w:rPr>
          <w:rFonts w:ascii="Amiri" w:hAnsi="Amiri" w:eastAsia="Amiri" w:cs="Amiri"/>
          <w:color w:val="111111"/>
          <w:sz w:val="28"/>
          <w:sz w:val="28"/>
          <w:szCs w:val="28"/>
          <w:rtl w:val="true"/>
          <w:lang w:bidi="ar-SA"/>
        </w:rPr>
        <w:t xml:space="preserve">الميل إليه،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اختياره في مورد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فرق بين سطح المسجد وحائطه من داخل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لما 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 xml:space="preserve">، 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من جواز تنجيس باطن المسجد، بموثّق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الدماميل تكون بالرجل، فتنفتح وهو في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ويمسح يده بالحائط والأرض، ولا يقطع الصّلاة</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انفتاحها غير ملازمٍ لخروج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عدم الاستفصال شموله له، ولكن الموثّق غير وارد في مقام البيان من هذه الجهة كي يُتمسّك بإطلاقه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34" w:name="pg11798_104610"/>
    </w:p>
    <w:p>
      <w:pPr>
        <w:pStyle w:val="Heading6"/>
        <w:numPr>
          <w:ilvl w:val="5"/>
          <w:numId w:val="1"/>
        </w:numPr>
        <w:rPr/>
      </w:pPr>
      <w:bookmarkStart w:id="235" w:name="__RefHeading___Toc10416936_73709187"/>
      <w:bookmarkStart w:id="236" w:name="_Toc86"/>
      <w:bookmarkEnd w:id="234"/>
      <w:bookmarkEnd w:id="235"/>
      <w:r>
        <w:rPr>
          <w:rtl w:val="true"/>
        </w:rPr>
        <w:t>فروع نجاسة المسجد</w:t>
      </w:r>
      <w:bookmarkEnd w:id="236"/>
    </w:p>
    <w:p>
      <w:pPr>
        <w:pStyle w:val="Heading6"/>
        <w:numPr>
          <w:ilvl w:val="5"/>
          <w:numId w:val="1"/>
        </w:numPr>
        <w:rPr/>
      </w:pPr>
      <w:bookmarkStart w:id="237" w:name="__RefHeading___Toc10416938_73709187"/>
      <w:bookmarkStart w:id="238" w:name="_Toc87"/>
      <w:bookmarkEnd w:id="237"/>
      <w:r>
        <w:rPr>
          <w:rtl w:val="true"/>
        </w:rPr>
        <w:t>حرمة إدخال النجاسة في المسجد</w:t>
      </w:r>
      <w:bookmarkEnd w:id="238"/>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جماعةٍ‌، منهم الحلبيّان</w:t>
      </w:r>
      <w:r>
        <w:rPr>
          <w:rStyle w:val="FootnoteAnchor"/>
          <w:rtl w:val="true"/>
        </w:rPr>
        <w:footnoteReference w:id="610"/>
      </w:r>
      <w:r>
        <w:rPr>
          <w:rFonts w:ascii="Amiri" w:hAnsi="Amiri" w:eastAsia="Amiri" w:cs="Amiri"/>
          <w:color w:val="111111"/>
          <w:sz w:val="28"/>
          <w:sz w:val="28"/>
          <w:szCs w:val="28"/>
          <w:rtl w:val="true"/>
          <w:lang w:bidi="ar-SA"/>
        </w:rPr>
        <w:t>، بل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إدخال النجاسة في المسجد، وإنْ لم تكن منجّسة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الحِلّي</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عموم الحكم للمتنجّس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الشهيدين</w:t>
      </w:r>
      <w:r>
        <w:rPr>
          <w:rStyle w:val="FootnoteAnchor"/>
          <w:rtl w:val="true"/>
        </w:rPr>
        <w:footnoteReference w:id="612"/>
      </w:r>
      <w:r>
        <w:rPr>
          <w:rFonts w:ascii="Amiri" w:hAnsi="Amiri" w:eastAsia="Amiri" w:cs="Amiri"/>
          <w:color w:val="111111"/>
          <w:sz w:val="28"/>
          <w:sz w:val="28"/>
          <w:szCs w:val="28"/>
          <w:rtl w:val="true"/>
          <w:lang w:bidi="ar-SA"/>
        </w:rPr>
        <w:t>والمحقّق الثاني</w:t>
      </w:r>
      <w:r>
        <w:rPr>
          <w:rStyle w:val="FootnoteAnchor"/>
          <w:rtl w:val="true"/>
        </w:rPr>
        <w:footnoteReference w:id="613"/>
      </w:r>
      <w:r>
        <w:rPr>
          <w:rFonts w:ascii="Amiri" w:hAnsi="Amiri" w:eastAsia="Amiri" w:cs="Amiri"/>
          <w:color w:val="111111"/>
          <w:sz w:val="28"/>
          <w:sz w:val="28"/>
          <w:szCs w:val="28"/>
          <w:rtl w:val="true"/>
          <w:lang w:bidi="ar-SA"/>
        </w:rPr>
        <w:t>وغيرهم، بل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ضعف سنده، وإجمال متنه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w:t>
      </w:r>
      <w:r>
        <w:rPr>
          <w:rStyle w:val="FootnoteAnchor"/>
          <w:rtl w:val="true"/>
        </w:rPr>
        <w:footnoteReference w:id="615"/>
      </w:r>
      <w:r>
        <w:rPr>
          <w:rFonts w:ascii="Amiri" w:hAnsi="Amiri" w:eastAsia="Amiri" w:cs="Amiri"/>
          <w:color w:val="111111"/>
          <w:sz w:val="28"/>
          <w:sz w:val="28"/>
          <w:szCs w:val="28"/>
          <w:rtl w:val="true"/>
          <w:lang w:bidi="ar-SA"/>
        </w:rPr>
        <w:t>، بضميمة عدم الفصل بين المسجد الحرام وغيره من المساجد، اذ الظاهر منها أنّ المنهيّ عنه دخولهم المسجد بما أنّهم نجس، لا لأجل ما يترتّب على دخولهم من تلويثهم المسجد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مختصّة بالمشرك، ولا تشمل سائر النجاسات فضلاً عن المتنجّسات، إذ الظاهر منها كون موضوع الحكم هو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أنّه مصدرٌ لا يصحّ حمله على العين، فيتعيّن حمله على </w:t>
      </w:r>
      <w:bookmarkStart w:id="239" w:name="pg11798_104611"/>
    </w:p>
    <w:p>
      <w:pPr>
        <w:pStyle w:val="BookText"/>
        <w:rPr/>
      </w:pPr>
      <w:bookmarkEnd w:id="239"/>
      <w:r>
        <w:rPr>
          <w:rFonts w:ascii="Amiri" w:hAnsi="Amiri" w:eastAsia="Amiri" w:cs="Amiri"/>
          <w:color w:val="111111"/>
          <w:sz w:val="28"/>
          <w:sz w:val="28"/>
          <w:szCs w:val="28"/>
          <w:rtl w:val="true"/>
          <w:lang w:bidi="ar-SA"/>
        </w:rPr>
        <w:t>المبالغة، ويكون الحمل كما في زيدٌ عَدْل، فيكون الموضوع النّجس على وجه المبالغة لا كلّ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لدعوى ثبوت الحكم لكلّ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حرمة إدخال النجاسة في المسجد إذا لم تكن متعدّية</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10416940_73709187"/>
      <w:bookmarkStart w:id="241" w:name="_Toc88"/>
      <w:bookmarkEnd w:id="240"/>
      <w:r>
        <w:rPr>
          <w:rtl w:val="true"/>
        </w:rPr>
        <w:t>وجوب الإزالة فوري</w:t>
      </w:r>
      <w:bookmarkEnd w:id="241"/>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الإزالة فوري، فلا يجوز التأخير بمقدارٍ ينافي الفوريّة العُرفيّة كما هو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التنجيس، إذ الظاهر من نصوص اتّخاذ الكنيف مسجداً وغيرها، النهي عن وجود النجاسة في المسجد في كلّ زمانٍ من الأزمنة، وعليه فلابدَّ من المبادرة إلى الإزالة، وإلّا لزم وجود النجاسة في زمانٍ من الأزمنة، وهو حرام</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0416942_73709187"/>
      <w:bookmarkStart w:id="243" w:name="_Toc89"/>
      <w:bookmarkEnd w:id="242"/>
      <w:r>
        <w:rPr>
          <w:rtl w:val="true"/>
        </w:rPr>
        <w:t>وجوب إزالة النجاسة عن المساجد كفائي</w:t>
      </w:r>
      <w:bookmarkEnd w:id="243"/>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إزالة النجاسة عن المساجد كفائي، ولا اختصاص له بمن نجّسها كما هو المشهور شهرة عظيمة، إذ ظاهر الخطاب إلى الجميع مع كون الفعل واحداً غير قابلٍ للتكرار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بمن نجّسها، وتبعه بعض أعاظم العصر</w:t>
      </w:r>
      <w:r>
        <w:rPr>
          <w:rStyle w:val="FootnoteAnchor"/>
          <w:rtl w:val="true"/>
        </w:rPr>
        <w:footnoteReference w:id="616"/>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بقاء النجاسة بقاءٌ لعمله الذي كان محرّماً عليه حدوثاً وبقاءً‌، فعليه اعدام عمله</w:t>
      </w:r>
      <w:r>
        <w:rPr>
          <w:rFonts w:eastAsia="Amiri" w:cs="Amiri" w:ascii="Amiri" w:hAnsi="Amiri"/>
          <w:color w:val="111111"/>
          <w:sz w:val="28"/>
          <w:szCs w:val="28"/>
          <w:rtl w:val="true"/>
          <w:lang w:bidi="ar-SA"/>
        </w:rPr>
        <w:t xml:space="preserve">. </w:t>
      </w:r>
      <w:bookmarkStart w:id="244" w:name="pg11798_104612"/>
    </w:p>
    <w:p>
      <w:pPr>
        <w:pStyle w:val="BookText"/>
        <w:rPr/>
      </w:pPr>
      <w:bookmarkEnd w:id="244"/>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النجاسة إنّما يستندُ إليه، ويكون حراماً عليه، لكونه قادراً على إزالة النجاسة عنها، وهذا مشتركٌ فيه بينه وبين غيره، إذ غيره أيضاً له أن يُبقي النجاسة وأن يُعدمها، وعليه فلا فرق بينهما</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10416944_73709187"/>
      <w:bookmarkStart w:id="246" w:name="_Toc90"/>
      <w:bookmarkEnd w:id="245"/>
      <w:r>
        <w:rPr>
          <w:rtl w:val="true"/>
        </w:rPr>
        <w:t>وجوب المبادرة إلى الإزالة مقدّمةً على الصّلاة</w:t>
      </w:r>
      <w:bookmarkEnd w:id="246"/>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راى نجاسةً في المسجد، وقد دخل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على أنّه تجبُ المبادرة إلى الإزالة مقدّمةً على الصّلاة، لدليل فوريّة الإزالة، كما هو الشأن في جميع موارد تزاحم الموسّع مع المضيّق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بدعوى أنّ الفوريّة مستندة إلى الإجماع، ولم يثبت على الوجوب الفوري حين دخول واجبٍ 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دليل الفوريّة، هو الدليل على وجوب الإزالة وحرمة التنجيس، لا الإجماع، فراجع</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المشهور لو ترك الإزالة مع السِّعة، واشتغل بالصّلاة فهل تبطل صلاته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الأمر بالشيء يقتضي النهي عن ضدّه، فالأمر بالإزالة نهيٌ عن الصّلاة، والنهي في العبادة موجبٌ لفسادها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عدم اقتضاء الأمر بالشيء للنهي عن ضدّه، مع أنّ النهي المانع عن التقرّب بالعبادة، إنّما هو النهي النفسي لا الغيري، لعدم كونه ناشئاً عن المفسدة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الأمر بالضدّين معاً غير ممكن، لكونه تكليفاً بالمُحال، فالأمر </w:t>
      </w:r>
    </w:p>
    <w:p>
      <w:pPr>
        <w:pStyle w:val="BookText"/>
        <w:rPr/>
      </w:pPr>
      <w:r>
        <w:rPr>
          <w:rFonts w:ascii="Amiri" w:hAnsi="Amiri" w:eastAsia="Amiri" w:cs="Amiri"/>
          <w:color w:val="111111"/>
          <w:sz w:val="28"/>
          <w:sz w:val="28"/>
          <w:szCs w:val="28"/>
          <w:rtl w:val="true"/>
          <w:lang w:bidi="ar-SA"/>
        </w:rPr>
        <w:t>بالإزالة يكون مانعاً عن الأمر بالصّلاة، فتكون فاسدة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محلّه</w:t>
      </w:r>
      <w:r>
        <w:rPr>
          <w:rStyle w:val="FootnoteAnchor"/>
          <w:rtl w:val="true"/>
        </w:rPr>
        <w:footnoteReference w:id="619"/>
      </w:r>
      <w:r>
        <w:rPr>
          <w:rFonts w:ascii="Amiri" w:hAnsi="Amiri" w:eastAsia="Amiri" w:cs="Amiri"/>
          <w:color w:val="111111"/>
          <w:sz w:val="28"/>
          <w:sz w:val="28"/>
          <w:szCs w:val="28"/>
          <w:rtl w:val="true"/>
          <w:lang w:bidi="ar-SA"/>
        </w:rPr>
        <w:t>من صحّة تعلّق الأمر بالضدّين على نحو الترتّب، مع أنّه يكفي قصد الملاك في صحّة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كلّ واحدٍ من هذه الاُمور موكولٌ إلى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20"/>
      </w:r>
      <w:r>
        <w:rPr>
          <w:rFonts w:ascii="Amiri" w:hAnsi="Amiri" w:eastAsia="Amiri" w:cs="Amiri"/>
          <w:color w:val="111111"/>
          <w:sz w:val="28"/>
          <w:sz w:val="28"/>
          <w:szCs w:val="28"/>
          <w:rtl w:val="true"/>
          <w:lang w:bidi="ar-SA"/>
        </w:rPr>
        <w:t>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البراءة، بدعوى أنّ الشكّ في الصحّة ناشيءٌ من الشكّ في مانعيّة وجوب الإزالة عن الصّلاة، وتقيّد الأمر بها على عدم وجوبها، وحيث أنّه تجري أصالة البراءة عن المانعيّة، فتثبت بها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وبلزوم الحَرَج المنفيّ في الشريعة من عدم الصحّة، إذ غالب أفراد المكلّفين في أوقات الصّلاة مخاطبون بواجبٍ آخر، لا أقلّ من الخطاب بأداء الدين، وعليه فيلزم فساد صلاة الجميع، والالتزام بذلك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القائل بالفساد لا يقول به، لأجل أخذ عدم وجوب الإزالة قيداً شرعيّاً للصَّلاة، بل يقول به لأجل تزاحم الأمر بالإزالة مع الأمر بالصّلاة، وحيثُ أنّ الأمر بهما محالٌ‌، لكونه طلباً للمحال، فلتضيّق الإزالة تكون هي المأمور بها دون الصّلاة، وعليه فتكون الصّلاة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للنهي عنها أو لعدم الأمر بها، مع اعتبار قصد الأمر في صحّة العبادة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فالرجوع إلى أصالة البراءة في غير محلّه</w:t>
      </w:r>
      <w:r>
        <w:rPr>
          <w:rFonts w:eastAsia="Amiri" w:cs="Amiri" w:ascii="Amiri" w:hAnsi="Amiri"/>
          <w:color w:val="111111"/>
          <w:sz w:val="28"/>
          <w:szCs w:val="28"/>
          <w:rtl w:val="true"/>
          <w:lang w:bidi="ar-SA"/>
        </w:rPr>
        <w:t xml:space="preserve">.). </w:t>
      </w:r>
      <w:bookmarkStart w:id="247" w:name="pg11798_104614"/>
    </w:p>
    <w:p>
      <w:pPr>
        <w:pStyle w:val="BookText"/>
        <w:rPr/>
      </w:pPr>
      <w:bookmarkEnd w:id="247"/>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الخطاب الآخر الذي فرض توجّهه إلى من تجب عليه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بواجبٍموسّع، فلايكون مانعاً عن الأمر بالصّلاة، لعدم التزاحم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متعلّقاً بالمضيّق، فمع أنّ ما ذكر من ابتلاء غالب المكلّفين به، غير تامّ‌؛ لأنّه إنْ لم يكن قادراً على امتثاله، فلا يكون مانعاً عن الأمر بالصّلاة، وإنْ كان قادراً عليه، فهو يكون من صُغريات هذه المسألة، والالتزام بفساد الصّلاة ما لم يتضيّق وقتها في ذلك الفرض، لا يترتّب عليه حَرَجٌ ولا غيره من المحاذير</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10416946_73709187"/>
      <w:bookmarkStart w:id="249" w:name="_Toc91"/>
      <w:bookmarkEnd w:id="248"/>
      <w:r>
        <w:rPr>
          <w:rtl w:val="true"/>
        </w:rPr>
        <w:t>وجوب قطع الصّلاة للإزالة</w:t>
      </w:r>
      <w:bookmarkEnd w:id="249"/>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عالماً بالنجاسة، ثمّ غَفَل وصلّى‌، ثمّ التفتَ إليها في أثناء الصّلاة، أو علم بها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عليه إتمامها ثمّ الإزالة‌؟</w:t>
      </w:r>
    </w:p>
    <w:p>
      <w:pPr>
        <w:pStyle w:val="BookText"/>
        <w:rPr/>
      </w:pPr>
      <w:r>
        <w:rPr>
          <w:rFonts w:ascii="Amiri" w:hAnsi="Amiri" w:eastAsia="Amiri" w:cs="Amiri"/>
          <w:color w:val="111111"/>
          <w:sz w:val="28"/>
          <w:sz w:val="28"/>
          <w:szCs w:val="28"/>
          <w:rtl w:val="true"/>
          <w:lang w:bidi="ar-SA"/>
        </w:rPr>
        <w:t>أو إبطالها والمبادرة إلى الإزالة‌؟</w:t>
      </w:r>
    </w:p>
    <w:p>
      <w:pPr>
        <w:pStyle w:val="BookText"/>
        <w:rPr/>
      </w:pPr>
      <w:r>
        <w:rPr>
          <w:rFonts w:ascii="Amiri" w:hAnsi="Amiri" w:eastAsia="Amiri" w:cs="Amiri"/>
          <w:color w:val="111111"/>
          <w:sz w:val="28"/>
          <w:sz w:val="28"/>
          <w:szCs w:val="28"/>
          <w:rtl w:val="true"/>
          <w:lang w:bidi="ar-SA"/>
        </w:rPr>
        <w:t>أو يفصّل بين الصورتين، فيجب الإتمام في الأُولى‌، والإبطال في الثانية‌؟</w:t>
      </w:r>
    </w:p>
    <w:p>
      <w:pPr>
        <w:pStyle w:val="BookText"/>
        <w:rPr/>
      </w:pPr>
      <w:r>
        <w:rPr>
          <w:rFonts w:ascii="Amiri" w:hAnsi="Amiri" w:eastAsia="Amiri" w:cs="Amiri"/>
          <w:color w:val="111111"/>
          <w:sz w:val="28"/>
          <w:sz w:val="28"/>
          <w:szCs w:val="28"/>
          <w:rtl w:val="true"/>
          <w:lang w:bidi="ar-SA"/>
        </w:rPr>
        <w:t>أو يتخيّر بينهما في الصورتين‌؟</w:t>
      </w:r>
    </w:p>
    <w:p>
      <w:pPr>
        <w:pStyle w:val="BookText"/>
        <w:rPr/>
      </w:pPr>
      <w:r>
        <w:rPr>
          <w:rFonts w:ascii="Amiri" w:hAnsi="Amiri" w:eastAsia="Amiri" w:cs="Amiri"/>
          <w:color w:val="111111"/>
          <w:sz w:val="28"/>
          <w:sz w:val="28"/>
          <w:szCs w:val="28"/>
          <w:rtl w:val="true"/>
          <w:lang w:bidi="ar-SA"/>
        </w:rPr>
        <w:t>وجوهٌ وأقوال، ولا يخفى أنّ مورد هذه الوجوه، هو ما إذا كان المضيّ في الصّلاة منافياً مع المبادرة إلى الإزالة، وإلّا كما لو أمكنت الإزالة من دون أن يبطلها، أو لم يناف الإتمام الفوريّة العرفيّة، فلا وجه لقطع الصّلاة وإبطالها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الفوريّة هو الإجماع، والمتيقّن منه غير المقام، فدليل حرمة الإبطال بلا مزاحم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عدم اختصاصه به، بل دليلها دليلُ وجوب الإزالة </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جملةٌ من المحقّقين، منهم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الصورة الثانية يُستصحب وجوب الإتمام، وحرمة القطع، وعدم وجوب الإزالة الثابتة قبل العلم، وأمّا في الصورة الأُولى فللعلم بوجوب الإزالة قبل الصّلاة، لا علم بوجوب الإتمام في زمانٍ من الأزمنة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يكون وجوب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من حين حصول النجاسة، الذي لا يكون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 الأمر بالصّلاة، ووجوب إتمامها في صورة الجهل، كذلك وجوب الإزالة الذي لا يكون منجّزاً للنسيان، لا يكون مانعاً عن وجوب الإتمام، فالإتمام يكون واجباً قبل العلم والالتفات في الصورتين، فالتفصيل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وجوب الإتمام في نفسه ممّا لا شكّ فيه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تقدّمه على وجوب الإزالة وعدمه، والاستصحاب لا يزيد على الدليل الاجتهادي، الدالّ على الوجوب، فكما أنّه مع الدليل الاجتهادي يقع التزاحم بينهما، كذلك مع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يُستصحب وجوب الإتمام تعييناً الثابت قبل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تعيّنه كان بحكم العقل، لأجل عدم المزاحم، والكلام إنّما يكون في تعيّنه مع وجود المزاحم، والاستصحاب لا يجري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لم يُحرز أهميّة شيءٍ من وجوب الإزالة ووجوب الإتمام، فلا محالة يتخيّر بينهما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فرع التزاحم المتوقّف على شمول دليل كلّ واحدٍ منهما لمثلد</w:t>
      </w:r>
      <w:r>
        <w:rPr>
          <w:rFonts w:eastAsia="Amiri" w:cs="Amiri" w:ascii="Amiri" w:hAnsi="Amiri"/>
          <w:color w:val="111111"/>
          <w:sz w:val="28"/>
          <w:szCs w:val="28"/>
          <w:rtl w:val="true"/>
          <w:lang w:bidi="ar-SA"/>
        </w:rPr>
        <w:t xml:space="preserve">. </w:t>
      </w:r>
      <w:bookmarkStart w:id="250" w:name="pg11798_104616"/>
    </w:p>
    <w:p>
      <w:pPr>
        <w:pStyle w:val="BookText"/>
        <w:rPr/>
      </w:pPr>
      <w:bookmarkEnd w:id="250"/>
      <w:r>
        <w:rPr>
          <w:rFonts w:ascii="Amiri" w:hAnsi="Amiri" w:eastAsia="Amiri" w:cs="Amiri"/>
          <w:color w:val="111111"/>
          <w:sz w:val="28"/>
          <w:sz w:val="28"/>
          <w:szCs w:val="28"/>
          <w:rtl w:val="true"/>
          <w:lang w:bidi="ar-SA"/>
        </w:rPr>
        <w:t>الفرض في نفسه، وحيثُ أنّ دليل حرمة القطع هو الإجماع، والمتيقّن منه غير المقام، فلا مزاحم لوجوب المبادرة إلى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الإبطال، والمبادرة إلى الإزالة</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0416948_73709187"/>
      <w:bookmarkStart w:id="252" w:name="_Toc92"/>
      <w:bookmarkEnd w:id="251"/>
      <w:r>
        <w:rPr>
          <w:rtl w:val="true"/>
        </w:rPr>
        <w:t>هل يجوز تنجيس المسجد ثانيا</w:t>
      </w:r>
      <w:bookmarkEnd w:id="252"/>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موضعٌ من المسجد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تنجيسه ثانياً إذا لم يستلزم تنجيس ما يجاوره أم لا؟</w:t>
      </w:r>
    </w:p>
    <w:p>
      <w:pPr>
        <w:pStyle w:val="BookText"/>
        <w:rPr/>
      </w:pPr>
      <w:r>
        <w:rPr>
          <w:rFonts w:ascii="Amiri" w:hAnsi="Amiri" w:eastAsia="Amiri" w:cs="Amiri"/>
          <w:color w:val="111111"/>
          <w:sz w:val="28"/>
          <w:sz w:val="28"/>
          <w:szCs w:val="28"/>
          <w:rtl w:val="true"/>
          <w:lang w:bidi="ar-SA"/>
        </w:rPr>
        <w:t>أو يفصّل بين ما لو كانت الثانية أشدّ وأغلظ فلا يجوز، وبين ما لو لم تكن كذلك فيجوز؟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المتنجّس يتنجّس ثانياً، غاية الأمر يكفي الغَسل الواحد للجميع، وعليه فالتنجيس الثاني أيضاً محكومٌ بالحرمة بمقتضى إطلاق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تنجيسه ثانياً ملازمٌ لإدخال النجاسة في المسجد، وهو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التنجيس مهانةً له، وهي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عدم تنجّس المتنجّس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حرمة إدخال النجاسة في المسجد من حيث هو، مع أنّه لا يشمل تنجيسه ثانياً بالمتنجّس لا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النجاسة اليسيرة موجبة لحصول المهانة محلُّ تأمّلٍ بل منع، مع أنّ حرمة المهانة بجميع مراتبها غير خالية عن الإشكال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التنجيس المحرّم ملحوظ بنحو الطبيعة السارية في المراتب بقرينة الارتكاز العرفي</w:t>
      </w:r>
      <w:r>
        <w:rPr>
          <w:rFonts w:eastAsia="Amiri" w:cs="Amiri" w:ascii="Amiri" w:hAnsi="Amiri"/>
          <w:color w:val="111111"/>
          <w:sz w:val="28"/>
          <w:szCs w:val="28"/>
          <w:rtl w:val="true"/>
          <w:lang w:bidi="ar-SA"/>
        </w:rPr>
        <w:t xml:space="preserve">. </w:t>
      </w:r>
      <w:bookmarkStart w:id="253" w:name="pg11798_104617"/>
    </w:p>
    <w:p>
      <w:pPr>
        <w:pStyle w:val="BookText"/>
        <w:rPr/>
      </w:pPr>
      <w:bookmarkEnd w:id="253"/>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ثبوت المراتب للنجاسة، لا نُسلّم كون التنجّس ملحوظاً بنحو الطبيعة السارية فيها، إذ ذلك فرع ثبوت الإطلاق لدليل حرمة التنجيس، المتوقّف على كونه في مقام البيان من هذه الجهة، وحيثُ إنّه ليس في مقام البيان من هذه الجهة كما لا يخفى‌، فلا يمكن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لو أوجب التلويث فيحرم، وبين ما لو لم يوجب فلا يُحرَم، فلعلّ وجهه تلازم التلويث مع حصول الهتك فيحرم لذلك، وفيه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حرمة التنجيس ثانياً إذا لم يستلزم تنجيس ما يجاوره، ولم يستلزم حصول الهتك</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10416950_73709187"/>
      <w:bookmarkStart w:id="255" w:name="_Toc93"/>
      <w:bookmarkEnd w:id="254"/>
      <w:r>
        <w:rPr>
          <w:rtl w:val="true"/>
        </w:rPr>
        <w:t>لو توقّف تطهير المسجد علي تخريب شيء منه أو على تخريبه أجمع</w:t>
      </w:r>
      <w:bookmarkEnd w:id="255"/>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تطهير المسجد علي تخريب شيء منه أو علي تخريبه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التطهير، أو يحرُم التخريب، أم يفصّل بين الموردين فيحرم في الثاني، أم يتخيّر بينهما مطلقاً؟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حرمة التخريب، لا يشمل المورد، لاختصاصه بما إذا لم يكن لمصلحة المسجد، وتطهير المسجد من هذا القبيل، وعليه فلا مزاحم لوجوب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لجواز التخريب هو النفع العائد إلى المتردّدين، وليست الطهارة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التطهير يزاحم حرمة التخريب، وحيثُ لم يُحرز الأهميّة، فمقتضى القاعدة هو التخيير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حقّقناه في محلّه أنّه لو توقّف فعل واجبٍ على فعل محرّم، ولم تحرز أهميّته، تعيّن البناء على بقاء الحرمة وعدم جواز ارتكابه، مثلاً لو توقّف إنقاذ </w:t>
      </w:r>
      <w:bookmarkStart w:id="256" w:name="pg11798_104618"/>
    </w:p>
    <w:p>
      <w:pPr>
        <w:pStyle w:val="BookText"/>
        <w:rPr/>
      </w:pPr>
      <w:bookmarkEnd w:id="256"/>
      <w:r>
        <w:rPr>
          <w:rFonts w:ascii="Amiri" w:hAnsi="Amiri" w:eastAsia="Amiri" w:cs="Amiri"/>
          <w:color w:val="111111"/>
          <w:sz w:val="28"/>
          <w:sz w:val="28"/>
          <w:szCs w:val="28"/>
          <w:rtl w:val="true"/>
          <w:lang w:bidi="ar-SA"/>
        </w:rPr>
        <w:t>الغريق على قتل نفس محترمة، لا يجوز القتل للإنقاذ، وما نحن فيه من هذا القبيل، فلا يجوز التخريب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الثاني</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10416952_73709187"/>
      <w:bookmarkStart w:id="258" w:name="_Toc94"/>
      <w:bookmarkEnd w:id="257"/>
      <w:r>
        <w:rPr>
          <w:rtl w:val="true"/>
        </w:rPr>
        <w:t>إذا توقّف التطهير على بذل مالٍ‌، فهل يجب أم لا؟</w:t>
      </w:r>
      <w:bookmarkEnd w:id="258"/>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التطهير على بذل مالٍ‌، فهل يجب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من خلال 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توقّف التطهير على بذل مالٍ بإزاء الماء ليشتري ويطهّره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من قبيل الاُجرة على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التطهير ملازماً ولو غالباً لبذل المال، فإنّه لا إشكال في وجوبه، وأمّا بما أنّه ليس كذلك، فيتعيّن الرجوع في هذه الموارد إلى ما دلّ على نفي الضرر المقتضي لعدم وجوب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وجوب البذل فيه أوضح، إذ مضافاً إلى ذلك يرد على 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 اُريد أنّ الواجب عليه فعل الأجير، بدعوى كونه عملاً تسبيبيّاً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وساطة إرادة النائب، التي تكون إرادة مستقلّة، وليست تحت إرادته، لا تصحّ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 الواجب عليه في الفرض الاستنابة، فهو يحتاج ثبوته إلى ورود دليلٍ آخر غير ما دلّ على لزوم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فيه فيرجع إلى الأصل، وهو يقتضي العدم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عدم وجوب البذل، وبذلك ظهر حكم فرعٍ آخر وهو أنّه </w:t>
      </w:r>
      <w:bookmarkStart w:id="259" w:name="pg11798_104619"/>
    </w:p>
    <w:p>
      <w:pPr>
        <w:pStyle w:val="BookText"/>
        <w:rPr/>
      </w:pPr>
      <w:bookmarkEnd w:id="259"/>
      <w:r>
        <w:rPr>
          <w:rFonts w:ascii="Amiri" w:hAnsi="Amiri" w:eastAsia="Amiri" w:cs="Amiri"/>
          <w:color w:val="111111"/>
          <w:sz w:val="28"/>
          <w:sz w:val="28"/>
          <w:szCs w:val="28"/>
          <w:rtl w:val="true"/>
          <w:lang w:bidi="ar-SA"/>
        </w:rPr>
        <w:t>هل يجب إعلام الغير إذا لم يتمكّن من الإزالة أم لا، وأنّ الأظهر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المقام لو بذل لا يضمن مَنْ صار سبباً للتنجّس، إذ السبب يكون ضامناً فيما لو كان التلف مستنداً إليه عرفاً لا إلى المباشر بأنْ لم يكن صادراً عنه بالاختيار، وأمّا في مثل المقام، فلا دليل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موكولٌ إلى محلّه</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0416954_73709187"/>
      <w:bookmarkStart w:id="261" w:name="_Toc95"/>
      <w:bookmarkEnd w:id="260"/>
      <w:r>
        <w:rPr>
          <w:rtl w:val="true"/>
        </w:rPr>
        <w:t>حكم تنجيس المسجد الخراب وتطهيره</w:t>
      </w:r>
      <w:bookmarkEnd w:id="261"/>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المسجد وجُعل داراً أو طريقاً أو صار خراباً، بحيث لا يمكن تطهيره ولا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تنجيسه ولا يجب تطهيره‌؟</w:t>
      </w:r>
    </w:p>
    <w:p>
      <w:pPr>
        <w:pStyle w:val="BookText"/>
        <w:rPr/>
      </w:pPr>
      <w:r>
        <w:rPr>
          <w:rFonts w:ascii="Amiri" w:hAnsi="Amiri" w:eastAsia="Amiri" w:cs="Amiri"/>
          <w:color w:val="111111"/>
          <w:sz w:val="28"/>
          <w:sz w:val="28"/>
          <w:szCs w:val="28"/>
          <w:rtl w:val="true"/>
          <w:lang w:bidi="ar-SA"/>
        </w:rPr>
        <w:t>أم يُحرم الأوّل ولا يجب الثاني‌؟</w:t>
      </w:r>
    </w:p>
    <w:p>
      <w:pPr>
        <w:pStyle w:val="BookText"/>
        <w:rPr/>
      </w:pPr>
      <w:r>
        <w:rPr>
          <w:rFonts w:ascii="Amiri" w:hAnsi="Amiri" w:eastAsia="Amiri" w:cs="Amiri"/>
          <w:color w:val="111111"/>
          <w:sz w:val="28"/>
          <w:sz w:val="28"/>
          <w:szCs w:val="28"/>
          <w:rtl w:val="true"/>
          <w:lang w:bidi="ar-SA"/>
        </w:rPr>
        <w:t>أم يُحرم الأوّل ويجب الثاني‌؟ أقوال ووجوه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المسجديّة وإنْ كانت من الاُمور الاعتباريّة، إلّاأنّ تحقّقها يتوقّف على 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لكونها من الاعتباريّات، والاعتبار خفيف المؤونة، فإنّه لا يعتبر في اعتبارها سوى ما يُخرجه عن اللّغويّة، فلا يتوقّف على 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دليل الحكمين، ثبوتهما في الفرض، إلّاأنّ وجوب الإزالة يكون حرجيّاً، فيرتفع بما دلّ على نفي الحَرج</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ستعرف من عدم شمول إطلاق دليلهما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وجوب الإزالة حينئذٍ إنّما يدور مدار الحرج، فلو لم يلزم ذلك ولو في موردٍ واحد، لا وجه للحكم بارتفاع الوجوب، إذ الحرج كسائر ما يُؤخذ موضوعاً للحكم إنّما </w:t>
      </w:r>
    </w:p>
    <w:p>
      <w:pPr>
        <w:pStyle w:val="BookText"/>
        <w:rPr/>
      </w:pPr>
      <w:r>
        <w:rPr>
          <w:rFonts w:ascii="Amiri" w:hAnsi="Amiri" w:eastAsia="Amiri" w:cs="Amiri"/>
          <w:color w:val="111111"/>
          <w:sz w:val="28"/>
          <w:sz w:val="28"/>
          <w:szCs w:val="28"/>
          <w:rtl w:val="true"/>
          <w:lang w:bidi="ar-SA"/>
        </w:rPr>
        <w:t>يثبت له الحكم إذا تحقّق مصداقه في الخارج، ففي كلّ موردٍ لزم من وجوب الإزالة حرجٌ حُكم بعدمه، وأمّا إذا لم يلزم من جعله الحَرج في موردٍ، فلا وجه لارتفاع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الحكمين لا إطلاق له بحيث يشمل المقام، إذ نصوص اتّخاذ الكنيف مسجداً مختصّة بغير المقام، والمتيقّن من معقد الإجماع غيره، فيتعيّن الرجوع إلى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الاستصحاب بقاء حرمة التنجيس، وأمّا وجوب الإزالة فحيثُ أنّ استصحابه من الاستصحاب التعليقي ولا نقول بحجيّته، فالمرجع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عدم شمول الدليل للمقام، وإنْ كان متيناً، ومنه يظهر ضعف القول الأخير، إلّاأنّ ما ذكر من التفصيل من جريان الاُصول بين الحكمين في غير محلّه، إذ وجوب الإزالة وحرمة التنجيس ليسا حُكمين، بل حكم واحد، وهو حرمة وجود النجاسة في المسجد، ويعبّر عن حرمة إحداث النجاسة بحرمة التنجيس، وعن حرمة إبقائها بوجوب الإزالة، فعلى فرض جريان الاستصحاب يجري استصحاب حرمة وجود النجاسة في المسجد، وينتزع منها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التنجيس، ووجوب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عدم جريان الاستصحاب، إذ الشكّ في بقاء الحرمة مسبّبٌ عن الشكّ في الجعل بنحو تكون باقية بعد الخراب، وحيث أنّ حرمة التنجيس لم تكن في أوّل الشريعة مجعولة قطعاً، فيشكّ في جعلها، فيستصحب عدم الجعل، ويثبت به عدم الحرمة، بناءً على ما حقّقناه في محلّه من أنّ استصحاب عدم الجعل يجري ويثبت به عدم المجعول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الحرمة لتنجيس المسجد معلومٌ إلى الأبد، أو ما دام لم يصبح </w:t>
      </w:r>
      <w:bookmarkStart w:id="262" w:name="pg11798_104621"/>
    </w:p>
    <w:p>
      <w:pPr>
        <w:pStyle w:val="BookText"/>
        <w:rPr/>
      </w:pPr>
      <w:bookmarkEnd w:id="262"/>
      <w:r>
        <w:rPr>
          <w:rFonts w:ascii="Amiri" w:hAnsi="Amiri" w:eastAsia="Amiri" w:cs="Amiri"/>
          <w:color w:val="111111"/>
          <w:sz w:val="28"/>
          <w:sz w:val="28"/>
          <w:szCs w:val="28"/>
          <w:rtl w:val="true"/>
          <w:lang w:bidi="ar-SA"/>
        </w:rPr>
        <w:t>خراباً، وعليه فاستصحاب عدم جعلها إلى الأبد، يعارض استصحاب عدم جعلها في خصوص ما إذا لم يكن خراباً، فيتساقطان والمرجع إلى الأصل المحكوم، وهو استصحاب بقاء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استصحاب عدم جعلها ما لم يصبح خراباً، لمعلوميّة حرمته في ذلك الزمان</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0416956_73709187"/>
      <w:bookmarkStart w:id="264" w:name="_Toc96"/>
      <w:bookmarkEnd w:id="263"/>
      <w:r>
        <w:rPr>
          <w:rtl w:val="true"/>
        </w:rPr>
        <w:t>وجوب التيمّم لمكث الجُنُب في المسجد للإزالة</w:t>
      </w:r>
      <w:bookmarkEnd w:id="264"/>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الجُنُب نجاسة في المسجد، ولم يمكنه الإزالة بدون المكث، وكان تأخيرها إلى ما بعد الغُسل منافياً للفوريّة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التأخير إلى ما بعد الغُسل‌؟</w:t>
      </w:r>
    </w:p>
    <w:p>
      <w:pPr>
        <w:pStyle w:val="BookText"/>
        <w:rPr/>
      </w:pPr>
      <w:r>
        <w:rPr>
          <w:rFonts w:ascii="Amiri" w:hAnsi="Amiri" w:eastAsia="Amiri" w:cs="Amiri"/>
          <w:color w:val="111111"/>
          <w:sz w:val="28"/>
          <w:sz w:val="28"/>
          <w:szCs w:val="28"/>
          <w:rtl w:val="true"/>
          <w:lang w:bidi="ar-SA"/>
        </w:rPr>
        <w:t>أم يجب المكث جُنُباً؟</w:t>
      </w:r>
    </w:p>
    <w:p>
      <w:pPr>
        <w:pStyle w:val="BookText"/>
        <w:rPr/>
      </w:pPr>
      <w:r>
        <w:rPr>
          <w:rFonts w:ascii="Amiri" w:hAnsi="Amiri" w:eastAsia="Amiri" w:cs="Amiri"/>
          <w:color w:val="111111"/>
          <w:sz w:val="28"/>
          <w:sz w:val="28"/>
          <w:szCs w:val="28"/>
          <w:rtl w:val="true"/>
          <w:lang w:bidi="ar-SA"/>
        </w:rPr>
        <w:t>أم يجب مع التيمّم‌؟</w:t>
      </w:r>
    </w:p>
    <w:p>
      <w:pPr>
        <w:pStyle w:val="BookText"/>
        <w:rPr/>
      </w:pPr>
      <w:r>
        <w:rPr>
          <w:rFonts w:ascii="Amiri" w:hAnsi="Amiri" w:eastAsia="Amiri" w:cs="Amiri"/>
          <w:color w:val="111111"/>
          <w:sz w:val="28"/>
          <w:sz w:val="28"/>
          <w:szCs w:val="28"/>
          <w:rtl w:val="true"/>
          <w:lang w:bidi="ar-SA"/>
        </w:rPr>
        <w:t>أو يتخيّر بينهما؟</w:t>
      </w:r>
    </w:p>
    <w:p>
      <w:pPr>
        <w:pStyle w:val="BookText"/>
        <w:rPr/>
      </w:pPr>
      <w:r>
        <w:rPr>
          <w:rFonts w:ascii="Amiri" w:hAnsi="Amiri" w:eastAsia="Amiri" w:cs="Amiri"/>
          <w:color w:val="111111"/>
          <w:sz w:val="28"/>
          <w:sz w:val="28"/>
          <w:szCs w:val="28"/>
          <w:rtl w:val="true"/>
          <w:lang w:bidi="ar-SA"/>
        </w:rPr>
        <w:t>وجوهٌ وأقوال، أقواها الثالث، إذ المكث لكونه مقدّمةٌ للإزالة يصير واجباً، وعليه فيشرع التيمّم 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غايات الوضوء والغُسل ليست غايات للتيمّم، لا سيّما </w:t>
      </w:r>
    </w:p>
    <w:p>
      <w:pPr>
        <w:pStyle w:val="BookText"/>
        <w:rPr/>
      </w:pPr>
      <w:r>
        <w:rPr>
          <w:rFonts w:ascii="Amiri" w:hAnsi="Amiri" w:eastAsia="Amiri" w:cs="Amiri"/>
          <w:color w:val="111111"/>
          <w:sz w:val="28"/>
          <w:sz w:val="28"/>
          <w:szCs w:val="28"/>
          <w:rtl w:val="true"/>
          <w:lang w:bidi="ar-SA"/>
        </w:rPr>
        <w:t>دخول المسجدين، واللّبث في المسجد، ومسّ كتابة القرآن،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عابِرِي سَبِيلٍ حَتَّى تَغْتَسِلُوا </w:t>
      </w:r>
      <w:r>
        <w:rPr>
          <w:rStyle w:val="FootnoteAnchor"/>
          <w:rtl w:val="true"/>
        </w:rPr>
        <w:footnoteReference w:id="623"/>
      </w:r>
      <w:r>
        <w:rPr>
          <w:rFonts w:ascii="Amiri" w:hAnsi="Amiri" w:eastAsia="Amiri" w:cs="Amiri"/>
          <w:color w:val="111111"/>
          <w:sz w:val="28"/>
          <w:sz w:val="28"/>
          <w:szCs w:val="28"/>
          <w:rtl w:val="true"/>
          <w:lang w:bidi="ar-SA"/>
        </w:rPr>
        <w:t>حيث غيّت الآية الشريفة المكث في المساجد بالاغتسال، ولو أباحه التيمّم لكان أيضاً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أدلّة البدليّة يوجبُ كون جميع غاياتهما غايته، وجعل الغُسل غايةً لحرمة المكث، لا ينافي ذلك، لحكومة أدلّة البدليّة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مشروعيّة التيمّم فقدان الماء، ومع وجدانه لايكون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وجوبه بما أنّه وجوب مضيّق يكون فاقداً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المكث غايةً للغُسل أو التيمّم، لا يمنع عن إشكال، إذ المتوقّف عليهما جواز المكث لا نفس المكث، فلا يكون الأمر بهما غيريّاً، بل يكون عقليّاً من باب لزوم الجمع بين غرضي الشارع، فوجوب المكث لا ينفع في تشريع الغُسل والتيمّم لعدم كونهما مقدّمتين له، بل هما من مقدّمات جوازه، وهو ليس من 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تحقّق المكث وإنْ لم يتوقّف على الغُسل والتيمّم، إلّاأنّ وجود المكث وتحقّقه الذي لا مفسدة ولا مبغوضيّة فيه يكون متوقّفاً عليهما، فكما يقال في قراءة القرآن من إنّ وجودها الكامل يتوقّف على الوضوء، وهي إحدى غاياته، كذلك في المقام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تعيّن التيمّم والإزالة، وعدم جواز تأخير الإزالة إلى ما بعد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5" w:name="pg11798_104623"/>
    </w:p>
    <w:p>
      <w:pPr>
        <w:pStyle w:val="BookText"/>
        <w:rPr/>
      </w:pPr>
      <w:bookmarkEnd w:id="265"/>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 التطهير إلّابالمكث جُنُباً، فالأظهر عدم جواز المكث لا لأهميّة حرمة المكث، إذ لم يحرز ذلك، بل لما ذكرناه مراراً من أنّه لو توقّف فعلُ واجبٍ على محرّم، ولم يُحرز أهميّة الواجب، فإنّ مقتضى القاعدة عدم جواز ارتكاب الحرام مقدّمةً لامتثال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استلزم التأخير إلى ما بعد الغُسل هتك حرمته، وجب التطهير حينئذٍ لأهميّة وجوب الإزالة كما لا يخفى‌</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0416958_73709187"/>
      <w:bookmarkStart w:id="267" w:name="_Toc97"/>
      <w:bookmarkEnd w:id="266"/>
      <w:r>
        <w:rPr>
          <w:rtl w:val="true"/>
        </w:rPr>
        <w:t>حكم تنجيس المشاهد المشرّفة</w:t>
      </w:r>
      <w:bookmarkEnd w:id="267"/>
    </w:p>
    <w:p>
      <w:pPr>
        <w:pStyle w:val="BookText"/>
        <w:rPr/>
      </w:pPr>
      <w:r>
        <w:rPr>
          <w:rFonts w:ascii="Amiri" w:hAnsi="Amiri" w:eastAsia="Amiri" w:cs="Amiri"/>
          <w:color w:val="111111"/>
          <w:sz w:val="28"/>
          <w:sz w:val="28"/>
          <w:szCs w:val="28"/>
          <w:rtl w:val="true"/>
          <w:lang w:bidi="ar-SA"/>
        </w:rPr>
        <w:t>الفرع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جماعةٍ من الأصحاب كالشهيدين</w:t>
      </w:r>
      <w:r>
        <w:rPr>
          <w:rStyle w:val="FootnoteAnchor"/>
          <w:rtl w:val="true"/>
        </w:rPr>
        <w:footnoteReference w:id="625"/>
      </w:r>
      <w:r>
        <w:rPr>
          <w:rFonts w:ascii="Amiri" w:hAnsi="Amiri" w:eastAsia="Amiri" w:cs="Amiri"/>
          <w:color w:val="111111"/>
          <w:sz w:val="28"/>
          <w:sz w:val="28"/>
          <w:szCs w:val="28"/>
          <w:rtl w:val="true"/>
          <w:lang w:bidi="ar-SA"/>
        </w:rPr>
        <w:t>، والمحقّق الثاني</w:t>
      </w:r>
      <w:r>
        <w:rPr>
          <w:rStyle w:val="FootnoteAnchor"/>
          <w:rtl w:val="true"/>
        </w:rPr>
        <w:footnoteReference w:id="626"/>
      </w:r>
      <w:r>
        <w:rPr>
          <w:rFonts w:ascii="Amiri" w:hAnsi="Amiri" w:eastAsia="Amiri" w:cs="Amiri"/>
          <w:color w:val="111111"/>
          <w:sz w:val="28"/>
          <w:sz w:val="28"/>
          <w:szCs w:val="28"/>
          <w:rtl w:val="true"/>
          <w:lang w:bidi="ar-SA"/>
        </w:rPr>
        <w:t>وغيرهم</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المصاحف، والضرائح المقدّسة، والمشاهد المشرّفة، والتربة الحُسينيّة، بالمساجد، بل لعلّه لا خلاف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المعلوم من الشريعة زيادة احترام هذه الاُمور على المساجد، وعليه فما دلّ على حرمة تنجيس المساجد، يدلّ بالفحوى على حرمة تنجيسها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وبلزوم تعظيمها واحترامها، والتنجيس منافٍ للتعظيم بجميع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حرمة المهانة لها، بدعوى أنّ التنجيس مهانة فيَحرُم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الجميع نظر إذ لم يُعلم كون حكمة حرمة تنجيس المساجد، مجرّد الاحترام وتعظيم المسجد، كما أنّ وجوب التعظيم ولو بعض أفراده، ممّا لم يدلّ‌ </w:t>
      </w:r>
    </w:p>
    <w:p>
      <w:pPr>
        <w:pStyle w:val="BookText"/>
        <w:rPr/>
      </w:pPr>
      <w:r>
        <w:rPr>
          <w:rFonts w:ascii="Amiri" w:hAnsi="Amiri" w:eastAsia="Amiri" w:cs="Amiri"/>
          <w:color w:val="111111"/>
          <w:sz w:val="28"/>
          <w:sz w:val="28"/>
          <w:szCs w:val="28"/>
          <w:rtl w:val="true"/>
          <w:lang w:bidi="ar-SA"/>
        </w:rPr>
        <w:t>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المهانة لها حرام، فكلّ موردٍ استلزم التنجيس مهانةً‌، كان محرّماً، وأمّا إذا لم يستلزمها، فلا وجه للحرمة، إلّاإذا ثبت إجماعٌ تعبّدي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طهارة الشيخ الأعظم</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خطّ المصحف، وأمّا فيه فلا إشكال في وجوب الإزالة، لفحوى حرمة مسّ الُمحْدِث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أورده عليه المحقّق الهمداني رحمه الله</w:t>
      </w:r>
      <w:r>
        <w:rPr>
          <w:rStyle w:val="FootnoteAnchor"/>
          <w:rtl w:val="true"/>
        </w:rPr>
        <w:footnoteReference w:id="629"/>
      </w:r>
      <w:r>
        <w:rPr>
          <w:rFonts w:ascii="Amiri" w:hAnsi="Amiri" w:eastAsia="Amiri" w:cs="Amiri"/>
          <w:color w:val="111111"/>
          <w:sz w:val="28"/>
          <w:sz w:val="28"/>
          <w:szCs w:val="28"/>
          <w:rtl w:val="true"/>
          <w:lang w:bidi="ar-SA"/>
        </w:rPr>
        <w:t xml:space="preserve">من أنّه تتمّ الفحوى لو قلنا بوجوب حفظ القرآن عن أنْ يمسّه غير المتطهِّر، وإنْ لم يكن مكلّفاً، بأنْ وجب منع غير المتطهّر من مسّ خطّه، وإلّا فلا تتمّ الفحوى إلّابالنسبة إلى حرمة التنجيس، لا وجوب الإزالة،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معلوميّة مناط الحكم، لا سبيل إلى دعوى الأولويّة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68" w:name="pg11798_104625"/>
    </w:p>
    <w:p>
      <w:pPr>
        <w:pStyle w:val="BookText"/>
        <w:rPr/>
      </w:pPr>
      <w:bookmarkEnd w:id="268"/>
      <w:r>
        <w:rPr>
          <w:rFonts w:ascii="Amiri" w:hAnsi="Amiri" w:eastAsia="Amiri" w:cs="Amiri"/>
          <w:color w:val="111111"/>
          <w:sz w:val="28"/>
          <w:sz w:val="28"/>
          <w:szCs w:val="28"/>
          <w:rtl w:val="true"/>
          <w:lang w:bidi="ar-SA"/>
        </w:rPr>
        <w:t>ما نَقَص عن سِعة الدِّرهم البَغليّ من الدّم</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0416960_73709187"/>
      <w:bookmarkStart w:id="270" w:name="_Toc98"/>
      <w:bookmarkEnd w:id="269"/>
      <w:r>
        <w:rPr>
          <w:rtl w:val="true"/>
        </w:rPr>
        <w:t>ما يُعفى عنه في الصَّلاة</w:t>
      </w:r>
      <w:bookmarkEnd w:id="270"/>
    </w:p>
    <w:p>
      <w:pPr>
        <w:pStyle w:val="Heading6"/>
        <w:numPr>
          <w:ilvl w:val="5"/>
          <w:numId w:val="1"/>
        </w:numPr>
        <w:rPr/>
      </w:pPr>
      <w:bookmarkStart w:id="271" w:name="__RefHeading___Toc10416962_73709187"/>
      <w:bookmarkStart w:id="272" w:name="_Toc99"/>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وأمّا الموارد المستثناة، فهي اُمور</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10416964_73709187"/>
      <w:bookmarkStart w:id="274" w:name="_Toc100"/>
      <w:bookmarkEnd w:id="273"/>
      <w:r>
        <w:rPr>
          <w:rtl w:val="true"/>
        </w:rPr>
        <w:t>ما نقص عن سعة الدِّرهم</w:t>
      </w:r>
      <w:bookmarkEnd w:id="274"/>
    </w:p>
    <w:p>
      <w:pPr>
        <w:pStyle w:val="Heading6"/>
        <w:numPr>
          <w:ilvl w:val="5"/>
          <w:numId w:val="1"/>
        </w:numPr>
        <w:rPr/>
      </w:pPr>
      <w:bookmarkStart w:id="275" w:name="__RefHeading___Toc10416966_73709187"/>
      <w:bookmarkStart w:id="276" w:name="_Toc101"/>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نقص عن سعة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بعضهم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ولعلّهما شيءٌ واحد كما سيمرّ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الحيض، والاستحاضة، والنفاس، ودم نجس العين، والميتة، وما لا يؤكل لحمه</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10416968_73709187"/>
      <w:bookmarkStart w:id="278" w:name="_Toc102"/>
      <w:bookmarkEnd w:id="277"/>
      <w:r>
        <w:rPr>
          <w:rtl w:val="true"/>
        </w:rPr>
        <w:t>فهاهنا مسائل</w:t>
      </w:r>
      <w:r>
        <w:rPr>
          <w:rtl w:val="true"/>
        </w:rPr>
        <w:t>:</w:t>
      </w:r>
      <w:bookmarkEnd w:id="278"/>
    </w:p>
    <w:p>
      <w:pPr>
        <w:pStyle w:val="Heading6"/>
        <w:numPr>
          <w:ilvl w:val="5"/>
          <w:numId w:val="1"/>
        </w:numPr>
        <w:rPr/>
      </w:pPr>
      <w:bookmarkStart w:id="279" w:name="__RefHeading___Toc10416970_73709187"/>
      <w:bookmarkStart w:id="280" w:name="_Toc103"/>
      <w:bookmarkEnd w:id="279"/>
      <w:r>
        <w:rPr>
          <w:rtl w:val="true"/>
        </w:rPr>
        <w:t>عدم العفو عمّا يساوي الدِّرهم</w:t>
      </w:r>
      <w:bookmarkEnd w:id="280"/>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العفو عن الدّم الأقلّ من الدِّرهم، إذا كان في الثّوب من نفسه، كما لا شُبهة في عدم العفو عمّا زاد عن الدِّرهم، إنّما الكلام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630"/>
      </w:r>
      <w:r>
        <w:rPr>
          <w:rFonts w:ascii="Amiri" w:hAnsi="Amiri" w:eastAsia="Amiri" w:cs="Amiri"/>
          <w:color w:val="111111"/>
          <w:sz w:val="28"/>
          <w:sz w:val="28"/>
          <w:szCs w:val="28"/>
          <w:rtl w:val="true"/>
          <w:lang w:bidi="ar-SA"/>
        </w:rPr>
        <w:t>عدم العفو عمّا يساوي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الإماميّة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الإنتصار</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وسلّار</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المصنّف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هو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دم البراغيث‌؟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يكثر ويتفاحش‌؟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كَثُر وتفاحش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يكون في ثوبه نقط الدّم، لا يعلم ثُمّ يعلم فينسى أن يغسله فيُصلّي، ثمّ يذكر بعدما صَلّى أيُعيد صلاته‌؟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ولا يُعيد صلاته إلّاأن يكون مقدار الدِّرهم مجتمعاً، فيغسله ويُعيد الصّلاة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جميل، عن بعض أصحابنا، عن الإمام الباقر عليه السلام والإمام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الرجل في الثّوب، وفيه الدّم متفرّقاً شبه النَّضح، وإنْ كان رآه صاحبه قبل ذلك فلا بأس به، ما لم يكن مجتمعاً قَدْر الدِّرهم</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إسماعيل الجُعفي،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الدّم يكون في الثّوب‌؟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أقلّ من الدِّرهم، فلا يُعيد الصّلاة، وإنْ كان أكثر من الدِّرهم، وكان قد رآه ولم يغسله حتّى صَلّى، فليعد صلاته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الشرطيّة الثانية العفو عن مقدار الدِّرهم أيضاً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ابن مُسلم، عن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في الثّوب عَليَّ وأنا في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وعليك ثوبٌ غيره، فاطرحه وصلِّ في غيره، وإنْ لم يكن عليك ثوبٌ غيره فامض في صلاتك ولا إعادة عليك، وما لم يزد على مقدار الدِّرهم فليس بشيءٍ‌، رأيته قبلُ أو لم تره، وإذا كنت قد رأيته وهو أكثر من مقدار الدِّرهم فضيّعت غَسله، وصلّيت فيه صلاة كثيرة، فأعد ما صلّيت فيه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بكلتا الجملتين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لم يكن ظاهراً في القول الأوّل لأجل أنّ حكم المساوي إنّما يستفاد من مفهوم الشرطيّة الأُولى، لكان مجملاً من جهة دوران الأمر بين كون الشرطيّة الأُولى تصريحاً بمفهوم الثانية، وبين كون الثانية تصريحاً بمفهوم الأُولى‌، وعليه فيتعيّن العمل بغير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دلالته على العفو عن المساوي إنّما يكون بالإطلاق، فيقيّد بصحيح ابن أبي يعفور، ومرسل جميل، أو يحمل على أنّ المراد منه الدِّرهم فما زاد، وعلى فرض التنزّل وتسليم التعارض، فالترجيح معهما للأشهريّة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باللّباس أو يعمّ البَدَن‌؟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 النصوص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ما ذهب إليه المشهور، من عموم الحكم للبدن،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القطع بعدم الخصوصيّة للثّوب، ولذا لم يتوقّف فيه أحدٌ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المثنّى بن عبد السلام،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حككتُ جلدي فخرج منه 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 قدر الحُمّصة فاغسله وإلّا فلا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 مقدار الحُمّصة في البَدَن يكون معفوّاً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ضميمة عدم الفصل بينه وبين ما زاد عليه، ما لم يصل إلى مقدار الدِّرهم، فإنّه يثبت الحكم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الحكم بما إذا كان الدّم من نفسه، بل يعمّ ما إذا كان من غيره لإطلاق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643"/>
      </w:r>
      <w:r>
        <w:rPr>
          <w:rFonts w:ascii="Amiri" w:hAnsi="Amiri" w:eastAsia="Amiri" w:cs="Amiri"/>
          <w:color w:val="111111"/>
          <w:sz w:val="28"/>
          <w:sz w:val="28"/>
          <w:szCs w:val="28"/>
          <w:rtl w:val="true"/>
          <w:lang w:bidi="ar-SA"/>
        </w:rPr>
        <w:t>الاختصاص، ونسبه إلى الأمين الاسترآبادي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بمرفوع البرقي،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دمك أنظف من دم غيرك إذا كان في ثوبك شبه النَّضح فلا بأس، وإنْ كان دم غيرك، قليلاً كان أو كثيراً فاغسله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الفرق بينهما من حيث صحّة الصّلاة، وإنّما يكون ظاهره الفرق بنجاسة قليل دم الغير دون دم نفسه، وهو ممّا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دلالته على ما استدلّ به له، فإنّه لا يُعتمد عليه لإعراض الأصحاب عنه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81" w:name="pg11798_104629"/>
    </w:p>
    <w:p>
      <w:pPr>
        <w:pStyle w:val="BookText"/>
        <w:rPr/>
      </w:pPr>
      <w:bookmarkEnd w:id="281"/>
      <w:r>
        <w:rPr>
          <w:rFonts w:ascii="Amiri" w:hAnsi="Amiri" w:eastAsia="Amiri" w:cs="Amiri"/>
          <w:color w:val="111111"/>
          <w:sz w:val="28"/>
          <w:sz w:val="28"/>
          <w:szCs w:val="28"/>
          <w:rtl w:val="true"/>
          <w:lang w:bidi="ar-SA"/>
        </w:rPr>
        <w:t>غَير الدِّماء الثلاثة</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0416972_73709187"/>
      <w:bookmarkStart w:id="283" w:name="_Toc104"/>
      <w:bookmarkEnd w:id="282"/>
      <w:r>
        <w:rPr>
          <w:rtl w:val="true"/>
        </w:rPr>
        <w:t>في المستثنيات</w:t>
      </w:r>
      <w:bookmarkEnd w:id="283"/>
    </w:p>
    <w:p>
      <w:pPr>
        <w:pStyle w:val="Heading6"/>
        <w:numPr>
          <w:ilvl w:val="5"/>
          <w:numId w:val="1"/>
        </w:numPr>
        <w:rPr/>
      </w:pPr>
      <w:bookmarkStart w:id="284" w:name="__RefHeading___Toc10416974_73709187"/>
      <w:bookmarkStart w:id="285" w:name="_Toc105"/>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إنّما هو في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هي فمستثناةٌ ممّا ذكر، من غير خلافٍ يُعرف في الحيض، بل عن غير واحدٍ</w:t>
      </w:r>
      <w:r>
        <w:rPr>
          <w:rStyle w:val="FootnoteAnchor"/>
          <w:rtl w:val="true"/>
        </w:rPr>
        <w:footnoteReference w:id="64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أبي سعيد، عن أبي بصير، عن مولانا الباقر عليه السلام وسيّدنا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دمٍ لم تبصره، إلّادم الحيض، فإنّ قليله وكثيره في الثّوب إنْ رآه وإنْ لم يره سواء</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بدعوي ظهور القليل فيمادون الدِّرهم، بملاحظة ظهوره في خصوصيّة 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الخبر في خصوصيّة دم الحيض وإنْ كان لا يُنكر، ولكن ظاهره خصوصيّته له في أنّ الصّلاة فيه باطلة حتّى مع الجهل، وعليه فهو مطلقٌ‌، فيكون كسائر النصوص الدالّة على مانعيّة دمٍ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القليل في إرادة ما دون الدِّرهم،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النسبة بينه وبين إطلاق العفو عمّا دون الدِّرهم عمومٌ من وجه، وبعد التعارض والتساقط يرجع إلى عموم ما دلّ على مانعيّة النجاسة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نصوص العفو حاكمة عليه، كما أنّها حاكمة على نصوص </w:t>
      </w:r>
    </w:p>
    <w:p>
      <w:pPr>
        <w:pStyle w:val="BookText"/>
        <w:rPr/>
      </w:pPr>
      <w:r>
        <w:rPr>
          <w:rFonts w:ascii="Amiri" w:hAnsi="Amiri" w:eastAsia="Amiri" w:cs="Amiri"/>
          <w:color w:val="111111"/>
          <w:sz w:val="28"/>
          <w:sz w:val="28"/>
          <w:szCs w:val="28"/>
          <w:rtl w:val="true"/>
          <w:lang w:bidi="ar-SA"/>
        </w:rPr>
        <w:t>الرِّعاف وغيرها ممّا ورد في بعض أنواع الدّم،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الجواب عن الاستدلال له بإطلاق ما دلّ على وجوب غَسل دم الحيض، بدعوى أنّ النسبة بينه وبين أخبار العفو عمومٌ من وجه، وبعد التعارض يرجع إلى عموم المنع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نظيرهما في الضعف، الاستدلال له بانصراف نصوص العفو عن دم الحيض إمّا لندرة ابتلاء الرجل الذي هو الموضوع في تلك الأخبار به، أو لأغلظيّة نجاسة دم الحيض، إذ ندرة الوجود لا توجبُ الإنصراف كما حُقّق في محلّه، كما أنّ أغلظيّة نجاسة دم الحيض غير ثابتة، مع قطع النظر عن ملاحظة هذا الحكم، لأنّ إيجابه الغَسل أعمٌّ من ذلك، مع أنّها أيضاً لا توجب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هذا الحكم الإجماع الذي حكاه 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دم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ورد من أنّ النفاس حيضٌ محتبسٌ‌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أصل النفاس 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 نصوص العفو عنه لأغلظية نجاسته من غيره من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يرد في مقام بيان قضيّة شرعيّة تنزيليّة، بل هو في مقام بيان قضيّة خارجيّة، كما يشهد له توصيفه بالإحتباس، إذ لا أثر للحيض المُحتَبس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أصل النفاس حيضاً، لا يوجبُ ترتّب جميع أحكامه عليه، بعد كونه عنواناً مستقلّاً في مقابله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كلّه ظهر ما في الاستدلال لاستثناء الاستحاضة، وحيثُ أنّ الإجماع فيهما غَير ثابت إذ المحكيّ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أنّ أوّل من ألحقهما بدم الحيض الشيخ قدس سره، فالحكم فيهما ليس من المسلّمات، فلا دليل على استثنائهما، ولكن الاحتياط فيهما لا يُترك، لإفتاء الأعاظم من المحقّقين الذين يُعتمد على فتاويهم بعدم العفو عنهما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86" w:name="pg11798_104632"/>
    </w:p>
    <w:p>
      <w:pPr>
        <w:pStyle w:val="BookText"/>
        <w:rPr/>
      </w:pPr>
      <w:bookmarkEnd w:id="286"/>
      <w:r>
        <w:rPr>
          <w:rFonts w:ascii="Amiri" w:hAnsi="Amiri" w:eastAsia="Amiri" w:cs="Amiri"/>
          <w:color w:val="111111"/>
          <w:sz w:val="28"/>
          <w:sz w:val="28"/>
          <w:szCs w:val="28"/>
          <w:rtl w:val="true"/>
          <w:lang w:bidi="ar-SA"/>
        </w:rPr>
        <w:t>وَدَمُ نَجس العين</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0416976_73709187"/>
      <w:bookmarkStart w:id="288" w:name="_Toc106"/>
      <w:bookmarkEnd w:id="287"/>
      <w:r>
        <w:rPr>
          <w:rtl w:val="true"/>
        </w:rPr>
        <w:t>دم نجس العين</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بعض فقهاء قُمّ بدم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والخنزير، بل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واشتهرت حكاية هذا القول عن القُطب الراوندي</w:t>
      </w:r>
      <w:r>
        <w:rPr>
          <w:rStyle w:val="FootnoteAnchor"/>
          <w:rtl w:val="true"/>
        </w:rPr>
        <w:footnoteReference w:id="649"/>
      </w:r>
      <w:r>
        <w:rPr>
          <w:rFonts w:ascii="Amiri" w:hAnsi="Amiri" w:eastAsia="Amiri" w:cs="Amiri"/>
          <w:color w:val="111111"/>
          <w:sz w:val="28"/>
          <w:sz w:val="28"/>
          <w:szCs w:val="28"/>
          <w:rtl w:val="true"/>
          <w:lang w:bidi="ar-SA"/>
        </w:rPr>
        <w:t>وابن حمزة</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بعدم العفو فيه خطأٌ عظيم وزَللٌ فاحش، لأنّ هذا هدمٌ وفرق لإجماع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وذلك لأنّ دليل العفو إنّما دلّ على العفو عن النجاسة الدمويّة، لا النجاسة الاُخرى الثابتة له من حيث كونه جزءٌ من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تنجّس النّجس والمتنجّس، قد عرفت ما فيها في بحث تنجّس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الأعاظم من المحقّقين في مصباحه</w:t>
      </w:r>
      <w:r>
        <w:rPr>
          <w:rStyle w:val="FootnoteAnchor"/>
          <w:rtl w:val="true"/>
        </w:rPr>
        <w:footnoteReference w:id="652"/>
      </w:r>
      <w:r>
        <w:rPr>
          <w:rFonts w:ascii="Amiri" w:hAnsi="Amiri" w:eastAsia="Amiri" w:cs="Amiri"/>
          <w:color w:val="111111"/>
          <w:sz w:val="28"/>
          <w:sz w:val="28"/>
          <w:szCs w:val="28"/>
          <w:rtl w:val="true"/>
          <w:lang w:bidi="ar-SA"/>
        </w:rPr>
        <w:t>من أنّه لا شبهة في أنّ نصوص العفو مسوقة لبيان حكم أفراد الدّم، المتحقّقة في الخارج، لا في مقام بيان حكم الطبيعة من حيث هي دون أفرادها، وكونه دم كلب أو خنزير، ككونه دم رجل أو امرأة إنّما هو من مشخّصات الفرد، غيرُ خارجٍ من حقيقته، فأخبار الباب بظاهرها تعمّ دم الكلب والكافر أيضاً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شبهة في أنّ النصوص واردة في مقام بيان أفراد الدّم، لا الطبيعة </w:t>
      </w:r>
    </w:p>
    <w:p>
      <w:pPr>
        <w:pStyle w:val="BookText"/>
        <w:rPr/>
      </w:pPr>
      <w:r>
        <w:rPr>
          <w:rFonts w:ascii="Amiri" w:hAnsi="Amiri" w:eastAsia="Amiri" w:cs="Amiri"/>
          <w:color w:val="111111"/>
          <w:sz w:val="28"/>
          <w:sz w:val="28"/>
          <w:szCs w:val="28"/>
          <w:rtl w:val="true"/>
          <w:lang w:bidi="ar-SA"/>
        </w:rPr>
        <w:t>من حيث هي، ولكن أفراده من حيث انطباق عنوان الدّم عليه لا من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الإطلاق عدم دخل الخصوصيّات المشخّصة في الحكم، لا دخل كل خصوصيّةٍ فيه، فلا يفيد ما ذكره رحمه الله من أنّه كونه دم كلبٍ ككونه دم رجلٍ من مشخّصات الفرد، فنصوص الباب لا تعمّ دم الكلب وغيره من نجس العين، من جهة كونه من أجزاء نجس العين، وبالتالي فيرجع من هذه الجهة إلى عموم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وسلّمنا كون النصوص في مقام بيان العفو عن الدّم الأقلّ من الدِّرهم من جميع الجهات، حتّى من جهة كونه جزءٌ لنجس العين، وكونه من أجزاء ما لا يؤكل لحمه، فيقع التعارض بينها وبين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وَبَر كلّ شيءٍ حرامٌ أكله، فالصَّلاة في وَبَره وشعره وجلده وبوله وروثه، وكلّ شيءٍ منه فاسدة، لا تُقبل تلك الصّلاة حتّى يُصلّي في غيره ممّا أحلَّ اللّه أكله</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والنسبة بينهما عمومٌ من وجه، وحيث أنّ دلالة الموثّق تكون بالعموم فيقدّم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الموثّق للدّم، لأنّ المراد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الأشياء التي يكون المنع من الصّلاة فيها ناشئاً من حرمة الأكل، بحيث لو كان حلال الأكل لكانت الصّلاة فيه جائزة، فمثل الدّم والمَنيّ خارجٌ ممّا اُريد بهذا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هذا الظهور، فإنّ الدّم الأقل من الدِّرهم يكون من جملة تلك الأشياء، إذ لو كان الحيوان محلّل الأكل لكانت الصّلاة في دمه الأقلّ من الدِّرهم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إلحاق دم نجس العين بدم الحيض، وظهر أيضاً إلحاق دم الميتة وغير المأكول به، كما لا يخفى‌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89" w:name="pg11798_104634"/>
    </w:p>
    <w:p>
      <w:pPr>
        <w:pStyle w:val="Heading6"/>
        <w:numPr>
          <w:ilvl w:val="5"/>
          <w:numId w:val="1"/>
        </w:numPr>
        <w:rPr/>
      </w:pPr>
      <w:bookmarkStart w:id="290" w:name="__RefHeading___Toc10416978_73709187"/>
      <w:bookmarkStart w:id="291" w:name="_Toc107"/>
      <w:bookmarkEnd w:id="289"/>
      <w:bookmarkEnd w:id="290"/>
      <w:r>
        <w:rPr>
          <w:rtl w:val="true"/>
        </w:rPr>
        <w:t>المراد بالدّرهم</w:t>
      </w:r>
      <w:bookmarkEnd w:id="29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بالدّرهم في محلّ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على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6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 رحمه الله في جملةٍ من كتبه</w:t>
      </w:r>
      <w:r>
        <w:rPr>
          <w:rStyle w:val="FootnoteAnchor"/>
          <w:rtl w:val="true"/>
        </w:rPr>
        <w:footnoteReference w:id="661"/>
      </w:r>
      <w:r>
        <w:rPr>
          <w:rFonts w:ascii="Amiri" w:hAnsi="Amiri" w:eastAsia="Amiri" w:cs="Amiri"/>
          <w:color w:val="111111"/>
          <w:sz w:val="28"/>
          <w:sz w:val="28"/>
          <w:szCs w:val="28"/>
          <w:rtl w:val="true"/>
          <w:lang w:bidi="ar-SA"/>
        </w:rPr>
        <w:t>، والمحقّق</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الدّرهم البَغليّ‌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الأساطين في شرحه</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الدِّرهم هو البَغليّ من العلميّات، والإجماعات عليه لا تُحصر، والظاهر اتّحاد المراد بالتفسيرين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مقتضى الجمع بين الإجماع الذي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ما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تعرّضهم للخلاف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غير واحدٍ كالمحقّق</w:t>
      </w:r>
      <w:r>
        <w:rPr>
          <w:rStyle w:val="FootnoteAnchor"/>
          <w:rtl w:val="true"/>
        </w:rPr>
        <w:footnoteReference w:id="665"/>
      </w:r>
      <w:r>
        <w:rPr>
          <w:rFonts w:ascii="Amiri" w:hAnsi="Amiri" w:eastAsia="Amiri" w:cs="Amiri"/>
          <w:color w:val="111111"/>
          <w:sz w:val="28"/>
          <w:sz w:val="28"/>
          <w:szCs w:val="28"/>
          <w:rtl w:val="true"/>
          <w:lang w:bidi="ar-SA"/>
        </w:rPr>
        <w:t>، والشهيد</w:t>
      </w:r>
      <w:r>
        <w:rPr>
          <w:rStyle w:val="FootnoteAnchor"/>
          <w:rtl w:val="true"/>
        </w:rPr>
        <w:footnoteReference w:id="666"/>
      </w:r>
      <w:r>
        <w:rPr>
          <w:rFonts w:ascii="Amiri" w:hAnsi="Amiri" w:eastAsia="Amiri" w:cs="Amiri"/>
          <w:color w:val="111111"/>
          <w:sz w:val="28"/>
          <w:sz w:val="28"/>
          <w:szCs w:val="28"/>
          <w:rtl w:val="true"/>
          <w:lang w:bidi="ar-SA"/>
        </w:rPr>
        <w:t xml:space="preserve">، وغيرهما بالاتّحاد، وعلى هذا، فالوجه </w:t>
      </w:r>
    </w:p>
    <w:p>
      <w:pPr>
        <w:pStyle w:val="BookText"/>
        <w:rPr/>
      </w:pPr>
      <w:r>
        <w:rPr>
          <w:rFonts w:ascii="Amiri" w:hAnsi="Amiri" w:eastAsia="Amiri" w:cs="Amiri"/>
          <w:color w:val="111111"/>
          <w:sz w:val="28"/>
          <w:sz w:val="28"/>
          <w:szCs w:val="28"/>
          <w:rtl w:val="true"/>
          <w:lang w:bidi="ar-SA"/>
        </w:rPr>
        <w:t>في حمل الدِّرهم المذكور في النصوص على البَغليّ‌، هو الإجماع المحكيّ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الاستشكال فيه بأنّ البَغليّ الذي وزنه ثمانية دوانيق، تُرِك في زمان عبد الملك، حيث أنّه اتّخذ الدِّرهم المتوسّط بين البَغليّ والطبري، الذي هو أربعة دوانيق، فجعل وزن ستّة دوانيق، واستقرار أمر تعامل المسلمين عليه، فيُشكل حَمل ما ورد منه عليه السلام عليه، بل يجبُ حمله على المتعارف الشائع في زمانه عليه السلام، وهو الدِّرهم الإسلامي بعد عدم إمكان كونه من المطلق الصالح للانطباق على القليل والكثير لوروده مورد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لأجل كون أحكامهم متلقّاة عن النبيّ صلى الله عليه و آله، فيجب حمل كلامهم على ما يوافق زمانه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ترك استعماله في زمان الصادق عليه السلام لا يُنافي بقاءه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 إذ كون أحكامهم متلقّاة عنه صلى الله عليه و آله، لا يوجب جواز التعبير بغير اصطلاح زمانهم، وبقاؤه في أيدي الناس لو سُلّم تحقّقه مع ترك استعماله في مدّةٍ من الزمن، لا يوجب جواز إطلاق الدِّرهم، وإرادته مع كون الدِّرهم الآخر متعارفاً شائعاً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اشتهار التفسير به بين العلماء، من الصدر الأوّل إلى زماننا، يوجب القطع بالمراد، ويكون ذلك كاشفاً قطعيّاً عن ثبوت قرينة قطعيّة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بما أنّ الظاهر من التقدير بالدّرهم سعته لا وزنه، فالمهمّ في المقام معرفة سعة الدِّرهم البَغليّ‌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اختلفت كلماتهم في تحديدها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جماعةٍ منهم</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تحديدها بأخمص الرّاحة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الدِّرهم بعقد الإبهام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آخر</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بعقد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ابن إدريس، حيث أنّه بعدما أفتى بالعفو عمّا دون الدِّرهم الوافي، الذي هو المضروب من درهمٍ وثلثٍ‌، قال</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الدِّرهم البَغليّ‌، وهو منسوبٌ إلى مدينةً قديمة يُقال لها بَغْل، قريبة من بابل، بينها وبينها قريبٌ من فرسخ، متّصلة ببلدة الجامعين، تجد فيها الحَفَرة والغسّالون دراهم واسعة، شاهدت درهماً من تلك الدراهم، وهذا الدِّرهم أوسع من الدينار المضروب بمدينة السلام المعتاد، تقرُب سعته من سعة أخمص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كلامه ما يدلّ على أنّ ما شاهده من الدِّرهم، هو الدِّرهم البَغليّ الّذي هو الموضوع في نصوص الباب، مع أنّه حيث لا يكون المُخبَر عنه من الحسيّات، فلا يكون خبره حجّة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اشتهار التحديد بذلك بين الأساطين، كاشفٌ قطعيٌ عن المراد، إذ لا يحتمل في حقّهم استنادهم في هذا التحديد إلى الاُمور الحدسيّة، والاجتهادات القابلة للخطأ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ما ذكرناه، وحصل الاطمئنان منه فلا كلام، وإلّا فالمتعيّن الاقتصار على الأقلّ الذي هو المتيقّن، ويرجع فيما زاد إلى عموم ما دلّ على مانعيّة الدّم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92" w:name="pg11798_104637"/>
    </w:p>
    <w:p>
      <w:pPr>
        <w:pStyle w:val="Heading6"/>
        <w:numPr>
          <w:ilvl w:val="5"/>
          <w:numId w:val="1"/>
        </w:numPr>
        <w:rPr/>
      </w:pPr>
      <w:bookmarkStart w:id="293" w:name="__RefHeading___Toc10416980_73709187"/>
      <w:bookmarkStart w:id="294" w:name="_Toc108"/>
      <w:bookmarkEnd w:id="292"/>
      <w:bookmarkEnd w:id="293"/>
      <w:r>
        <w:rPr>
          <w:rtl w:val="true"/>
        </w:rPr>
        <w:t>حكم الدّم المتفرق</w:t>
      </w:r>
      <w:bookmarkEnd w:id="29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الدّم متفرّقاً في البَدَن أو اللّباس أو فيهما، وكان المجموع بقدر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هو معفوّ فيلاحظ كلّ جزءٍ في حَدّ ذاته موضوعاً مستقلّاً للحكم، كما عن جماعةٍ من القدماء والمتأخّرين</w:t>
      </w:r>
      <w:r>
        <w:rPr>
          <w:rStyle w:val="FootnoteAnchor"/>
          <w:rtl w:val="true"/>
        </w:rPr>
        <w:footnoteReference w:id="673"/>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يجب إزالته كالمجتمع، كما عن جماعةٍ آخرين</w:t>
      </w:r>
      <w:r>
        <w:rPr>
          <w:rStyle w:val="FootnoteAnchor"/>
          <w:rtl w:val="true"/>
        </w:rPr>
        <w:footnoteReference w:id="675"/>
      </w:r>
      <w:r>
        <w:rPr>
          <w:rFonts w:ascii="Amiri" w:hAnsi="Amiri" w:eastAsia="Amiri" w:cs="Amiri"/>
          <w:color w:val="111111"/>
          <w:sz w:val="28"/>
          <w:sz w:val="28"/>
          <w:szCs w:val="28"/>
          <w:rtl w:val="true"/>
          <w:lang w:bidi="ar-SA"/>
        </w:rPr>
        <w:t>، بل عن بعضٍ نسبته إلى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يفصّل بين صورة التفاحش فيجب الإزالة، وعدمه فلا تجب،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صحيح ابن أبي يعفور المتقدّم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مقدار الدِّرهم مجتمعاً فيغسله</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 بدعوى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خبراً ثانياً، ليكون نظير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حلوٌ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إرادة الاجتماع الفعلي منه، كما هو الظاهر منه، فيكون ظاهره اعتبار أمرين في عدم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وكونه مقدار الدِّرهم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الظاهر من الاجتماع في نفسه ذلك، ولكنّه من جهة استثنائه من نُقط الدّم الّتي كانت في الثّوب، لا ينبغي التوقّف في ظهوره في إرادة الاجتماع التقديري، وإلّا لزم كون الاستثناء منقطعاً، مع أنّ للمنع عن ظهوره فيه في نفسه مجالاً واسعاً، إذ إرادة الاتّصال من الاجتماع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احتمال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يكون الدّم في حال الاجتماع مقدار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فانقدح بما ذكرناه أنّ الصحيح يدلّ على القول الثاني، ولو بُني على عدم ظهوره فيما ادّعيناه، فلا أقلّ من إجماله، فيرجع إلى عموم ما دلّ على مانعيّة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عدم صحّة الاستدلال لهذا القول بمرسل جميل المتقدّم،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يُصلّي الرجل في الثّوب، وفيه الدّم متفرّقاً، شبه النَّضح، وإنْ كان قد رآه صاحبه قبل ذلك، فلا بأس به ما لم يكن مجتمعاً قدر الدِّرهم</w:t>
      </w:r>
      <w:r>
        <w:rPr>
          <w:rFonts w:eastAsia="Amiri" w:cs="Amiri" w:ascii="Amiri" w:hAnsi="Amiri"/>
          <w:color w:val="111111"/>
          <w:sz w:val="28"/>
          <w:szCs w:val="28"/>
          <w:rtl w:val="true"/>
          <w:lang w:bidi="ar-SA"/>
        </w:rPr>
        <w:t>»</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أيضاً يدلّ على القول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لكونه مرسلاً، وفي طريقه ابن حديد، وهو ضعيف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يقدح إرساله، لأنّ المرسل جميل، والراوي عن ابن حديد ابن عيسى، وهو كان يُخرِجُ من قُمّ مَن كان يروي عن الضعفاء، فكيف يُحتمل في حقّه روايته عن الضعيف، ما لم تكن عنده قرينة قطعيّة دالّة على صدقه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 بعض المحقّقين رحمه الله</w:t>
      </w:r>
      <w:r>
        <w:rPr>
          <w:rStyle w:val="FootnoteAnchor"/>
          <w:rtl w:val="true"/>
        </w:rPr>
        <w:footnoteReference w:id="681"/>
      </w:r>
      <w:r>
        <w:rPr>
          <w:rFonts w:ascii="Amiri" w:hAnsi="Amiri" w:eastAsia="Amiri" w:cs="Amiri"/>
          <w:color w:val="111111"/>
          <w:sz w:val="28"/>
          <w:sz w:val="28"/>
          <w:szCs w:val="28"/>
          <w:rtl w:val="true"/>
          <w:lang w:bidi="ar-SA"/>
        </w:rPr>
        <w:t>له بخبر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عن دم البراغيث يكون في الثّوب، هل يمنعه ذلك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كثر، ولا بأس أيضاً بشبهه من الرِّعاف ينضحه، ولا يغسله</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بدعوى أنّه يدلّ على أنّ دم الرِّعاف يكون كدم البراغيث في عدم المانعيّة، إذا كان شبيهاً به في كونه شبه النَّضح، وأنّ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دم البراغيث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عدم نجاسة دم الرِّعاف في مثل الفرض، كما 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 إذ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وهو خلافُ الإجماع والنصوص، مع أنّه مطلق قابل للتقييد، فيقيّد بما دلّ على مانعيّة الدّم إذا كان بقدر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بالمرسل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 والإمام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 في الدّم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كما تُغسل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ورخّصا في النَّضح اليسير منه ومن سائر النجاسات، مثل دم البراغيث وأشباهه،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تفاحش غُسل</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أنّ ظاهره عدم وجوب الغَسل وطهارة الدّم، وغيره من النجاسات في الفرض،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قابل للتقييد، فيقيّد بما دلّ على مانعيّة الدّم إذا كان بقدَر الدِّرهم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95" w:name="pg11798_104640"/>
    </w:p>
    <w:p>
      <w:pPr>
        <w:pStyle w:val="Heading6"/>
        <w:numPr>
          <w:ilvl w:val="5"/>
          <w:numId w:val="1"/>
        </w:numPr>
        <w:rPr/>
      </w:pPr>
      <w:bookmarkStart w:id="296" w:name="__RefHeading___Toc10416982_73709187"/>
      <w:bookmarkStart w:id="297" w:name="_Toc109"/>
      <w:bookmarkEnd w:id="295"/>
      <w:bookmarkEnd w:id="296"/>
      <w:r>
        <w:rPr>
          <w:rtl w:val="true"/>
        </w:rPr>
        <w:t>الدَّم المشكوك فيه</w:t>
      </w:r>
      <w:bookmarkEnd w:id="29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كون الدّم أقلّ من الدِّرهم، وشكّ في أنّه من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يَبني على العفو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Style w:val="FootnoteAnchor"/>
          <w:rtl w:val="true"/>
        </w:rPr>
        <w:footnoteReference w:id="686"/>
      </w:r>
      <w:r>
        <w:rPr>
          <w:rFonts w:ascii="Amiri" w:hAnsi="Amiri" w:eastAsia="Amiri" w:cs="Amiri"/>
          <w:color w:val="111111"/>
          <w:sz w:val="28"/>
          <w:sz w:val="28"/>
          <w:szCs w:val="28"/>
          <w:rtl w:val="true"/>
          <w:lang w:bidi="ar-SA"/>
        </w:rPr>
        <w:t>وغيرهما؟</w:t>
      </w:r>
    </w:p>
    <w:p>
      <w:pPr>
        <w:pStyle w:val="BookText"/>
        <w:rPr/>
      </w:pPr>
      <w:r>
        <w:rPr>
          <w:rFonts w:ascii="IRNazanin" w:hAnsi="IRNazanin" w:eastAsia="IRNazanin"/>
          <w:color w:val="111111"/>
          <w:sz w:val="28"/>
          <w:sz w:val="28"/>
          <w:szCs w:val="28"/>
          <w:rtl w:val="true"/>
          <w:lang w:bidi="fa-IR"/>
        </w:rPr>
        <w:t>أو على عدمه‌؟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يختصّ بالمشكوك كونه من نجس العين، أو من محرّم الأكل، وهو أصالة الحِلّ في لحم الحيوان الذي يكون هذا الدّم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687"/>
      </w:r>
      <w:r>
        <w:rPr>
          <w:rFonts w:ascii="Amiri" w:hAnsi="Amiri" w:eastAsia="Amiri" w:cs="Amiri"/>
          <w:color w:val="111111"/>
          <w:sz w:val="28"/>
          <w:sz w:val="28"/>
          <w:szCs w:val="28"/>
          <w:rtl w:val="true"/>
          <w:lang w:bidi="ar-SA"/>
        </w:rPr>
        <w:t>من أنّها لا تجري فيما كان الحيوان مردّداً بين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معلوم الحرمة، والآخر معلوم الحليّة، فإنّه ليس هناك ما يشكّ في حليّته وحرمته، وإنّما الشكّ يكون في كون هذا الدّم من أجزاء محلّل الأكل أو محرّم الأكل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أحد الحيوانين معلوم الحليّة والآخر معلوم الحرمة، منشأ للشكّ الفعلي في أنّ ما يكون هذا الدّم من أجزائه، هل هو حلالٌ أم حرام‌؟ ولا ريب في أنّ ما يصدق عليه هذا العنوان موجودٌ خارجي، فلا يرد ما قيل من أنّ هذا العنوان عنوان انتزاعي لا وجود له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الحليّة المأخوذة شرطاً لجواز الصّلاة، هي الحليّة الواقعيّة، فلا يُجدي في إحرازها أصالة الحِلّ‌، فإنّ مفادها جعل الحكم الظاهري لا الحليّة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حكومة الاُصول العمليّة على الأدلّة الواقعيّة حكومةً ظاهريّة، فيترتّب عليها ما لم ينكشف الخلاف جميع الآثار المترتّبة على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أجاب به بعض الأعاظم</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الحليّة المقابلة للحرمة المحتملة، وما يقابلها ليس إلّاالحليّة الواقعيّة، فالمجعول هو الحليّة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بما أنّ المأخوذ في موضوعها الشكّ‌، فلا محالة يكون المجعول الحليّة الظاهرية لا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يُورد على الاستدلال بهذا الأصل، بما أورده المحقّق النائيني رحمه الله</w:t>
      </w:r>
      <w:r>
        <w:rPr>
          <w:rStyle w:val="FootnoteAnchor"/>
          <w:rtl w:val="true"/>
        </w:rPr>
        <w:footnoteReference w:id="689"/>
      </w:r>
      <w:r>
        <w:rPr>
          <w:rFonts w:ascii="Amiri" w:hAnsi="Amiri" w:eastAsia="Amiri" w:cs="Amiri"/>
          <w:color w:val="111111"/>
          <w:sz w:val="28"/>
          <w:sz w:val="28"/>
          <w:szCs w:val="28"/>
          <w:rtl w:val="true"/>
          <w:lang w:bidi="ar-SA"/>
        </w:rPr>
        <w:t>من أنّ الموضوع لجواز الصّلاة ليس هو الحلال بما هو كذلك، بل الموضوع هو الأصناف الخاصّة، وأخذ هذا العنوان في الأدلّة معرّفاً لها، كما أنّ الموضوع لعدم جواز الصّلاة ذوات ما حَرّم اللّه أكله، ومن الضروري أنّ أصالة الحِلّ لا تثبت كون الحيوان من الأصناف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جملةٌ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ظواهر الأدلّة، فإنّ حمل العنوان المأخوذ في الموضوع على المعرفيّة والمرآتيّة خلاف الظاهر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ذلك خلاف الظاهر في نفسه لا يُنكر، إلّاأنّه في المقام لابدَّ من حمله عليذلك، إذ ما حُرّم أكل لحمه بهذا العنوان، لو كان موضوعاً لعدم الجواز،</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لكان اللّازم عدم جواز الصّلاة في ما يؤخذ من الغنم مثلاً في حال حياته أو بعد ممّاته، وحيثُ أنّه لا شبهة في جوازها فيه، فلابدَّ وأن يكون موضوع عدم الجواز هو ذوات الأنواع المحرّمة، وموضوع الجواز هو ذوات ما أحلّ اللّه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ممّا استدلّ به على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العفو عمّا دون الدِّرهم، إذ مع الشكّ في كون الدّم من المستثنيات، يُشكّ في مصداق الخاصّ‌، والعموم مرجعٌ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 أنّ العام لا يُرجع إليه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النصوص، كون الدّم أقلّ من الدِّرهم مقتضياً للعفو، وانطباق أحد العناوين التي استثنيت عليه مانعاً عنه، فمع الشكّ في المانع يُبنى على تحقّق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تماميّة قاعدة المقتضى والمانع، 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لها في الأحكام الشرعيّة، لعدم الطريق إلى إحراز المقتضي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 مانعيّة الدّم المشكوك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العفو حسب ما يقتضيه الجمع بين الأدلّة، هو الدّم الأقلّ الذي ليس بحيض مثلاً، فبناءً على جريان الأصل في العدم الأزلي، تجري أصالة عدم كون هذا الدّم دم حيض، فيثبت بها موضوع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اُحرز أنّ الدّم أقلّ من الدِّرهم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شُكّ في ذلك، لا لأجل عدم معلوميّة مقدار الدِّرهم الذي عرفت حكمه، بل لاُمورٍ خارجيّة، فبناءً على كون المرجع في الشبهات المصداقيّة العموم، يتعيّن الحكم في هذا الفرض بعدم العفو، إذ مقتضى العمومات مانعيّة كل دم، إلّا الأقلّ من الدِّرهم، فمع الشكّ في كون دم أقلّ من الدِّرهم، يُشكّ في مصداق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بناءً على ما اختاره المحقّق النائيني رحمه الله</w:t>
      </w:r>
      <w:r>
        <w:rPr>
          <w:rStyle w:val="FootnoteAnchor"/>
          <w:rtl w:val="true"/>
        </w:rPr>
        <w:footnoteReference w:id="690"/>
      </w:r>
      <w:r>
        <w:rPr>
          <w:rFonts w:ascii="Amiri" w:hAnsi="Amiri" w:eastAsia="Amiri" w:cs="Amiri"/>
          <w:color w:val="111111"/>
          <w:sz w:val="28"/>
          <w:sz w:val="28"/>
          <w:szCs w:val="28"/>
          <w:rtl w:val="true"/>
          <w:lang w:bidi="ar-SA"/>
        </w:rPr>
        <w:t xml:space="preserve">من أنّ إناطة الحكم الترخيصي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وضعيّاً كان أم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وجودي، تدلّ بالدلالة الالتزاميّة العرفيّة على أنّ موضوع الحكم إحراز ذلك الأمر، وانتفاء الرخصة بعدم إحرازه لابدَّ من البناء على عدم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 شيئاً من المبنيين لا يكون تامّاً، فالأقوى هو البناء على العفو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لأصالة البراءة عن مانعيّة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لاستصحاب بقاء عدم وجود الدّم الأكثر من الدِّرهم في الثّوب أو البَدَن، الثابت قبل وجود هذا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العفو في الفرضين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98" w:name="pg11798_104644"/>
    </w:p>
    <w:p>
      <w:pPr>
        <w:pStyle w:val="Heading6"/>
        <w:numPr>
          <w:ilvl w:val="5"/>
          <w:numId w:val="1"/>
        </w:numPr>
        <w:rPr/>
      </w:pPr>
      <w:bookmarkStart w:id="299" w:name="__RefHeading___Toc10416984_73709187"/>
      <w:bookmarkStart w:id="300" w:name="_Toc110"/>
      <w:bookmarkEnd w:id="298"/>
      <w:bookmarkEnd w:id="299"/>
      <w:r>
        <w:rPr>
          <w:rtl w:val="true"/>
        </w:rPr>
        <w:t>الدّم المتسرّي إلى الجانب الآخر</w:t>
      </w:r>
      <w:bookmarkEnd w:id="30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سرى الدّم من أحد طرفي الثّوب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دمٌ واحدٌ كما هو الأشهر</w:t>
      </w:r>
      <w:r>
        <w:rPr>
          <w:rStyle w:val="FootnoteAnchor"/>
          <w:rtl w:val="true"/>
        </w:rPr>
        <w:footnoteReference w:id="6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أنّه اثنان كما عن الشهيد</w:t>
      </w:r>
      <w:r>
        <w:rPr>
          <w:rStyle w:val="FootnoteAnchor"/>
          <w:rtl w:val="true"/>
        </w:rPr>
        <w:footnoteReference w:id="6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يفصل بين الرقيق فالأوّل، والصفيق فالثاني‌؟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 إذ المراد بالوحدة في كلامهم، ليس هو وحدة السطح، إذ لا مجال لتوهّم كون الدّم غير الساري إلى الجانب الآخر له سطحٌ واحد، ولو سرى يكون له سطحان، بل المراد وحدة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فيصحّ أن يقال إنّه إذا كان الثّوب صفيقاً كان الدّم الساري إلى الجانب الآخر بنظر العرف اثنين، بخلاف ما إذا كان 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ذكرناه بين أنْ يكون وصول الدّم إلى الطرف الآخر بالسريان أو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عليه بالتعدّد في الفرض الثاني مطلقاً، من جهة ظهور النّص في وجوب ملاحظة المجموع في مثله، لصدق أنّ فيه نقط الدّم المذكور في صحيح ابن أبي يعفور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العنوان لا يصدق على ما إذا اتّحدت النقط، وصدق عليها عرفاً أنّها دمٌ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الأقلّ إذا اُزيل عينه، فهل يبقى حكمه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وغيرهما، أم لا؟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العفو عنه، الثابت له حال وجود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عدم جريان الاستصحاب في الأحكام مطلقاً</w:t>
      </w:r>
      <w:r>
        <w:rPr>
          <w:rStyle w:val="FootnoteAnchor"/>
          <w:rtl w:val="true"/>
        </w:rPr>
        <w:footnoteReference w:id="696"/>
      </w:r>
      <w:r>
        <w:rPr>
          <w:rFonts w:ascii="Amiri" w:hAnsi="Amiri" w:eastAsia="Amiri" w:cs="Amiri"/>
          <w:color w:val="111111"/>
          <w:sz w:val="28"/>
          <w:sz w:val="28"/>
          <w:szCs w:val="28"/>
          <w:rtl w:val="true"/>
          <w:lang w:bidi="ar-SA"/>
        </w:rPr>
        <w:t>، لكونه محكوماً لاستصحاب عدم الجعل الثابت في أوّل الشريعة فإنّه يجري ويثبت به عدم المجعول، ففي المقام الشكّ في ثبوت العفو عنه بعد إزالة العين، مسبّبٌ عن الشكّ في الجعل بنحوٍ يكون باقياً بعدها، وحيثُ أنّ العفو بعد إزالة العين لم يكن في أوّل الشريعة قطعاً مجعولاً، فيشكّ في جعله، فيستصحب عدم الجعل، ويثبت به عدم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العفو معلومٌ إمّا إلى الأبد أو ما دام وجود العين، وعليه فاستصحاب عدم جعله إلى الأبد، يعارض استصحاب عدم جعله في خصوص زمان وجود العين، فيتساقطان، والمرجع إلى الأصل المحكوم، وهو استصحاب بقاء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الأصل الثاني، لأنّ ثبوت العفو في ذلك الوقت معلومٌ على كلّ حال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بعض المحقّقين في مقام الجواب عن الدليل المزبور، من أنّه من الاستصحاب التعليقي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المستصحب هو العفو عن الثّوب المتنجّس بالدم الثابت له حال وجود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فالمرجع هو عموم ما دلّ على المنع عن الصّلاة في النّجس، بناءً على ما حقّقناه في محلّه من أنّ العام إذا خُصّص في زمانٍ‌، يكون هو المرجع بعد ذلك الزمان مطلقاً، لا سيّما إذا كان التخصيص من الأوّل، كما في المقام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يُدّعى ثبوت العفو في المقام للأولويّة</w:t>
      </w:r>
      <w:r>
        <w:rPr>
          <w:rFonts w:eastAsia="Amiri" w:cs="Amiri" w:ascii="Amiri" w:hAnsi="Amiri"/>
          <w:color w:val="111111"/>
          <w:sz w:val="28"/>
          <w:szCs w:val="28"/>
          <w:rtl w:val="true"/>
          <w:lang w:bidi="ar-SA"/>
        </w:rPr>
        <w:t>.</w:t>
      </w:r>
      <w:bookmarkStart w:id="301" w:name="pg11798_104647"/>
    </w:p>
    <w:p>
      <w:pPr>
        <w:pStyle w:val="BookText"/>
        <w:rPr/>
      </w:pPr>
      <w:bookmarkEnd w:id="301"/>
      <w:r>
        <w:rPr>
          <w:rFonts w:ascii="Amiri" w:hAnsi="Amiri" w:eastAsia="Amiri" w:cs="Amiri"/>
          <w:color w:val="111111"/>
          <w:sz w:val="28"/>
          <w:sz w:val="28"/>
          <w:szCs w:val="28"/>
          <w:rtl w:val="true"/>
          <w:lang w:bidi="ar-SA"/>
        </w:rPr>
        <w:t>وعُفي عن دم القُروح والجُروح، مع السَّيلان ومشقّة الإزالة</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10416986_73709187"/>
      <w:bookmarkStart w:id="303" w:name="_Toc111"/>
      <w:bookmarkEnd w:id="302"/>
      <w:r>
        <w:rPr>
          <w:rtl w:val="true"/>
        </w:rPr>
        <w:t>العفو عن دم الجروح والقروح</w:t>
      </w:r>
      <w:r>
        <w:rPr>
          <w:rtl w:val="true"/>
        </w:rPr>
        <w:t>.</w:t>
      </w:r>
      <w:bookmarkEnd w:id="30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والبَدَن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دم القروح والجروح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وإنْ اختلفت عباراتهم في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لم يقيّد القروح والجروح بشيء</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وجماعةٌ منهم قيّدوها باللّازمة أو الدّامية أو السائلة أو الّتي لا ترقى</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 الأخبار المستفيضة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والإشكال في اعتبار القيدين الّذين ذكرهما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السَّيلان ومشقّة الإزالة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فالمنسوب إلى الأكثر أو المشهور</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القيدين أو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700"/>
      </w:r>
      <w:r>
        <w:rPr>
          <w:rFonts w:ascii="Amiri" w:hAnsi="Amiri" w:eastAsia="Amiri" w:cs="Amiri"/>
          <w:color w:val="111111"/>
          <w:sz w:val="28"/>
          <w:sz w:val="28"/>
          <w:szCs w:val="28"/>
          <w:rtl w:val="true"/>
          <w:lang w:bidi="ar-SA"/>
        </w:rPr>
        <w:t>وجملة من المتأخّرين، بل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شيء منهما، وهو الأقوى‌، لإطلاق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ليث المرادي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به الدماميل والقروح، فجلده وثيابه مملوّة دماً وقيحاً؟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ثيابه ولا يغسلها ولا شيء عليه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مقتضى إطلاقه جواز الصّلاة في دم الدماميل والقروح ما دام يصدق أحد </w:t>
      </w:r>
    </w:p>
    <w:p>
      <w:pPr>
        <w:pStyle w:val="BookText"/>
        <w:rPr/>
      </w:pPr>
      <w:r>
        <w:rPr>
          <w:rFonts w:ascii="Amiri" w:hAnsi="Amiri" w:eastAsia="Amiri" w:cs="Amiri"/>
          <w:color w:val="111111"/>
          <w:sz w:val="28"/>
          <w:sz w:val="28"/>
          <w:szCs w:val="28"/>
          <w:rtl w:val="true"/>
          <w:lang w:bidi="ar-SA"/>
        </w:rPr>
        <w:t>هذين العنوانين، وبعبارة اُخرى ما لم تبرأ</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جعفر عليه السلام وهو يُصلّي، فقال لي 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ثوبه دماً، فلما انصرف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قائدي أخبرني أنّ بثوبك دماً؟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دماميل ولستُ أغسل ثوبي حتّى تبرأ</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الدُّمل يكون بالرجل فينفجر، وهو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ويمسح يده بالحائط أو بالأرض ولا يقطع الصّلاة</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لاعتبار القيد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ابن مسلم عن أحدهما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تخرج به القروح، فلا تزال تُدمى كيف يُصلّي‌؟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وإنْ كانت الدِّماء تسيل</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بالرجل جرحٌ سائلٌ فأصاب ثوبه من دمه، فلا يغسله حتّى يبرأ وينقطع الدّم</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القيد مذكورٌ في كلام السائل لا الإمام عليه السلام، مع أنّ الوصف لا مفهوم له، مضافاً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تدمى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باعتبار كون التلبّس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بالمبدء أكثريّاً، أو باعتبار التلبّس بالملكة في مقابل ما خَرج عنه هذا الوصف، وأشرف على الاندمال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قوله عليه السلام في مقام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الدِّماء تسيل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إطلاق الحكم لصورة عدم السَّيلان الفعلي، فإنّ مقتضى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كونه على تقدير عدم السَّيلان أولى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توصيف الجرح بالسَّيلان، بواسطة ترتّب إصابة الدّم للثوب الذي هو موضوع الحكم عليه،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يبرأ وينقطع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السَّيلان بالمعنى الذي ذكرناه، وهو ما يقابل ما خرج عنه هذا الوصف، بأن جفّت رطوباته وبرأ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القائل باعتبار هذا القيد أراد هذا المعنى، إذ لو كان المراد منه استمرار الدّم بنحوٍ لا تكون له فترة تسع الصّلاة، لم يحتج إلى اعتبار مشقّة الإزالة، لأن المشقّة حاصلة جزماً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إمكان حمل الأوصاف المذكورة في كلمات الأعلام من الدامية والسائلة وغيرهما على إرادة عدم البُرء، لا عدم حصول الفترة في جريان الدّم، وعليه فلا ينافي هذا القول قول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لاعتبار القيد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به القرح والجرح، ولا يستطيع أن يربطه، ولا يغسل دمه‌؟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ولا يغسل ثوبه كلّ يوم إلّامرّة، فإنّه لا يستطيع أن يغسل ثوبه كلّ ساعة</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القُرحة التي لا يستطيع ربطها، ولا حبس دمها، يُصلّي ولا يغسل ثوبه في اليوم لأكثر من مرّة</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فيه ليس عن حكم شخصٍ معيّنٍ خارجي، بل إنّما هو على الكلّي، وحيثُ أنّه لا ريب في اختلاف الأشخاص، فرُبَّ شخصٍ لا يستطيع على غَسل ثوبه في كلّ وقتٍ من أوقات الصّلاة، وآخر لا يستطيع غَسله في كلّ يومٍ ولو مرّة، وثالث يستطيع غَسله في كلّ ساعة، فلا محيص عن البناء على 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الحكمة لا تعليلاً للحكم بالعفو، حتّى يدور الحكم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الأعاظم</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يَغسل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كونه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الأمر بغَسل الثّوب في كلّ يومٍ مرّة، لامتناع التكليف بغير المستطاع، فلابدَّ من حمله على إرادة نفي الاستطاعة على غَسل الدّم في تمام المدّة، على نحو العموم المجموعي، وهذا أجنبيٌ عن اعتبار المشقّة في كلامهم، وهي المشقّة في كلّ وقتٍ من أوقات الابتلاء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يغسل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الثّوب، بل إلى القُرح والجرح، فلا ينافيه الأمر بغَسل الثّوب في كلّ يوم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لا مفهوم له، مع أنّه لو قيل بثبوت المفهوم له، لدلَّ على عدم العفو، مع إمكان ربط الجُرح وحَبس دمه، لا عدم العفو مع عدم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النصوص، عدم الفرق بين كون الدّم قليلاً أو كثيراً، كما أنّ مقتضى إطلاقها عدم الفرق بين الجروح الجزئيّة وغيرها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الجرح في موضع يتعارف شدّه، فهل يجب شدّه أم لا؟ قولان، أقواهما الثاني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بانصراف النصوص إلى المتعارف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المتيقّن منها صورة الشدّ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وبمفهوم خبر ابن مسلم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المستفاد من التعليل في موثّق سماعة المتقدّم أنّ العفو إنّما هو في فرض عدم الاستطاعة على الصّلاة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الانصراف الموجب لتقييد الإطلاق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يتعيّن الاقتصار على القدر المتيقّن من مورد العفو، إذا لم يكن لنصوص العفو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ثبوته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الوصف 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ما مرّ من أنّه من قبيل الحكمة لا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عدم العفو مع الاستطاعة على الغَسل، لا مع الاستطاعة على المنع عن السراية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لصاحب القروح والجروح أن يَغسل ثوبه كلّ يومٍ مرّة كما هو المشهور</w:t>
      </w:r>
      <w:r>
        <w:rPr>
          <w:rStyle w:val="FootnoteAnchor"/>
          <w:rtl w:val="true"/>
        </w:rPr>
        <w:footnoteReference w:id="710"/>
      </w:r>
      <w:r>
        <w:rPr>
          <w:rFonts w:ascii="Amiri" w:hAnsi="Amiri" w:eastAsia="Amiri" w:cs="Amiri"/>
          <w:color w:val="111111"/>
          <w:sz w:val="28"/>
          <w:sz w:val="28"/>
          <w:szCs w:val="28"/>
          <w:rtl w:val="true"/>
          <w:lang w:bidi="ar-SA"/>
        </w:rPr>
        <w:t xml:space="preserve">، بل لم يُحكَ الخلاف إلّاعن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حيثُ مالَ إلى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الوجوب، واستدلّ له بظاهر الأمر به في موثّق سماعة، وخبر ابن مسلم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حمل الأمر على الاستحباب، بقرينة ما دلّ من النصوص على عدم الوجوب، كمصحّح أبي بصير المتقدّم الذي لا يصحّ تقييده بالغسل أكثر من مرّة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يُعفى عن دم الجروح، كذلك يُعفى عن القيح المتنجّس الخارج معه، لحَسَن ليث المتقدّم، والدواء المتنجّس الموضوع عليه، لعدم انفكاك غالب الجروح التي تسيل منها الدّم عنه، فلو لم يكن معفوّاً عنه لزم حمل النصوص على الفرد النادر جدّاً،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العفو عن العرق المتّصل به في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الرطوبة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وصلت إليه، ولم تتعدَّ إلى الأطراف، فالعفو عنها يبتني على القول بالعفو عن المحمول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تعدّت إلى الأطراف فمقتضى إطلاق ما دلّ على مانعيّة النجاسة عدم 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دمٍ أنّه من الجروح أو القروح أم لا، فهل يكون معفوّاً عنه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ما دلّ على مانعيّة نجاسة الدّم، إذ مع الشكّ في كون الدّم الموجود دم القروح والجروح، يشكّ في مصداق الخاصّ‌، والمرجع في الشبهات المصداقيّة هو العموم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وبقاعدة المقتضى والمانع، إذ المستفاد من النصوص أنّ الدّم مقتضٍ للمانعيّة، وأنّ كونه دم القروح والجروح مانعٌ عنها، فمع الشكّ في المانع يُبنى على تحقّق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إناطة الحكم الترخيصي تكليفيّاً كان أم وضعيّاً على أمرٍ وجودي، تدلّ بالالتزام على أنّ موضوع الحكم إحراز ذلك الأمر، فالعفو بما أنّه اُنيط على كونه دم القروح والجروح، فمع عدم إحرازه ينتفي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 فلا يكون مرجعاً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المقتضي والمانع، قد حقّقنا في محلّه عدمها، مع أنّه على فرض وجودها لا تتمّ في الأحكام الشرعيّة إذ فيها لا يكون المقتضي معلوماً، لعدم العلم بمناطاة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وإناطة الرخصة على أمرٍ وجودي، كإناطة الحكم الإلزامي عليه لا تدلّ على أنّ الموضوع هو الإحراز، بل الظاهر منهاكون المقصود جعل الحكم لموضوعه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الاستدلال له بأصالة عدم اتّصافه بالجرح أو القرح، إذ قبل خروجه لم يكن متّصفاً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البراءة من المانعيّة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إليه في الشبهات المصداقيّة، مع عدم أصلٍ حاكمٍ عليه</w:t>
      </w:r>
      <w:r>
        <w:rPr>
          <w:rFonts w:eastAsia="Amiri" w:cs="Amiri" w:ascii="Amiri" w:hAnsi="Amiri"/>
          <w:color w:val="111111"/>
          <w:sz w:val="28"/>
          <w:szCs w:val="28"/>
          <w:rtl w:val="true"/>
          <w:lang w:bidi="ar-SA"/>
        </w:rPr>
        <w:t>.</w:t>
      </w:r>
      <w:bookmarkStart w:id="304" w:name="pg11798_104654"/>
    </w:p>
    <w:p>
      <w:pPr>
        <w:pStyle w:val="BookText"/>
        <w:rPr/>
      </w:pPr>
      <w:bookmarkEnd w:id="304"/>
      <w:r>
        <w:rPr>
          <w:rFonts w:ascii="Amiri" w:hAnsi="Amiri" w:eastAsia="Amiri" w:cs="Amiri"/>
          <w:color w:val="111111"/>
          <w:sz w:val="28"/>
          <w:sz w:val="28"/>
          <w:szCs w:val="28"/>
          <w:rtl w:val="true"/>
          <w:lang w:bidi="ar-SA"/>
        </w:rPr>
        <w:t>وعن نجاسة ما لا تَتمُّ الصّلاة فيه منفرداً، كالتّكة، والجُورب، والقَلَنسوة</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0416988_73709187"/>
      <w:bookmarkStart w:id="306" w:name="_Toc112"/>
      <w:bookmarkEnd w:id="305"/>
      <w:r>
        <w:rPr>
          <w:rtl w:val="true"/>
        </w:rPr>
        <w:t>ما لا يَتمُّ فيه الصّلاة</w:t>
      </w:r>
      <w:bookmarkEnd w:id="306"/>
    </w:p>
    <w:p>
      <w:pPr>
        <w:pStyle w:val="Heading6"/>
        <w:numPr>
          <w:ilvl w:val="5"/>
          <w:numId w:val="1"/>
        </w:numPr>
        <w:rPr/>
      </w:pPr>
      <w:bookmarkStart w:id="307" w:name="__RefHeading___Toc10416990_73709187"/>
      <w:bookmarkStart w:id="308" w:name="_Toc113"/>
      <w:bookmarkEnd w:id="307"/>
      <w:r>
        <w:rPr>
          <w:rtl w:val="true"/>
        </w:rPr>
        <w:t>اشارة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عفي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نجاسة ما لا تتمّ الصّلاة فيه منفرداً، كالتّكة، والجُورب، والقَلَنسوة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والخاتم ونحوها،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جماعةٍ كثيرة منهم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وابن إدريس</w:t>
      </w:r>
      <w:r>
        <w:rPr>
          <w:rStyle w:val="FootnoteAnchor"/>
          <w:rtl w:val="true"/>
        </w:rPr>
        <w:footnoteReference w:id="714"/>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وغيرهم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لا تجوز الصّلاة فيه وحده، فلا بأس بأن يكون عليه الشيء مثل القَلَنسوة والتّكة والجُورب</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عبد اللّه بن سنان، عن أبي عبد اللّه عليه السلام أنّه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على الإنسان أو معه ممّا لا تجوز الصّلاة فيه وحده، فلا بأس أن يُصلّي فيه وإنْ كان فيه قذرٌ، مثل القَلَنسوة والتّكة والكَمَرة والنَّعل والخُفّين وما أشبه ذلك</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309" w:name="pg11798_104655"/>
    </w:p>
    <w:p>
      <w:pPr>
        <w:pStyle w:val="BookText"/>
        <w:rPr/>
      </w:pPr>
      <w:bookmarkEnd w:id="30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حمّاد بن عثمان،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في الخُفّ الذي قد أصابه القذر؟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ممّا لا تتمّ فيه الصّلاة، فلا بأس</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يوهمه ظاهر كلمات جملةٍ من القدماء، كالراوندي</w:t>
      </w:r>
      <w:r>
        <w:rPr>
          <w:rStyle w:val="FootnoteAnchor"/>
          <w:rtl w:val="true"/>
        </w:rPr>
        <w:footnoteReference w:id="720"/>
      </w:r>
      <w:r>
        <w:rPr>
          <w:rFonts w:ascii="Amiri" w:hAnsi="Amiri" w:eastAsia="Amiri" w:cs="Amiri"/>
          <w:color w:val="111111"/>
          <w:sz w:val="28"/>
          <w:sz w:val="28"/>
          <w:szCs w:val="28"/>
          <w:rtl w:val="true"/>
          <w:lang w:bidi="ar-SA"/>
        </w:rPr>
        <w:t>وأبي الصّلاح</w:t>
      </w:r>
      <w:r>
        <w:rPr>
          <w:rStyle w:val="FootnoteAnchor"/>
          <w:rtl w:val="true"/>
        </w:rPr>
        <w:footnoteReference w:id="721"/>
      </w:r>
      <w:r>
        <w:rPr>
          <w:rFonts w:ascii="Amiri" w:hAnsi="Amiri" w:eastAsia="Amiri" w:cs="Amiri"/>
          <w:color w:val="111111"/>
          <w:sz w:val="28"/>
          <w:sz w:val="28"/>
          <w:szCs w:val="28"/>
          <w:rtl w:val="true"/>
          <w:lang w:bidi="ar-SA"/>
        </w:rPr>
        <w:t>وسلّار</w:t>
      </w:r>
      <w:r>
        <w:rPr>
          <w:rStyle w:val="FootnoteAnchor"/>
          <w:rtl w:val="true"/>
        </w:rPr>
        <w:footnoteReference w:id="722"/>
      </w:r>
      <w:r>
        <w:rPr>
          <w:rFonts w:ascii="Amiri" w:hAnsi="Amiri" w:eastAsia="Amiri" w:cs="Amiri"/>
          <w:color w:val="111111"/>
          <w:sz w:val="28"/>
          <w:sz w:val="28"/>
          <w:szCs w:val="28"/>
          <w:rtl w:val="true"/>
          <w:lang w:bidi="ar-SA"/>
        </w:rPr>
        <w:t xml:space="preserve">وغيرهم من عدم ثبوت الكليّة المذكورة عندهم، حيث اقتصروا على القَلَنسوة والتّكة والجُورب والخُفّ والنَّعل، لا يُعتنى به، إذ الظاهر أنّ مرادهم التمثيل ببعض ما مثّل به في النصوص، وإلّا فالتصريح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ابن سنان،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الكليّة المذكورة لا كلام فيها</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0416992_73709187"/>
      <w:bookmarkStart w:id="311" w:name="_Toc114"/>
      <w:bookmarkEnd w:id="310"/>
      <w:r>
        <w:rPr>
          <w:rtl w:val="true"/>
        </w:rPr>
        <w:t>إنّما الكلام يكون في جهات</w:t>
      </w:r>
      <w:r>
        <w:rPr>
          <w:rtl w:val="true"/>
        </w:rPr>
        <w:t>:</w:t>
      </w:r>
      <w:bookmarkEnd w:id="311"/>
    </w:p>
    <w:p>
      <w:pPr>
        <w:pStyle w:val="Heading6"/>
        <w:numPr>
          <w:ilvl w:val="5"/>
          <w:numId w:val="1"/>
        </w:numPr>
        <w:rPr/>
      </w:pPr>
      <w:bookmarkStart w:id="312" w:name="__RefHeading___Toc10416994_73709187"/>
      <w:bookmarkStart w:id="313" w:name="_Toc115"/>
      <w:bookmarkEnd w:id="312"/>
      <w:r>
        <w:rPr>
          <w:rtl w:val="true"/>
        </w:rPr>
        <w:t>هل الحكم يعمّ فضلات الميتة أو غير المأكول‌؟</w:t>
      </w:r>
      <w:bookmarkEnd w:id="313"/>
    </w:p>
    <w:p>
      <w:pPr>
        <w:pStyle w:val="BookText"/>
        <w:rPr/>
      </w:pPr>
      <w:r>
        <w:rPr>
          <w:rFonts w:ascii="Amiri" w:hAnsi="Amiri" w:eastAsia="Amiri" w:cs="Amiri"/>
          <w:color w:val="111111"/>
          <w:sz w:val="28"/>
          <w:sz w:val="28"/>
          <w:szCs w:val="28"/>
          <w:rtl w:val="true"/>
          <w:lang w:bidi="ar-SA"/>
        </w:rPr>
        <w:t>الجهة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الحكم مختصٌّ بالنجاسة، أو يعمّ ما إذا تنجّس ما لا تتمّ فيه الصّلاة بفضلات الميتة، أو غير المأكول‌؟</w:t>
      </w:r>
    </w:p>
    <w:p>
      <w:pPr>
        <w:pStyle w:val="BookText"/>
        <w:rPr/>
      </w:pPr>
      <w:r>
        <w:rPr>
          <w:rFonts w:ascii="Amiri" w:hAnsi="Amiri" w:eastAsia="Amiri" w:cs="Amiri"/>
          <w:color w:val="111111"/>
          <w:sz w:val="28"/>
          <w:sz w:val="28"/>
          <w:szCs w:val="28"/>
          <w:rtl w:val="true"/>
          <w:lang w:bidi="ar-SA"/>
        </w:rPr>
        <w:t>ظاهر فتاوى غير واحد كصريح آخرين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قوله عليه السلام في الموثّق، فلا بأس أن يكون عليه الشيء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مانعيّة الميتة ونجس العين، الّذي هو من أفراد غير المأكول، ليست باعتبار سرايتهما إلى اللّباس أو البَدَن، بل هما بأنفسهما تكونان من الموانع، وهذا بخلاف النجاسة، فإنّ مانعيّتها إنّما تكون باعتبار تنجّس الثّوب أو البَدَن بها، </w:t>
      </w:r>
      <w:bookmarkStart w:id="314" w:name="pg11798_104656"/>
    </w:p>
    <w:p>
      <w:pPr>
        <w:pStyle w:val="BookText"/>
        <w:rPr/>
      </w:pPr>
      <w:bookmarkEnd w:id="314"/>
      <w:r>
        <w:rPr>
          <w:rFonts w:ascii="Amiri" w:hAnsi="Amiri" w:eastAsia="Amiri" w:cs="Amiri"/>
          <w:color w:val="111111"/>
          <w:sz w:val="28"/>
          <w:sz w:val="28"/>
          <w:szCs w:val="28"/>
          <w:rtl w:val="true"/>
          <w:lang w:bidi="ar-SA"/>
        </w:rPr>
        <w:t>وظاهر الخبر العفو عن اللّباس الذي عليه الشيء، الذي لو لا هذا الخبر لكان موضوعاً للمانعيّة لا العفو عن ذلك الشيء الواقع على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اُزيلت الفضلة، وانحصرت جهة المنع بتنجّس اللّباس، كان ذلك مشمولاً للموثّق</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0416996_73709187"/>
      <w:bookmarkStart w:id="316" w:name="_Toc116"/>
      <w:bookmarkEnd w:id="315"/>
      <w:r>
        <w:rPr>
          <w:rtl w:val="true"/>
        </w:rPr>
        <w:t>اذا كان اللّباس متّخذاً من النجاسات</w:t>
      </w:r>
      <w:bookmarkEnd w:id="316"/>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اللّباس متّخذاً من أعيان النجاسات، كالقلنسوة المنسوجة من شعر الخنزير، والخُفّ المتّخذ من الميتة، فهل يكون معفوّاً عنه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تجوز الصّلاة فيه وحده فلا بأس بالصّلاة فيه، مثل التّكة الأبريسم والقَلَنسوة والخُفّ والزُّنار يكون في السراويل ويُصلّى فيه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إسماعيل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لباس الجلود والخِفاف والنّعال، والصّلاة فيها، إذا لم تكن من أرض المصلّين‌؟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النّعال والخِفاف فلا بأس بها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النصوص المتقدّمة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فمطلقٌ وشامل للمتنجّس والميتة ونجس العين، فيقيّد بما دلّ على المنع في الأخيرين، كصحيح ابن أبي عُمير، عن غير واحدٍ، عن أبي عبد اللّه عليه السلام</w:t>
      </w:r>
      <w:r>
        <w:rPr>
          <w:rFonts w:eastAsia="Amiri" w:cs="Amiri" w:ascii="Amiri" w:hAnsi="Amiri"/>
          <w:color w:val="111111"/>
          <w:sz w:val="28"/>
          <w:szCs w:val="28"/>
          <w:rtl w:val="true"/>
          <w:lang w:bidi="ar-SA"/>
        </w:rPr>
        <w:t xml:space="preserve">: </w:t>
      </w:r>
      <w:bookmarkStart w:id="317" w:name="pg11798_104657"/>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الميتة‌؟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شيءٍ منه ولا شِسْع</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موثّق ابن بكير الوارد في غير المأكول،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وَبَر كلّ شيءٍ حرام أكله، فالصَّلاة في وَبَره وشعره وجلده وبوله وروثه وألبانه، وكلّ شيءٍ منه فاسدة</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نجس العين يكون من أفراد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والموثّق وإنْ كان كالصريح في العفو عمّا اتّخذ من الميتة، ومقتضى الجمع بينه وبين ما دلّ على المنع، هو حمله على الكراهة، ولكن لإعراض الأصحاب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قائلٌ بالفرق بين ما تتمّ الصّلاة فيه وغيره في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عدم ثبوته، لاختصاص موردهابالمتنجّس، فلا تشمل النّجس، فالحكم في عموم ما دلّ على المنع من الصّلاة في النّجس، أنّه لو ثبت يُقيّد بما دلّ على المنع في الميتة ونجس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هوالقول الثاني</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10416998_73709187"/>
      <w:bookmarkStart w:id="319" w:name="_Toc117"/>
      <w:bookmarkEnd w:id="318"/>
      <w:r>
        <w:rPr>
          <w:rtl w:val="true"/>
        </w:rPr>
        <w:t>المناط فيما لا تتمّ فيه الصّلاة عدم إمكان الستر بلا علاج</w:t>
      </w:r>
      <w:bookmarkEnd w:id="319"/>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فيما لا تتمّ فيه الصّلاة عدم إمكان الستر بلا علاج، لا عدم الساتريّة الفعليّة، ولا خصوص ما لا يمكن السَّتر به حتّى بعلاج، إذ الظاهر من النصوص أنّ موضوع العفو هو الثّوب الذي لا تتمّ فيه الصّلاة من حيث هو</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فالعمامة الملفوفة التي تَستر العورة إذا فَلَت لا تكون من مصاديق ما </w:t>
      </w:r>
    </w:p>
    <w:p>
      <w:pPr>
        <w:pStyle w:val="BookText"/>
        <w:rPr/>
      </w:pPr>
      <w:r>
        <w:rPr>
          <w:rFonts w:ascii="Amiri" w:hAnsi="Amiri" w:eastAsia="Amiri" w:cs="Amiri"/>
          <w:color w:val="111111"/>
          <w:sz w:val="28"/>
          <w:sz w:val="28"/>
          <w:szCs w:val="28"/>
          <w:rtl w:val="true"/>
          <w:lang w:bidi="ar-SA"/>
        </w:rPr>
        <w:t xml:space="preserve">عُفي عنه، لأنّها من حيث هي ثوبٌ قابلة لأن يُتستّر بها، وتكون من الأثواب التي تجوز الصّلاة فيها وحدها، فيتعيّن حمل العمامة في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w:t>
      </w:r>
      <w:r>
        <w:rPr>
          <w:rStyle w:val="FootnoteAnchor"/>
          <w:rtl w:val="true"/>
        </w:rPr>
        <w:footnoteReference w:id="7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قلنسوتك أو عمامتك أو التّكة أو الجُورب أو الخُفّ‌؛ مَنيٌّ أو بول أو دم أو غائط، فلا بأس بالصّلاة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الصّلاة لا تتمّ في شيءٍ من هذه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العمامة الصغيرة، كما حُكي عن الراوندي</w:t>
      </w:r>
      <w:r>
        <w:rPr>
          <w:rStyle w:val="FootnoteAnchor"/>
          <w:rtl w:val="true"/>
        </w:rPr>
        <w:footnoteReference w:id="729"/>
      </w:r>
      <w:r>
        <w:rPr>
          <w:rFonts w:ascii="Amiri" w:hAnsi="Amiri" w:eastAsia="Amiri" w:cs="Amiri"/>
          <w:color w:val="111111"/>
          <w:sz w:val="28"/>
          <w:sz w:val="28"/>
          <w:szCs w:val="28"/>
          <w:rtl w:val="true"/>
          <w:lang w:bidi="ar-SA"/>
        </w:rPr>
        <w:t>وغيره، مع أنّه لم يثبت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من الشكّ في صدق موضوع المنع، الذي هو الثّوب على العمامة بهيئتها الخاصّة، فلابدَّ فيها من الرجوع إلى الأصل، وهو يقتضي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الثّوب عرفاً كما يصدق على المنشور، يصدق على الملفوف والمطويّ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عن الصدوقين</w:t>
      </w:r>
      <w:r>
        <w:rPr>
          <w:rStyle w:val="FootnoteAnchor"/>
          <w:rtl w:val="true"/>
        </w:rPr>
        <w:footnoteReference w:id="731"/>
      </w:r>
      <w:r>
        <w:rPr>
          <w:rFonts w:ascii="Amiri" w:hAnsi="Amiri" w:eastAsia="Amiri" w:cs="Amiri"/>
          <w:color w:val="111111"/>
          <w:sz w:val="28"/>
          <w:sz w:val="28"/>
          <w:szCs w:val="28"/>
          <w:rtl w:val="true"/>
          <w:lang w:bidi="ar-SA"/>
        </w:rPr>
        <w:t>من عَدّ العمامة في جملة ما يُعفى عنه، وأنّ الأقوى عدم الفرق بينها وبين سائر الأثواب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20" w:name="pg11798_104659"/>
    </w:p>
    <w:p>
      <w:pPr>
        <w:pStyle w:val="Heading6"/>
        <w:numPr>
          <w:ilvl w:val="5"/>
          <w:numId w:val="1"/>
        </w:numPr>
        <w:rPr/>
      </w:pPr>
      <w:bookmarkStart w:id="321" w:name="__RefHeading___Toc10417000_73709187"/>
      <w:bookmarkStart w:id="322" w:name="_Toc118"/>
      <w:bookmarkEnd w:id="320"/>
      <w:bookmarkEnd w:id="321"/>
      <w:r>
        <w:rPr>
          <w:rtl w:val="true"/>
        </w:rPr>
        <w:t>المحمول المتنجّس</w:t>
      </w:r>
      <w:bookmarkEnd w:id="322"/>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الأشهر</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اختصاص العفو عن نجاسة ما لا تتمّ فيه الصّلاة، بما إذا كان ملبوساً، بل عن جماعةٍ منهم خصوص ما كان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733"/>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الإزالة عن المحمول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لا تتمّ الصّلاة فيه فالثاني، وبين غيره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ما دلّ على المنع من الصّلاة في النّجس، بدعوى شموله للمحمول، لأن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المصاحبة والمعيّة، لامتناع حمله على الظرفيّة، إذ لا معنى لكون الثّوب ظرفاً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امتناع ذلك لا يوجبُ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حمله على الظرفيّة، من جهة اشتمال الشيء على المصلّي، ولو لاشتماله على جزءٍ من أجزائه، فتلك النصوص لا تشمل المحمول المحض، مثل ما لو كان المتنجّس في جيبه أو قبضته أو نحوهما ممّا لا يكون مشتملاً على المصلّي ولو بعضه، فلابدَّ من الرجوع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العموم، فيخصّص بنصوص استثناء ما لا تتمّ فيه الصّلاة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انصرافها إلى خصوص الملبوس كما ترى‌، لا سيّما وفيها مرسل ابن </w:t>
      </w:r>
    </w:p>
    <w:p>
      <w:pPr>
        <w:pStyle w:val="BookText"/>
        <w:rPr/>
      </w:pPr>
      <w:r>
        <w:rPr>
          <w:rFonts w:ascii="Amiri" w:hAnsi="Amiri" w:eastAsia="Amiri" w:cs="Amiri"/>
          <w:color w:val="111111"/>
          <w:sz w:val="28"/>
          <w:sz w:val="28"/>
          <w:szCs w:val="28"/>
          <w:rtl w:val="true"/>
          <w:lang w:bidi="ar-SA"/>
        </w:rPr>
        <w:t>سنان المصرّح بثبوت العفو في محموله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أنّ الأقوى ثبوت العفو في المحمول المتنجّس، من غير فرقٍ بين كونه ممّا لا تتمّ فيه الصّلاة وبين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المحمول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37"/>
      </w:r>
      <w:r>
        <w:rPr>
          <w:rFonts w:ascii="Amiri" w:hAnsi="Amiri" w:eastAsia="Amiri" w:cs="Amiri"/>
          <w:color w:val="111111"/>
          <w:sz w:val="28"/>
          <w:sz w:val="28"/>
          <w:szCs w:val="28"/>
          <w:rtl w:val="true"/>
          <w:lang w:bidi="ar-SA"/>
        </w:rPr>
        <w:t>وجملةٍ من كتب المصنّف</w:t>
      </w:r>
      <w:r>
        <w:rPr>
          <w:rStyle w:val="FootnoteAnchor"/>
          <w:rtl w:val="true"/>
        </w:rPr>
        <w:footnoteReference w:id="73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أن يُصلّي ومعه فأرة المِسْك‌؟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ذكّيّاً</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عرفت في مبحث الميتة</w:t>
      </w:r>
      <w:r>
        <w:rPr>
          <w:rStyle w:val="FootnoteAnchor"/>
          <w:rtl w:val="true"/>
        </w:rPr>
        <w:footnoteReference w:id="740"/>
      </w:r>
      <w:r>
        <w:rPr>
          <w:rFonts w:ascii="Amiri" w:hAnsi="Amiri" w:eastAsia="Amiri" w:cs="Amiri"/>
          <w:color w:val="111111"/>
          <w:sz w:val="28"/>
          <w:sz w:val="28"/>
          <w:szCs w:val="28"/>
          <w:rtl w:val="true"/>
          <w:lang w:bidi="ar-SA"/>
        </w:rPr>
        <w:t xml:space="preserve">أنّ ظاهره اعتبار كون ما معه من الفأرة ذكّيّاً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فمفهومة ثبوت المنع إذا كان نجساً، ونجاسته وإنْ كانت من جهة كونه ميتة، ولكن من تعليق الحكم منطوقاً ومفهوماً على الطهارة والنجاسة، يستفاد أنّ تمام الموضوع للمنع هو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جماعةٍ من اختصاصه بالميتة، وأنّه لا يشمل غيرها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يتعيّن حمله على الكراهة جمعاً بينه وبين نصوص العفو عمّا لا تتمّ به الصّلاة، المشتملة على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أو الصريحة في وجود عين النجاسة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علي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بالمكان فيه العَذَرة فتهبّ الرِّيح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فتسفي عليه من العَذَرة، فيصيب ثوبه ورأسه، أيُصلّي فيه قبل أن يغسله‌؟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ينفضه، ويُصلّي فلا بأس</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فأجنبيٌ عن المقام، لظهوره في كونه في مقام بيان عدم لزوم الغَسل إذا أصابه قذرٌ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ظهوره في المنع عن حمل النّجس، يُحمل على الكراهة جمعاً بينه وبين نصوص العفو عمّا لا تتمّ به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المنع إذا كان المحمول من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 أجزاء الكلب والخنزير، لا يجوز الصّلاة معه، لكونهما من أفراد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محلّه أنّ المنع عن الصّلاة ومعه شيءٌ من أجزائه هو الأقوى‌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23" w:name="pg11798_104662"/>
    </w:p>
    <w:p>
      <w:pPr>
        <w:pStyle w:val="BookText"/>
        <w:rPr/>
      </w:pPr>
      <w:bookmarkEnd w:id="323"/>
      <w:r>
        <w:rPr>
          <w:rFonts w:ascii="Amiri" w:hAnsi="Amiri" w:eastAsia="Amiri" w:cs="Amiri"/>
          <w:color w:val="111111"/>
          <w:sz w:val="28"/>
          <w:sz w:val="28"/>
          <w:szCs w:val="28"/>
          <w:rtl w:val="true"/>
          <w:lang w:bidi="ar-SA"/>
        </w:rPr>
        <w:t>ويكفي المُربيّة للصَّبي، إذا لم يكن لها إلّاثوبٌ واحدٌ، غَسله في اليوم واللّيلة مرّة واحدة</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0417002_73709187"/>
      <w:bookmarkStart w:id="325" w:name="_Toc119"/>
      <w:bookmarkEnd w:id="324"/>
      <w:r>
        <w:rPr>
          <w:rtl w:val="true"/>
        </w:rPr>
        <w:t>ثوب المُربّية</w:t>
      </w:r>
      <w:bookmarkEnd w:id="325"/>
    </w:p>
    <w:p>
      <w:pPr>
        <w:pStyle w:val="Heading6"/>
        <w:numPr>
          <w:ilvl w:val="5"/>
          <w:numId w:val="1"/>
        </w:numPr>
        <w:rPr/>
      </w:pPr>
      <w:bookmarkStart w:id="326" w:name="__RefHeading___Toc10417004_73709187"/>
      <w:bookmarkStart w:id="327" w:name="_Toc120"/>
      <w:bookmarkEnd w:id="326"/>
      <w:r>
        <w:rPr>
          <w:rtl w:val="true"/>
        </w:rPr>
        <w:t>اشارة</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المربية بشرط غَسله في كلّ يومٍ مرّة، بلا خلاف فيه في الجملة،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المربيّة للصّبي إذا لم يكن لها إلّاثوبٌ واحد، غَسله في اليوم واللّيلة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حفص،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ليس لها إلّا قميصٌ واحدٌ، لها مولودٌ فيبول عليها، كيف تصنع‌؟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743"/>
      </w:r>
      <w:r>
        <w:rPr>
          <w:rFonts w:ascii="Amiri" w:hAnsi="Amiri" w:eastAsia="Amiri" w:cs="Amiri"/>
          <w:color w:val="111111"/>
          <w:sz w:val="28"/>
          <w:sz w:val="28"/>
          <w:szCs w:val="28"/>
          <w:rtl w:val="true"/>
          <w:lang w:bidi="ar-SA"/>
        </w:rPr>
        <w:t xml:space="preserve">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الإستشكال في الحكم بضعف الخبر، لأنّ في سنده محمّد بن يحيى المعاذي الذي ضعّفه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لإنجباره بعمل الأصحاب، يُعتمد عليه، ولا يَقدح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الفتاوي، عدم اختصاص الحكم بالاُمّ‌، وعمومه لمطلق المُربّية اُمّاً كانت أو غيرها، متبرّعةً أو مُستأجرة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السؤال في النّص هي المرأة التي لها مولودٌ، الظاهرة بقرينة لام الاختصاص في مطلق مَنْ للمولود نحو اختصاصٍ به، ولو بلحاظ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الأكثر</w:t>
      </w:r>
      <w:r>
        <w:rPr>
          <w:rStyle w:val="FootnoteAnchor"/>
          <w:rtl w:val="true"/>
        </w:rPr>
        <w:footnoteReference w:id="745"/>
      </w:r>
      <w:r>
        <w:rPr>
          <w:rFonts w:ascii="Amiri" w:hAnsi="Amiri" w:eastAsia="Amiri" w:cs="Amiri"/>
          <w:color w:val="111111"/>
          <w:sz w:val="28"/>
          <w:sz w:val="28"/>
          <w:szCs w:val="28"/>
          <w:rtl w:val="true"/>
          <w:lang w:bidi="ar-SA"/>
        </w:rPr>
        <w:t xml:space="preserve">الاقتصار على الذَكَر،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نسبة عموم الحكم للاُنثى إلى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للاُنثى، وبالفرق بين بول الذَكَر والاُنثى‌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عامٌ يشمل الذَكَر والاُنثى‌، كما صرّح به غير واحدٍ كالشهيدين</w:t>
      </w:r>
      <w:r>
        <w:rPr>
          <w:rStyle w:val="FootnoteAnchor"/>
          <w:rtl w:val="true"/>
        </w:rPr>
        <w:footnoteReference w:id="747"/>
      </w:r>
      <w:r>
        <w:rPr>
          <w:rFonts w:ascii="Amiri" w:hAnsi="Amiri" w:eastAsia="Amiri" w:cs="Amiri"/>
          <w:color w:val="111111"/>
          <w:sz w:val="28"/>
          <w:sz w:val="28"/>
          <w:szCs w:val="28"/>
          <w:rtl w:val="true"/>
          <w:lang w:bidi="ar-SA"/>
        </w:rPr>
        <w:t>وأكثر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الفرق بينهما في النجاسة وعدمها في بعض الفروض، لا يوجب تقييد الإطلاق، بل أمره عليه السلام بالغَسل في كلّ يومٍ مرّة كالصريح في عموم الحكم لما إذا كان البول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 المتأخّرين</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البَدَن بالثّوب، واستدلّ 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بأنّ الغالب التعدّي إلى البَدَن، مع عدم الأمر بالتطهير في النّص لكلّ صلاة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الأمر به يمكن أن يكون اتّكالاً على أدلّة المانعيّة، ولذا لم يأمر فيه بغَسله ولو مرّة، ولعلّه يكون التفصيل موافقاً للاعتبار أيضاً، لعدم المشقّة النوعيّة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تطهير البَدَن لكلّ صلاةٍ بخلاف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المصنّف رحمه الله</w:t>
      </w:r>
      <w:r>
        <w:rPr>
          <w:rStyle w:val="FootnoteAnchor"/>
          <w:rtl w:val="true"/>
        </w:rPr>
        <w:footnoteReference w:id="750"/>
      </w:r>
      <w:r>
        <w:rPr>
          <w:rFonts w:ascii="Amiri" w:hAnsi="Amiri" w:eastAsia="Amiri" w:cs="Amiri"/>
          <w:color w:val="111111"/>
          <w:sz w:val="28"/>
          <w:sz w:val="28"/>
          <w:szCs w:val="28"/>
          <w:rtl w:val="true"/>
          <w:lang w:bidi="ar-SA"/>
        </w:rPr>
        <w:t>والشهيدين</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المربّي بالمربيّة لقاعدة الاشتراك، وللقطع بعدم الفرق، وللاشتراك في العلّة، وهي المشقّة المقتضية للعفو، ولكن القاعدة غير ثابتة في أمثال المقام ممّا يكون الخطاب موجّهاً إلى الإناث،، والقطع غير حاصل، والعلّة المذكورة ليست مذكورة في النّص، بل هي علّة مستنبطة، وعليه يكون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ما اختاره المحقّق في كتبه،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النّص البول، وعن الشهيد الأوّل</w:t>
      </w:r>
      <w:r>
        <w:rPr>
          <w:rStyle w:val="FootnoteAnchor"/>
          <w:rtl w:val="true"/>
        </w:rPr>
        <w:footnoteReference w:id="752"/>
      </w:r>
      <w:r>
        <w:rPr>
          <w:rFonts w:ascii="Amiri" w:hAnsi="Amiri" w:eastAsia="Amiri" w:cs="Amiri"/>
          <w:color w:val="111111"/>
          <w:sz w:val="28"/>
          <w:sz w:val="28"/>
          <w:szCs w:val="28"/>
          <w:rtl w:val="true"/>
          <w:lang w:bidi="ar-SA"/>
        </w:rPr>
        <w:t>إلحاق الغائط بالبول، واستدلّ له بأنّ البول يُكنّى به عنهما غالباً، وحيث أنّه عليه السلام لم يستفصل في الجواب، فيستفاد منه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الفرق بينهما في كثرة الابتلاء بالبول الموجبة لمشقّة الإجتناب، وعدم القرينة على إرادة الكناية من البول، لا وجه للإلحاق، وأضعف من إلحاق سائر النجاسات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54"/>
      </w:r>
      <w:r>
        <w:rPr>
          <w:rFonts w:ascii="Amiri" w:hAnsi="Amiri" w:eastAsia="Amiri" w:cs="Amiri"/>
          <w:color w:val="111111"/>
          <w:sz w:val="28"/>
          <w:sz w:val="28"/>
          <w:szCs w:val="28"/>
          <w:rtl w:val="true"/>
          <w:lang w:bidi="ar-SA"/>
        </w:rPr>
        <w:t>بالمولود، الواحد المتعدّد، للإشتراك في العلّة، وهي المشقّة وزيادة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أن يكون لأقلّيّة النجاسة دخلٌ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العفو، فلا وجه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النّص يشمل المتعدّد أيضاً، إذ المولود كما يصدق على الواحد، يصدق على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فالإلحاق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ينحصر ثوبها في واحد، ولكن احتاجت إلى لبس جميع ما عندها، فالظاهر أنّ الجميع في حكم الثّوب الواحد،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التصريح به، فإنّ الظاهر من النّص سؤالاً وجواباً وروده في مقام بيان حكم المرأة التي ليس لها ما يبدّل به ثوبها، بل بما أنّ المرأة غالباً تحتاج في صلاتها إلى أكثر من ثوبٍ واحدٍ، فلا يصحّ تخصيص الحكم بما إذا كان لها ثوبٌ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تمكّنت ذات الثّوب الواحد من تحصيل غيره بشراءٍ أو استيجار أو استعارة، فهل يتعيّن عليها ذلك أم لا؟ وجهان، أقواهما الثاني؛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إلى صورة عدم التمكّن ممنوعة، لا سيّما مع غلبة إمكان الاستيجار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 التخيير بين ساعات اليوم في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واختار بعض الأعاظم</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إيقاع الغَسل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إيقاعه آخر النهار، لتُصلّي الظهرين والعشائين مع الطهارة، أو مع خفّة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إيقاعه عند الصبح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اليوم إمّا ظاهرٌ في النهار، أو مجملٌ يتعيّن حمله عليه، لكونه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القدر المتيقّن في وجوب الخروج عن القواعد العامّة، المقتضية لتكرار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في نفسه اللّيل أيضاً، لإطلاقه لغةً على ما يعمّه، يتعيّن حمله في النّص على ذلك، إذ الظاهر منه كونه عليه السلام في مقام بيان وظيفة المرأة في جميع أوقات الصّلاة، وإلّا لو كان عليه السلام في مقام بيان وجوب الغَسل في النهار خاصّة، لزم لزوم غَسل ثوبها في اللّيل لصلاتها، وهو كما ترى‌، وعلى هذا فلا مورد للنزاع في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هو يوم الصوم أو يوم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بأولويّة طهارة أربع على طهارةٍ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الغَسل آخر النهار لا يستلزم دائماً، بل ولا غالباً طهارة أربع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بالغَسل في المقام ليس إرشاداً إلى شرطيّة الطهارة للصَّلاة، ولذا لو تنجّس بعد الغَسل قبل الصّلاة يحتزي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المراد منه اعتبار الغَسل في نفسه للصَّلاة، بمعنى أنّه لو غَسل الثّوب في اليوم مرّةً‌، يعفى عن نجاسته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بين غَسله عند الصبح أو آخر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ظهر ضعف ما عن المحقّق</w:t>
      </w:r>
      <w:r>
        <w:rPr>
          <w:rStyle w:val="FootnoteAnchor"/>
          <w:rtl w:val="true"/>
        </w:rPr>
        <w:footnoteReference w:id="759"/>
      </w:r>
      <w:r>
        <w:rPr>
          <w:rFonts w:ascii="Amiri" w:hAnsi="Amiri" w:eastAsia="Amiri" w:cs="Amiri"/>
          <w:color w:val="111111"/>
          <w:sz w:val="28"/>
          <w:sz w:val="28"/>
          <w:szCs w:val="28"/>
          <w:rtl w:val="true"/>
          <w:lang w:bidi="ar-SA"/>
        </w:rPr>
        <w:t>من اعتبار كون الغَسل في وقت الصّلاة، بدعوى أنّ الأمر بالغَسل للوجوب، ولا وجوبَ قبل الوقت، إذ الأمر به يكون للإرشاد إلى شرطيّته، فيكون أمراً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شرطيّة الغَسل لمطلق الصّلوات، لزوم إيقاعه في كلّ يومٍ مقدّمةً لمطلق الصّلوات الواقعة في ذلك اليوم، فيجبُ تقديمها على الجميع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شرطيّته لجميع الصّلوات لا تنافي جواز التأخير، إذ يمكن أن يكون بالنسبة إلى الصّلوات المتقدّمة عليه من قبيل الشرط المتأخّر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المتأخّر على فرض معقوليّته، خلافُ الظاهر، لا يُصار إليه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 شرطيّة الغَسل لجميع الصّلوات المشروعة من ذلك الزمان إلى مثله من اليوم الثاني، فيتعيّن القول بالتخيير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 ظاهر اليوم، فإنّه ظاهرٌ في غير الملفّق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المأمور به ليس أمراً مستوعباً لليوم، حتّى يصحّ ما ذكر، بل هو أمرٌ يتحقّق في مدّةٍ قليلة منه، فمقتضى إطلاق الأمر به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أمرٌ بشيءٍ في زمان أوسع ممّا يفي بإتيان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بالتخيير بين آنات اليوم هو الأظهر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28" w:name="pg11798_104668"/>
    </w:p>
    <w:p>
      <w:pPr>
        <w:pStyle w:val="Heading6"/>
        <w:numPr>
          <w:ilvl w:val="5"/>
          <w:numId w:val="1"/>
        </w:numPr>
        <w:rPr/>
      </w:pPr>
      <w:bookmarkStart w:id="329" w:name="__RefHeading___Toc10417006_73709187"/>
      <w:bookmarkStart w:id="330" w:name="_Toc121"/>
      <w:bookmarkEnd w:id="328"/>
      <w:bookmarkEnd w:id="329"/>
      <w:r>
        <w:rPr>
          <w:rtl w:val="true"/>
        </w:rPr>
        <w:t>تَذنيبٌ‌</w:t>
      </w:r>
      <w:r>
        <w:rPr>
          <w:rtl w:val="true"/>
        </w:rPr>
        <w:t>:</w:t>
      </w:r>
      <w:bookmarkEnd w:id="330"/>
    </w:p>
    <w:p>
      <w:pPr>
        <w:pStyle w:val="BookText"/>
        <w:rPr/>
      </w:pPr>
      <w:r>
        <w:rPr>
          <w:rFonts w:ascii="Amiri" w:hAnsi="Amiri" w:eastAsia="Amiri" w:cs="Amiri"/>
          <w:color w:val="111111"/>
          <w:sz w:val="28"/>
          <w:sz w:val="28"/>
          <w:szCs w:val="28"/>
          <w:rtl w:val="true"/>
          <w:lang w:bidi="ar-SA"/>
        </w:rPr>
        <w:t>نُسِب إلى جماعةٍ‌</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نجاسة ثوب من تواتر بوله إذا غسله في النهار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المصنّف رحمه الله</w:t>
      </w:r>
      <w:r>
        <w:rPr>
          <w:rStyle w:val="FootnoteAnchor"/>
          <w:rtl w:val="true"/>
        </w:rPr>
        <w:footnoteReference w:id="762"/>
      </w:r>
      <w:r>
        <w:rPr>
          <w:rFonts w:ascii="Amiri" w:hAnsi="Amiri" w:eastAsia="Amiri" w:cs="Amiri"/>
          <w:color w:val="111111"/>
          <w:sz w:val="28"/>
          <w:sz w:val="28"/>
          <w:szCs w:val="28"/>
          <w:rtl w:val="true"/>
          <w:lang w:bidi="ar-SA"/>
        </w:rPr>
        <w:t>والشهيد</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بمكاتبة عبد الرحيم القصير، إلى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خصيّ يبولُ فيلقى من ذلك شدّة، ويرى البَلَل بعد البَلَل‌؟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وينضح ثيابه في النهار مرّة واحدة</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الحرج لا يطرد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وجوب الغَسل فيما إذا لزم منه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الوظيفة حينئذٍ الصّلاة عارياً، أو الصّلاة في الثّوب النّجس، أو التخيير بينهما، فهي ساكتة عنه، فيرجع فيه إلى ما تقتضيه القواعد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إنْ شاء اللّه تعالى‌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ضعف سندها بعبد الرحيم وسعدان بن مسلم الراوي عنه، لا يعتمد عليها لمخالفتها للقواعد الشرعيّة الاُخر، لعدم اشتمالها على الأمر بالغسل، ولا على كون الثّوب واحداً، كما هو مدّعى الجماعة</w:t>
      </w:r>
      <w:r>
        <w:rPr>
          <w:rFonts w:eastAsia="Amiri" w:cs="Amiri" w:ascii="Amiri" w:hAnsi="Amiri"/>
          <w:color w:val="111111"/>
          <w:sz w:val="28"/>
          <w:szCs w:val="28"/>
          <w:rtl w:val="true"/>
          <w:lang w:bidi="ar-SA"/>
        </w:rPr>
        <w:t>.</w:t>
      </w:r>
      <w:bookmarkStart w:id="331" w:name="pg11798_104669"/>
    </w:p>
    <w:p>
      <w:pPr>
        <w:pStyle w:val="BookText"/>
        <w:rPr/>
      </w:pPr>
      <w:bookmarkEnd w:id="331"/>
      <w:r>
        <w:rPr>
          <w:rFonts w:ascii="Amiri" w:hAnsi="Amiri" w:eastAsia="Amiri" w:cs="Amiri"/>
          <w:color w:val="111111"/>
          <w:sz w:val="28"/>
          <w:sz w:val="28"/>
          <w:szCs w:val="28"/>
          <w:rtl w:val="true"/>
          <w:lang w:bidi="ar-SA"/>
        </w:rPr>
        <w:t>ويَجبُ إزالة النجاسة مَع عِلْم موضعها، فلو جَهِل غَسَل جميع الثّوب، ولو اشتَبه الثّوب بغيره، صَلّى في كلّ واحدٍ منهما مرّة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0417008_73709187"/>
      <w:bookmarkStart w:id="333" w:name="_Toc122"/>
      <w:bookmarkEnd w:id="332"/>
      <w:r>
        <w:rPr>
          <w:rtl w:val="true"/>
        </w:rPr>
        <w:t>الصّلاة في النّجس</w:t>
      </w:r>
      <w:bookmarkEnd w:id="333"/>
    </w:p>
    <w:p>
      <w:pPr>
        <w:pStyle w:val="Heading6"/>
        <w:numPr>
          <w:ilvl w:val="5"/>
          <w:numId w:val="1"/>
        </w:numPr>
        <w:rPr/>
      </w:pPr>
      <w:bookmarkStart w:id="334" w:name="__RefHeading___Toc10417010_73709187"/>
      <w:bookmarkStart w:id="335" w:name="_Toc123"/>
      <w:bookmarkEnd w:id="334"/>
      <w:r>
        <w:rPr>
          <w:rtl w:val="true"/>
        </w:rPr>
        <w:t>اشارة</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إزالة النجاسة مع علم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جَهِل غَسَل جميع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صلّى في غيره بلا خلافٍ‌، إذ العلم الإجمالي كالعلم التفصيلي في منجّزية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صحيح زرارة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عَلِمتُ أنّه قد أصابه، ولم أدرِ أينَ هو فأغسله‌؟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اشتبه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 صلّى في كلّ واحدٍ منهما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766"/>
      </w:r>
      <w:r>
        <w:rPr>
          <w:rFonts w:ascii="Amiri" w:hAnsi="Amiri" w:eastAsia="Amiri" w:cs="Amiri"/>
          <w:color w:val="111111"/>
          <w:sz w:val="28"/>
          <w:sz w:val="28"/>
          <w:szCs w:val="28"/>
          <w:rtl w:val="true"/>
          <w:lang w:bidi="ar-SA"/>
        </w:rPr>
        <w:t>، إذ هو عالمٌ بطهارة أحدهما، فالتكليف بالصّلاة في الثّوب الطاهر فعليّ ومنجّزٌ، فمقتضى قاعدة الاحتياط هو تكرار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صحيح صفوان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إلى أبي الحسن عليه السلام يسأله عن الرّجل معه ثوبان، فأصاب أحدهما بولٌ‌، ولم يدر أيّهما هو، وحضرت الصّلاة، وخافَ فوتها، وليس عنده ماءٌ‌، كيف يصنع‌؟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فيهما جميعاً</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هذا الرأي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ضعف ما عن ابني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الصّلاة عارياً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68"/>
      </w:r>
      <w:r>
        <w:rPr>
          <w:rFonts w:ascii="Amiri" w:hAnsi="Amiri" w:eastAsia="Amiri" w:cs="Amiri"/>
          <w:color w:val="111111"/>
          <w:sz w:val="28"/>
          <w:sz w:val="28"/>
          <w:szCs w:val="28"/>
          <w:rtl w:val="true"/>
          <w:lang w:bidi="ar-SA"/>
        </w:rPr>
        <w:t>الوارد فيه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يتركهما، ويُصلّي عارياً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فلإرساله، وإعراض الأصحاب عنه، ومعارضته مع الصحيح،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عنده مع الثوبين المشتبهين ثوبٌ طاهر، وإلّا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التفصيل بين ما لو كان له غَرَضٌ عقلائي في عدم الصّلاة في الثّوب الطاهر، وبين ما لم يكن، فيجوزُ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النائيني رحمه الله</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لعدم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جواز الامتثال الإجمالي مع التمكّن من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الحاكم بوجوب الطاعة، يستقلّ بكون الانبعاث عن احتمال الأمر في طول الانبعاث عن بعث المولى، فلا يُجتزى بالتحرّك عن احتمال الأمر، مع إمكان التحرّك عن نفس 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عند العقل في حصول الطاعة، سوى إتيان المأمور به بجميع قيوده مضافاً إلى المولى، فاعتبار لزوم التحرّك عن تحريك المولى ممّا لم يدلّ عليه دليل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الشكّ في اعتبار ذلك، بما أنّه شكٌّ في التقييد الزائد، فالمرجع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الفرض يكون التحرّك عن التحريك الجزمي، للعلم بطهارة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الثوبين، فيكون عالماً بكون الصّلاة في أحدهما مأموراً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التمييز فاسدٌ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تكرار الصّلاة مع عدم الغرض العقلائي يكون لَعباً وعَبَثاً بأمر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اللّعب على فرض سرايته إلى الامتثال، لا يفيد عدمه بوجود غرضٍ عقلائي، لأنّ وجوده لا يكفي في صحّة العبادة لاعتبار صدورها عن قصد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يكون في الإتيان بما ليس بمأمورٍ به في الواقع، لا في إتيان المأمور به، وضمّ اللّعب إلى الامتثال لا يوجب عدم تحقّقه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جواز تكرار الصّلاة في الثوبين مطلقاً</w:t>
      </w:r>
      <w:r>
        <w:rPr>
          <w:rFonts w:eastAsia="Amiri" w:cs="Amiri" w:ascii="Amiri" w:hAnsi="Amiri"/>
          <w:color w:val="111111"/>
          <w:sz w:val="28"/>
          <w:szCs w:val="28"/>
          <w:rtl w:val="true"/>
          <w:lang w:bidi="ar-SA"/>
        </w:rPr>
        <w:t>.</w:t>
      </w:r>
      <w:bookmarkStart w:id="336" w:name="pg11798_104672"/>
    </w:p>
    <w:p>
      <w:pPr>
        <w:pStyle w:val="BookText"/>
        <w:rPr/>
      </w:pPr>
      <w:bookmarkEnd w:id="336"/>
      <w:r>
        <w:rPr>
          <w:rFonts w:ascii="Amiri" w:hAnsi="Amiri" w:eastAsia="Amiri" w:cs="Amiri"/>
          <w:color w:val="111111"/>
          <w:sz w:val="28"/>
          <w:sz w:val="28"/>
          <w:szCs w:val="28"/>
          <w:rtl w:val="true"/>
          <w:lang w:bidi="ar-SA"/>
        </w:rPr>
        <w:t>ولو لم يتمكّن مِنْ غَسل الثّوب، صَلّى عُرياناً إذا لم يجد غيره</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0417012_73709187"/>
      <w:bookmarkStart w:id="338" w:name="_Toc124"/>
      <w:bookmarkEnd w:id="337"/>
      <w:r>
        <w:rPr>
          <w:rtl w:val="true"/>
        </w:rPr>
        <w:t>انحصار الثّوب في النّجس</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يتمكّن من غَسل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من نزعه،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عُرياناً إذا لم يجد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7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شهرةً عظيمة،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788"/>
      </w:r>
      <w:r>
        <w:rPr>
          <w:rFonts w:ascii="Amiri" w:hAnsi="Amiri" w:eastAsia="Amiri" w:cs="Amiri"/>
          <w:color w:val="111111"/>
          <w:sz w:val="28"/>
          <w:sz w:val="28"/>
          <w:szCs w:val="28"/>
          <w:rtl w:val="true"/>
          <w:lang w:bidi="ar-SA"/>
        </w:rPr>
        <w:t>، وجماعةٌ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يُصلّي في الثّوب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أنّه الصّلاة عارياً، لإطلاق النهي عن الصّلاة في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مع إطلاق دليل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الستر قُيِّد بالسّاتر الطاهر، وحيثُ أنّه غير متمكّن منه فيسقط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الدليل لم يقيّد بالسّاتر الطاهر، بل اعتبار الطهارة وعدم النجاسة إنّما يكون في الصّلاة في عرض اعتبار الستر، لا في الساتر بما هو ساتر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فبما أنّ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حقّقناه في مبحث القبلة</w:t>
      </w:r>
      <w:r>
        <w:rPr>
          <w:rStyle w:val="FootnoteAnchor"/>
          <w:rtl w:val="true"/>
        </w:rPr>
        <w:footnoteReference w:id="790"/>
      </w:r>
      <w:r>
        <w:rPr>
          <w:rFonts w:ascii="Amiri" w:hAnsi="Amiri" w:eastAsia="Amiri" w:cs="Amiri"/>
          <w:color w:val="111111"/>
          <w:sz w:val="28"/>
          <w:sz w:val="28"/>
          <w:szCs w:val="28"/>
          <w:rtl w:val="true"/>
          <w:lang w:bidi="ar-SA"/>
        </w:rPr>
        <w:t xml:space="preserve">من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لقاطبة المحقّقين من المتأخّرين أنّ موارد التنافي بين الحكمين الضمنيين من موارد التعارض لا التزاحم، وأنّ مركز التنافي إطلاق دليل كلٍّ من المعتبرين في المركّب،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وأنّه لو كان بينهما عمومٌ من وجه يتساقط الإطلاقان، ويرجع إلى الأصل، ففي المقام يقع التعارض بين دليل اعتبار الستر، وإطلاق دليل اعتبار الطهارة، فيتساقطان، والمرجع إلى أصالة البراءة عن وجوب كلّ منهما بالخصوص، بناءً على ما هو الحقّ من جريانها عند دوران الأمر بين التعيين والتخيير، فيثبت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بحسب القواعد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بحسب النصوص الخاصّة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في فلاةٍ من الأرض، وليس عليه إلّاثوبٌ واحد، وأجنب فيه، وليس عنده ماءٌ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عرياناً قاعداً يؤمي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نحوه، إلّاأنّ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عرياناً قائماً يؤمي إيماءً‌</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الحلبي، المتعيّن ترجيحهما على معارضهما كصحيح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رجلٍ‌أجنب في ثوبه، وليس معه ثوبٌ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w:t>
      </w:r>
      <w:r>
        <w:rPr>
          <w:rStyle w:val="FootnoteAnchor"/>
          <w:rtl w:val="true"/>
        </w:rPr>
        <w:footnoteReference w:id="794"/>
      </w:r>
      <w:r>
        <w:rPr>
          <w:rFonts w:ascii="Amiri" w:hAnsi="Amiri" w:eastAsia="Amiri" w:cs="Amiri"/>
          <w:color w:val="111111"/>
          <w:sz w:val="28"/>
          <w:sz w:val="28"/>
          <w:szCs w:val="28"/>
          <w:rtl w:val="true"/>
          <w:lang w:bidi="ar-SA"/>
        </w:rPr>
        <w:t>الآخر، وصحيح</w:t>
      </w:r>
      <w:r>
        <w:rPr>
          <w:rStyle w:val="FootnoteAnchor"/>
          <w:rtl w:val="true"/>
        </w:rPr>
        <w:footnoteReference w:id="795"/>
      </w:r>
      <w:r>
        <w:rPr>
          <w:rFonts w:ascii="Amiri" w:hAnsi="Amiri" w:eastAsia="Amiri" w:cs="Amiri"/>
          <w:color w:val="111111"/>
          <w:sz w:val="28"/>
          <w:sz w:val="28"/>
          <w:szCs w:val="28"/>
          <w:rtl w:val="true"/>
          <w:lang w:bidi="ar-SA"/>
        </w:rPr>
        <w:t>عبد الرحمن عن أبي عبد اللّه عليه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عريان وحضرت الصّلاة، فأصاب ثوباً نصفه دم أو كلّه دم، يُصلّي فيه أو يُصلّي عرياناً؟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غَسله، وإنْ لم يجد ماءً صَلّى فيه، ولم يُصلِّ عرياناً</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لأنّهما أشهر فيقدّمان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الجمع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بحمل الأخيرة على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حملها على صورة الاضطرار، وحمل الأخبار الأول على غيرها، بشهادة ما رواه محمّد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يُجنب في الثّوب أو يصيبه بول، وليس معه ثوبٌ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إذا اضطرّ إليه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حمل النصوص على التخيير، بأن ترفع اليد عن ظهور كلٍّ من الطائفتين في الوجوب التعييني بقرينة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الأوّل مضافاً إلى أنّه تبرّعي، يأباه قوله في صحيح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وحضرت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يأباه فرض السائل في الصحيح المذكور، كون الرجل عرياناً، مع أنّ الاضطرار في خبر الحلبي لعلّه اُريد منه الاضطرار من جهة الصّلاة لا من جهة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الثالث ليس جمعاً عرفيّاً، إذ النفي والإثبات في الطائفتين واردان على شيءٍ واحد، وهو الصّلاة عرياناً، وفي مثل هذا المورد لا يمكن الجمع العرفي بينهما، إذ العرف لا يرى إحداهما قرينةً على الاُخرى‌، بل يرى بينهما التهافت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المتعيّن الرجوع إلى المرجّحات، وقدعرفت أنّ‌الترجيح لنصوص العريان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خافَ البَرد صَلّى فيه ولا 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ثوبه نجساً ولم يتمكّن من نزعه،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إذ الصّلاة لا تَدَعُ بحالٍ‌، مضافاً إلى إطلاق جملةٍ من النصوص المتقدّمة، وهذا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الخلاف فيما ذكره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بل هو المشهور شهرةً عظيمة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800"/>
      </w:r>
      <w:r>
        <w:rPr>
          <w:rFonts w:ascii="Amiri" w:hAnsi="Amiri" w:eastAsia="Amiri" w:cs="Amiri"/>
          <w:color w:val="111111"/>
          <w:sz w:val="28"/>
          <w:sz w:val="28"/>
          <w:szCs w:val="28"/>
          <w:rtl w:val="true"/>
          <w:lang w:bidi="ar-SA"/>
        </w:rPr>
        <w:t>وابن الجُنيد</w:t>
      </w:r>
      <w:r>
        <w:rPr>
          <w:rStyle w:val="FootnoteAnchor"/>
          <w:rtl w:val="true"/>
        </w:rPr>
        <w:footnoteReference w:id="801"/>
      </w:r>
      <w:r>
        <w:rPr>
          <w:rFonts w:ascii="Amiri" w:hAnsi="Amiri" w:eastAsia="Amiri" w:cs="Amiri"/>
          <w:color w:val="111111"/>
          <w:sz w:val="28"/>
          <w:sz w:val="28"/>
          <w:szCs w:val="28"/>
          <w:rtl w:val="true"/>
          <w:lang w:bidi="ar-SA"/>
        </w:rPr>
        <w:t>وغيرهما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 النصوص عن الأمر بالإعادة، وبأنّه صَلّى صلاةً مأموراً بها، فيسقط الفرض، فلا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النصوص إنّما تدلّ على جواز الصّلاة في الثّوب النّجس إذا اضطرّ إلى الصّلاة المأمور بها فيه، ويتوقّف ذلك على عدم القدرة على الصّلاة في الثّوب الطاهر في مجموع الوقت، وإلّا فعدم القدرة عليها في زمانٍ‌، كعدم القدرة عليها في مكانٍ خاص، غير مشمول للنصوص، فإذا انكشف ثبوت القدرة في أثناء الوقت، إنكشف عدم سقوط اعتبار الطهارة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الثاني، إذ كون ما أتى به مأموراً به، يتوقّف على جواز البدار لذي العذر واقعاً، وهو خلاف التحقيق كما عرفت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استمرّ العجزُ إلى آخر الوقت، يكون ما أتى به مأموراً به، فيسقط</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الفرض، مضافاً إلى خلوّ النصوص الآمرة بالصّلاة فيه عن الأمر بالإعادة، مع أنّه أمر فيها بالغَسل بعد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التمكّن من التطهير، أو التبديل في أثناء الوقت، فيجبُ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التمكّن منه في خارجة، فلا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ليس عليه إلّاثوبٌ واحد، ولا تحلّ الصّلاة فيه، وليس يجدُ ماءً لغسله،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ويُصلّي، فإذا أصاب ماءً غسله وأعاد الصّلاة</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فلأجل احتمال أن تكون الإعادة لأجل التيمّم، لابدَّ من حمل الأمر بها على الاستحباب، كما سيأتي في محلّه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39" w:name="pg11798_104678"/>
    </w:p>
    <w:p>
      <w:pPr>
        <w:pStyle w:val="Heading6"/>
        <w:numPr>
          <w:ilvl w:val="5"/>
          <w:numId w:val="1"/>
        </w:numPr>
        <w:rPr/>
      </w:pPr>
      <w:bookmarkStart w:id="340" w:name="__RefHeading___Toc10417014_73709187"/>
      <w:bookmarkStart w:id="341" w:name="_Toc125"/>
      <w:bookmarkEnd w:id="339"/>
      <w:bookmarkEnd w:id="340"/>
      <w:r>
        <w:rPr>
          <w:rtl w:val="true"/>
        </w:rPr>
        <w:t>فروع ثوب المصلّي</w:t>
      </w:r>
      <w:bookmarkEnd w:id="341"/>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ثوبان، يعلم بنجاسة أحدهما، ولم يتمكّن إلّامن صلاةٍ واحدة، فهل يُصلّي في أحدهما، أو عارياً، أو يتخيّر بينهما؟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بناءً على وجوب الصّلاة في الثّوب النّجس، عند انحصار الثّوب لا عارياً، يتعيّن في المقام القول بوجوب الصّلاة في أحدهما للأولويّة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وجوب الصّلاة عارياً مع الانحصار، كما هو الأقوى‌، فبما أنّ نصوص تلك المسألة لا تشمل ما نحن فيه، لا بالمنطوق ولا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 تلك النصوص ما لم يكن عنده إلّاثوبٌ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تقديم مانعيّة النجاسة المتيقّنة على شرطيّة الستر، لا تلازم تقدّم المانعيّة المحتملة، فلابدَّ من الرجوع إلى القواعد، وما ذكرناه في تلك المسألة من ما تقتضيه القاعدة، لا يجري في المقام، لعدم الاضطرار إلى مخالفة شيءٍ من ما يعتبر في الصّلاة، غاية الأمر لا يحصل العلم بالإمتثال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المقام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المخالفة القطعيّة لمانعيّة النجاسة لا تجوز قطعاً، إذ دليل المانعيّة يقتضي حرمتها، ودليل شرطيّة التستّر بالنسبة إليها يكون لا اقتضاء، لأنّه لا يقتضي أزيد من اعتبار لبس ثوبٍ واحد، فلا محالة يقع التنافي بين الموافقة القطية لمانعيّة النجاسة، والموافقة القطعيّة لشرطيّة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يرد عن الشارع ما يعيّن التكليف في الفرض، فالمرجع إلى ما يستقلّ به العقل، وليس هو إلّاالتخيير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من بدنه وثوبه نجساً، ولم يكن له من الماء إلّاما يكفي أحدهما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يجبُ عليه تطهير البَدَن مع الصّلاة في الثّوب النّجس، كما اختاره بعض الأعاظم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مع الصّلاة عارياً، كما هو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يتخيّر بينه، وبين تطهير البَدَن والصّلاة في الثّوب النّجس‌؟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بوجوب الصّلاة عارياً مع الانحصار، فالحكم واضحٌ‌، وهو تعيّن تطهير البَدَن والصّلاة عارياً، وأمّا إنْ قلنا بوجوب الصّلاة في النّجس، فالأقوى هو القول بالتخيير، إذ النجاسة إنّما جُعلت موضوعاً للمانعيّة بنحو الطبيعة السارية، فكلٍّ من نجاسة البَدَن ونجاسة الثّوب فردٌ من المانع، يجبُ عند التمكّن إزالتها، ومع عدم التمكّن يتخيّر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الأعاظم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تعيّن تطهير البَدَن على هذا القول، بأنّ نجاسة البَدَن ممّا يحتمل أولويّتها في المانعيّة، فيدور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التعيّن والتخيير، والأصل يقتضى التعيّن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بالتخيير في ما إذا دار الأمر بين التعيين والتخيير، إذ الشكّ في المقام يكون في السقوط بخلاف ذلك المقام، فإنّ الشكّ فيه في الثبوت، إذ الشكّ في المقام يكون سقوط مانعيّة نجاسة البَدَن بواسطة العجز بعد العلم بثبوتها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صحّ دعوى احتمال أهميّة مانعيّة نجاسة البَدَن، فكذلك تصحّ دعوى احتمال أهميّة مانعيّة الثّوب، وإنْ كان الصحيح عدم صحّة كلتا الدعويين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احتمال الأهميّة، يوجب تقديم ما يحتمل فيه تلك في موارد التزاحم لا التعارض، والمقام من موارد الثاني لا الأوّل، لما أشرنا إليه مراراً من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موارد التنافي بين الحكمين الضمنيين من موارد التعارض لا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ذكره من الفرق بين هذا المورد من موارد دوران الأمر بين التعيين والتخيير، وسائر الموارد، بأنّه في المقام يكون الشكّ في السقوط لا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إذ في المقام سواءٌ أكان من موارد التعارض أو التزاحم، يكون الشكّ في الثبوت أيضاً، إذ مع عدم إمكان امتثالهما، يكون أحدهما غير ثابتٍ‌، لا أنّه يثبت ويسقط بالعجز،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على القول بوجوب الصّلاة في النّجس، هوالقول بالتخيير، من غير فرقٍ بين كونهما متساويين، أو كون نجاسة أحدهما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نجاسة أحدهما أكثر تعيّن ترجيحه، إذ الضرورات تتقدّر بقدرها، فبالمقدار الذي يَضطرّ المكلّف من الصّلاة فيه، وهو النجاسة بالمقدار الأقلّ‌، يكون معفوّاً عنه، وأمّا الزائد عليه، فلا دليل على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الاضطرار إلى الصّلاة في النجاسة، لا فرق بين قليلهاوكثيرها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النجاسة التي أُخذت موضوعاً للمانعيّة، ملحوظة بنحو الطبيعة السارية، فيجبُ عليه إزالة أيّ مقدارٍ منها أمكن إزالته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مقدارٌ من الماء لايكفي إلّالرفع الحَدَث أو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يتعيّن رفع الخَبَث، ويتيمّم بدلاً عن الوضوء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يتخيّر بين ذلك والوضوء أو الغسل والصّلاة في النّجس‌؟ قولان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 هو المشهور بين المحقّقين، لكن الأقوى هو الثاني، ويبتني ما ذهب إليه المشهور في هذه المسألة أيضاً على ما بنوا عليه من أنّ موارد التنافي بين الحكمين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الضمنيين من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فبما أنّ من مرجّحات باب التزاحم، كون أحد الواجبين ممّا ليس له بدلٌ‌، والآخر ممّا له بدل، والطهارة الحَدَثيّة المائيّة ممّا له بدل دون الطهارة الخَبَثيّة، فتقدّم الثانية، وينتقل الأولى إلى البدل، ولكن قد عرفت مراراً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تفصيله في مبحث القبلة</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الموارد من موارد التعارض لا التزاحم، وأنّ مركز التنافي هو إطلاق دليل كلٍّ من الحكمين الضمنيين، وبما أنّ النسبة بينهما عموم من وجه، فيتساقطان والمرجع إلى الأصل، وهو يقتضي التخيير، ففي المقام يقع التعارض بين إطلاق دليل اعتبار الطهارة الحَدَثيّة المائيّة، وإطلاق دليل اعتبار الطهارة الخَبَثيّة، فيتساقطان، والمرجع إلى أصالة البراءة عن تعيّن كلٍّ منهما، فيثبت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على الموضع النّجس جهلاً بالنجاسة أو نسياناً، لا يجب عليه الإعادة إذا التفت بعد الصّلاة، ولا تُدارك السّجدة إذ التفت بعد رفع الرأس منها، لعموم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بناءً على ما هو الصحيح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المستثنى الطهارة الحَدَثيّة، وأنّ الطهارة إنّما تكون شرطاً للصَّلاة في حال السجود لا من شرائط السجود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2" w:name="pg11798_104682"/>
    </w:p>
    <w:p>
      <w:pPr>
        <w:pStyle w:val="BookText"/>
        <w:rPr/>
      </w:pPr>
      <w:bookmarkEnd w:id="342"/>
      <w:r>
        <w:rPr>
          <w:rFonts w:ascii="Amiri" w:hAnsi="Amiri" w:eastAsia="Amiri" w:cs="Amiri"/>
          <w:color w:val="111111"/>
          <w:sz w:val="28"/>
          <w:sz w:val="28"/>
          <w:szCs w:val="28"/>
          <w:rtl w:val="true"/>
          <w:lang w:bidi="ar-SA"/>
        </w:rPr>
        <w:t>ولو صَلّى في النَّجس مع العلم، أعاد في الوقت وخارجه، ولو نَسي في حال الصّلاة أعاد في الوقت لا خارجه</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10417016_73709187"/>
      <w:bookmarkStart w:id="344" w:name="_Toc126"/>
      <w:bookmarkEnd w:id="343"/>
      <w:r>
        <w:rPr>
          <w:rtl w:val="true"/>
        </w:rPr>
        <w:t>الصَّلاة في النَّجس عالما</w:t>
      </w:r>
      <w:bookmarkEnd w:id="344"/>
    </w:p>
    <w:p>
      <w:pPr>
        <w:pStyle w:val="Heading6"/>
        <w:numPr>
          <w:ilvl w:val="5"/>
          <w:numId w:val="1"/>
        </w:numPr>
        <w:rPr/>
      </w:pPr>
      <w:bookmarkStart w:id="345" w:name="__RefHeading___Toc10417018_73709187"/>
      <w:bookmarkStart w:id="346" w:name="_Toc127"/>
      <w:bookmarkEnd w:id="345"/>
      <w:r>
        <w:rPr>
          <w:rtl w:val="true"/>
        </w:rPr>
        <w:t>اشارة</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صَلّى في النّجس مع العلم، أعاد في الوقت وخارجه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وتشهد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الدالّة على لزوم إزالة النجاسة عن الثّوب والبَدَن المتقدّم بعضها، إذ بناءً على اعتبار الطهارة، يكون المأتي به غير مطابقٍ للمامور به، فيكون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 ثوبه جنابة أو دم‌؟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أنّه أصاب ثوبه جنابه قبل أن يُصلّي، ثمّ صَلّى فيه ولم يغسله، فعليه أن يُعيد ما صَلّى‌</w:t>
      </w:r>
      <w:r>
        <w:rPr>
          <w:rFonts w:eastAsia="Amiri" w:cs="Amiri" w:ascii="Amiri" w:hAnsi="Amiri"/>
          <w:color w:val="111111"/>
          <w:sz w:val="28"/>
          <w:szCs w:val="28"/>
          <w:rtl w:val="true"/>
          <w:lang w:bidi="ar-SA"/>
        </w:rPr>
        <w:t>»</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 في حال الصَّلاة، أعاد في الوقت لا 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والمصنّف رحمه الله في جملةٍ من كتبه</w:t>
      </w:r>
      <w:r>
        <w:rPr>
          <w:rStyle w:val="FootnoteAnchor"/>
          <w:rtl w:val="true"/>
        </w:rPr>
        <w:footnoteReference w:id="812"/>
      </w:r>
      <w:r>
        <w:rPr>
          <w:rFonts w:ascii="Amiri" w:hAnsi="Amiri" w:eastAsia="Amiri" w:cs="Amiri"/>
          <w:color w:val="111111"/>
          <w:sz w:val="28"/>
          <w:sz w:val="28"/>
          <w:szCs w:val="28"/>
          <w:rtl w:val="true"/>
          <w:lang w:bidi="ar-SA"/>
        </w:rPr>
        <w:t>، بل المشهور بين المتأخّرين</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الإعادة مطلقاً،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815"/>
      </w:r>
      <w:r>
        <w:rPr>
          <w:rFonts w:ascii="Amiri" w:hAnsi="Amiri" w:eastAsia="Amiri" w:cs="Amiri"/>
          <w:color w:val="111111"/>
          <w:sz w:val="28"/>
          <w:sz w:val="28"/>
          <w:szCs w:val="28"/>
          <w:rtl w:val="true"/>
          <w:lang w:bidi="ar-SA"/>
        </w:rPr>
        <w:t xml:space="preserve">في بعض كتبه،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بالصحّة، ونفي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ثوب الرّجل الدّم فصلّى فيه، وهو لا يعلم، فلا إعادة عليه، وإنْ هو علم قبل أن يُصلّي، فنسي وصلّى فيه، فعليه الإعادة</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نقط الدّم يعلم به، ثمّ ينسى أنْ يغسله فيُصلّي فيه، ثمّ يذكر بعدما صلّى‌، أيُعيد صلاته‌؟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ولا يُعيد صلاته، إلّاأن يكون مقدار الدِّرهم فيغسله ويُعيد الصّلاة</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المَني، فعلّمتُ أثره إلى أن اُصيب له الماء، وحَضَرتِ الصّلاة، ونسيتُ أنّ بثوبي شيئاً، وصلّيت ثمّ إنّي ذكرتُ بعد ذلك‌؟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هذه النصوص على وجوب القضاء، إنّما يكون بالإطلاق، فيقيّد بصحيح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سليمان بن رشيد يخبره أنّه بال في ظُلمة من اللّيل، وأنّه أصاب كفّه برد نقطةٍ من البول، لم يشكّ أنّه أصابه ولم يره، وأنّه مسحه بخرقةٍ ثمّ نسى أن يغسله، وتمسّح بدهن فمَسَح به كفّيه ووجهه ورأسه، ثمّ توضّأ وضوء الصّلاة، فصلّى؟</w:t>
      </w:r>
    </w:p>
    <w:p>
      <w:pPr>
        <w:pStyle w:val="BookText"/>
        <w:rPr/>
      </w:pPr>
      <w:r>
        <w:rPr>
          <w:rFonts w:ascii="Amiri" w:hAnsi="Amiri" w:eastAsia="Amiri" w:cs="Amiri"/>
          <w:color w:val="111111"/>
          <w:sz w:val="28"/>
          <w:sz w:val="28"/>
          <w:szCs w:val="28"/>
          <w:rtl w:val="true"/>
          <w:lang w:bidi="ar-SA"/>
        </w:rPr>
        <w:t>فأجاب عليه السلام بجوابٍ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توهّمت ممّا أصاب يدك، فليس بشيءٍ إلّا ما تحقّق، فإنْ حقّقت ذلك كنتَ حقيقاً أن تُعيد الصّلوات اللّواتي كنت صلّيتهن بذلك الوضوء بعينه ما كان منهنّ في وقت، وما فاتَ وقتها فلا إعادة عليك لها مِنْ قِبل أنّ الرجل إذا كان ثوبه نجساً لم يُعد الصّلاة إلّاما كان في وقتٍ‌، وإذا كان جُنُباً أو صلّى على غير وضوء، فعليه إعادة الصّلوات المكتوبات اللّواتي فاتته، لأنّ الثّوب خلاف الجسد</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رشيد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مضمر والمسؤول عنه غير معلوم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المتن وإجماله، إذ الوضوء إنْ كان باطلاً فلا وجه للتفصيل بين الوقت وخارجه، لمنافاته مع ذيل الصحيح، وإنْ لم يكن باطلاً، فما الوجه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الوضوء 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علي بن مهزيار الثقة قرأ المكتوب ونقله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مضافاً إلى أنّ ابن مهزيار من أجلّاء الأصحاب، وهو لا يروي عن غير المعصوم، فإنّ الكليني رحمه الله روى الصحيح، وقد ذكر في أوّل كتابه الجامع أنّه لا يروي رواية عن غير المعصوم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بحث تنجيس المتنجّس أنّه لا اضطراب في متن الحديث على القول بعدم التنجيس فراجع</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مع أنّ‌إجمال صدرالحديث لايضرّبالاستدلال بذيله الصريح في التفصيل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24"/>
      </w:r>
      <w:r>
        <w:rPr>
          <w:rFonts w:ascii="Amiri" w:hAnsi="Amiri" w:eastAsia="Amiri" w:cs="Amiri"/>
          <w:color w:val="111111"/>
          <w:sz w:val="28"/>
          <w:sz w:val="28"/>
          <w:szCs w:val="28"/>
          <w:rtl w:val="true"/>
          <w:lang w:bidi="ar-SA"/>
        </w:rPr>
        <w:t>أنّ ذيله وإنْ كان صريحاً في التفصيل المذكور، إلّاأنّه غير ظاهر في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السؤال والجواب هو الناسي، فالكبرى الكليّة المذكورة في مقام التعليل لابدَّ وأن تشمله، وإلّا لم يصحّ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نصوص الباب روايتين غير قابلتين للحمل على الإعادة في الوقت، لصراحتهما في لزوم الإعادة خارجه،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محمّد بن مسلم، الوارد في الدّم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قد رأيته وهو أكثر من مقدار الدِّرهم فضيّعت غَسله، وصلّيت فيه صلاةً كثيرة، فأعِد ما صلّيت فيه</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احتجَم فأصاب ثوبه دمٌ‌، فلم يعلم به حتّى إذا كان من الغد؟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 فلم يغسله، فليقضِ جميع مافاته على قَدْر ما كان يُصلّي، ولا ينقص منه شيء</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مطلقان من حيث العامد والناسي، بل قوله عليه السلام في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فضيّعتَ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إرادة العامد المفرط في الغسل، فيقيّد إطلاقهما بصحيح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الحسن غير نصٍ في القضاء، إذ الصّلوات الكثيرة مطلقة من حيث الفريضة والنافلة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بالصحّة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صلّى صلاةً مشروعة مأموراً بها، فيسقط الفرض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وبحديث رفع النسيان،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العلاء،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يُصيب ثوبه الشيء ينجسه فينسى أن يغسله فيُصلّي فيه، ثمّ يذكر أنّه لم يكن غَسَله، أيُعيد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قد مضت الصّلاة، وكُتِبت له</w:t>
      </w:r>
      <w:r>
        <w:rPr>
          <w:rFonts w:eastAsia="Amiri" w:cs="Amiri" w:ascii="Amiri" w:hAnsi="Amiri"/>
          <w:color w:val="111111"/>
          <w:sz w:val="28"/>
          <w:szCs w:val="28"/>
          <w:rtl w:val="true"/>
          <w:lang w:bidi="ar-SA"/>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والمستفيضة النافية للإعادة عن ناسي الاستنجاء، كموثّق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نسي أن يستنجي من الغائط حتّى يُصلّي، لم يعُد الصّلاة</w:t>
      </w:r>
      <w:r>
        <w:rPr>
          <w:rFonts w:eastAsia="Amiri" w:cs="Amiri" w:ascii="Amiri" w:hAnsi="Amiri"/>
          <w:color w:val="111111"/>
          <w:sz w:val="28"/>
          <w:szCs w:val="28"/>
          <w:rtl w:val="true"/>
          <w:lang w:bidi="ar-SA"/>
        </w:rPr>
        <w:t>»</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بدعوى حمل الأخبار المتقدّمة بقرينة هذه النصوص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إطلاق دليل شرطيّة الطهارة، أنّه لم يُصلِّ صلاةً مأموراً بها، فلا يسقط الفرض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محلّه من عدم شمول الحديث لصلاة ما لم يكن النسيان مستوعباً للوقت، إذ ما طرأ عليه النسيان وهو الفرد، لا يكون معلّقاً للتكليف، وما هو متعلّق التكليف وهو الطبيعي لم يطرأ عليه النسيان، وتمام الكلام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فالحديث أيضاً يدلّ على القول المختار،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وإنْ دلّ على الصحّة، وعدم لزوم الإعادة مطلقاً، إلّاأنّه لا بدَّ من تقييده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الجمع المذكور بين نصوص الإعادة وبين النافية لها، لا يُعدّ جمعاً عرفيّاً، لأنّ الراويتين المتنافيتين إذا كان النفي والإثبات فيهما واردين على شيءٍ واحد، بحيث ينفي أحدهما ما يُثبته الآخر، يكونان من المتعارضين، ولا يمكن الجمع بينهما، إذ العرف لا يرى إحداهما قرينةً على الاُخرى‌، بل يرى بينهما التهافت، والمقام من هذا القبيل، كما هو الظاهر، فإذاً لابدَّ من الرجوع إلى مرجّحات باب المعارضة، والترجيح مع نصوص الإعادة لوجوهٍ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صحيح علي بن مهزيار كما يُقيّد إطلاق نصوص الإعادة يقيّد إطلاق هذه النصوص</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بلزوم الإعادة في الوقت لا خارجه</w:t>
      </w:r>
      <w:r>
        <w:rPr>
          <w:rFonts w:eastAsia="Amiri" w:cs="Amiri" w:ascii="Amiri" w:hAnsi="Amiri"/>
          <w:color w:val="111111"/>
          <w:sz w:val="28"/>
          <w:szCs w:val="28"/>
          <w:rtl w:val="true"/>
          <w:lang w:bidi="ar-SA"/>
        </w:rPr>
        <w:t>.</w:t>
      </w:r>
      <w:bookmarkStart w:id="347" w:name="pg11798_104688"/>
    </w:p>
    <w:p>
      <w:pPr>
        <w:pStyle w:val="Heading6"/>
        <w:numPr>
          <w:ilvl w:val="5"/>
          <w:numId w:val="1"/>
        </w:numPr>
        <w:rPr/>
      </w:pPr>
      <w:bookmarkStart w:id="348" w:name="__RefHeading___Toc10417020_73709187"/>
      <w:bookmarkStart w:id="349" w:name="_Toc128"/>
      <w:bookmarkEnd w:id="347"/>
      <w:bookmarkEnd w:id="348"/>
      <w:r>
        <w:rPr>
          <w:rtl w:val="true"/>
        </w:rPr>
        <w:t>فرعان حول الصلاة في النجس</w:t>
      </w:r>
      <w:bookmarkEnd w:id="349"/>
    </w:p>
    <w:p>
      <w:pPr>
        <w:pStyle w:val="Heading6"/>
        <w:numPr>
          <w:ilvl w:val="5"/>
          <w:numId w:val="1"/>
        </w:numPr>
        <w:rPr/>
      </w:pPr>
      <w:bookmarkStart w:id="350" w:name="__RefHeading___Toc10417022_73709187"/>
      <w:bookmarkStart w:id="351" w:name="_Toc129"/>
      <w:bookmarkEnd w:id="350"/>
      <w:r>
        <w:rPr>
          <w:rtl w:val="true"/>
        </w:rPr>
        <w:t>لو نسي النجاسة فذكرها في أثناء الصّلاة، فهل يجب الإعادة، أم لا؟</w:t>
      </w:r>
      <w:bookmarkEnd w:id="351"/>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النجاسة فذكرها في أثناء الصّلاة، فهل يجب الإعادة،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ذلك ممّا يقتضيه إطلاق الأدلّة الدالّة على مانعيّة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دليل على المعذوريّة بالنسبة إلى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نظر، إذ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حاكمٌ على تلك الأدلّة، وأنّ التذكّر كما سيأتي في بحث الجاهل عدم اعتبار الطهارة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الاستدلال له بصحيح ابن سنان في الدّم، الوارد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رأيته قبل أن تُصلّي، فلم تغسله، ثمّ رأيته بعدُ وأنتَ في صلاتك، فانصرف فاغسله وأعِد صلاتك</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علي بن جعفر الوارد في ناسي الإستنجاء</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2" w:name="__RefHeading___Toc10417024_73709187"/>
      <w:bookmarkStart w:id="353" w:name="_Toc130"/>
      <w:bookmarkEnd w:id="352"/>
      <w:r>
        <w:rPr>
          <w:rtl w:val="true"/>
        </w:rPr>
        <w:t>ناسي الحكم تكليفاً أو وضعاً، هل هو كناسي الموضوع</w:t>
      </w:r>
      <w:bookmarkEnd w:id="353"/>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 الحكم تكليفاً أو وضعاً، هل هو كناسي الموضوع أو كجاهل الحكم، أم يجب عليه الإعادة والقضاء؟ وجوهٌ‌، أقواها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الخبر المتقدّم الدالّ على لزوم الإعادة على العالم بالنجاسة، الذي نسى الغَسل، المقيّد في نسيان الموضوع بصحيح علي بن مهزيار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النصوص ظاهرة في نسيان الموضوع، ولا تشمل ناسى </w:t>
      </w:r>
    </w:p>
    <w:p>
      <w:pPr>
        <w:pStyle w:val="BookText"/>
        <w:rPr/>
      </w:pPr>
      <w:r>
        <w:rPr>
          <w:rFonts w:ascii="Amiri" w:hAnsi="Amiri" w:eastAsia="Amiri" w:cs="Amiri"/>
          <w:color w:val="111111"/>
          <w:sz w:val="28"/>
          <w:sz w:val="28"/>
          <w:szCs w:val="28"/>
          <w:rtl w:val="true"/>
          <w:lang w:bidi="ar-SA"/>
        </w:rPr>
        <w:t>الحكم تكليفاً أو 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ولإطلاق أدلّة شرطيّة الطهارة، إذ هو المرجع بعد تعارض إطلاق ما دلّ على لزوم الإعادة على العالم بالنجاسة، كصحيح ابن سنان المتقدّم، الشامل لما نحن فيه، مع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 أيضاً، وتساقطهما لكون النسبة بينهما عموماً من وجه، لعموم الصحيح لغير الناسي، وعموم الحديث لغير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35"/>
      </w:r>
      <w:r>
        <w:rPr>
          <w:rFonts w:ascii="Amiri" w:hAnsi="Amiri" w:eastAsia="Amiri" w:cs="Amiri"/>
          <w:color w:val="111111"/>
          <w:sz w:val="28"/>
          <w:sz w:val="28"/>
          <w:szCs w:val="28"/>
          <w:rtl w:val="true"/>
          <w:lang w:bidi="ar-SA"/>
        </w:rPr>
        <w:t>حكومة الحديث على أدلّة الجزئيّة والشرطيّة، ومنها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بوحدة اللّسان فيهما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54" w:name="pg11798_104690"/>
    </w:p>
    <w:p>
      <w:pPr>
        <w:pStyle w:val="BookText"/>
        <w:rPr/>
      </w:pPr>
      <w:bookmarkEnd w:id="354"/>
      <w:r>
        <w:rPr>
          <w:rFonts w:ascii="Amiri" w:hAnsi="Amiri" w:eastAsia="Amiri" w:cs="Amiri"/>
          <w:color w:val="111111"/>
          <w:sz w:val="28"/>
          <w:sz w:val="28"/>
          <w:szCs w:val="28"/>
          <w:rtl w:val="true"/>
          <w:lang w:bidi="ar-SA"/>
        </w:rPr>
        <w:t>ولو لم يتقدّم العِلمُ حتّى فرغ فلا إعادة</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0417026_73709187"/>
      <w:bookmarkStart w:id="356" w:name="_Toc131"/>
      <w:bookmarkEnd w:id="355"/>
      <w:r>
        <w:rPr>
          <w:rtl w:val="true"/>
        </w:rPr>
        <w:t>حكم الجاهل بالنّجاسة</w:t>
      </w:r>
      <w:bookmarkEnd w:id="356"/>
    </w:p>
    <w:p>
      <w:pPr>
        <w:pStyle w:val="Heading6"/>
        <w:numPr>
          <w:ilvl w:val="5"/>
          <w:numId w:val="1"/>
        </w:numPr>
        <w:rPr/>
      </w:pPr>
      <w:bookmarkStart w:id="357" w:name="__RefHeading___Toc10417028_73709187"/>
      <w:bookmarkStart w:id="358" w:name="_Toc132"/>
      <w:bookmarkEnd w:id="357"/>
      <w:r>
        <w:rPr>
          <w:rtl w:val="true"/>
        </w:rPr>
        <w:t>اشارة</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يتقدّم العلم حتّى فَرغ، فلا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المشهور</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الجهل بالنجاسة من حيث الحكم بأنْ لم يعلم أنّ الشيء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كعرق الجُنُب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أو عن جهلٍ بشرطيّة الطهارة للصَّلاة فيعيد في الوقت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كان جاهلاً بالموضوع، بأنْ لم يعلم أنّ ثوبه لاقى الدّم مثلاً حتّى فرغ من صلاته، فلا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المقام يقتضي التكلّم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الجهل بالموضوع</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10417030_73709187"/>
      <w:bookmarkStart w:id="360" w:name="_Toc133"/>
      <w:bookmarkEnd w:id="359"/>
      <w:r>
        <w:rPr>
          <w:rtl w:val="true"/>
        </w:rPr>
        <w:t>الجهل بالحكم</w:t>
      </w:r>
      <w:bookmarkEnd w:id="360"/>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نُسب إلى المشهور القول بالبطلان، وعن المحقّق الأردبيلي رحمه الله</w:t>
      </w:r>
      <w:r>
        <w:rPr>
          <w:rStyle w:val="FootnoteAnchor"/>
          <w:rtl w:val="true"/>
        </w:rPr>
        <w:footnoteReference w:id="837"/>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وبعض من 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الإعادة في الوقت، وعدم وجوب القضاء عليه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عدم وجوب الإعادة والقضاء، إلّاإذا كان جاهلاً، بسيطاً أو مركّباً، ولكنّه كان مقصّراً غير معذور، فيُعيد في الوقت ويقضي في خارجه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المشروط ينعدم بعدم شرطه، فالصّلاة الفاقدة للشرط باطلة غير مطابقة للمأمور بها، فيجب إتيانها في الوقت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فلأدلّة وجوب القضاء على من فاتته الفريضة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أصاب ثوبه جنابةٌ أو 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أنّه أصاب ثوبه جنابة قبل أن يُصلّي، ثمّ صَلّى فيه ولم يغسله، فعليه أن يُعيد ما صَلّى‌، وإنْ كان لم يعلم به، فليس عليه إعادة، وإنْ كان يرى أنّه أصابه شيءٌ فنظر فلم يرَ شيئاً أجزأه، أن ينضحه بالماء</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بإطلاقه يشمل الجاهل بالحكم، بل لعلّ الجاهل هو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وبمفهوم ما دلّ على عدم وجوب الإعادة على الجاهل بالموضوع، كصحيح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يُصلّي وفي ثوبه عَذَرةٌ من إنسانٍ أو سنّور أو كلبٍ‌، أيُعيد صلاته‌؟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القاعدة الأوّليّة، وإنْ كان ما ذُكر، إلّاأنّه يدلّ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وجوب الإعادة حديث</w:t>
      </w:r>
      <w:r>
        <w:rPr>
          <w:rStyle w:val="FootnoteAnchor"/>
          <w:rtl w:val="true"/>
        </w:rPr>
        <w:footnoteReference w:id="8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حاكمٌ على أدلّة الجزئيّة والشرطيّة، بناءً على ما هو الحقّ من شموله للجاهل غير المقصّر، وأنّ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الذي هو أحد ما استُثني، الطهارة من الحَدَث، كما ستعرف في الأجزاء القادمة من هذا الشرح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مع صحيح ابن سنان، والنسبة بينهما عموم مطلق، بناءً‌على شمول الحديث للعالم فيقدّم الصحيح عليه، وعموم من وجه بناءً على عدم شموله للعالم، لشمول الحديث لغير الطهارة من الخَبَث، وعموم الصحيح للعالم بالحكم فيتعارضان، وحيثُ أنّ دلالة كلٍّ منهما بالإطلاق، فيتساقطان فيرجع إلى أدلّة الشرطيّة، وقد مرّ أنّها تقتضي 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سيمرّ عليك من عدم شمول الصحيح للجاهل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السؤال على ما يظهر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بيان حكم الصّلاة الواقعة في الثّوب الذي أصابه جنابة أو دم، بعد مفروغيّة نجاستهما، ومانعيّة النجاسة للصَّلاة، ويؤيّده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له قوله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يرى أنّه أصابه شيءٌ فنَظَرَ فلم 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المتدبّر في الرواية يطمئن بأنّ مورد السؤال والجواب، هو العالم بالموضوع والحكم، وعليه فالمتيقّن منه حنيئذ هو العالم الناسي، فينطبق مفاده حينئذٍ مع جملة من النصوص الواردة في الناسي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اندفاع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44"/>
      </w:r>
      <w:r>
        <w:rPr>
          <w:rFonts w:ascii="IRNazanin" w:hAnsi="IRNazanin" w:eastAsia="IRNazanin"/>
          <w:color w:val="111111"/>
          <w:sz w:val="28"/>
          <w:sz w:val="28"/>
          <w:szCs w:val="28"/>
          <w:rtl w:val="true"/>
          <w:lang w:bidi="fa-IR"/>
        </w:rPr>
        <w:t>وتبعه بعض الأعاظم</w:t>
      </w:r>
      <w:r>
        <w:rPr>
          <w:rStyle w:val="FootnoteAnchor"/>
        </w:rPr>
        <w:footnoteReference w:id="84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أنّ الجاهل هو المتيقّن، إذ من البعيد كون العالم موضوعاً للسؤال، لوضوح وجوب الإعادة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النصوص ليست بمفهومها في مقام بيان حكمٍ آخر غير ما تقتضيه أدلّة شرطيّة الطهارة، بل تكون إرشاداً اليه، وقد مرّ أنّ الحديث حاكمٌ على أدلّة الشرطيّة، مع أنّ التمسّك بإطلاق مفهومها في غير محلّه، لعدم كونها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تكليف الجاهل بالطهارة قبيحٌ‌، لكونه تكليفاً بما لا يُطاق، فالصَّلاة مع الطهارة في هذا الحال غير مأمورٍ بها، وعليه فإنْ صار عالماً في الوقت وجب عليه الإعادة كما لا يخفى‌، وأمّا إنْ أصبح عالماً بعد الوقت، فحيثُ أنّ القضاء فرضٌ مستأنفٌ‌، فثبوته يحتاج إلى الدليل، وبما أنّه لا دليل على وجوب قضاء ما لا أمر به في وقته، فهو غَير مكلّفٍ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يظهر اندفاع ما أورده عليه المحقّق الهمداني رحمه الله</w:t>
      </w:r>
      <w:r>
        <w:rPr>
          <w:rStyle w:val="FootnoteAnchor"/>
          <w:rtl w:val="true"/>
        </w:rPr>
        <w:footnoteReference w:id="846"/>
      </w:r>
      <w:r>
        <w:rPr>
          <w:rFonts w:ascii="Amiri" w:hAnsi="Amiri" w:eastAsia="Amiri" w:cs="Amiri"/>
          <w:color w:val="111111"/>
          <w:sz w:val="28"/>
          <w:sz w:val="28"/>
          <w:szCs w:val="28"/>
          <w:rtl w:val="true"/>
          <w:lang w:bidi="ar-SA"/>
        </w:rPr>
        <w:t>بأنّ عدم التكليف بالشرط لا ينفي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أنّه مع عدم التكليف بالشرط، تكون الشرطيّة مجعولة، فهو غير صحيحٍ‌، إذ منشأ انتزاع الشرطيّة هو الأمر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أنّ المشروط بدون الشرط غير مأمورٍ به، فهو لا يكون ردّاً على ما ذكره من عدم وجوب القضاء في الفرض</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والغفلة ليسا مانعين عن فعليّة التكليف، وإنّما يمنعان عن تنجّزه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بمقتضى الأدلّة يجبُ في كلّ موردٍ صدق فوت الفريضة فيه، ولا يتوقّف ذلك على كون مافات مأموراً به، بل يصدق الفوت فيما كان ذا ملاكٍ مُلزم، وإنْ لم يكن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وجوب الإعادة والقضاء، فيما إذا لم يكن الجاهل مُقصّراً</w:t>
      </w:r>
      <w:r>
        <w:rPr>
          <w:rFonts w:eastAsia="Amiri" w:cs="Amiri" w:ascii="Amiri" w:hAnsi="Amiri"/>
          <w:color w:val="111111"/>
          <w:sz w:val="28"/>
          <w:szCs w:val="28"/>
          <w:rtl w:val="true"/>
          <w:lang w:bidi="ar-SA"/>
        </w:rPr>
        <w:t>.</w:t>
      </w:r>
      <w:bookmarkStart w:id="361" w:name="pg11798_104695"/>
    </w:p>
    <w:p>
      <w:pPr>
        <w:pStyle w:val="Heading6"/>
        <w:numPr>
          <w:ilvl w:val="5"/>
          <w:numId w:val="1"/>
        </w:numPr>
        <w:rPr/>
      </w:pPr>
      <w:bookmarkStart w:id="362" w:name="__RefHeading___Toc10417032_73709187"/>
      <w:bookmarkStart w:id="363" w:name="_Toc134"/>
      <w:bookmarkEnd w:id="361"/>
      <w:bookmarkEnd w:id="362"/>
      <w:r>
        <w:rPr>
          <w:rtl w:val="true"/>
        </w:rPr>
        <w:t>الجاهل بالموضوع</w:t>
      </w:r>
      <w:bookmarkEnd w:id="363"/>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847"/>
      </w:r>
      <w:r>
        <w:rPr>
          <w:rFonts w:ascii="Amiri" w:hAnsi="Amiri" w:eastAsia="Amiri" w:cs="Amiri"/>
          <w:color w:val="111111"/>
          <w:sz w:val="28"/>
          <w:sz w:val="28"/>
          <w:szCs w:val="28"/>
          <w:rtl w:val="true"/>
          <w:lang w:bidi="ar-SA"/>
        </w:rPr>
        <w:t>أنّ من التفت بعد الفراغ من الصّلاة أو لم يلتفت أصلاً صحّت الصّلاة، وانه لا يجب عليه الإعادة في الوقت، ولا القضاء في خارجه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بالإعادة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 القدماء والمتأخّرين، 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في باب المياه منها، 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في الوقت لا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من شكّ فاجتهد في البحث عن الطهارة فلا يعيد، وغيره فيُعيد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المشهور هو الأقوى‌، وتشهد له جملةٌ من النصوص</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يُصلّي وفي ثوبه عَذَرة من إنسانٍ أو سنّور أو كلبٍ‌، أيُعيد صلاته‌؟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المعلّل عدم وجوب الإعادة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يقينٍ فشكّ‌</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احتَجَم فأصاب ثوبه دمٌ‌، فلم يعلم به حتّى إذا كان من الغد، كيف يصنع‌؟</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 فلم يغسله، فليقضِ جميع مافاته على قَدْر ما كان يُصلّي، ولا ينقص منه شيءٌ‌، وإنْ كان رآه وقد صلّى‌، فليعتدّ بتلك الصّلاة ثمّ ليغسله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صَلّى في ثوبٍ فيه جنابة ركعتين، ثمّ عَلم‌؟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يبتدأ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صلّى وفي ثوبه جنابةٌ أو دمٌ حتّى فرغ من صلاته، ثمّ علم‌؟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صلاته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يرى في ثوب أخيه دماً وهو يُصلّي‌؟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يؤذنه حتّى ينصرف</w:t>
      </w:r>
      <w:r>
        <w:rPr>
          <w:rFonts w:eastAsia="Amiri" w:cs="Amiri" w:ascii="Amiri" w:hAnsi="Amiri"/>
          <w:color w:val="111111"/>
          <w:sz w:val="28"/>
          <w:szCs w:val="28"/>
          <w:rtl w:val="true"/>
          <w:lang w:bidi="ar-SA"/>
        </w:rPr>
        <w:t>»</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61"/>
      </w:r>
      <w:r>
        <w:rPr>
          <w:rFonts w:ascii="Amiri" w:hAnsi="Amiri" w:eastAsia="Amiri" w:cs="Amiri"/>
          <w:color w:val="111111"/>
          <w:sz w:val="28"/>
          <w:sz w:val="28"/>
          <w:szCs w:val="28"/>
          <w:rtl w:val="true"/>
          <w:lang w:bidi="ar-SA"/>
        </w:rPr>
        <w:t>معارضة هذه النصوص مع صحيح وهب بن عبد ربّه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الجنابة تُصيب الثّوب، ولا يعلم بها صاحبه، فيُصلّي فيه ثمّ يعلم بعدُ؟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إذا لم يكن عَلم</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وفي ثوبه بولٌ أو جنابة‌؟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به أو لم يعلم فعليه الإعادة، إعادة الصّلاة إذا علم</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فإمّا أن يُقدّم الخبران، فيثبت القول الثاني، أو تُحمل لأجلهما النصوص المتقدّمة على نفي القضاء، فيثبت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الجمع بين النصوص، حمل الخبرين على الاستحباب، مع أنّه لو سُلّم عدم إمكان الجمع، يتعيّن طرح الخبرين، لأكثريّة تلك النصوص وأصحّيّتها وأشهريّتها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بحمل نصوص نفي الإعادة على نفي القضاء، وحَمل الخبرين على الإعادة في الوقت، جمعٌ تبرّعي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تقييد الخبرين أوّلاً بما دلّ على نفي القضاء، ثمّ تقييد النصوص السابقة بهما، أيضاً غير صحيح، إذ لا دليل على نفي خصوص القضاء، بل نصوص النفي بين ما يكون مطلقاً، وما يكون نصّاً في نفي الإعادة في الوقت، فراجع</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مع أنّ هذا النحو من الجمع والتقييد أيضاً لا يكون جمعاً عُرفيّاً، إذ لا وجه لتقييد أحد المتعارضين بما يكون أخصّ منه، ثمّ ملاحظة النسبة بينه وبين معارضه،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جملةً من نصوص نفي الإعادة آبية عن الحمل على نفي القضاء، لاحظ صحيح زاررة، وخبر أبي بصير، وصحيح ابن مسلم المتقدّمة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فيتعيّن حمل الخبرين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احتمال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وهب قويٌ‌، إذ ذِكْر الشرطيّة مع عدم إرادة المفهوم، كما في الصحيح، حيث أنّ الإعادة مع العلم أولى لا يوافق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يحتمل قويّاً كون قوله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به 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تشقيقاً لموضوع الحكم،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فعليّة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لأحد الشقّين بالمنطوق وللآخر بالمفهوم، وعليه فيوافق مفادهما مع مفاد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ميمون الصيقل،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أصابته جنابة باللّيل فاغتسل وصَلّى‌، فلمّا أصبح نظرَ فإذا في ثوبه جنابة‌؟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يَدَع شيئاً إلّاوقد جعل له حَدّاً، إنْ كان حين قام نَظَر فَلم يرَ شيئاً فلا إعادة عليه، وإنْ كان حينَ قام لم ينظر فعليّة الإعادة</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فتغسل ثوبي من المَنيّ‌، فلا تبالغ في غَسله، فاُصلّي فيه، فإذا هو يابس‌؟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 أمّا إنّك لو كنتَ غَسلت أنتَ لم يكُن عليك شيءٌ‌</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رأيت المَنيّ قبلُ أو بعدما تدخل في الصّلاة، فعليك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أنتَ نظرتَ في ثوبك فلم تُصبه، ثمّ صلّيت فيه، ورأيته بعدُ فلا إعادة عليك</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خبر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مضافاً إلى ضعف سنده، لجهالة حال ميمون، يكون مورده من أطراف العلم الإجمالي، إذ الظاهر من السؤال كون مورده الجنابة غير العمديّة، وعليه فيدلّ على لزوم الفحص، الموجب لخروج الثّوب عن أطراف الشُّبهة المحصورة، فيكون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يدلّ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كشف الخلاف، فيما لو علم قبل الصّلاة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لو غَسل بنفسه، وما لو غسله الغير، فلا ربط له بما إذا لم يعلم بها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لا يُنكر ظهوره في ما استدلّ به له، إلّاأنّه يعارضه 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أنّه أصابه شيء أن أنظر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إنّما تريد أن تذهب بالشكّ الذي وقع في نفسك</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 على انحصار ثمرة النظر في ذهاب الشكّ‌، إذ لو كان عدم الإعادة مع انكشاف الحال مترتّباً على النظر، كان المتعيّن التنبيه عليه، بل كان الأولى الأمر به، إرشاداً إلى عدم الوقوع في كُلفة الإعادة، وما فيه من تعليل عدم الإعادة في صورة النظر بأنّه كان على يقينٍ فشكّ‌، ولأجلهما ترفع اليد عن ظهور الشرطيّة الثانية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ذكر الشرط جارياً مجرى الغالب، حيثُ أنّ كلّ مَنْ شكّ في إصابة الجنابة إلى ثوبه ينظر إليه لتحقيق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لزوم الإعادة في الوقت، ولا القضاء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التفت بعد الصّلاة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64" w:name="pg11798_104700"/>
    </w:p>
    <w:p>
      <w:pPr>
        <w:pStyle w:val="Heading6"/>
        <w:numPr>
          <w:ilvl w:val="5"/>
          <w:numId w:val="1"/>
        </w:numPr>
        <w:rPr/>
      </w:pPr>
      <w:bookmarkStart w:id="365" w:name="__RefHeading___Toc10417034_73709187"/>
      <w:bookmarkStart w:id="366" w:name="_Toc135"/>
      <w:bookmarkEnd w:id="364"/>
      <w:bookmarkEnd w:id="365"/>
      <w:r>
        <w:rPr>
          <w:rtl w:val="true"/>
        </w:rPr>
        <w:t>الإلتفات أثناء الصّلاة</w:t>
      </w:r>
      <w:bookmarkEnd w:id="366"/>
    </w:p>
    <w:p>
      <w:pPr>
        <w:pStyle w:val="BookText"/>
        <w:rPr/>
      </w:pPr>
      <w:r>
        <w:rPr>
          <w:rFonts w:ascii="Amiri" w:hAnsi="Amiri" w:eastAsia="Amiri" w:cs="Amiri"/>
          <w:color w:val="111111"/>
          <w:sz w:val="28"/>
          <w:sz w:val="28"/>
          <w:szCs w:val="28"/>
          <w:rtl w:val="true"/>
          <w:lang w:bidi="ar-SA"/>
        </w:rPr>
        <w:t>التفات المصلّي أثناء الصّلاة، لها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سبقها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حدوثها في الأثناء، وأنّ بعض ما أتى به من صلاته وقع مع النجاسة، كما لو كان في الركعة الثالثة، وعلم أنّ الثّوب الذي لبسه من الركعة الثانية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حدوثها في الأثناء، مع العلم بعدم إتيان شيء من أجزائها مع النجاسة، أو الشكّ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وإنْ كان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لتوهّم البطلان، إذ الأجزاء السابقة الواقعة مع النجاسة لا تكون باطلة كما تشهد له النصوص المتقدّمة، الدالّة على عدم بطلان الصّلاة إذا وقعت مع النجاسة، والتفت لذلك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بالفحوى أو بالإطلاق، لشمولها لما وقع بعض تلك الصّلاة معها، كما لو لبس الثّوب النَّجس في وسط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الآنات المتخلّلة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أنّه لا دليل على اعتبار الطهارة الخَبَثيّة فيها، إذ الدليل إنّما دلّ على اعتبارها في الصّلاة، وهي ليست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اعتبارها نصوص الرِّعاف، وما دلّ على صحّة الصّلاة إذا علم حدوثها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يدلّ على فساد الصّلاة في الفرض</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المنيّ قبلُ أو بعدما تدخل في الصّلاة، فعليك إعادة الصّلاة</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في ثوب فيه جنابة ركعتين، ثمّ علم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يبتدئ صلاته</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وأنا في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وتُعيد، إذا شككت في موضعٍ منه ثمّ رأيته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ونُسب إلى المشهور</w:t>
      </w:r>
      <w:r>
        <w:rPr>
          <w:rStyle w:val="FootnoteAnchor"/>
          <w:rtl w:val="true"/>
        </w:rPr>
        <w:footnoteReference w:id="872"/>
      </w:r>
      <w:r>
        <w:rPr>
          <w:rFonts w:ascii="Amiri" w:hAnsi="Amiri" w:eastAsia="Amiri" w:cs="Amiri"/>
          <w:color w:val="111111"/>
          <w:sz w:val="28"/>
          <w:sz w:val="28"/>
          <w:szCs w:val="28"/>
          <w:rtl w:val="true"/>
          <w:lang w:bidi="ar-SA"/>
        </w:rPr>
        <w:t>صحّة الصّلاة، وعدم وجوب الإعادة إلّاإذا لم يمكن النزع أو التطهير أو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ابن سرحان،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فأبصرَ في ثوبه دماً؟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في ثوبك دماً وأنتَ تُصلّي، ولم تكن رأيته قبل ذلك فأتمّ صلاتك، فإذا انصرفتَ فاغسله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بدعوى</w:t>
      </w:r>
      <w:r>
        <w:rPr>
          <w:rStyle w:val="FootnoteAnchor"/>
          <w:rtl w:val="true"/>
        </w:rPr>
        <w:footnoteReference w:id="875"/>
      </w:r>
      <w:r>
        <w:rPr>
          <w:rFonts w:ascii="Amiri" w:hAnsi="Amiri" w:eastAsia="Amiri" w:cs="Amiri"/>
          <w:color w:val="111111"/>
          <w:sz w:val="28"/>
          <w:sz w:val="28"/>
          <w:szCs w:val="28"/>
          <w:rtl w:val="true"/>
          <w:lang w:bidi="ar-SA"/>
        </w:rPr>
        <w:t>أنّ الجمع بينهما وبين النصوص المتقدّمة، يقتضي حملها على ما إذا لم يمكن نزع الثّوب أو تطهيره أو تبديله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الخبرين على صورة إمكانه، بشهادة حسن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في الثّوب عَليَّ وأنا في الصّلاة‌؟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وعليك ثوبٌ غيره، فاطرحه وصَلِّ في غيره، وإنْ لم يكن عليك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ثوبٌ غيره، فامضِ في صلاتك، ولا إعادة عليك، وما لم يزد على مقدار الدِّرهم؛ فليس بشيء، رأيته قبل أو لم ترَه</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بمنطوق شرطيّة الأولى تقيّد تلك النصوص، وبمفهومها يقيّد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البطلان، أخصّ من هذه النصوص الثلاثة الأخيرة، ومقتضى الجمع بينها، حملها على صورة احتمال وقوع النجاسة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سعة الوقت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إدراك ركعةٍ لو قطعها وبدّل ثوبه، أو طَهّره، فإنّه لا شبهة في صحّة صلاته،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تَدَعُ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إدراكها، فالمتعيّن القطع والتبديل أو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77"/>
      </w:r>
      <w:r>
        <w:rPr>
          <w:rFonts w:ascii="Amiri" w:hAnsi="Amiri" w:eastAsia="Amiri" w:cs="Amiri"/>
          <w:color w:val="111111"/>
          <w:sz w:val="28"/>
          <w:sz w:val="28"/>
          <w:szCs w:val="28"/>
          <w:rtl w:val="true"/>
          <w:lang w:bidi="ar-SA"/>
        </w:rPr>
        <w:t>انصراف نصوص وجوب الإعادة عن مثل الفرض، عُهدة إثباتها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لأهميّة الوقت من الطهارة الخَبَثيّة، يسقط اعتبار الطهارة إذا أدّت رعايتها إلى فوات الصّلاة في الوقت،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في الأبحاث اللّاحقة في كتابنا هذا؛ أنّ التنافي بين الأوامر الضمنيّة لا يكون من باب التزاحم، بل إنّما يرجع إلى التعارض، ويظهر إنْ شاء اللّه تعالى في محلّه أنّ مقتضى القاعدة سقوط إطلاق دليل كلٍّ من الجزئين أو الشرطين، لو كان لهما إطلاقٌ‌، والرجوع إلى الأصل، وهو هاهنا التخيير كما لا يخفى‌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الإتيان بما وقع من الأجزاء لم يكن التنافي ثابتاً، لإمكان الصّلاة مع الثّوب الطاهر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فما أتى به محكومٌ بالبطلان بمقتضى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فيها صحّة الصّلاة، لما عرفت من أنّ الصحّة في هذه الفروض ممّا تقتضيه القاعدة، ونصوص البطلان مختصّة بالصورة السابقة، وتشهد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نصوص الصحّة الآتية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لايبعد دعوى أنّ تلك النصوص تختصّ بهذه الصورة، إذ لا يوجد موردٌ يشكّ في وقوع النجاسة في الأثناء، أو من الأوّل، ولا يعلم بوقوع بعض الأجزاء مع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ما أفتى به فقيه عصره في عروته</w:t>
      </w:r>
      <w:r>
        <w:rPr>
          <w:rStyle w:val="FootnoteAnchor"/>
          <w:rtl w:val="true"/>
        </w:rPr>
        <w:footnoteReference w:id="878"/>
      </w:r>
      <w:r>
        <w:rPr>
          <w:rFonts w:ascii="Amiri" w:hAnsi="Amiri" w:eastAsia="Amiri" w:cs="Amiri"/>
          <w:color w:val="111111"/>
          <w:sz w:val="28"/>
          <w:sz w:val="28"/>
          <w:szCs w:val="28"/>
          <w:rtl w:val="true"/>
          <w:lang w:bidi="ar-SA"/>
        </w:rPr>
        <w:t>وتبعه جملةٌ ممّن تأخّر عنه من البطلان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الصحّة فيها، وتشهد لها نصوص الرِّعاف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يُصيبه الرِّعاف وهو في الصّلاة‌؟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على ماءٍ عنده يميناًوشمالاً أو بين يديه، وهو مستقبل القلبلة، فليغسله عنه، ثمّ ليصلِّ ما بقي من صلاته، وإنْ لم يقدر على ماءٍ حتّى ينصرف بوجهه، أو يتكلّم، فقد قَطَع صلاته</w:t>
      </w:r>
      <w:r>
        <w:rPr>
          <w:rFonts w:eastAsia="Amiri" w:cs="Amiri" w:ascii="Amiri" w:hAnsi="Amiri"/>
          <w:color w:val="111111"/>
          <w:sz w:val="28"/>
          <w:szCs w:val="28"/>
          <w:rtl w:val="true"/>
          <w:lang w:bidi="ar-SA"/>
        </w:rPr>
        <w:t>»</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وأنا في الصّلاة‌؟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وتُعيد إذا شككت في موضعٍ منه ثمّ رأيته، وإنْ لم تشكّ ثمّ رأيته رطباً قطعت الصّلاة وغسلته، ثمّ بنيت على الصّلاة، لأنّك لا تدري لعلّها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أوقع عليك</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 ابن مسلم المتقدّم، ونحوها غيرها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التطهير أو التبديل يتمّها بعده، وإلّا يستأنف صلاته، إذ لا دليل على سقوط شرطيّة الطهارة بالنسبة إلى الأجزاء الباقية، بل يدلّ عليه الأمر بتطهير الثّوب في صحيح زرارة، لكونه ظاهراً في الإرشاد إلى اعتبار الطهارة فيها، والنصوص الواردة في الرِّعاف المتقدّم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ثوبه النّجس، وعلم بطهارته، ثمّ صَلّى فيه، وبعد ذلك تبيّن له بقاء نجاسته، أو شكَّ فيها بعد العلم بها بنحو الشكّ الساري فصلّى‌، فانكشف ثبوتها، أو أخبره الوكيل بطهارته، أو شهدت البيّنة بتطهيره ثمّ تبيّن الخلاف، فهل يُحكم بصحّة الصّلاة أو بطلانها، أو يفصّل بين الموارد؟</w:t>
      </w:r>
    </w:p>
    <w:p>
      <w:pPr>
        <w:pStyle w:val="BookText"/>
        <w:rPr/>
      </w:pPr>
      <w:r>
        <w:rPr>
          <w:rFonts w:ascii="Amiri" w:hAnsi="Amiri" w:eastAsia="Amiri" w:cs="Amiri"/>
          <w:color w:val="111111"/>
          <w:sz w:val="28"/>
          <w:sz w:val="28"/>
          <w:szCs w:val="28"/>
          <w:rtl w:val="true"/>
          <w:lang w:bidi="ar-SA"/>
        </w:rPr>
        <w:t xml:space="preserve">وجوهٌ وأقوالٌ‌، أقواها الأخير، إذ مقتضى القاعدة وإنْ كان الصحّة مطلقاً، إمّا لصدق كونه غير عالم بالنجاسة قبل الصّلاة، الذي هو الموضوع لوجوب الإعادة، وعدم صدق العالم بها قبلها عليه، أو لصدقهما معاً، وسقوط ما دلَّ على وجوب الإعادة في الأوّل، وما دلَّ على عدم الوجوب في الثاني للتعارض بينهما، والرجوع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xml:space="preserve">، بناءً على ما هو الحقّ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المستثنى الطهارة الحَدَثيّة، إلّاأنّه يدلّ على التفصيل حَسَن ميسر،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آمر الجارية فتغسل ثوبي من المَنيّ‌، فلا تُبالغ في غَسله، فاُصلّي فيه، فإذا هو يابس‌؟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 أمّا إنّك لو كنتَ غَسَلت أنتَ لم يكن عليك شيءٌ‌</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منطوق الجملة الثانية، الصحّة في الفرض الأوّل، ومقتضى مفهومها الفساد في الفرض الثالث والرابع، كما أنّ الجملة الأولى تدلّ عليه في الفرض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مورد الرواية، إذ الظاهر كون مورده ما لو كان الأمر بالغَسل منجّزاً قبل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واردة للردع عن العمل بأصالة الصحّة، فلزوم الإعادة يكون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المورد إذا لم يكن مجرى لأصالة الصحّة، كان المتعيّن النهي عن الدخول في الصّلاة، والأمر بالإعادة حتّى مع عدم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الثانية مسوقةٌ لبيان أنّه لاينكشف الخلاف مع غَسله بنفسه، لا عدم لزوم الإعادة مع انكشافه، وعلى ذلك فمقتضى الجملة الأُولى لزوم الإعادة في جميع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 التفصيل بين الموردين في مفروض السؤال، وهو انكشاف الخلاف، مع أنّه لا تلازم بين الغَسل بنفسه، وعدم انكشاف الخلاف، كي يصحّ التعبير عن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هي الصحّة في الفرضين الأولين، والبطلان في الأخيرين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67" w:name="pg11798_104706"/>
    </w:p>
    <w:p>
      <w:pPr>
        <w:pStyle w:val="Heading4"/>
        <w:numPr>
          <w:ilvl w:val="3"/>
          <w:numId w:val="1"/>
        </w:numPr>
        <w:rPr/>
      </w:pPr>
      <w:bookmarkStart w:id="368" w:name="__RefHeading___Toc10417036_73709187"/>
      <w:bookmarkStart w:id="369" w:name="_Toc136"/>
      <w:bookmarkEnd w:id="367"/>
      <w:bookmarkEnd w:id="368"/>
      <w:r>
        <w:rPr>
          <w:rtl w:val="true"/>
        </w:rPr>
        <w:t>فصل في المطهّرات</w:t>
      </w:r>
      <w:bookmarkEnd w:id="369"/>
    </w:p>
    <w:p>
      <w:pPr>
        <w:pStyle w:val="Heading5"/>
        <w:numPr>
          <w:ilvl w:val="4"/>
          <w:numId w:val="1"/>
        </w:numPr>
        <w:rPr/>
      </w:pPr>
      <w:bookmarkStart w:id="370" w:name="__RefHeading___Toc10417038_73709187"/>
      <w:bookmarkStart w:id="371" w:name="_Toc137"/>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وهي اُمور</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0417040_73709187"/>
      <w:bookmarkStart w:id="373" w:name="_Toc138"/>
      <w:bookmarkEnd w:id="372"/>
      <w:r>
        <w:rPr>
          <w:rtl w:val="true"/>
        </w:rPr>
        <w:t>الأوّل</w:t>
      </w:r>
      <w:r>
        <w:rPr>
          <w:rtl w:val="true"/>
        </w:rPr>
        <w:t xml:space="preserve">: </w:t>
      </w:r>
      <w:r>
        <w:rPr>
          <w:rtl w:val="true"/>
        </w:rPr>
        <w:t>الماء،</w:t>
      </w:r>
      <w:bookmarkEnd w:id="373"/>
    </w:p>
    <w:p>
      <w:pPr>
        <w:pStyle w:val="Heading6"/>
        <w:numPr>
          <w:ilvl w:val="5"/>
          <w:numId w:val="1"/>
        </w:numPr>
        <w:rPr/>
      </w:pPr>
      <w:bookmarkStart w:id="374" w:name="__RefHeading___Toc10417042_73709187"/>
      <w:bookmarkStart w:id="375" w:name="_Toc139"/>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وقد تقدّم في أوّل هذا الكتاب ما يمكن أن يستدلّ به لمطهّريّة الماء، كما أنّه قد عرفت في مبحث المياه أنّه كما يُطهّر غيره، يُطهّر نفسه أيضاً مع الامتزاج، فراجع ما ذكرناه</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ويشترط في التطهير به اُمورٌ؛ بعضها شرطٌ في كلٍّ من القليل والكثير، وبعضها مختصٌّ بالأوّل، وذهب جماعةٌ إلى اختصاصه به</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10417044_73709187"/>
      <w:bookmarkStart w:id="377" w:name="_Toc140"/>
      <w:bookmarkEnd w:id="376"/>
      <w:r>
        <w:rPr>
          <w:rtl w:val="true"/>
        </w:rPr>
        <w:t>شرائط التطهير بالماء</w:t>
      </w:r>
      <w:bookmarkEnd w:id="377"/>
    </w:p>
    <w:p>
      <w:pPr>
        <w:pStyle w:val="BookText"/>
        <w:rPr/>
      </w:pPr>
      <w:r>
        <w:rPr>
          <w:rFonts w:ascii="Amiri" w:hAnsi="Amiri" w:eastAsia="Amiri" w:cs="Amiri"/>
          <w:color w:val="111111"/>
          <w:sz w:val="28"/>
          <w:sz w:val="28"/>
          <w:szCs w:val="28"/>
          <w:rtl w:val="true"/>
          <w:lang w:bidi="ar-SA"/>
        </w:rPr>
        <w:t>أمّا الأوّل،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العين بلا خلافٍ‌، لأنّ ملاقاة العين كما توجب النجاسة حدوثاً، توجبها بقاءً‌، بمعنى أنّها إذا كانت باقية تكون النجاسة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بقاء الأثر بمعنى اللّون والطّعم ونحوهما لا يضرّ إجماعاً، حكاه جماعة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إزالة اللّون دون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إزالة الرائحة، وعدم وجوب إزالة اللّون إذا كان عَسُر الزّوال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إزالتهما مع عدم العُسر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التدبّر في كلمات هؤلاء الأساطين أنّهم لم يخالفوا المشهور، إذ الظاهر أنّ مرادهم أنّه في صورة بقاء أحد الوصفين بنحوٍ يُلازم بقاء النجاسة عرفاً، يحكم بالنجاسة، 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أنّه المستفاد من النصوص الواردة في الموارد الخاصّة، مثل ما ورد في تطهير الثّوب من دم الحيض من الأمر بصبغ الثّوب بمشقٍ حتّى يختلط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عليّ بن حمزة، عن العبد الصالح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اُمّ ولدٍ لأبيه،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دمُ‌الحيض فغسلته فلم يذهب أثره‌؟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اصبغيه بمشقٍ حتّى يختلط</w:t>
      </w:r>
      <w:r>
        <w:rPr>
          <w:rFonts w:eastAsia="Amiri" w:cs="Amiri" w:ascii="Amiri" w:hAnsi="Amiri"/>
          <w:color w:val="111111"/>
          <w:sz w:val="28"/>
          <w:szCs w:val="28"/>
          <w:rtl w:val="true"/>
          <w:lang w:bidi="ar-SA"/>
        </w:rPr>
        <w:t>»</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ورد في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ابن المُغيرة، عن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للاستنجاء حَداً؟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ينقى ما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ينقي ماثمّة وتبقى الرّيح‌؟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الرضا عليه السلام عن الرجل يطأ في الحمّام وفي رجله 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ويستنجي فيجد الريح من أظفاره، ولا يرى شيئاً؟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من الريح والشقاق بعد غسله</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ويشهد له أيضاً إطلاق أدلّة التطهير، الظاهرة في أنّه ليس للشارع في كيفيّة التطهير طريقٌ مخصوص، بل اعتمد على ما عليه بناءً العرف في التنظيف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القذارات الصوريّة، والسيرة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لعدم حصول الطهارة ما دام الأثر يكون موجوداً، بأنّه لاستحالة انتقال العَرَض من محلٍّ إلى محلٍّ آخر، يستكشف من بقاء الأثر من اللّون أو الريح أو الطعم بقاء عين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الأحكام الشرعيّة ليس على الدِّقة العقليّة، بل على رؤية أهل العرف، ولا شُبهة في أنّهم قد يرون بقاء الوصف مع زوال العين، وحيثُ أنّ الأوصاف بأنفسها ليست نجسة ولا منجّسة، فلا محالة يبني على ارتفاع النجاسة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بلا خلافٍ‌، وتشهد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الكثيرة الواردة في الأبواب المتفرّقة، منها الواردة في الماء القليل الملاقي للنجس، المتضمّنة للأمر بإراقته، وعدم استعماله والتطهير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والقاعدة العقلائيّة المشهورة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يكون مُعطياً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أنّ المتنجّس المائع يوجبُ تنجّس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عدم شمول نصوص التطهير بالماء له، إذ مضافاً إلى عدم الإطلاق لها من هذه الجهة، تكون مختصّة بالطاهر بقرينة الارتكاز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لما عرفت من أنّ المضاف لا يكون مطهّراً، وقد تقدّم في ذلك المبحث</w:t>
      </w:r>
      <w:r>
        <w:rPr>
          <w:rStyle w:val="FootnoteAnchor"/>
          <w:rtl w:val="true"/>
        </w:rPr>
        <w:footnoteReference w:id="896"/>
      </w:r>
      <w:r>
        <w:rPr>
          <w:rFonts w:ascii="Amiri" w:hAnsi="Amiri" w:eastAsia="Amiri" w:cs="Amiri"/>
          <w:color w:val="111111"/>
          <w:sz w:val="28"/>
          <w:sz w:val="28"/>
          <w:szCs w:val="28"/>
          <w:rtl w:val="true"/>
          <w:lang w:bidi="ar-SA"/>
        </w:rPr>
        <w:t>حُكم ما لو صار الماء مضافاً حين الغَسل فلا نُعيد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تغيّر الماء بعين النجاسة في أحد الأوصاف الثلاثة،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بأنّ‌الماءالمتغيّر نجسٌ كما مرّ وحُقّق في محلّه، والنَّجس لايكون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القادح هو النجاسة قبل الاستعمال، وأمّا النجاسة بعد الاستعمال الحاصلة به، فلا تكون مانعة عن التطهير، كما عرفت في مبحث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ذكرناه في وجه طهارة المتخلّف منه بعد الغَسلة الأخيرة في بحث الماء المستعمل،</w:t>
      </w:r>
      <w:r>
        <w:rPr>
          <w:rStyle w:val="FootnoteAnchor"/>
          <w:rtl w:val="true"/>
        </w:rPr>
        <w:footnoteReference w:id="897"/>
      </w:r>
      <w:r>
        <w:rPr>
          <w:rFonts w:ascii="Amiri" w:hAnsi="Amiri" w:eastAsia="Amiri" w:cs="Amiri"/>
          <w:color w:val="111111"/>
          <w:sz w:val="28"/>
          <w:sz w:val="28"/>
          <w:szCs w:val="28"/>
          <w:rtl w:val="true"/>
          <w:lang w:bidi="ar-SA"/>
        </w:rPr>
        <w:t>لا يجري في المقام، إذ الماء المتغيّر محكومٌ بالنجاسة بنفسه، وعليه فيوجب تنجيس المحلّ‌، فلا يوجب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على أنّ المطهر هو الغَسل بعد زوال العين، فإنّ اعتبار هذا القيد يصبح في غير محلّه، إذ مع وجود عين النجاسة في المغسول، لا يكون غَسله مطهّراً له، إذ الغَسلة المُزيلة غير مُطهّرة، ومع عدم وجودها، لا يتصوّر تغيّر الماء بأوصاف عين النجاسة، والتغيّر بغير أوصافها لا يوجب النجاسة، كما عرفت في مبحث الماء المتغيّر</w:t>
      </w:r>
      <w:r>
        <w:rPr>
          <w:rFonts w:eastAsia="Amiri" w:cs="Amiri" w:ascii="Amiri" w:hAnsi="Amiri"/>
          <w:color w:val="111111"/>
          <w:sz w:val="28"/>
          <w:szCs w:val="28"/>
          <w:rtl w:val="true"/>
          <w:lang w:bidi="ar-SA"/>
        </w:rPr>
        <w:t>.</w:t>
      </w:r>
      <w:r>
        <w:rPr>
          <w:rStyle w:val="FootnoteAnchor"/>
          <w:rtl w:val="true"/>
        </w:rPr>
        <w:footnoteReference w:id="89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78" w:name="pg11798_104710"/>
    </w:p>
    <w:p>
      <w:pPr>
        <w:pStyle w:val="Heading6"/>
        <w:numPr>
          <w:ilvl w:val="5"/>
          <w:numId w:val="1"/>
        </w:numPr>
        <w:rPr/>
      </w:pPr>
      <w:bookmarkStart w:id="379" w:name="__RefHeading___Toc10417046_73709187"/>
      <w:bookmarkStart w:id="380" w:name="_Toc141"/>
      <w:bookmarkEnd w:id="378"/>
      <w:bookmarkEnd w:id="379"/>
      <w:r>
        <w:rPr>
          <w:rtl w:val="true"/>
        </w:rPr>
        <w:t>شرائط التطهير بالقليل</w:t>
      </w:r>
      <w:bookmarkEnd w:id="380"/>
    </w:p>
    <w:p>
      <w:pPr>
        <w:pStyle w:val="Heading6"/>
        <w:numPr>
          <w:ilvl w:val="5"/>
          <w:numId w:val="1"/>
        </w:numPr>
        <w:rPr/>
      </w:pPr>
      <w:bookmarkStart w:id="381" w:name="__RefHeading___Toc10417048_73709187"/>
      <w:bookmarkStart w:id="382" w:name="_Toc142"/>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اُمور</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10417050_73709187"/>
      <w:bookmarkStart w:id="384" w:name="_Toc143"/>
      <w:bookmarkEnd w:id="383"/>
      <w:r>
        <w:rPr>
          <w:rtl w:val="true"/>
        </w:rPr>
        <w:t>ورود الماء على المتنجّس</w:t>
      </w:r>
      <w:bookmarkEnd w:id="384"/>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الماء على المتنجّس على المشهور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من جزمٌ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الشهرة عليه،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عدم الدليل على اعتباره، فيتعيّن الرجوع إلى إطلاق الأمر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الثّوب يُصيبه البول‌؟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فإنْ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904"/>
      </w:r>
      <w:r>
        <w:rPr>
          <w:rFonts w:ascii="Amiri" w:hAnsi="Amiri" w:eastAsia="Amiri" w:cs="Amiri"/>
          <w:color w:val="111111"/>
          <w:sz w:val="28"/>
          <w:sz w:val="28"/>
          <w:szCs w:val="28"/>
          <w:rtl w:val="true"/>
          <w:lang w:bidi="ar-SA"/>
        </w:rPr>
        <w:t>حمله على كون المركن كُرّاً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حمله على ما لو وضع الثّوب في المركن أوّلاً ثمّ أورد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المتعارف في الغَسل في المركن، ويأباه سياق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منهما حمل الغَسل فيه على إرادة التنظيف لا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نصوص التطهير إلى المتعارف من الغَسل بنحو الورود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تضمّن الأمر بالصَّب، الظاهر في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أدلّة الغَسل بالماء القليل تُنافي مع ما دلّ على انفعال الماء القليل، بعد مفروغيّة أنّ النّجس لا يُطهِر، وهي بين مطلقٍ شاملٍ له وللكثير، وبين ما اختصّ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بينه وبين ما دلَّ على الانفعال عمومٌ من وجه، فيتساقطان بعد التعارض، ويرجع إلى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والضرورة، فيقتصر فيه على المتيقّن، وهو صورة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ورود الماء على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حصول الطهارة في صورة كون الماء موروداً،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مراراً من أنّ الشيوع والتعارف لا يوجبان الانصراف الذي يعوّل عليه في 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الأمر بالصَّب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مفهومٌ يوجبُ تقييد المطلقات، ومنطوقه لا ينافي الإطلاق حتّى يكون قرينةً على رفع اليد عنه، ولعلّه يكون الأمر به لكونه أسهل في مورده وهو الجسد، كما لا يخفى‌، أو لحفظ الفضالة عن الانفعال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ما عرفت من أنّ النجاسة الحاصلة من الاستعمال، لا تكون مانعةً عن حصول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صحيح ابن مسلم يعدّ أخصّ من دليل انفعال القليل، وعدم مطهّريّة المتنجّس، لاختصاصه كما عرفت بالقليل، وحيثُ لا ريب في أنّ إطلاق الخاصّ يقدّم على عموم العام، وهو بإطلاقه يشمل صورة كون الماء موروداً، فيتعيّن البناء على تقييد إطلاق دليل إحدى تينك القاعدتين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 الورود</w:t>
      </w:r>
      <w:r>
        <w:rPr>
          <w:rFonts w:eastAsia="Amiri" w:cs="Amiri" w:ascii="Amiri" w:hAnsi="Amiri"/>
          <w:color w:val="111111"/>
          <w:sz w:val="28"/>
          <w:szCs w:val="28"/>
          <w:rtl w:val="true"/>
          <w:lang w:bidi="ar-SA"/>
        </w:rPr>
        <w:t>.</w:t>
      </w:r>
      <w:bookmarkStart w:id="385" w:name="pg11798_104712"/>
    </w:p>
    <w:p>
      <w:pPr>
        <w:pStyle w:val="Heading6"/>
        <w:numPr>
          <w:ilvl w:val="5"/>
          <w:numId w:val="1"/>
        </w:numPr>
        <w:rPr/>
      </w:pPr>
      <w:bookmarkStart w:id="386" w:name="__RefHeading___Toc10417052_73709187"/>
      <w:bookmarkStart w:id="387" w:name="_Toc144"/>
      <w:bookmarkEnd w:id="385"/>
      <w:bookmarkEnd w:id="386"/>
      <w:r>
        <w:rPr>
          <w:rtl w:val="true"/>
        </w:rPr>
        <w:t>اعتبار تعدّد الغسل في المتنجّس بالبول</w:t>
      </w:r>
      <w:bookmarkEnd w:id="387"/>
    </w:p>
    <w:p>
      <w:pPr>
        <w:pStyle w:val="Heading6"/>
        <w:numPr>
          <w:ilvl w:val="5"/>
          <w:numId w:val="1"/>
        </w:numPr>
        <w:rPr/>
      </w:pPr>
      <w:bookmarkStart w:id="388" w:name="__RefHeading___Toc10417054_73709187"/>
      <w:bookmarkStart w:id="389" w:name="_Toc145"/>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في بعض المتنجّسات، كالمتنجّس بالبول، وكالظروف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الظروف المتنجّسة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فيها عند تعرّض المصنّف رحمه الله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المتنجّس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المتأخّرين</w:t>
      </w:r>
      <w:r>
        <w:rPr>
          <w:rStyle w:val="FootnoteAnchor"/>
          <w:rtl w:val="true"/>
        </w:rPr>
        <w:footnoteReference w:id="905"/>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906"/>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غَسله مرّتين في تطهيره بالماء القليل، وعدم لزومه في تطهيره بالماء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10417056_73709187"/>
      <w:bookmarkStart w:id="391" w:name="_Toc146"/>
      <w:bookmarkEnd w:id="390"/>
      <w:r>
        <w:rPr>
          <w:rtl w:val="true"/>
        </w:rPr>
        <w:t>في التطهير بالماء القليل</w:t>
      </w:r>
      <w:bookmarkEnd w:id="391"/>
    </w:p>
    <w:p>
      <w:pPr>
        <w:pStyle w:val="Heading6"/>
        <w:numPr>
          <w:ilvl w:val="5"/>
          <w:numId w:val="1"/>
        </w:numPr>
        <w:rPr/>
      </w:pPr>
      <w:bookmarkStart w:id="392" w:name="__RefHeading___Toc10417058_73709187"/>
      <w:bookmarkStart w:id="393" w:name="_Toc147"/>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التطهير بالماء القليل، وقد عرفت أنّ المشهور لزوم الغَسل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بها في البَدَن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وتشهد له 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البول يُصيب الجسد؟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فإنّما هو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الثّوب يُصيبه البول‌؟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الجسد؟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بإطلاق ما تضمّن الأمر بالغَسل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وبالمرسل المروي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يُجزي أن يَغسل بمثله من الماء، إذا كان على رأس الحشفة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وبخبر الحسين المتقدّم على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بزيادة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للإزالة والثانية للإنقاء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فلتعين تقييده بما دلّ على لزوم غَسله مرّتين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ما في أصالة البراءة، إذ الأصل لا يقاوم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والمرسل ضعيفٌ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والزيادة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لهذه الزيادة أثراً في كتب الحديث الموجودة الآن بعد التصفّح بقدر الوسع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صحيح البزنطي، وحسن الحسين المتقدّمان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917"/>
      </w:r>
      <w:r>
        <w:rPr>
          <w:rFonts w:ascii="Amiri" w:hAnsi="Amiri" w:eastAsia="Amiri" w:cs="Amiri"/>
          <w:color w:val="111111"/>
          <w:sz w:val="28"/>
          <w:sz w:val="28"/>
          <w:szCs w:val="28"/>
          <w:rtl w:val="true"/>
          <w:lang w:bidi="ar-SA"/>
        </w:rPr>
        <w:t>عدم حجيّتهما،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النصوص، عدم الفرق بين بول الآدمي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918"/>
      </w:r>
      <w:r>
        <w:rPr>
          <w:rFonts w:ascii="Amiri" w:hAnsi="Amiri" w:eastAsia="Amiri" w:cs="Amiri"/>
          <w:color w:val="111111"/>
          <w:sz w:val="28"/>
          <w:sz w:val="28"/>
          <w:szCs w:val="28"/>
          <w:rtl w:val="true"/>
          <w:lang w:bidi="ar-SA"/>
        </w:rPr>
        <w:t>انصراف الإطلاق إلى بول الآدمي، لعدم تعارف وصول غيره إلى الثّوب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مراراً من أنّ التعارف لا يوجب الانصراف الذي يعوّل عليه في رفع اليد عن الإطلاق، مع أنّ وصول بعض أقسامه ليس نادراً كبول 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التمسّك 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تقييده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مورد النصوص وإنْ كان الثّوب والبَدَن، إلّاأنّه لا ريب في التعدّي عنهما إلى غيرهما بقرينة الارتكاز العرفي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هل يُكتفى بالغَسلة المُزيلة، أم لابدَّ أن تكون الغسلتان غير الغسلة المزيلة للعين‌؟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وجهان، بل قولان، 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النصوص إلى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حتّيه ثمّ اغسليه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الانصراف ممنوعٌ‌، والأمر بالحَتّ محمولٌ على الاستحباب أو على الإرشاد إلى أنّ الحَتَّ قبل الغَسل أرفق في التطهير، لعدم وجوبه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للقول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حسن الحسين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عليه الماء مرّتين، فإنّما هو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يدلّ على كفاية المرّتين مع وجود عين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كفاية الغَسلة المُزيلة، واحتسابها من الغَسَلات المطهّرة، فلا فرق بين وجود العين وعدمها، بأن صار البول جافّاً في وجوب الغَسل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المصنّف رحمه الله من عدم وجوبه مرّتين في الثاني، يدفعه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إلى الذهن من الأمر بصبّ الماء مرّتين، كون الأُولى للإزالة، بلا دخلٍ له في التطهير، كما يشهد له الزيادة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في ذيل خبر الحسين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التقييد بأمثال هذا التبادر، الناشئ عن الحدس، مضافاً إلى استلزامه حمل النصوص على صورة وجود العين، وهو خلاف الغالب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الأمر بالصَّب في كلام الشّارع على الحكم العرفي، وهو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المرّتين، وإنْ تحقّقت الإزالة بالأخيرة، تمسّكاً بإطلاق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بقاء البول بعد الغَسلة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بما أنّه تكون عين النّجس موجودة بعد الغَسلة الأُولى‌، فمقتضى إطلاق النصوص غسل ملاقيها مرّتين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بول غير الرضيع</w:t>
      </w:r>
      <w:r>
        <w:rPr>
          <w:rFonts w:eastAsia="Amiri" w:cs="Amiri" w:ascii="Amiri" w:hAnsi="Amiri"/>
          <w:color w:val="111111"/>
          <w:sz w:val="28"/>
          <w:szCs w:val="28"/>
          <w:rtl w:val="true"/>
          <w:lang w:bidi="ar-SA"/>
        </w:rPr>
        <w:t>.</w:t>
      </w:r>
      <w:bookmarkStart w:id="394" w:name="pg11798_104717"/>
    </w:p>
    <w:p>
      <w:pPr>
        <w:pStyle w:val="Heading6"/>
        <w:numPr>
          <w:ilvl w:val="5"/>
          <w:numId w:val="1"/>
        </w:numPr>
        <w:rPr/>
      </w:pPr>
      <w:bookmarkStart w:id="395" w:name="__RefHeading___Toc10417060_73709187"/>
      <w:bookmarkStart w:id="396" w:name="_Toc148"/>
      <w:bookmarkEnd w:id="394"/>
      <w:bookmarkEnd w:id="395"/>
      <w:r>
        <w:rPr>
          <w:rtl w:val="true"/>
        </w:rPr>
        <w:t>بول الرَّضيع</w:t>
      </w:r>
      <w:bookmarkEnd w:id="396"/>
    </w:p>
    <w:p>
      <w:pPr>
        <w:pStyle w:val="BookText"/>
        <w:rPr/>
      </w:pPr>
      <w:r>
        <w:rPr>
          <w:rFonts w:ascii="Amiri" w:hAnsi="Amiri" w:eastAsia="Amiri" w:cs="Amiri"/>
          <w:color w:val="111111"/>
          <w:sz w:val="28"/>
          <w:sz w:val="28"/>
          <w:szCs w:val="28"/>
          <w:rtl w:val="true"/>
          <w:lang w:bidi="ar-SA"/>
        </w:rPr>
        <w:t>وأمّا بول الرضيع غير المتغذّي، فلا خلاف في أخفيّة نجاسته عن نجاسة بول غيره، وأنّ الأخبار تفرّق بين كيفيّة تطهير ملاقيه، وتطهير ملاقي سائر الأبوال، كما 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بول الصَّبي‌؟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فإنْ كان قد أكل فاغسله بالماء غَسلاً، والغلام والجارية في ذلك شَرعٌ سَواء</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الحسين بن أبي العلاء المتقدّم،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الصَّبي يبولُ على الثّوب‌؟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قليلاً ثمّ تعصره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 الفرق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في اعتبار التعدّد في غيره، وعدم اعتباره فيه كما عن المحقّق</w:t>
      </w:r>
      <w:r>
        <w:rPr>
          <w:rStyle w:val="FootnoteAnchor"/>
          <w:rtl w:val="true"/>
        </w:rPr>
        <w:footnoteReference w:id="925"/>
      </w:r>
      <w:r>
        <w:rPr>
          <w:rFonts w:ascii="Amiri" w:hAnsi="Amiri" w:eastAsia="Amiri" w:cs="Amiri"/>
          <w:color w:val="111111"/>
          <w:sz w:val="28"/>
          <w:sz w:val="28"/>
          <w:szCs w:val="28"/>
          <w:rtl w:val="true"/>
          <w:lang w:bidi="ar-SA"/>
        </w:rPr>
        <w:t>وجماعة من المتقدّمين‌؟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 إنّما يكون في كفاية الرَّش والنَّضح فيه، ولزوم الغَسل في غيره كما عن جماعة</w:t>
      </w:r>
      <w:r>
        <w:rPr>
          <w:rStyle w:val="FootnoteAnchor"/>
          <w:rtl w:val="true"/>
        </w:rPr>
        <w:footnoteReference w:id="926"/>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 إنّما يكون في عدم لزوم عصر الثياب، أو ما يفيد فائدته فيه، ولزومه في غيره كما عن آخرين‌؟</w:t>
      </w:r>
    </w:p>
    <w:p>
      <w:pPr>
        <w:pStyle w:val="BookText"/>
        <w:rPr/>
      </w:pPr>
      <w:r>
        <w:rPr>
          <w:rFonts w:ascii="Amiri" w:hAnsi="Amiri" w:eastAsia="Amiri" w:cs="Amiri"/>
          <w:color w:val="111111"/>
          <w:sz w:val="28"/>
          <w:sz w:val="28"/>
          <w:szCs w:val="28"/>
          <w:rtl w:val="true"/>
          <w:lang w:bidi="ar-SA"/>
        </w:rPr>
        <w:t>أمّا عدم اعتبار التعدّد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قويّاً، كما يشهد له الحسن إذ ذكر العَدَد في بول غيره، وعدم ذكره فيه، ظاهرٌ في عدم الاعتبار، وعليه فالنصوص المتضمّنة لذكر العدد غَير الحسن، إمّا لا تشمل بول الصَّبي، أو أنّه لأخصيّة الحسن عنها تقيّد به،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من تعيّن المرّتين فيه لتلك النصوص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التمسّك باستصحاب النجاسة، إذ الأصل لا يُعتمد عليه مع 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من المصحّح المتضمّن لإعتبار الغَسل في غيره، والصَّب فيه، ثبوت الفرق بينهما، من غير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لي بعد التدبّر في النصوص، ثبوت الفرق بينهما، باعتبار الجريان والانفصال والعصر في الغَسل، وعدمه في الصّب، إذ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هو الإراقة والسَّكب، وعُرفاً هو الاستيلاء والغَلَبة، وهذا بخلاف الغَسل، فإنّ المأخوذ في مفهومه الانفصال والجريان والعصر،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الغَسل في بول الرَّجل، لا يوجبُ حمل الصَّب في هذه النصوص على الغَسل، من جهة تضمّن جملةٍ من الأخبار للأمر بالصَّب عليه مرّتين، لأنّ الصّب أعمٌّ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فاعتباره في موردٍ لأجل أدلّة اُخر، لا يستلزم اعتباره في جميع موارد اعتبار الصَّب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بول الصَّبي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 مكانه‌؟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الثّوب كلّه</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فيتعيّن تقييد إطلاقه بمصحّح الحلبي المتقدّم، فيُحمل على المتغذّي، أو حمل الأمر بالغَسل على إرادة الإرشاد إلى النجاسة، بقرينة ما دلّ على كفاية الصَّب، وعدم لزوم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النبويّان العاميّان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الظاهران في كفاية النَّضح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كون النَّضح والصَّب مترادفين، كما صرّح بذلك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كونه أعمّ من الصَّب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التصريح به، فحيثُ أنّهما ضعيفان سنداً، والأصحاب أعرضوا عنهما، ولم يعملوا بهما، فلا يعتمد عليهما، ويتعيّن طرحهما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97" w:name="pg11798_104720"/>
    </w:p>
    <w:p>
      <w:pPr>
        <w:pStyle w:val="Heading6"/>
        <w:numPr>
          <w:ilvl w:val="5"/>
          <w:numId w:val="1"/>
        </w:numPr>
        <w:rPr/>
      </w:pPr>
      <w:bookmarkStart w:id="398" w:name="__RefHeading___Toc10417062_73709187"/>
      <w:bookmarkStart w:id="399" w:name="_Toc149"/>
      <w:bookmarkEnd w:id="397"/>
      <w:bookmarkEnd w:id="398"/>
      <w:r>
        <w:rPr>
          <w:rtl w:val="true"/>
        </w:rPr>
        <w:t>الاكتفاء بالمرّة في عامّة النّجاسات</w:t>
      </w:r>
      <w:bookmarkEnd w:id="39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أنّ الحكم بلزوم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يختصّ بالمتنجّس بالبول، كما هو المنسوب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يعمّ المتنجّس بسائر النجاسات مطلقاً، كما عن الشهيد</w:t>
      </w:r>
      <w:r>
        <w:rPr>
          <w:rStyle w:val="FootnoteAnchor"/>
          <w:rtl w:val="true"/>
        </w:rPr>
        <w:footnoteReference w:id="931"/>
      </w:r>
      <w:r>
        <w:rPr>
          <w:rFonts w:ascii="Amiri" w:hAnsi="Amiri" w:eastAsia="Amiri" w:cs="Amiri"/>
          <w:color w:val="111111"/>
          <w:sz w:val="28"/>
          <w:sz w:val="28"/>
          <w:szCs w:val="28"/>
          <w:rtl w:val="true"/>
          <w:lang w:bidi="ar-SA"/>
        </w:rPr>
        <w:t>والمحقّق</w:t>
      </w:r>
      <w:r>
        <w:rPr>
          <w:rStyle w:val="FootnoteAnchor"/>
          <w:rtl w:val="true"/>
        </w:rPr>
        <w:footnoteReference w:id="932"/>
      </w:r>
      <w:r>
        <w:rPr>
          <w:rFonts w:ascii="Amiri" w:hAnsi="Amiri" w:eastAsia="Amiri" w:cs="Amiri"/>
          <w:color w:val="111111"/>
          <w:sz w:val="28"/>
          <w:sz w:val="28"/>
          <w:szCs w:val="28"/>
          <w:rtl w:val="true"/>
          <w:lang w:bidi="ar-SA"/>
        </w:rPr>
        <w:t>و غيرهما؟</w:t>
      </w:r>
    </w:p>
    <w:p>
      <w:pPr>
        <w:pStyle w:val="BookText"/>
        <w:rPr/>
      </w:pPr>
      <w:r>
        <w:rPr>
          <w:rFonts w:ascii="Amiri" w:hAnsi="Amiri" w:eastAsia="Amiri" w:cs="Amiri"/>
          <w:color w:val="111111"/>
          <w:sz w:val="28"/>
          <w:sz w:val="28"/>
          <w:szCs w:val="28"/>
          <w:rtl w:val="true"/>
          <w:lang w:bidi="ar-SA"/>
        </w:rPr>
        <w:t>أم كما في طهارة الشيخ الأعظم</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إذا كان له قوامٌ وثخنٌ كالمَنيّ كما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Style w:val="FootnoteAnchor"/>
          <w:rtl w:val="true"/>
        </w:rPr>
        <w:footnoteReference w:id="934"/>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أقواها الأوّل، لإطلاق الأمر بالغَسل في النجاسات، كقوله عليه السلام في المَنيّ‌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عرفتَ مكانه فاغسله</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وفي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اجتمع قَدْرُ حُمّصةٍ فاغسله</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 ونحوهما ماورد في سائر النجاسات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937"/>
      </w:r>
      <w:r>
        <w:rPr>
          <w:rFonts w:ascii="Amiri" w:hAnsi="Amiri" w:eastAsia="Amiri" w:cs="Amiri"/>
          <w:color w:val="111111"/>
          <w:sz w:val="28"/>
          <w:sz w:val="28"/>
          <w:szCs w:val="28"/>
          <w:rtl w:val="true"/>
          <w:lang w:bidi="ar-SA"/>
        </w:rPr>
        <w:t>أنّ الأمر بالغَسل في هذه النصوص، إنّما سيق لبيان أصل النجاسة، ويعدّ إرشاداً إليها، فلا تدلّ هذه النصوص على كفاية مطلق الغَسل في التطهير، لعدم كونها مسوقة لبيانها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بالغَسل وإنْ لم يكن نفسيّاً اسقلاليّاً، ولكن الظاهر كونه نفسيّاً شرطيّاً، لا إرشاديّاً إلى النجاسة، مع أنّ إرشاديّته إلى النجاسة على فرض </w:t>
      </w:r>
    </w:p>
    <w:p>
      <w:pPr>
        <w:pStyle w:val="BookText"/>
        <w:rPr/>
      </w:pPr>
      <w:r>
        <w:rPr>
          <w:rFonts w:ascii="Amiri" w:hAnsi="Amiri" w:eastAsia="Amiri" w:cs="Amiri"/>
          <w:color w:val="111111"/>
          <w:sz w:val="28"/>
          <w:sz w:val="28"/>
          <w:szCs w:val="28"/>
          <w:rtl w:val="true"/>
          <w:lang w:bidi="ar-SA"/>
        </w:rPr>
        <w:t>تسليم كونه إرشاداً إليها، إنّما تستفاد من دلالته على وجوب الغَسل، لا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نجسٌ كي لا يدلّ على مطهّريّة الماء، وأنّه المجزي في حصول الطهارة،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التمسّك بإطلاقه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وأضعف منها دعوى</w:t>
      </w:r>
      <w:r>
        <w:rPr>
          <w:rStyle w:val="FootnoteAnchor"/>
          <w:rtl w:val="true"/>
        </w:rPr>
        <w:footnoteReference w:id="938"/>
      </w:r>
      <w:r>
        <w:rPr>
          <w:rFonts w:ascii="Amiri" w:hAnsi="Amiri" w:eastAsia="Amiri" w:cs="Amiri"/>
          <w:color w:val="111111"/>
          <w:sz w:val="28"/>
          <w:sz w:val="28"/>
          <w:szCs w:val="28"/>
          <w:rtl w:val="true"/>
          <w:lang w:bidi="ar-SA"/>
        </w:rPr>
        <w:t>إهمال هذه النصوص، إذ لو سُلّمت في بعضها، فلا نُسلّم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الشكّ في كونها في مقام البيان، يكفي في الحكم بثبوت الإطلاق،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المتنجّس بالنجاسة التي يكون لدليل التطهير منها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ليس لدليله ذلك، كالمتنجّس بالمتنجّس بالبول، فيثبت فيه عدم لزوم التعدّد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بعدم القول بالفصل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ما ورد في التطهير عن مطلق النجاسات، وهي الروايتان المتقدمتان في مبحث تنجيس المتنجّس</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w:t>
      </w:r>
      <w:r>
        <w:rPr>
          <w:rStyle w:val="FootnoteAnchor"/>
          <w:rtl w:val="true"/>
        </w:rPr>
        <w:footnoteReference w:id="940"/>
      </w:r>
      <w:r>
        <w:rPr>
          <w:rFonts w:ascii="Amiri" w:hAnsi="Amiri" w:eastAsia="Amiri" w:cs="Amiri"/>
          <w:color w:val="111111"/>
          <w:sz w:val="28"/>
          <w:sz w:val="28"/>
          <w:szCs w:val="28"/>
          <w:rtl w:val="true"/>
          <w:lang w:bidi="ar-SA"/>
        </w:rPr>
        <w:t>عمّار عن الصلاة في المكان القذر،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 حتّى تغسله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الظاهر من تعليق جواز الصّلاة على عنوان الغَسل، الذي هو من المفاهيم المبيّنة عند العرف، الرجوع إليهم في كيفيّة التطهير، ولا ريب في أنّهم يكتفون بالمرّة في إزالة القذارات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باستصحاب النجاسة بعد الغَسل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قوله في حَسَن أبي العلاء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أنّ الاكتفاء بالصَّب إنّما يكون لرقّة البول، فغيره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الصَّب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أهونيّة النجاسة البوليّة عن سائر النجاسات، فيكون غيرها أولى بالتعدّد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وبجعله المَنيّ أشدّ من البول في صحيح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مورد للتمسّك به مع وجود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غير مرّةٍ في هذا الشرح، من عدم جريان الاستصحاب في الأحكام، لكونه محكوماً لأصالة عدم الجعل، الثابت في أوّل الشريعة، المترتّب عليه عدم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الأعاظم</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النصوص، كون النجاسة أثراً عينيّاً حقيقيّاً يحصل من ملاقات النّجس أو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بذلك كونها من الاُمورات الواقعيّة، الّتي كشف عنها الشارع، فقد عرفت في أوّل هذا الباب فساد ذلك، فراجع</w:t>
      </w:r>
      <w:r>
        <w:rPr>
          <w:rFonts w:eastAsia="Amiri" w:cs="Amiri" w:ascii="Amiri" w:hAnsi="Amiri"/>
          <w:color w:val="111111"/>
          <w:sz w:val="28"/>
          <w:szCs w:val="28"/>
          <w:rtl w:val="true"/>
          <w:lang w:bidi="ar-SA"/>
        </w:rPr>
        <w:t>.</w:t>
      </w:r>
      <w:r>
        <w:rPr>
          <w:rStyle w:val="FootnoteAnchor"/>
          <w:rtl w:val="true"/>
        </w:rPr>
        <w:footnoteReference w:id="94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به عدم كونها منتزعةً من الحكم بوجوب الغَسل، بل بنفسها من الاعتباريّات الشرعيّة، وتكون موضوعاً لوجوب الغَسل، فهو وإنْ كان تامّاً، إلّاد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يجري فيها ما ذكرناه من محكوميّة استصحاب بقائها، لإستصحاب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مقام بيان عدم وجوب الدّلك، عدم كفاية الصَّب في سائر النجاسات، ممّا له قوامٌ وثخنٌ‌، لعدم زوال العين به، فلا يدلّ على لزوم التعدّد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المَنيّ أشدّ من البول، لا يلازم كونه في مقام التطهير كذلك، وإلّا لزم تعيّن الغَسل ثلاث مرّات مثلاً في التطهير عنه، كما لا يخفى‌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ظهر ضعف القول الأخير</w:t>
      </w:r>
      <w:r>
        <w:rPr>
          <w:rFonts w:eastAsia="Amiri" w:cs="Amiri" w:ascii="Amiri" w:hAnsi="Amiri"/>
          <w:color w:val="111111"/>
          <w:sz w:val="28"/>
          <w:szCs w:val="28"/>
          <w:rtl w:val="true"/>
          <w:lang w:bidi="ar-SA"/>
        </w:rPr>
        <w:t>.</w:t>
      </w:r>
      <w:bookmarkStart w:id="400" w:name="pg11798_104724"/>
    </w:p>
    <w:p>
      <w:pPr>
        <w:pStyle w:val="Heading6"/>
        <w:numPr>
          <w:ilvl w:val="5"/>
          <w:numId w:val="1"/>
        </w:numPr>
        <w:rPr/>
      </w:pPr>
      <w:bookmarkStart w:id="401" w:name="__RefHeading___Toc10417064_73709187"/>
      <w:bookmarkStart w:id="402" w:name="_Toc150"/>
      <w:bookmarkEnd w:id="400"/>
      <w:bookmarkEnd w:id="401"/>
      <w:r>
        <w:rPr>
          <w:rtl w:val="true"/>
        </w:rPr>
        <w:t>كفاية المرّة في الكُرّ والجاري</w:t>
      </w:r>
      <w:bookmarkEnd w:id="402"/>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المتنجّس بالبول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w:t>
      </w:r>
      <w:r>
        <w:rPr>
          <w:rStyle w:val="FootnoteAnchor"/>
          <w:rtl w:val="true"/>
        </w:rPr>
        <w:footnoteReference w:id="943"/>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المرّة في غَسله في الكُرّ والجاري، بل بلا خلاف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الاكتفاء بها في الجاري، لصحيح ابن مسلم المتقدّم، الوارد في الثّوب الذي أصابه البول،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المتنجّس غير الثّوب ممّا لا ينفذُ فيه الماء فكذلك، إذ نصوص التعدّد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الآمرة بصبّ الماء عليه مرّتين، وعدم شمول هذه النصوص لغَسله في الكُرّ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المتضمّنة للأمر بغَسله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مورد هذه النصوص هو الثّوب، ويحتمل قويّاً اختصاص هذا الحكم بإطلاقه بالثوب ونحوه ممّا تنفذ فيه النجاسة، ولا يشمل البَدَن وشبهه، فلا وجه للتعدّي عن موردها، فإذاً المُعتمد فيه هو إطلاق ما تضمّن الأمر بغَسل ملاقي البول، ولا ريب في أنّه يقتضي الاكتفاء بالمرّة كما عرفت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إنْ كان المتنجّس به هو الثّوب، فيمكن الاستدلال لكفايتها </w:t>
      </w:r>
    </w:p>
    <w:p>
      <w:pPr>
        <w:pStyle w:val="BookText"/>
        <w:rPr/>
      </w:pPr>
      <w:r>
        <w:rPr>
          <w:rFonts w:ascii="Amiri" w:hAnsi="Amiri" w:eastAsia="Amiri" w:cs="Amiri"/>
          <w:color w:val="111111"/>
          <w:sz w:val="28"/>
          <w:sz w:val="28"/>
          <w:szCs w:val="28"/>
          <w:rtl w:val="true"/>
          <w:lang w:bidi="ar-SA"/>
        </w:rPr>
        <w:t>بصحيح ابن سرحان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ماء الحمّام‌؟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 الجاري</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إطلاق التنزيل، ترتّب جميع أحكام الجاري عليه، منها الإكتفاء بالمرّة، فإذا ثبت ذلك في ماء الحمّام، يثبت في غيره، لما عرفت في مبحث ماء الحمّام</w:t>
      </w:r>
      <w:r>
        <w:rPr>
          <w:rStyle w:val="FootnoteAnchor"/>
          <w:rtl w:val="true"/>
        </w:rPr>
        <w:footnoteReference w:id="946"/>
      </w:r>
      <w:r>
        <w:rPr>
          <w:rFonts w:ascii="Amiri" w:hAnsi="Amiri" w:eastAsia="Amiri" w:cs="Amiri"/>
          <w:color w:val="111111"/>
          <w:sz w:val="28"/>
          <w:sz w:val="28"/>
          <w:szCs w:val="28"/>
          <w:rtl w:val="true"/>
          <w:lang w:bidi="ar-SA"/>
        </w:rPr>
        <w:t>من أنّه لا خصوصيّة لماء الحمّام، وأنّ سبيله سبيل سائر أفراد الكُرّ، ويؤيّده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المُرسل المرويّ عن أبي جعفر عليه السلام مشيراً إلى غدير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يصيبُ شيئاً إلّا وطَهّره</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النسبة بينه وبين نصوص التعدّد، وإنْ كانت عموماً من وجه، إلّاأنّه بما أنّ دلالته على حكم المورد إنّما تكون بالعموم، ودلالة تلك النصوص بالإطلاق، فيُقدَّم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به مع إرساله فغيرُ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ضعفه مجبورٌ بالعمل ضعيفة، إذ الضعف لا يُجبر بمجرّد موافقة العمل لمضمون الخبر، بل يتوقّف على الإستناد غير المحرز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بصحيح ابن مسلم المتقدّم، بدعوى أنّ المنساق إلى الذهن كون هذه الشرطيّة تصريحاً بمفهوم الشرطيّة الأُولى‌،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في المَركن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الظاهر منها لزوم الغَسل مرّتين عند الغَسل بالماء القليل، فمفهومها كفاية المرّة عند غَسله بغير القليل، كُرّاً كان أم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بأولى من العكس</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فإمّا أن يكون الصحيح ساكتاً عن بيان حكم الكُرّ، أو يكون مجملاً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شمول الجاري للكُرّ ولو بعض أفراده، يدفعها ما ذكرناه في مبحث الماء الجاري</w:t>
      </w:r>
      <w:r>
        <w:rPr>
          <w:rStyle w:val="FootnoteAnchor"/>
          <w:rtl w:val="true"/>
        </w:rPr>
        <w:footnoteReference w:id="948"/>
      </w:r>
      <w:r>
        <w:rPr>
          <w:rFonts w:ascii="IRNazanin" w:hAnsi="IRNazanin" w:eastAsia="IRNazanin"/>
          <w:color w:val="111111"/>
          <w:sz w:val="28"/>
          <w:sz w:val="28"/>
          <w:szCs w:val="28"/>
          <w:rtl w:val="true"/>
          <w:lang w:bidi="fa-IR"/>
        </w:rPr>
        <w:t>من أنّه النابع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نصوص التعدّد عن الغَسل في الكُرّ، لأنّه كان نادراً حين صدور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الندرة وعدم التعارف، لا يوجبان الإنصراف؛ أنّه لم يكن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ذكرناه ظهر ضعف ما عن المحقّق، وظاهر الصدوق،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التعدّد عند الغَسل في الكُرّ أيضاً، كما أنّه ظهر وجه ما أفتى به الاُستاذ من كفاية المرّة في البَدَن وشبهه، وعدم الإكتفاء بها في الثّوب ونحوه وضعفه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03" w:name="pg11798_104727"/>
    </w:p>
    <w:p>
      <w:pPr>
        <w:pStyle w:val="Heading6"/>
        <w:numPr>
          <w:ilvl w:val="5"/>
          <w:numId w:val="1"/>
        </w:numPr>
        <w:rPr/>
      </w:pPr>
      <w:bookmarkStart w:id="404" w:name="__RefHeading___Toc10417066_73709187"/>
      <w:bookmarkStart w:id="405" w:name="_Toc151"/>
      <w:bookmarkEnd w:id="403"/>
      <w:bookmarkEnd w:id="404"/>
      <w:r>
        <w:rPr>
          <w:rtl w:val="true"/>
        </w:rPr>
        <w:t>عصر الثياب</w:t>
      </w:r>
      <w:bookmarkEnd w:id="405"/>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على ما نُسب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العصر في تطهير مثل الثياب ممّا ينفذ فيه الماء،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كلام الأصحاب من غير خلافٍ يُعرف، وجوب العصر في الثّوب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يتيقّن بخروج النجاسة إلّابه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وبدخوله في مفهوم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الغُسالة نجسة، فيجبُ إخراجها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وبالأمر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في حَسن الحُسين المتقدّم في بول الرضيع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تعصره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النجاسة لا تزول إلّابه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ثبوت الإطلاق لدليل الغَسل، وعدم الدليل على اعتبار العصر، لا يشكّ في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ليس تعبّديّاً، إذ لعلّه يكون مستنداً إلى أحد الوجوه المذكورة، مع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ودخول العصر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كما يظهر لمن راجع العرف عند إطلاقه في القذارات العرفيّة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ونجاسة الغُسالة على فرض القول بها، لا توجبُ تنجّس المحلّ‌، مع أنّه يمكن </w:t>
      </w:r>
    </w:p>
    <w:p>
      <w:pPr>
        <w:pStyle w:val="BookText"/>
        <w:rPr/>
      </w:pPr>
      <w:r>
        <w:rPr>
          <w:rFonts w:ascii="Amiri" w:hAnsi="Amiri" w:eastAsia="Amiri" w:cs="Amiri"/>
          <w:color w:val="111111"/>
          <w:sz w:val="28"/>
          <w:sz w:val="28"/>
          <w:szCs w:val="28"/>
          <w:rtl w:val="true"/>
          <w:lang w:bidi="ar-SA"/>
        </w:rPr>
        <w:t>انفصال الغُسالة بغير العصر، مع أنّ لازم هذا الوجه اعتباره بعد تماميّة الغَسَلات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الرطوبة الباقية في المغسول ليست غُسالة، بل هي تتبع المحلّ في الحكم، كما عرفت في مبحث الغُسالة</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رواية ضعيفٌ‌، وكذلك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مراراً أنّ موافقة عمل الأصحاب مع مضمون الخبر، لا تكون جابرة لضعفه، والحسن مجملٌ لذكره في بول الصَّبي، الذي لا يُعتبر فيه العصر قطعاً، وعدم ذكره فيما قبله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وجّهه بعض أعاظم المحقّقين</w:t>
      </w:r>
      <w:r>
        <w:rPr>
          <w:rStyle w:val="FootnoteAnchor"/>
          <w:rtl w:val="true"/>
        </w:rPr>
        <w:footnoteReference w:id="950"/>
      </w:r>
      <w:r>
        <w:rPr>
          <w:rFonts w:ascii="Amiri" w:hAnsi="Amiri" w:eastAsia="Amiri" w:cs="Amiri"/>
          <w:color w:val="111111"/>
          <w:sz w:val="28"/>
          <w:sz w:val="28"/>
          <w:szCs w:val="28"/>
          <w:rtl w:val="true"/>
          <w:lang w:bidi="ar-SA"/>
        </w:rPr>
        <w:t>، بأنّ حصول غَسل الثّوب واتّصافه بالنظافة، بانتقال وسخه إلى الماء، إنّما هو فيما إذا لم يستقذر الماء المستولي عليه بما انتقل اليه، وإلّا فإنّ تغيّر الماء لا يحصّل غَسل الثّوب وتنظيفه إلّابعد تخليصه من تلك الغُسالة بالعصر وشبهه، وحيثُ علمنا بما دلّ على انفعال الماء القليل بملاقاة النّجس، أنّه كالماء الوسخ الذي اكتسب القذارة من الثّوب في المانعيّة من اتّصاف الثّوب بالنظافة، فلا يتحقّق الغَسل ولا تحصل النظافة إلّابعد إخراجه بالعصر ونحوه، لا بتجفيفه بالهواء ونحوه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الوجه أيضاً التخصيص بما بعد الغَسلة الأخيرة، مع أنّه يبتني على القول بنجاسة الغُسالة، بل بنجاسة ما يبقى من الماء في المحلّ بعد الغَسل، مضافاً إلى أنّ ذلك في النجاسات العينيّة إذا أوجبت تغيّر الماء تامٌّ‌، وأمّا في النجاسات الحكميّة فلا يتمّ‌، إذ لابدَّ في كيفيّة إزالتها من الرجوع إلى الشارع، فإذا فرضنا أنّ مقتضى إطلاق ما ورد من الشارع كفاية تحقّق مفهوم الغَسل، من دونف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حاجةٍ إلى شيءٍ آخر في إزالتها، فلا وجه للتوقّف في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 العصر من حيث هو في التطهير، بل يكفي مجرّد تحقّق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بما أنّه يعتبر في صدقه جريان الماء على المحلّ‌، وخروجه منه، ففي مثل الثّوب ممّا لا يخرج الماء عنه، لا يكفي مجرّد الصَّب، بخلاف البَدَن ونحوه، ولذا ترى أنّه في النصوص الواردة في مثل البَدَن ونحوه الأمر بصبّ الماء عليه، بخلاف الثّوب، فإنّه لا يوجد موردٌ حكم فيه عليه السلام بكفاية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فيعتبر إخراج الماء عنه بأيّ نحوٍ كان، بالعصر أو بالفرك أو بالغمز بالكفّ ونحو ذلك، أو تحريكه في الماء حركة عنيفة، أو بإيراد الماء عليه بنحو يوجب خروج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الفراش يكون كثير الصوف، فيُصيبه البول، كيف يُغسل‌؟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الظاهر، ثمّ يصبّ عليه الماء في المكان الذي أصابه البول، حتّى يخرج من جانب الفراش الآخر</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ما ذكرناه، إذ الظاهر أنّ مورده هو الفراش المحشوّ بالصّوف الذي لا تستقرّ غسالته فيه، وتخرج منه من دون الحاجة إلى إحدى المعالجات المتقدّمة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06" w:name="pg11798_104730"/>
    </w:p>
    <w:p>
      <w:pPr>
        <w:pStyle w:val="Heading6"/>
        <w:numPr>
          <w:ilvl w:val="5"/>
          <w:numId w:val="1"/>
        </w:numPr>
        <w:rPr/>
      </w:pPr>
      <w:bookmarkStart w:id="407" w:name="__RefHeading___Toc10417068_73709187"/>
      <w:bookmarkStart w:id="408" w:name="_Toc152"/>
      <w:bookmarkEnd w:id="406"/>
      <w:bookmarkEnd w:id="407"/>
      <w:r>
        <w:rPr>
          <w:rtl w:val="true"/>
        </w:rPr>
        <w:t>ما ينفذ فيه الماء ولا يمكن عَصْره</w:t>
      </w:r>
      <w:bookmarkEnd w:id="40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الأشياء التي يرسب فيها الماء، وينفذ في أعماقها، ولايمكن عصرها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جملةٍ من الأصحاب</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هذا المجرى كالصابون والفواكه والحبوب وغيرها، لا يَطهر إلّابالماء الكثير إذا نفذت النجاسة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آخرين منهم الشيخ الأعظم رحمه الله</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قبول هذه الأشياء للتطهير حتّى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آخرين كالمصنّف</w:t>
      </w:r>
      <w:r>
        <w:rPr>
          <w:rStyle w:val="FootnoteAnchor"/>
          <w:rtl w:val="true"/>
        </w:rPr>
        <w:footnoteReference w:id="954"/>
      </w:r>
      <w:r>
        <w:rPr>
          <w:rFonts w:ascii="Amiri" w:hAnsi="Amiri" w:eastAsia="Amiri" w:cs="Amiri"/>
          <w:color w:val="111111"/>
          <w:sz w:val="28"/>
          <w:sz w:val="28"/>
          <w:szCs w:val="28"/>
          <w:rtl w:val="true"/>
          <w:lang w:bidi="ar-SA"/>
        </w:rPr>
        <w:t>والشيخ</w:t>
      </w:r>
      <w:r>
        <w:rPr>
          <w:rStyle w:val="FootnoteAnchor"/>
          <w:rtl w:val="true"/>
        </w:rPr>
        <w:footnoteReference w:id="95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الطهارة لها إذا غُسِلت بالقليل أو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يعتبر في الغَسل بالماء القليل جريان الماء على النّجس وانفصاله عنه، وحيث أنّهما لا يتحقّقان في الفرض، فلا وجه للحكم بحصول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دليل على قبول كلّ شيءٍ للطهارة بالماء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وببقاء الغُسالة النجسة المانعة عن التطهير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لازمه عدم طهارته بالغَسل بالماء الكثير أيضاً، إذ يعتبر فيه كالغَسل بالماء القليل صدق مفهوم الغَسل، المتوقّف على جريان الماء على النّجس، وانفصاله عنه، الممتنعين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بعض الأعاظم من المحقّقين رحمه الله</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شيخنا الأعظم رحمه الله بأنّه ليس المدار في باب التطهير على صدق الماء المطلق على ما نفذ في أعماق المتنجّس، بل المدار على صدق نفوذ الكُرّ فيه، ووصول الماء إلى باطنه، وإصابة الماء إلى الأجزاء، وهذه العناوين صادقة في ما إذا غسلت هذه الأشياء بالماء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قدس سره يتمّ في المطر الذي ورد فيه أنّه ما أصاب هذا شيئاً إلّا وقد طهّره، وأمّا في غيره فبما أنّه يعتبر في التطهير به الغَسل كما عرفت، إذ لا دليل على كفاية مجرّد الإصابة، لضعف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فحكم التطهير به حكم التطهير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Style w:val="FootnoteAnchor"/>
          <w:rtl w:val="true"/>
        </w:rPr>
        <w:footnoteReference w:id="957"/>
      </w:r>
      <w:r>
        <w:rPr>
          <w:rFonts w:ascii="Amiri" w:hAnsi="Amiri" w:eastAsia="Amiri" w:cs="Amiri"/>
          <w:color w:val="111111"/>
          <w:sz w:val="28"/>
          <w:sz w:val="28"/>
          <w:szCs w:val="28"/>
          <w:rtl w:val="true"/>
          <w:lang w:bidi="ar-SA"/>
        </w:rPr>
        <w:t>ردّاً على المستدلّين بهذا الوجه، بأنّ الحاكم باعتبار هذه الأشياء في تحقّق مفهوم الغَسل، إنّما هو العرف، وهم لا يحكمون باعتبارها بالنسبة إلى كلّ جزءٍ من أجزاء المغسول، إلّاأن يتعلّق الغَسل بنفس الجُزء على سبيل الاستقلال، إذ الظاهر من الأدلّة أنّ كلّ جزءٍ من أجزاء النّجس، ما لم يُغسل يكون باقياً على نجاسته، وحيثُ إنّه في الفرض لا يُغسل الباطن، فلا وجه للحكم بطهارته بغَسل الظاهر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اعتبار الغَسل في التطهير، كما هو كذلك في غير ماء المطر، مقتضى القاعدة هو عدم حصول الطهارة للباطن، إذ ما ينفذ فيه ليس هو الماء، بل هو رطوبة محضة، فلا يصلح للمطهريّة، ولكن ستعرف أنّ مقتضى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الخاصّة مطهّريّته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أورد عليه كلّ من تأخّر عنه، وتعرّض لقوله بأنّ تطهّر كلّ متنجّس إذا غُسل بالماء، قاعدة كليّة مستفادة من استقراء الموارد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الغُسالة التي أمرنا باجتنابها، إنّما هي ما انفصل لا ما بقي في المغسول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مجموع ما ذكرناه أنّ الأقوى بحسب القواعد، هو القول الثاني، أي القول بعدم قبول هذه الأشياء التطهّر حتّى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تشهد لإمكان تطهيرها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تطهير الأواني</w:t>
      </w:r>
      <w:r>
        <w:rPr>
          <w:rStyle w:val="FootnoteAnchor"/>
          <w:rtl w:val="true"/>
        </w:rPr>
        <w:footnoteReference w:id="958"/>
      </w:r>
      <w:r>
        <w:rPr>
          <w:rFonts w:ascii="Amiri" w:hAnsi="Amiri" w:eastAsia="Amiri" w:cs="Amiri"/>
          <w:color w:val="111111"/>
          <w:sz w:val="28"/>
          <w:sz w:val="28"/>
          <w:szCs w:val="28"/>
          <w:rtl w:val="true"/>
          <w:lang w:bidi="ar-SA"/>
        </w:rPr>
        <w:t>على اختلاف أقسامها، فإنّ مقتضى إطلاقه طهارتها بالغَسل، سواءٌ كان الإناء هو الكوز أو الدِّن أو الظرف، أو كان الظرف من خزفٍ ونحوه،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النجاسة الواقعة في قِدْرٍ فيه لحمٌ ومرق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السكوني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قدرٍ طُبخت وإذا في القِدر فأرة‌؟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ويُغسل اللّحم ويُؤكَل</w:t>
      </w:r>
      <w:r>
        <w:rPr>
          <w:rFonts w:eastAsia="Amiri" w:cs="Amiri" w:ascii="Amiri" w:hAnsi="Amiri"/>
          <w:color w:val="111111"/>
          <w:sz w:val="28"/>
          <w:szCs w:val="28"/>
          <w:rtl w:val="true"/>
          <w:lang w:bidi="ar-SA"/>
        </w:rPr>
        <w:t>»</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زكريّا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الخِفاف</w:t>
      </w:r>
      <w:r>
        <w:rPr>
          <w:rStyle w:val="FootnoteAnchor"/>
          <w:rtl w:val="true"/>
        </w:rPr>
        <w:footnoteReference w:id="961"/>
      </w:r>
      <w:r>
        <w:rPr>
          <w:rFonts w:ascii="Amiri" w:hAnsi="Amiri" w:eastAsia="Amiri" w:cs="Amiri"/>
          <w:color w:val="111111"/>
          <w:sz w:val="28"/>
          <w:sz w:val="28"/>
          <w:szCs w:val="28"/>
          <w:rtl w:val="true"/>
          <w:lang w:bidi="ar-SA"/>
        </w:rPr>
        <w:t>تنقع في البول، حيث حكم فيه بأنّه إذا غُسلت بالماء فلا بأس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عليها بإيرادات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في جميعها، لو تمّ في بعضها، مضافاً إلى عمل الأصحاب بها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دلالتها على طهارة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طهارته من حكمه عليه السلام بجواز أكل اللّحم، وجواز الصّلاة في النّعال،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ذلك من عدم التنبيه على لزوم غَسل باطن الإناء إذا 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ظاهرة في تنجّس باطن ما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لم تكن مختصّة به، فلا أقلّ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النصوص الخاصّة، طهارة الباطن في هذه الأشياء بالتبعيّة لطهارة الظاهر، وعليه فيكفي في الحكم بها غَسل ظاهرها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اعتبرناه في الغَسل في المتنجّس الذي يرسبُ فيه الماء، ويمكن عصره، من إخراج الماء عنه بالعصر أو بغيره، لا يختصّ بالغَسل بالماء القليل، بل يعتبر في الغَسل بالكُرّ والجاري أيضاً، إذ يعتبر في حصول الطهارة بهما صدق عنوان الغَسل، ولا يكفي مجرّد الإصابة، كما هو كذلك في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من أنّ ذلك داخلٌ في مفهوم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يختصّ اعتبار ذلك بما بعد الغَسلات، بل يعتبر عقيب كلّ غسلةٍ فيما يعتبر فيه التعدّد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طرح الدّهن في ماءٍ كثير،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وحرّكه حتّى تخلّل الماء أجزاء الدّهن بأسرها، 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عليه بأنّه يعتبر في حصول الطهارة، وصول الماء إلى جميع أجزاء النّجس، وهو في الفرض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ولا أقلّ من الشكّ في الوصول الموجب للبناء على النجاسة استصحابا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 من النصوص الأمر بإلقاء السَّمن والزيت إذا ماتت فيهما الفأرة، يدلّ على عدم إمكان تطهيرهما، وإلّا كان الأولى التنبيه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خُلِط مع الطحين، وجُعِل خبزاً ثمّ غُسل، لا يبعد دعوى وصول الماء إلى جميع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بالصبي الصبيّة في كفاية الصَّب على ما تنجّس ببوله، كما هو المشهور</w:t>
      </w:r>
      <w:r>
        <w:rPr>
          <w:rStyle w:val="FootnoteAnchor"/>
          <w:rtl w:val="true"/>
        </w:rPr>
        <w:footnoteReference w:id="964"/>
      </w:r>
      <w:r>
        <w:rPr>
          <w:rFonts w:ascii="Amiri" w:hAnsi="Amiri" w:eastAsia="Amiri" w:cs="Amiri"/>
          <w:color w:val="111111"/>
          <w:sz w:val="28"/>
          <w:sz w:val="28"/>
          <w:szCs w:val="28"/>
          <w:rtl w:val="true"/>
          <w:lang w:bidi="ar-SA"/>
        </w:rPr>
        <w:t xml:space="preserve">بل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65"/>
      </w:r>
      <w:r>
        <w:rPr>
          <w:rFonts w:ascii="IRNazanin" w:hAnsi="IRNazanin" w:eastAsia="IRNazanin"/>
          <w:color w:val="111111"/>
          <w:sz w:val="28"/>
          <w:sz w:val="28"/>
          <w:szCs w:val="28"/>
          <w:rtl w:val="true"/>
          <w:lang w:bidi="fa-IR"/>
        </w:rPr>
        <w:t>، لإختصاص النصوص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في ذيل حسن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والغلام والجارية في ذلك شَرْعٌ سَواء</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xml:space="preserve">، لا يدلّ على مساواتهما في هذا الحكم، بل لعلّه بقرينة التعبير عنهما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لا يطلقان عُرفاً على الرضيع والرضيعة، إلّامع القرينة، يكون ظاهراً في إرادة تساويهما في الحكم المجعول في ذيله، وهو وجوب الغَسل بعد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ولخبر السكوني،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الجارية وبولها يُغسل منه الثّوب قبل أن تُطعم</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09" w:name="pg11798_104735"/>
    </w:p>
    <w:p>
      <w:pPr>
        <w:pStyle w:val="Heading5"/>
        <w:numPr>
          <w:ilvl w:val="4"/>
          <w:numId w:val="1"/>
        </w:numPr>
        <w:rPr/>
      </w:pPr>
      <w:bookmarkStart w:id="410" w:name="__RefHeading___Toc10417070_73709187"/>
      <w:bookmarkStart w:id="411" w:name="_Toc153"/>
      <w:bookmarkEnd w:id="409"/>
      <w:bookmarkEnd w:id="410"/>
      <w:r>
        <w:rPr>
          <w:rtl w:val="true"/>
        </w:rPr>
        <w:t>الثاني</w:t>
      </w:r>
      <w:r>
        <w:rPr>
          <w:rtl w:val="true"/>
        </w:rPr>
        <w:t xml:space="preserve">: </w:t>
      </w:r>
      <w:r>
        <w:rPr>
          <w:rtl w:val="true"/>
        </w:rPr>
        <w:t>الشّمس</w:t>
      </w:r>
      <w:bookmarkEnd w:id="411"/>
    </w:p>
    <w:p>
      <w:pPr>
        <w:pStyle w:val="Heading6"/>
        <w:numPr>
          <w:ilvl w:val="5"/>
          <w:numId w:val="1"/>
        </w:numPr>
        <w:rPr/>
      </w:pPr>
      <w:bookmarkStart w:id="412" w:name="__RefHeading___Toc10417072_73709187"/>
      <w:bookmarkStart w:id="413" w:name="_Toc154"/>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وتُطهِّر الشمس ما تجفّفه من البول وغيره، على الأرض والأبنية والحُصُر والبَواري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مطهّريّة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 الشّمس ما تُجفّفه من البول وغيره، على الأرض والأبنية والحُصُر والبَواري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968"/>
      </w:r>
      <w:r>
        <w:rPr>
          <w:rFonts w:ascii="Amiri" w:hAnsi="Amiri" w:eastAsia="Amiri" w:cs="Amiri"/>
          <w:color w:val="111111"/>
          <w:sz w:val="28"/>
          <w:sz w:val="28"/>
          <w:szCs w:val="28"/>
          <w:rtl w:val="true"/>
          <w:lang w:bidi="ar-SA"/>
        </w:rPr>
        <w:t>، بل بلا خلافٍ في تأثير الشّمس في ارتفاع حكم النّجس في الجملة، وإنّما الخلاف وقع في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الشّمس هل هي كالماء من المُطهّرات كما هو المشهور؟ أو أنّها لا تؤثّر إلّافي العفو عن التيمّم والسجود على الموضع الذي جُفّف بالشّمس، كما هو المنسوب إلى المفيد</w:t>
      </w:r>
      <w:r>
        <w:rPr>
          <w:rStyle w:val="FootnoteAnchor"/>
          <w:rtl w:val="true"/>
        </w:rPr>
        <w:footnoteReference w:id="969"/>
      </w:r>
      <w:r>
        <w:rPr>
          <w:rFonts w:ascii="Amiri" w:hAnsi="Amiri" w:eastAsia="Amiri" w:cs="Amiri"/>
          <w:color w:val="111111"/>
          <w:sz w:val="28"/>
          <w:sz w:val="28"/>
          <w:szCs w:val="28"/>
          <w:rtl w:val="true"/>
          <w:lang w:bidi="ar-SA"/>
        </w:rPr>
        <w:t>، والمحدّث الكاشاني</w:t>
      </w:r>
      <w:r>
        <w:rPr>
          <w:rStyle w:val="FootnoteAnchor"/>
          <w:rtl w:val="true"/>
        </w:rPr>
        <w:footnoteReference w:id="970"/>
      </w:r>
      <w:r>
        <w:rPr>
          <w:rFonts w:ascii="Amiri" w:hAnsi="Amiri" w:eastAsia="Amiri" w:cs="Amiri"/>
          <w:color w:val="111111"/>
          <w:sz w:val="28"/>
          <w:sz w:val="28"/>
          <w:szCs w:val="28"/>
          <w:rtl w:val="true"/>
          <w:lang w:bidi="ar-SA"/>
        </w:rPr>
        <w:t>، وجماعة من المتقدّمين والمتأخّرين‌؟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البول يكون على السطح أو في المكان الذي يُصلّى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جفّفته الشّمس فصلِّ عليه، فهو طاهر</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بكر الحضرمي،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ما أشرقت عليه الشّمس فقد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أشرقت عليه الشّمس فهو طاهر</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الخبر وإنْ كان ضعيف السند، إلّاأنّ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أنّ الأصحاب اعتبروا في التطهير بالشّمس جفاف المتنجّس بها، وإشراقها عليه، ولا دليل على اعتبار الثاني إلّاهذا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القوم عليه واستنادهم اليه، فيكون ذلك جابراً لوهنه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للمنع عن ضعف سنده مجالاً، إذ لا وجه له سوى إهمال عثمان، وعدم توثيق أبي بكر، ولكن بما أنّه يروي عن الأعاظم كالمفيد، ومحمّدبن يحيى‌، وأحمد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 البرقي من قم لأنّه أكثر الرواية عن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واعتمد عليه الأساطين من المتأخّرين كالمصنّف والمحقّق، يكون الخبر موثّقاً ومعتبراً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الشّمس هل تُطهّر الأرض‌؟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الموضع قذراً من البول أو غير ذلك، فأصابته الشّمس، ثمّ يبس الموضع، فالصَّلاة على الموضع جائزة، وإنْ أصابته الشّمس ولم ييبس الموضع القذر، وكان رَطباً، فلا تجوز الصّلاة حتّى ييبس، وإن كانت رجلك رَطبةً أو جبهتك رَطبةً أو غير ذلك منك ما يُصيب ذلك الموضع القذر، فلا تصلِّ على ذلك الموضع حتّى ييبس، وإنْ كان غير الشّمس أصابه حتّى يبس فإنّه لا يجوز ذلك</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فالصَّلاة على الموضع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 عن السؤال عن الطهارة والنجاسة، ظاهرٌ في إرادة الطهارة عنه، وكذلك حكمه عليه السلام بطهارة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بعدم الطهارة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الأرض أو السطح يُصيبه البول وما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أشبهه، هل تطهره الشّمس من غير 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عمّار المتقدّم، بدعوى أنّ الموجود في النسخة الموثوق بها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غير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عين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وقوله عليه السلام يعدُّ تأكيداً لما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جواباً لها، وتُحمل الطهارة في النصوص المتقدّمة بقرينة هذين الخبرين على إرادة المعنى اللّغوي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مجال لجريان الأصل مع 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يدلّ على اعتبار وجودالماء في الموضع الذي يطهر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الرطوبة لأجل تجفيفه بها، ولا يدلّ على عدم مطهّريّة الشّمس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يُعتمد عليه في قِبال النسخ المتعارفة، لا سيّما مع اعتماد الشيخ على تلك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المتعيّن حينئذٍ هو تأنيث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معارضة صدره مع ذيله على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عدم اختصاص الحكم بنجاسة البول، وعمومه لسائر النجاسات والمتنجّسات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97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97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الاقتصار على البول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خبر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البول، أمّا هو فضعيف السند لا يعتمد عليه، وصحيح ابن بزيع المتقدّم الوارد في البول وما أشبهه، لكون جوابه عليه السلام فيه مسوقاً لبيان حكمٍ آخر لا يستفاد منه المطهّريّة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لثبوت العموم الموثّق، فإنّه حجّة على الصحيح المحقّق في محلّه، بل الصحيح أيضاً كذلك، لأنّ عدم ردعه عليه السلام عمّا تخيّله السائل من كون مطهّريّة الشّمس شاملة لجميع النجاسات، دليلٌ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للعموم مضافاً إلى ذلك، خبر أبي بكر الحضرمي المتقدّم، فإذاً لا يبقى مورد للترديد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المتأخّرين، بل وبين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هذا الحكم ليس خصوص الأرض، بل كلّ ما لا ينقل كالأبنية والحيطان وما يتّصل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وسلّار</w:t>
      </w:r>
      <w:r>
        <w:rPr>
          <w:rStyle w:val="FootnoteAnchor"/>
          <w:rtl w:val="true"/>
        </w:rPr>
        <w:footnoteReference w:id="982"/>
      </w:r>
      <w:r>
        <w:rPr>
          <w:rFonts w:ascii="Amiri" w:hAnsi="Amiri" w:eastAsia="Amiri" w:cs="Amiri"/>
          <w:color w:val="111111"/>
          <w:sz w:val="28"/>
          <w:sz w:val="28"/>
          <w:szCs w:val="28"/>
          <w:rtl w:val="true"/>
          <w:lang w:bidi="ar-SA"/>
        </w:rPr>
        <w:t>، والراوندي</w:t>
      </w:r>
      <w:r>
        <w:rPr>
          <w:rStyle w:val="FootnoteAnchor"/>
          <w:rtl w:val="true"/>
        </w:rPr>
        <w:footnoteReference w:id="983"/>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بالأرض، وألحقوا بها الحُصُر والبَواري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لعموم خبر الحضرمي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أنّه لعدم عمل الأصحاب به لعدم القول بعمومه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لأجل الأدلّة الاُخر يقيّد بغير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تطهر من المنقولات شيئاً إلّا الحُصُر والبَواري، كما هو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986"/>
      </w:r>
      <w:r>
        <w:rPr>
          <w:rFonts w:ascii="Amiri" w:hAnsi="Amiri" w:eastAsia="Amiri" w:cs="Amiri"/>
          <w:color w:val="111111"/>
          <w:sz w:val="28"/>
          <w:sz w:val="28"/>
          <w:szCs w:val="28"/>
          <w:rtl w:val="true"/>
          <w:lang w:bidi="ar-SA"/>
        </w:rPr>
        <w:t>الاستشكال في استثناء الحُصُر والبَواري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وابن سعيد</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ما عُمل من نبات الأرض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الفخر</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لما لا يُنقل، وإنْ عرضه النقل، كالنباتات المنفصلة من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الإستثناء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لعدم الاختصاص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خبر أبي بكر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يستفاد من استثناء الحُصُر والبَواري ثبوت الحكم في كلّ ما يُعمل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الإجماع على عدم تماميّة عموم الخبر، يتعيّن حمله على ما لا يُنقل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المقيّد هو الإجماع، يتعيّن الاقتصار على المتيقّن، وهو غير المذكورات في كلمات الأساطين المتقدّمة، فإذاً ما ذكره الشيخ رحمه الله من طهارة ما عمل من نبات الأرض بها هو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ظهر حكم الحُصُر والبَواري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 بصحيح ابن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البَواري يُصيبها البول، هل تصلح الصّلاة عليها إذا جفّت من غير أن تُغسل‌؟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w:t>
      </w:r>
      <w:r>
        <w:rPr>
          <w:rStyle w:val="FootnoteAnchor"/>
          <w:rtl w:val="true"/>
        </w:rPr>
        <w:footnoteReference w:id="991"/>
      </w:r>
      <w:r>
        <w:rPr>
          <w:rFonts w:ascii="Amiri" w:hAnsi="Amiri" w:eastAsia="Amiri" w:cs="Amiri"/>
          <w:color w:val="111111"/>
          <w:sz w:val="28"/>
          <w:sz w:val="28"/>
          <w:szCs w:val="28"/>
          <w:rtl w:val="true"/>
          <w:lang w:bidi="ar-SA"/>
        </w:rPr>
        <w:t>الآخر، وموثّق عمّار المتقدّم، بدعوى أنّه يقيّد الجفاف فيها بالجفاف بالشّمس، للإجماع على عدم الطهارة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 إذ غاية ما تدلّ عليه هذه النصوص، جواز الصّلاة عليها، وهو أعمّ من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إطلاقها جواز السجود عليها، فهي بضميمة ما دلّ على عدم جواز السجود على النّجس، تدلّ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ما أورد على الاستدلال بهذه النصوص، من أنّه قد ورد نفي البأس عن الصّلاة في الموضع النّجس في صحيحٍ آخر له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والدّار لا تصيبهما الشّمس، ويصيبهما البول، ويغتسل فيهما من الجنابة، أيُصلّي فيهما إذا جَفّا؟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فكلّما يقال في توجيه هذا الصحيح، يقال في توجيه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وارد، إذ فرقٌ بين الصّلاة على مكانٍ والصّلاة فيه، ونصوص المقام واردة في مقام بيان حكم الأُولى‌، وهذا الصحيح في مقام بيان حكم الثانية، ويدلّ على أنّ المكان الذي أصابه البول أو غيره من القذارات إذا جفّ لا بأس بالصّلاة فيه، ولا تكون مكروهة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14" w:name="pg11798_104741"/>
    </w:p>
    <w:p>
      <w:pPr>
        <w:pStyle w:val="Heading6"/>
        <w:numPr>
          <w:ilvl w:val="5"/>
          <w:numId w:val="1"/>
        </w:numPr>
        <w:rPr/>
      </w:pPr>
      <w:bookmarkStart w:id="415" w:name="__RefHeading___Toc10417074_73709187"/>
      <w:bookmarkStart w:id="416" w:name="_Toc155"/>
      <w:bookmarkEnd w:id="414"/>
      <w:bookmarkEnd w:id="415"/>
      <w:r>
        <w:rPr>
          <w:rtl w:val="true"/>
        </w:rPr>
        <w:t>فروع مطهّرية الشمس</w:t>
      </w:r>
      <w:bookmarkEnd w:id="416"/>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كما تُطهِّر ظاهر الأرض، كذلك تُطهِّر باطنها المتّصل بظاهرها، بإشراقها عليه، وجفافه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 دعوى أنّ ظاهر النصوص سؤالاً وجواباً طهارة تمام الموضع النّجس الذي جفّفته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996"/>
      </w:r>
      <w:r>
        <w:rPr>
          <w:rFonts w:ascii="Amiri" w:hAnsi="Amiri" w:eastAsia="Amiri" w:cs="Amiri"/>
          <w:color w:val="111111"/>
          <w:sz w:val="28"/>
          <w:sz w:val="28"/>
          <w:szCs w:val="28"/>
          <w:rtl w:val="true"/>
          <w:lang w:bidi="ar-SA"/>
        </w:rPr>
        <w:t>مُشيراً إلى المكان الذي أصابه البول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الصّلاة على مكانٍ‌، لا سيّما إذا كان مفروشاً بالرّمل، تستلزم تبدّل أجزائه، وصيرورة ما كان ظاهراً باطناً وبالعكس، ولو لم يكن الباطن طاهراً لما كان يجوز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خبر أبي بكر الحضرمي اعتبار إشراق الشّمس على الموضع النّجس، وجفافه بإشراقها في الطهارة، وحيث أنّ الشّمس لا تشرق على الباطن، فلا يصير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جفّ الباطن بإشراق الشّمس على الظاهر، صدق عرفاً على مجموع ذلك المكان أنّه جفّ بإشراق الشّمس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الباطن نجساً دون الظاهر، لا يطهُر إلّابأن تشرق الشّمس عليه، لاعتبار الإشراق على النّجس، كما أنّه لو كان الباطنُ غير متّصلٍ بالظاهر، بأن كان </w:t>
      </w:r>
    </w:p>
    <w:p>
      <w:pPr>
        <w:pStyle w:val="BookText"/>
        <w:rPr/>
      </w:pPr>
      <w:r>
        <w:rPr>
          <w:rFonts w:ascii="Amiri" w:hAnsi="Amiri" w:eastAsia="Amiri" w:cs="Amiri"/>
          <w:color w:val="111111"/>
          <w:sz w:val="28"/>
          <w:sz w:val="28"/>
          <w:szCs w:val="28"/>
          <w:rtl w:val="true"/>
          <w:lang w:bidi="ar-SA"/>
        </w:rPr>
        <w:t>بينهما فصلٌ بهواءٍ أو بمقدارٍ طاهر، لا يطهر بإشراق الشّمس على الظاهر، لأنّ الباطن في هذه الصور يكون بنظر العرف موضوعاً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طهارة الشيء بالشّمس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فيه رطوبة مسرية، لتوقّف الجفاف المعلّق عليه الحكم في صحيح زرارة على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ابن بزيع المتقدّم الوارد فيه قوله عليه السلام مستنكراً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وتعليق الحكم في الموثّق على اليبوسة، لا ينافي ذلك، إذ لو سُلّم كون الجفاف غير اليبس، مع أنّه محلّ منع، مقتضى الجمع بين الأدلّة اعتبار كلٍّ منهما في الحكم، فتعتبر وجود الرطوبة المسرية، وصيرورة المحلّ يابساً بإشراق الشّمس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حصول الطهارة بها صيرورة الأرض جافّة بإشراق الشّمس عليها، فلو كانت الحرارة المستندة إليها موجبة للجفاف من دون إشراقها عليها، لا تطهر، لخبر الحضرمي المتقدّم، ولعلّه الظاهر من موثّق عمّار وصحيح زرارة،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جفّت بإشراقها، ولكن بمعونة الريح، لم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97"/>
      </w:r>
      <w:r>
        <w:rPr>
          <w:rFonts w:ascii="Amiri" w:hAnsi="Amiri" w:eastAsia="Amiri" w:cs="Amiri"/>
          <w:color w:val="111111"/>
          <w:sz w:val="28"/>
          <w:sz w:val="28"/>
          <w:szCs w:val="28"/>
          <w:rtl w:val="true"/>
          <w:lang w:bidi="ar-SA"/>
        </w:rPr>
        <w:t>، والمحقّق الهمداني رحمه الله</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الطهارة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مشاركة الريح غير مانعة عرفاً من استناد الجفاف إلى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وحديد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يصيبه البول، أو يُبال عليه، أيُصلّى في ذلك المكان‌؟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تصيبه الشّمس والريح، وكان جافّاً فلا بأس به، إلّاأن يُتّخذ مبالاً</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كفاية حصول الجفاف بها وبالريح، على وجهٍ يستند التأثير إليهما على وجه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الأدلّة، اعتبار استناد الجفاف إلى خصوص الشّمس، والأثر المستند إليها وإلى شيءٍ آخر لا يكون أثراً لها وحدها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00"/>
      </w:r>
      <w:r>
        <w:rPr>
          <w:rFonts w:ascii="Amiri" w:hAnsi="Amiri" w:eastAsia="Amiri" w:cs="Amiri"/>
          <w:color w:val="111111"/>
          <w:sz w:val="28"/>
          <w:sz w:val="28"/>
          <w:szCs w:val="28"/>
          <w:rtl w:val="true"/>
          <w:lang w:bidi="ar-SA"/>
        </w:rPr>
        <w:t>أنّ الظاهر من الأدلّة كفاية مثل هذا الجفاف، لكون الغالب فيما يجفّف بالشّمس ذلك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إنّما يكون مسوقاً لبيان عدم كراهة الصّلاة في المكان الذي يُبال عليه إذا جفّ‌، ما لم يتّخذ ذلك المكان مبالاً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وتدبّر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رحمه الله</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الطهارة بالجفاف الحاصل بالريح،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بصحيح زرارة المتقدّم، بناءً على حمل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لكفاية حصول الجفاف بالشّمس وحدها، بلا إشكال ولا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موثّق عمّار وصحيحي ابن جعفر المتقدّمة في الحُصُر والبَواري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 من أنّه مسوقٌ لبيان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يقيّد بما دلّ على اعتبار حصول الجفاف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اشتراط تطهيرها، بأن يكون بإشراقها على المحلّوحدها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يقدح الريح الضعيف الذي يكون دخله في حصول الجفاف ضعيفاً، بحيث لا يُستند الأثر عرفاً إليه، ولو على سبيل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كفاية إشراقها على المرآة، مع وقوع عكسه على الأرض، إذ الظاهر من الإشراق مباشرة وقوع الضوء بنفسه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إشراق شيءٍ على الآخر إلّامع المقابلة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النجاسة ذات جِرْمٍ‌، يعتبر في التطهير بالشّمس كغيرها زوال جِرْمها إجماعاً</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مانع من إشراق الشّمس على المحلّ‌، ولأنّ الظاهر من الأدلّة بقرينة الارتكاز العرفي، أنّها تطهر بعد زوال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زال جرمها قبل الجفاف فلا كلام، وإلّا فيُصبّ عليه الماء بعد الزّوال، ويجفّف بالشّمس ويطهر، لما عرفت من عدم اختصاص هذا الحكم بالبول، فلا مورد للنزاع في أنّ المتنجّس بالبول هل يكون مُلحقاً به أو بسائر النجاسات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17" w:name="pg11798_104745"/>
    </w:p>
    <w:p>
      <w:pPr>
        <w:pStyle w:val="Heading5"/>
        <w:numPr>
          <w:ilvl w:val="4"/>
          <w:numId w:val="1"/>
        </w:numPr>
        <w:rPr/>
      </w:pPr>
      <w:bookmarkStart w:id="418" w:name="__RefHeading___Toc10417076_73709187"/>
      <w:bookmarkStart w:id="419" w:name="_Toc156"/>
      <w:bookmarkEnd w:id="417"/>
      <w:bookmarkEnd w:id="418"/>
      <w:r>
        <w:rPr>
          <w:rtl w:val="true"/>
        </w:rPr>
        <w:t>الثالث</w:t>
      </w:r>
      <w:r>
        <w:rPr>
          <w:rtl w:val="true"/>
        </w:rPr>
        <w:t xml:space="preserve">: </w:t>
      </w:r>
      <w:r>
        <w:rPr>
          <w:rtl w:val="true"/>
        </w:rPr>
        <w:t>الأرض</w:t>
      </w:r>
      <w:bookmarkEnd w:id="419"/>
    </w:p>
    <w:p>
      <w:pPr>
        <w:pStyle w:val="Heading6"/>
        <w:numPr>
          <w:ilvl w:val="5"/>
          <w:numId w:val="1"/>
        </w:numPr>
        <w:rPr/>
      </w:pPr>
      <w:bookmarkStart w:id="420" w:name="__RefHeading___Toc10417078_73709187"/>
      <w:bookmarkStart w:id="421" w:name="_Toc157"/>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والأرض، وباطن الخُفّ وأسفل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مطهّريّة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المطهّرات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 الخُفّ وأسفل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مطهّريّتها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عن المحقّق</w:t>
      </w:r>
      <w:r>
        <w:rPr>
          <w:rStyle w:val="FootnoteAnchor"/>
          <w:rtl w:val="true"/>
        </w:rPr>
        <w:footnoteReference w:id="1003"/>
      </w:r>
      <w:r>
        <w:rPr>
          <w:rFonts w:ascii="Amiri" w:hAnsi="Amiri" w:eastAsia="Amiri" w:cs="Amiri"/>
          <w:color w:val="111111"/>
          <w:sz w:val="28"/>
          <w:sz w:val="28"/>
          <w:szCs w:val="28"/>
          <w:rtl w:val="true"/>
          <w:lang w:bidi="ar-SA"/>
        </w:rPr>
        <w:t xml:space="preserve">،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r>
        <w:rPr>
          <w:rStyle w:val="FootnoteAnchor"/>
          <w:rtl w:val="true"/>
        </w:rPr>
        <w:footnoteReference w:id="100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وطأ على عَذَرةٍ فساخت رجله فيها، أينقض ذلك وضوءه، وهل يجب عليه غسلها؟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يغسلها إلّا أن يقذرها، ولكنّه يمسحها حتّي يذهب أثرهاويُصلّي</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طريقي إلى المسجد في زقاقٍ يُبال فيه، فربما مررتُ فيه، وليس عَليَّ حذاءٌ فيلصق برجلي من نداوته‌؟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تمشي بعد ذلك في أرضٍ يابسة‌؟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إنّ الأرض يُطهِّر بعضها بعضاً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الأحول، عن أبي عبدللّه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يطأ على الموضع الذي </w:t>
      </w:r>
    </w:p>
    <w:p>
      <w:pPr>
        <w:pStyle w:val="BookText"/>
        <w:rPr/>
      </w:pPr>
      <w:r>
        <w:rPr>
          <w:rFonts w:ascii="Amiri" w:hAnsi="Amiri" w:eastAsia="Amiri" w:cs="Amiri"/>
          <w:color w:val="111111"/>
          <w:sz w:val="28"/>
          <w:sz w:val="28"/>
          <w:szCs w:val="28"/>
          <w:rtl w:val="true"/>
          <w:lang w:bidi="ar-SA"/>
        </w:rPr>
        <w:t>ليس بنظيفٍ‌، ثمّ يطأ بعده مكاناً نظيفاً؟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خمسة عشر ذراعاً أو نحو ذلك</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المُعلّى،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الخنزير يخرجُ من الماء فيمرّ على الطريق، فيسيل منه الماء، أمرُّ عليه حافياً؟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وراءه شيءٌ جاف‌؟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الأرض يطهِّر بعضها بعضاً</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وقع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كونها مطهّرة لباطن القدم، كما يشهد له صحيح زرارة، وحسن المعلّى المتقدّمان وغيرهما، لكن هل تكون مطهّرة لباطن الخُفّ والنَّعل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وطئتُ على عَذَرةٍ بخُفي، ومسحته حتّى لم أرَ فيه شيئاً، ما تقول في الصّلاة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نفي البأس عن الصّلاة في الخُفّ الذي لايشترط فيه الطهارة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بعض الأعاظم رحمه الله</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محطّ نظر السائل بحسب الظاهر هو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السؤال عنه، من حيثُ حصول الطهارة بالمسح،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صيرورته طاهراً، وعدم الحاجة إلى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محطّ نظر السائل طهارته، كان يسأل عنها لا عن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وبإطلاق العلّة المنصوصة في حسن المُعلّى وغيره،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يُطهِّر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اُريد بها أحد المعاني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أعاظم المحقّقين</w:t>
      </w:r>
      <w:r>
        <w:rPr>
          <w:rStyle w:val="FootnoteAnchor"/>
          <w:rtl w:val="true"/>
        </w:rPr>
        <w:footnoteReference w:id="1013"/>
      </w:r>
      <w:r>
        <w:rPr>
          <w:rFonts w:ascii="Amiri" w:hAnsi="Amiri" w:eastAsia="Amiri" w:cs="Amiri"/>
          <w:color w:val="111111"/>
          <w:sz w:val="28"/>
          <w:sz w:val="28"/>
          <w:szCs w:val="28"/>
          <w:rtl w:val="true"/>
          <w:lang w:bidi="ar-SA"/>
        </w:rPr>
        <w:t>من أنّ المراد بالبعض الثاني هو الرِّجْل والخُفّ‌، ونزّلا منزلة الأرض بعلاقة المجاورة والمشاركة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الأجزاء الأرضيّة التي تكون مصاحبة مع الرِّجل والخُفّ‌، وعليه فيستفاد منها طهارتهما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النجاسة الواصلة إلى الرِّجل والخُفّ‌، وسِرّ التعبير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تبعيّتها لها في الاسم في مفروض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أنّ الأرض يُطهِّر بعضها ما ينجس بملاقاة بعضٍ آخر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يتعيّن إرادة أحد هذه المعاني منها، بل ولا تكون ظاهرة فيها، لاحتمال إرادة البعض المبهم من البعض الثاني، كما عن الوحيد</w:t>
      </w:r>
      <w:r>
        <w:rPr>
          <w:rStyle w:val="FootnoteAnchor"/>
          <w:rtl w:val="true"/>
        </w:rPr>
        <w:footnoteReference w:id="1014"/>
      </w:r>
      <w:r>
        <w:rPr>
          <w:rFonts w:ascii="Amiri" w:hAnsi="Amiri" w:eastAsia="Amiri" w:cs="Amiri"/>
          <w:color w:val="111111"/>
          <w:sz w:val="28"/>
          <w:sz w:val="28"/>
          <w:szCs w:val="28"/>
          <w:rtl w:val="true"/>
          <w:lang w:bidi="ar-SA"/>
        </w:rPr>
        <w:t>، فتدلّ على أنّ الأرض تُطهِّر بعض الأشياء، ومن جملته مورد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أحدكم الأذى بخفّيه فطَهُورهما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أحدكم الأذى بنعليه، فإنّ التّراب له طهور</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لضعفهما لا يُعتمد عليهما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بينكم وبين المسجد زقاقاً قذراً، أو قلنا له إنّ بيننا وبين المسجد زقاقاً قذراً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الأرض يُطهِّر بعضها بعضاً</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معارضٌ بحسنه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المصرّح فيه بالرِّجْل، لأنّ الظاهر وحدة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بينهما يقتضي أن يُقال إنّ الحسن يُبيّن إجمال الصحيح، لكن يدلّ على عموم الحكم، إطلاق صحيح الأحول المتقدّم، إذ الوطئ كما يصدق في القدم يصدق في الخُفّ والنَّعل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19"/>
      </w:r>
      <w:r>
        <w:rPr>
          <w:rFonts w:ascii="Amiri" w:hAnsi="Amiri" w:eastAsia="Amiri" w:cs="Amiri"/>
          <w:color w:val="111111"/>
          <w:sz w:val="28"/>
          <w:sz w:val="28"/>
          <w:szCs w:val="28"/>
          <w:rtl w:val="true"/>
          <w:lang w:bidi="ar-SA"/>
        </w:rPr>
        <w:t>أنّه لإعراض المشهور عنه، لتضمّنه اعتبار خَمَسة عشر ذراعاً لايُعتمد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المشهور لم يعتمدوا على إطلاق مفهومه، وهذا لا يقدح في حجّيّته بالنسبة إلى المنطوق والمفهوم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أنّه لا فرق بين القَدَم والنَّعل، بل كلّ ما يُلبس بالقَدَم ممّا يصدق الوطئ به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ذكرناه ظهر أنّ الأقوى عدم إلحاق الركبتين واليدين بالنسبة إلىا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يمشي عليهما، وكذا كَعب عصا الأعرج، وخَشَبة الأقطع، ونعل الدابّة، لما عرفت من انحصار دليل التعدّي عن القدم بصحيح الأحول، وهو لا يشمل المذكورات، لعدم صدق الوطئ المأخوذ موضوعاً فيه على المشي على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المُطهّر كونه أرضاً، كما هو المشهور شهرةً عظيمة‌؟</w:t>
      </w:r>
    </w:p>
    <w:p>
      <w:pPr>
        <w:pStyle w:val="BookText"/>
        <w:rPr/>
      </w:pPr>
      <w:r>
        <w:rPr>
          <w:rFonts w:ascii="Amiri" w:hAnsi="Amiri" w:eastAsia="Amiri" w:cs="Amiri"/>
          <w:color w:val="111111"/>
          <w:sz w:val="28"/>
          <w:sz w:val="28"/>
          <w:szCs w:val="28"/>
          <w:rtl w:val="true"/>
          <w:lang w:bidi="ar-SA"/>
        </w:rPr>
        <w:t>أم يكفي المسح بكلّ جسمٍ قالعٍ‌، كما عن ابن الجُنيد</w:t>
      </w:r>
      <w:r>
        <w:rPr>
          <w:rStyle w:val="FootnoteAnchor"/>
          <w:rtl w:val="true"/>
        </w:rPr>
        <w:footnoteReference w:id="1020"/>
      </w:r>
      <w:r>
        <w:rPr>
          <w:rFonts w:ascii="Amiri" w:hAnsi="Amiri" w:eastAsia="Amiri" w:cs="Amiri"/>
          <w:color w:val="111111"/>
          <w:sz w:val="28"/>
          <w:sz w:val="28"/>
          <w:szCs w:val="28"/>
          <w:rtl w:val="true"/>
          <w:lang w:bidi="ar-SA"/>
        </w:rPr>
        <w:t xml:space="preserve">، 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احتماله‌؟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الأمر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لم يكونا منصرفين إلى الأرض، تعيّن حملها عليها، إذ ظاهر قوله عليه السلام في صحيح الحلبي أو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تمشي بعد ذلك في أرضٍ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الأرض في الرافعيّة، فيقيّد به الإطلاقان المزبوران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يكفي المطلي بالقير أو المفروش باللّوح من الخشب، لعدم صدق الأرض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إرادة ما يقابل الفراش منها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على المشهور، هل يقتصر على التّراب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وعن غيرها؟</w:t>
      </w:r>
    </w:p>
    <w:p>
      <w:pPr>
        <w:pStyle w:val="BookText"/>
        <w:rPr/>
      </w:pPr>
      <w:r>
        <w:rPr>
          <w:rFonts w:ascii="Amiri" w:hAnsi="Amiri" w:eastAsia="Amiri" w:cs="Amiri"/>
          <w:color w:val="111111"/>
          <w:sz w:val="28"/>
          <w:sz w:val="28"/>
          <w:szCs w:val="28"/>
          <w:rtl w:val="true"/>
          <w:lang w:bidi="ar-SA"/>
        </w:rPr>
        <w:t>أو يعمّ الرّمل والحَجَر الأصلي، كما هو المشهور؟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يعمّ المفروشة بالحَجَر والآجر والجِصّ والنُّورة‌؟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أقواها الأخير، لصدق الأرض على الجميع إمّا حقيقةً أو تعبّداً باستصحاب أرضيّتها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24"/>
      </w:r>
      <w:r>
        <w:rPr>
          <w:rFonts w:ascii="Amiri" w:hAnsi="Amiri" w:eastAsia="Amiri" w:cs="Amiri"/>
          <w:color w:val="111111"/>
          <w:sz w:val="28"/>
          <w:sz w:val="28"/>
          <w:szCs w:val="28"/>
          <w:rtl w:val="true"/>
          <w:lang w:bidi="ar-SA"/>
        </w:rPr>
        <w:t>أنّه من استصحاب المفهوم المردد لا تقدح لما حقّقناه في الاُصول من جريانه</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بالمشي، أم يعمّ المسح، كما هو المشهور؟</w:t>
      </w:r>
    </w:p>
    <w:p>
      <w:pPr>
        <w:pStyle w:val="BookText"/>
        <w:rPr/>
      </w:pPr>
      <w:r>
        <w:rPr>
          <w:rFonts w:ascii="Amiri" w:hAnsi="Amiri" w:eastAsia="Amiri" w:cs="Amiri"/>
          <w:color w:val="111111"/>
          <w:sz w:val="28"/>
          <w:sz w:val="28"/>
          <w:szCs w:val="28"/>
          <w:rtl w:val="true"/>
          <w:lang w:bidi="ar-SA"/>
        </w:rPr>
        <w:t>أم يكفي مجرّد المماسّة من دون مسحٍ أو مشي‌؟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الثاني لحسن الحلبي، وصحيح زرارة المتقدّمين، لأنّ ظاهر الأوّل اعتبار المشي، وظاهر الثاني اعتبار المسح، والجمع بينهما يقتضي البناء على كفاية أحدهما، وعدم كفاية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إجمالها في نفسها، أنّه لو سُلّم ظهورها في أحد المعاني المتقدّمة، لا إطلاق لها من جهة الكيفيّة، كي يُتمسّك به،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إنّ ضمّ المشي إلى المسح، يوجبُ القطع بكفاية مطلق المماسّة، إذ بقرينة الارتكاز العرفي لا يُحتمل مدخليّة انتقال البَدَن من محلٍّ إلى محلٍّ آخر في حصول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يكفي مُسمّى المسح، أو المشي كما هو المشهور شهرة عظيمة‌؟</w:t>
      </w:r>
    </w:p>
    <w:p>
      <w:pPr>
        <w:pStyle w:val="BookText"/>
        <w:rPr/>
      </w:pPr>
      <w:r>
        <w:rPr>
          <w:rFonts w:ascii="Amiri" w:hAnsi="Amiri" w:eastAsia="Amiri" w:cs="Amiri"/>
          <w:color w:val="111111"/>
          <w:sz w:val="28"/>
          <w:sz w:val="28"/>
          <w:szCs w:val="28"/>
          <w:rtl w:val="true"/>
          <w:lang w:bidi="ar-SA"/>
        </w:rPr>
        <w:t>أم يعتبر المشي خَمَسة عشر ذراعاً كما عن ابن الجُنيد</w:t>
      </w:r>
      <w:r>
        <w:rPr>
          <w:rStyle w:val="FootnoteAnchor"/>
          <w:rtl w:val="true"/>
        </w:rPr>
        <w:footnoteReference w:id="102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الأحول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ظهوره في ذلك، مع أنّ للمنع عنه مجالاً واسعاً، إذ الظاهر منه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من المشي يوجبُ زوال عين النجاسة، تعيّن حمله على ذلك أو الاستحباب لقوّة ظهور صحيح زرارة في كفاية مسمّى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يمسحها حتّى يذهب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كان للنجاسة جِرْمٌ يعتبر المسح أو المشي حتّى يذهب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كفى مجرّد المسح بل المماسّة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كفاية مسح الأجزاء الأرضيّة، إذا انفصلت عنها، كما لو أخذ حَجَراً ومسح به رجله،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يمسحها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مسح الرِّجل بالأرض، وعدم كفاية مسح الأرض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ظاهر قوله عليه السلام في حسن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تمشي بعد ذلك في أرضٍ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وكونه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الأدلّة الاُخر صرفناه عن ظاهره بالنسبة إلى القيد الأوّل، وحيثُ لا صارف له عن ظهوره بالنسبة إلى الثاني، فلا وجه لرفع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وغيره من كفاية مسح الأرض بالرِّجل، ضعيفٌ‌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جفاف الأرض التي يمشي عليها، كما عن ابن الجُنيد</w:t>
      </w:r>
      <w:r>
        <w:rPr>
          <w:rStyle w:val="FootnoteAnchor"/>
          <w:rtl w:val="true"/>
        </w:rPr>
        <w:footnoteReference w:id="1028"/>
      </w:r>
      <w:r>
        <w:rPr>
          <w:rFonts w:ascii="Amiri" w:hAnsi="Amiri" w:eastAsia="Amiri" w:cs="Amiri"/>
          <w:color w:val="111111"/>
          <w:sz w:val="28"/>
          <w:sz w:val="28"/>
          <w:szCs w:val="28"/>
          <w:rtl w:val="true"/>
          <w:lang w:bidi="ar-SA"/>
        </w:rPr>
        <w:t>والمحقّق</w:t>
      </w:r>
      <w:r>
        <w:rPr>
          <w:rStyle w:val="FootnoteAnchor"/>
          <w:rtl w:val="true"/>
        </w:rPr>
        <w:footnoteReference w:id="1029"/>
      </w:r>
      <w:r>
        <w:rPr>
          <w:rFonts w:ascii="Amiri" w:hAnsi="Amiri" w:eastAsia="Amiri" w:cs="Amiri"/>
          <w:color w:val="111111"/>
          <w:sz w:val="28"/>
          <w:sz w:val="28"/>
          <w:szCs w:val="28"/>
          <w:rtl w:val="true"/>
          <w:lang w:bidi="ar-SA"/>
        </w:rPr>
        <w:t>وجماعة من متأخّري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لا يعتبر ذلك،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وغيرهما؟</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يعتبر أن لا تكون ذات رطوبة مسرية،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يشترط عدم بلوغها مرتبة الوَحَل، كما عن المصنّف رحمه الله أم لا؟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الثاني؛ للتنصيص على اعتبار الجفاف واليبوسة في حسني المُعلّى والحَلَبي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33"/>
      </w:r>
      <w:r>
        <w:rPr>
          <w:rFonts w:ascii="Amiri" w:hAnsi="Amiri" w:eastAsia="Amiri" w:cs="Amiri"/>
          <w:color w:val="111111"/>
          <w:sz w:val="28"/>
          <w:sz w:val="28"/>
          <w:szCs w:val="28"/>
          <w:rtl w:val="true"/>
          <w:lang w:bidi="ar-SA"/>
        </w:rPr>
        <w:t>قُرب كون المراد بالجاف ما يقابل المبتل بما يسيل من الخنزير، وباليابسة ما يقابل الندية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للاعتناء بهذه الاحتمالات، في مقابل ظواهر النصوص، فبما أنّ ظاهرهما اعتبار اليبوسة والجفاف، فيقيّد بهما النصوص الاُخر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دعوى أنّ الظاهر من اعتبار اليبوسة أو الجفاف في الأرض ان الرطوبة اليسيرة غير المسرية، لا تضرّ كما يشير إليه ذكر الجفاف في أحدهما، واليبوسة في الآخر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22" w:name="pg11798_104753"/>
    </w:p>
    <w:p>
      <w:pPr>
        <w:pStyle w:val="Heading6"/>
        <w:numPr>
          <w:ilvl w:val="5"/>
          <w:numId w:val="1"/>
        </w:numPr>
        <w:rPr/>
      </w:pPr>
      <w:bookmarkStart w:id="423" w:name="__RefHeading___Toc10417080_73709187"/>
      <w:bookmarkStart w:id="424" w:name="_Toc158"/>
      <w:bookmarkEnd w:id="422"/>
      <w:bookmarkEnd w:id="423"/>
      <w:r>
        <w:rPr>
          <w:rtl w:val="true"/>
        </w:rPr>
        <w:t>اشتراط طهارة الأرض</w:t>
      </w:r>
      <w:bookmarkEnd w:id="424"/>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طهارة الأرض المطهّرة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أوّلهما الشهيد</w:t>
      </w:r>
      <w:r>
        <w:rPr>
          <w:rStyle w:val="FootnoteAnchor"/>
          <w:rtl w:val="true"/>
        </w:rPr>
        <w:footnoteReference w:id="1034"/>
      </w:r>
      <w:r>
        <w:rPr>
          <w:rFonts w:ascii="Amiri" w:hAnsi="Amiri" w:eastAsia="Amiri" w:cs="Amiri"/>
          <w:color w:val="111111"/>
          <w:sz w:val="28"/>
          <w:sz w:val="28"/>
          <w:szCs w:val="28"/>
          <w:rtl w:val="true"/>
          <w:lang w:bidi="ar-SA"/>
        </w:rPr>
        <w:t>، والإسكافي</w:t>
      </w:r>
      <w:r>
        <w:rPr>
          <w:rStyle w:val="FootnoteAnchor"/>
          <w:rtl w:val="true"/>
        </w:rPr>
        <w:footnoteReference w:id="1035"/>
      </w:r>
      <w:r>
        <w:rPr>
          <w:rFonts w:ascii="Amiri" w:hAnsi="Amiri" w:eastAsia="Amiri" w:cs="Amiri"/>
          <w:color w:val="111111"/>
          <w:sz w:val="28"/>
          <w:sz w:val="28"/>
          <w:szCs w:val="28"/>
          <w:rtl w:val="true"/>
          <w:lang w:bidi="ar-SA"/>
        </w:rPr>
        <w:t>، والكَرَكي</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ثانيهما الشهيد الثاني رحمه الله</w:t>
      </w:r>
      <w:r>
        <w:rPr>
          <w:rStyle w:val="FootnoteAnchor"/>
          <w:rtl w:val="true"/>
        </w:rPr>
        <w:footnoteReference w:id="1037"/>
      </w:r>
      <w:r>
        <w:rPr>
          <w:rFonts w:ascii="Amiri" w:hAnsi="Amiri" w:eastAsia="Amiri" w:cs="Amiri"/>
          <w:color w:val="111111"/>
          <w:sz w:val="28"/>
          <w:sz w:val="28"/>
          <w:szCs w:val="28"/>
          <w:rtl w:val="true"/>
          <w:lang w:bidi="ar-SA"/>
        </w:rPr>
        <w:t>، بل ادّعى أنّ مقتضى إطلاق النّص والفتوى عدم الفرق بين الأرض الطاهرة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38"/>
      </w:r>
      <w:r>
        <w:rPr>
          <w:rFonts w:ascii="Amiri" w:hAnsi="Amiri" w:eastAsia="Amiri" w:cs="Amiri"/>
          <w:color w:val="111111"/>
          <w:sz w:val="28"/>
          <w:sz w:val="28"/>
          <w:szCs w:val="28"/>
          <w:rtl w:val="true"/>
          <w:lang w:bidi="ar-SA"/>
        </w:rPr>
        <w:t>وهو قوله عليه السلام المرويّ بعدّة طرق، فيها الصحيح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هو الطاهر المطهّر من الحَدَث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لايدلّ إلّاعلى ثبوت هذين الحكمين له، وأمّا كون أحدهما شرطاً للآخر فهو أجنبيٌ عن بيانه، مع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الطاهر المُطهّر، محلّ تأمّل ومنعٍ‌، كما عرفت في أوّل الكتاب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المتّفق عليها الفقهاء ظاهراً، وهي اعتبار سبق الطهارة في المطهّر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الاتّفاق على هذه القاعدة، مع ذهاب جماعةٍ‌، منهم الشهيد رحمه الله إلى خلافها 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الفاقد لا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أنّها كما توجب دلالة ما دلَّ على مطهّريّة شيءٍ على اعتبار الطهارة في المُطهّر، كذلك توجب دلالته على نجاسة المنجّس، ولذلك استدلّ الفقهاء على نجاسة الأشياء بما دلَّ على نجاسة ملاقيها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المرتكزات العرفيّة في مثل هذا الحكم التعبّدي المحض، الذي لا سبيل للعرف إلى فهم ملاكه وحكمته، وليس ممّا عليه بنائهم، في غير محلّه، وقياس المقام باستفادة النجاسة من ما دلّ على نجاسة الملاقي مع الفارق، إذ في ذلك الباب إنّما تستفاد النجاسة بواسطة ما عُلم من الخارج أنّ غير النّجس لا ينجس، مضافاً إلى أنّ سراية النجاسة من الأعيان النجسة إلى ما يلاقيها من المرتكزات العرفيّة، فالرجوع إليهم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الأحول المتقدّم، حيث أنّ الطهارة مذكورة في السؤال،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خَمْسَة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فرضه السائل، يستفاد منه اشتراط القيد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عود الضمير إلى ما فرضه السائل، لا يدلّ على اعتبار جميع الخصوصيّات المذكورة في السؤال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الإستقراء، فإنّ في جميع موارد التطهير بالماء وغيره اعتُبر طهارة المُطهّر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كان يوجب الظنّ باعتبارها في المقام، إلّاأنّه لا يوجب القطع كي يصحّ الاعتماد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النجاسة بعد المشي على الأرض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يرجع إليه مع وجود الإطلاق المقتضي لعدم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ما ذكرناه أنّ الأقوى عدم اشتراطها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يقتصر في هذا الحكم على النجاسة الحاصلة بالمشي على الأرض النجسة‌؟ أم يتعدّى إلى ما حصل من الخارج‌؟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الأوّل، لورود النصوص كلّها في النجاسة الحاصلة من المشي، فالتعدّي يحتاج إلى الدليل،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أثر الغائط بثلاثة أحجار، أن يمسح العِجان ولا يَغسله، ويجوزُ أن يمسح رجليه، ولا يغسلهما</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سُلّم وروده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 مجالاً واسعاً، إذ يحتمل إرادة المسح في باب الوضوء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من هذه الجهة كي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طهارة الأجزاء الأرضيّة اللّاصقة بالنّعل والقَدَم بتبعهما، وكذلك كل ما يكون وصول النجاسة إليه غالبيّاً كحواشيهما، لإطلاق الأدلّة، لأنّها بالالتزام العرفي تدلّ على 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صحيح زرارة</w:t>
      </w:r>
      <w:r>
        <w:rPr>
          <w:rStyle w:val="FootnoteAnchor"/>
          <w:rtl w:val="true"/>
        </w:rPr>
        <w:footnoteReference w:id="1041"/>
      </w:r>
      <w:r>
        <w:rPr>
          <w:rFonts w:ascii="Amiri" w:hAnsi="Amiri" w:eastAsia="Amiri" w:cs="Amiri"/>
          <w:color w:val="111111"/>
          <w:sz w:val="28"/>
          <w:sz w:val="28"/>
          <w:szCs w:val="28"/>
          <w:rtl w:val="true"/>
          <w:lang w:bidi="ar-SA"/>
        </w:rPr>
        <w:t>الوارد في الرِّجل التي تسيخُ في العَذَرة، طهارة ما بين أصابع الرِّجل، لوصولها إليه غالباً، وهو ظاهرٌ في طهارة الجميع بالمشي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25" w:name="pg11798_104756"/>
    </w:p>
    <w:p>
      <w:pPr>
        <w:pStyle w:val="Heading5"/>
        <w:numPr>
          <w:ilvl w:val="4"/>
          <w:numId w:val="1"/>
        </w:numPr>
        <w:rPr/>
      </w:pPr>
      <w:bookmarkStart w:id="426" w:name="__RefHeading___Toc10417082_73709187"/>
      <w:bookmarkStart w:id="427" w:name="_Toc159"/>
      <w:bookmarkEnd w:id="425"/>
      <w:bookmarkEnd w:id="426"/>
      <w:r>
        <w:rPr>
          <w:rtl w:val="true"/>
        </w:rPr>
        <w:t>عَدّ اُمور اُخر في عِداد المطهّرات عند المشهور</w:t>
      </w:r>
      <w:bookmarkEnd w:id="427"/>
    </w:p>
    <w:p>
      <w:pPr>
        <w:pStyle w:val="Heading6"/>
        <w:numPr>
          <w:ilvl w:val="5"/>
          <w:numId w:val="1"/>
        </w:numPr>
        <w:rPr/>
      </w:pPr>
      <w:bookmarkStart w:id="428" w:name="__RefHeading___Toc10417084_73709187"/>
      <w:bookmarkStart w:id="429" w:name="_Toc160"/>
      <w:bookmarkEnd w:id="428"/>
      <w:r>
        <w:rPr>
          <w:rtl w:val="true"/>
        </w:rPr>
        <w:t>الأوّل الإستحالة</w:t>
      </w:r>
      <w:bookmarkEnd w:id="429"/>
    </w:p>
    <w:p>
      <w:pPr>
        <w:pStyle w:val="Heading6"/>
        <w:numPr>
          <w:ilvl w:val="5"/>
          <w:numId w:val="1"/>
        </w:numPr>
        <w:rPr/>
      </w:pPr>
      <w:bookmarkStart w:id="430" w:name="__RefHeading___Toc10417086_73709187"/>
      <w:bookmarkStart w:id="431" w:name="_Toc161"/>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المشهور بين الأصحاب عَدّ اُمور اُخر في عِداد المطهّرات، فلابدَّ من التنبيه عليها، ولم يذكرها المصنّف من جهة أنّها ليست بأنفسها رافعة للنجاسة،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يتمّ برسم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الموضوع للنجاسة إذا استحال إلى مغايره عرفاً، يحكم بطهارته، وما وقع فيه الخلاف بين العلماء في بعض الموارد، إنّما هو في استحالة الموضوع وعدمها، ولذا ترى اتّفاق الفقهاء على طهارة العلقة بصيرورتها حيواناً، والماء النّجس بصيرورته نباتاً، والنجاسات بصيرورتها دخاناً أو رماداً، فإنّ الظاهر تسالمهم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ما دلّ على طهارة الاُمور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استحالة الموضوع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ملاك تفصيل المصنّف رحمه الله</w:t>
      </w:r>
      <w:r>
        <w:rPr>
          <w:rStyle w:val="FootnoteAnchor"/>
          <w:rtl w:val="true"/>
        </w:rPr>
        <w:footnoteReference w:id="1042"/>
      </w:r>
      <w:r>
        <w:rPr>
          <w:rFonts w:ascii="Amiri" w:hAnsi="Amiri" w:eastAsia="Amiri" w:cs="Amiri"/>
          <w:color w:val="111111"/>
          <w:sz w:val="28"/>
          <w:sz w:val="28"/>
          <w:szCs w:val="28"/>
          <w:rtl w:val="true"/>
          <w:lang w:bidi="ar-SA"/>
        </w:rPr>
        <w:t>بين صيرورة الخنزير مِلْحاً، والعَذَرة تراباً، حيث حكم بنجاسة الأوّل، وطهارة الثاني، بدعوى أنّ النجاسة في الأوّل قائمة بالأجزاء، فلا تزول بتغيّر الصّفات، وأمّا في الثاني فيستفاد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وترابها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النجاسة عنوان العَذَرة، فمحلّ الخلاف بين الأعلام ينحصر في تعيين موضوع النجاسة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الأُصوليّين</w:t>
      </w:r>
      <w:r>
        <w:rPr>
          <w:rStyle w:val="FootnoteAnchor"/>
          <w:rtl w:val="true"/>
        </w:rPr>
        <w:footnoteReference w:id="1043"/>
      </w:r>
      <w:r>
        <w:rPr>
          <w:rFonts w:ascii="Amiri" w:hAnsi="Amiri" w:eastAsia="Amiri" w:cs="Amiri"/>
          <w:color w:val="111111"/>
          <w:sz w:val="28"/>
          <w:sz w:val="28"/>
          <w:szCs w:val="28"/>
          <w:rtl w:val="true"/>
          <w:lang w:bidi="ar-SA"/>
        </w:rPr>
        <w:t>تعريف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حقيقة الشيء وصورته النوعيّة إلى صورةٍ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 إلى الفقهاء</w:t>
      </w:r>
      <w:r>
        <w:rPr>
          <w:rStyle w:val="FootnoteAnchor"/>
          <w:rtl w:val="true"/>
        </w:rPr>
        <w:footnoteReference w:id="1044"/>
      </w:r>
      <w:r>
        <w:rPr>
          <w:rFonts w:ascii="Amiri" w:hAnsi="Amiri" w:eastAsia="Amiri" w:cs="Amiri"/>
          <w:color w:val="111111"/>
          <w:sz w:val="28"/>
          <w:sz w:val="28"/>
          <w:szCs w:val="28"/>
          <w:rtl w:val="true"/>
          <w:lang w:bidi="ar-SA"/>
        </w:rPr>
        <w:t>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تغيّر </w:t>
      </w:r>
    </w:p>
    <w:p>
      <w:pPr>
        <w:pStyle w:val="BookText"/>
        <w:rPr/>
      </w:pPr>
      <w:r>
        <w:rPr>
          <w:rFonts w:ascii="Amiri" w:hAnsi="Amiri" w:eastAsia="Amiri" w:cs="Amiri"/>
          <w:color w:val="111111"/>
          <w:sz w:val="28"/>
          <w:sz w:val="28"/>
          <w:szCs w:val="28"/>
          <w:rtl w:val="true"/>
          <w:lang w:bidi="ar-SA"/>
        </w:rPr>
        <w:t>الأجزاء وانقلابها من حالٍ إلى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فُسِّرت بتفاسيرٍ اُخر، وحيثُ أنّ الاستحالة لم تؤخذ في الدليل موضوعة للحكم، فلا وجه لإطالة الكلام في بيان حقيقتها، ووقوعها في بعض معاقد الإجماعات المعتدّ بها، لا يوجب صيرورتها موضوعة للحكم، بعد عدم كون الإجماع إجماعاً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ستعرف أنّ ما دلّ الدليل على مطهّريّته، هو ما ينطبق عليه ما عرفه الأُصوليّون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أنّ الاستحالة بالنّار رماداً أو دخاناً مطهّرة، بل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والحِلّي</w:t>
      </w:r>
      <w:r>
        <w:rPr>
          <w:rStyle w:val="FootnoteAnchor"/>
          <w:rtl w:val="true"/>
        </w:rPr>
        <w:footnoteReference w:id="10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والمصنّف في جملةٍ من كتبه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وغيرهم دعوى الإجماع على مطهّريّتها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لها</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وبصحيح ابن محبوب،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الحسن عليه السلام عن الجِصّ يُوقد عليه بالعَذَرة، وعظام الموتى‌، ويُجصّص به المسجد، أيسجد عليه‌؟</w:t>
      </w:r>
    </w:p>
    <w:p>
      <w:pPr>
        <w:pStyle w:val="BookText"/>
        <w:rPr/>
      </w:pPr>
      <w:r>
        <w:rPr>
          <w:rFonts w:ascii="Amiri" w:hAnsi="Amiri" w:eastAsia="Amiri" w:cs="Amiri"/>
          <w:color w:val="111111"/>
          <w:sz w:val="28"/>
          <w:sz w:val="28"/>
          <w:szCs w:val="28"/>
          <w:rtl w:val="true"/>
          <w:lang w:bidi="ar-SA"/>
        </w:rPr>
        <w:t>فكتب إليه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والنّار قد طهّراه</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الماء الذي يُمازج الجِصّ هو ما يبتلّ به، وذلك لا يطهر إجماعاً، والنّار لم تصيّره رماداً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المذكورة وإنْ كانت مجملة، إلّاأنّ دلالة الصحيح على طهارة الرّماد والدخان لا تُنكر، إذ الجِصّ الذي يوقد عليه بالعَذَرة وعظام الموتى‌، لا ينفكّ من أن يتخلّف فيه شيءٌ من الرّماد، ومن أن يصيبه الدخان حال الإيقاد، فلو لم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الرّماد أو الدُخَان طاهرين، لزم نجاسة الجِصّ بوصول الماء إليه، فالحكم بطهارته دليلٌ على مطهّريّة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طهارة المستحال إليه، بعد عدم شمول ما دلّ على نجاسة الأعيان النجسة له، لأنّه بنظر العرف غير ما حكم بنجاسته، وهو قد انعدم، وهذا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وتسليم الشكّ في شمول ما حُكم بنجاسته له، من جهة احتمال كون معروض النجاسة، هو ما يشمل المستحال اليه، يتعيّن الرجوع إلى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النجاسة فلا مجال لجريانه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الموضوع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الأحكام الشرعيّة، لكونه محكوماً لاستصحاب عدم الجَعل، كما أشرنا إليه في هذا الشرح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أنّ الاستحالة موجبة لحصول الطهارة، ولو كانت بغير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المصنّف رحمه الله</w:t>
      </w:r>
      <w:r>
        <w:rPr>
          <w:rStyle w:val="FootnoteAnchor"/>
          <w:rtl w:val="true"/>
        </w:rPr>
        <w:footnoteReference w:id="1049"/>
      </w:r>
      <w:r>
        <w:rPr>
          <w:rFonts w:ascii="Amiri" w:hAnsi="Amiri" w:eastAsia="Amiri" w:cs="Amiri"/>
          <w:color w:val="111111"/>
          <w:sz w:val="28"/>
          <w:sz w:val="28"/>
          <w:szCs w:val="28"/>
          <w:rtl w:val="true"/>
          <w:lang w:bidi="ar-SA"/>
        </w:rPr>
        <w:t>والمحقّق</w:t>
      </w:r>
      <w:r>
        <w:rPr>
          <w:rStyle w:val="FootnoteAnchor"/>
          <w:rtl w:val="true"/>
        </w:rPr>
        <w:footnoteReference w:id="1050"/>
      </w:r>
      <w:r>
        <w:rPr>
          <w:rFonts w:ascii="Amiri" w:hAnsi="Amiri" w:eastAsia="Amiri" w:cs="Amiri"/>
          <w:color w:val="111111"/>
          <w:sz w:val="28"/>
          <w:sz w:val="28"/>
          <w:szCs w:val="28"/>
          <w:rtl w:val="true"/>
          <w:lang w:bidi="ar-SA"/>
        </w:rPr>
        <w:t>وغيرهما من نجاسة الخنزير إذا صار مِلْحاً، بوقوعه في المملحة ضعيفٌ‌، إذ لا وجه لها سوى الاستصحاب الذي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الضعف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من نجاسة العَذَرة إذا صارت تراباً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32" w:name="pg11798_104759"/>
    </w:p>
    <w:p>
      <w:pPr>
        <w:pStyle w:val="Heading6"/>
        <w:numPr>
          <w:ilvl w:val="5"/>
          <w:numId w:val="1"/>
        </w:numPr>
        <w:rPr/>
      </w:pPr>
      <w:bookmarkStart w:id="433" w:name="__RefHeading___Toc10417088_73709187"/>
      <w:bookmarkStart w:id="434" w:name="_Toc162"/>
      <w:bookmarkEnd w:id="432"/>
      <w:bookmarkEnd w:id="433"/>
      <w:r>
        <w:rPr>
          <w:rtl w:val="true"/>
        </w:rPr>
        <w:t>استحالة المتنجّس</w:t>
      </w:r>
      <w:bookmarkEnd w:id="434"/>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جماعة من المتأخّرين تبعاً للفاضل الهندي</w:t>
      </w:r>
      <w:r>
        <w:rPr>
          <w:rStyle w:val="FootnoteAnchor"/>
          <w:rtl w:val="true"/>
        </w:rPr>
        <w:footnoteReference w:id="1052"/>
      </w:r>
      <w:r>
        <w:rPr>
          <w:rFonts w:ascii="Amiri" w:hAnsi="Amiri" w:eastAsia="Amiri" w:cs="Amiri"/>
          <w:color w:val="111111"/>
          <w:sz w:val="28"/>
          <w:sz w:val="28"/>
          <w:szCs w:val="28"/>
          <w:rtl w:val="true"/>
          <w:lang w:bidi="ar-SA"/>
        </w:rPr>
        <w:t>التفصيل بين استحالة نجس العين والمتنجّس، فحكموا بطهارة الأوّل، وبقاء نجاسة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واستدلّوا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موضوع النجاسة في المتنجّس هو الملاقي للنجس، وهو الجسم بلا دخل للصّور النوعيّة فيها، وبعد الاستحالة يكون الموضوع باقياً، فدعواهم في الحقيقة هي أنّه لم يستحل الموضوع وإنّما المستحال هو ما لا يكون دخيلاً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1053"/>
      </w:r>
      <w:r>
        <w:rPr>
          <w:rFonts w:ascii="Amiri" w:hAnsi="Amiri" w:eastAsia="Amiri" w:cs="Amiri"/>
          <w:color w:val="111111"/>
          <w:sz w:val="28"/>
          <w:sz w:val="28"/>
          <w:szCs w:val="28"/>
          <w:rtl w:val="true"/>
          <w:lang w:bidi="ar-SA"/>
        </w:rPr>
        <w:t>بأنّه وإنْ اشتهر في الفتاوي أنّ كلّ جسمٍ لاقى نجساً مع رطوبة أحدهما فهو نجسٌ‌، إلّاأنّ الظاهر أنّ التعبير بالجسم إنما يكون لبيان شمول الحكم لجميع الأجسام الملاقية، لا لبيان معروض النجاسة، فإذا لا يُعلم أنّ النجاسة في المتنجّسات محمولة على الصورة الجنسيّة، مع أنّه لو سُلّم ظهور معقد الإجماع في تقوم النجاسة بالجسم، فحيثُ أنّ مستند هذا العموم، هو الأدلّة الخاصّة الواردة في الأشخاص الخاصّة كالثوب ونحوه، فاستفادة الكبرى الكليّة منها ليست إلّامن حيث عنوان حدوث النجاسة لا ما يتقوّم به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النصوص الخاصّة الواردة في الأنواع على اختلافها، ثبوت الحكم لجميع الأنواع، للعلم بعدم الخصوصيّة للموارد المذكورة في الأدلّة، ولذا لا يتوقّف في الحكم بنجاسة ما لاقى نجساً ولم يُذكر في الأدلّة، ولازم ذلك عدم </w:t>
      </w:r>
    </w:p>
    <w:p>
      <w:pPr>
        <w:pStyle w:val="BookText"/>
        <w:rPr/>
      </w:pPr>
      <w:r>
        <w:rPr>
          <w:rFonts w:ascii="Amiri" w:hAnsi="Amiri" w:eastAsia="Amiri" w:cs="Amiri"/>
          <w:color w:val="111111"/>
          <w:sz w:val="28"/>
          <w:sz w:val="28"/>
          <w:szCs w:val="28"/>
          <w:rtl w:val="true"/>
          <w:lang w:bidi="ar-SA"/>
        </w:rPr>
        <w:t xml:space="preserve">دخل شيءٍ من الخصوصيّات في الحكم، لا دخل كلّ خصوصيّةٍ فيه، مع أنّه وإنْ لم يرد في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جسمٍ لاقى مع النّجس ينجس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إلّاأنّه ورد فيها ما يرادف هذه الجملة، وهو قوله عليه السلام في 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يجدُ في إنائه فأرة‌؟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رآها في الإناء قبل أن يغتسل أو يتوضّأ أو يغسل ثيابه، ثمّ يفعل ذلك بعدما رآها، فعليه أن يغسل ثيابه، ويغسل كلّ ما أصابه ذلك الماء</w:t>
      </w:r>
      <w:r>
        <w:rPr>
          <w:rFonts w:eastAsia="Amiri" w:cs="Amiri" w:ascii="Amiri" w:hAnsi="Amiri"/>
          <w:color w:val="111111"/>
          <w:sz w:val="28"/>
          <w:szCs w:val="28"/>
          <w:rtl w:val="true"/>
          <w:lang w:bidi="ar-SA"/>
        </w:rPr>
        <w:t>»</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عنه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الحكم هو الفرد الخارجي، أي ما يُحمل عليه اسم الجسم بالحمل الشائع، وعليه فإذا حكم بنجاسة فردٍ ثمّ استحال ذلك الفرد إلى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انعدم ذلك الفرد ووُجِد فردٌ آخر بنظر العرف، فإنّه لا وجه للحكم بنجاسة المستحال إليه، لعدم الدليل على نجاسته، إذ ما لاقى نجساً قد انعدم، وهذا الموجود لم يلاق مع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الاستصحاب بقاء الموضوع بنظر العرف، لا بحسب لسان الدليل، كما حُقّق في محلّه، وحيث أنّ الاستحالة توجب تعدّد الموضوع، بحيث لو حكم بطهارة المستحال إليه لا يراه العرف نقضاً لليقين،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الفرق بين النّجس والمتنجّس، في أنّ الاستحالة توجب طهارتهما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أنّ المراد من مطهّريّة الإستحالة، ليس كونها من المطهّرات الحقيقيّة، بل المراد كونها موجبة لارتفاع موضوع النجاسة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35" w:name="pg11798_104761"/>
    </w:p>
    <w:p>
      <w:pPr>
        <w:pStyle w:val="Heading6"/>
        <w:numPr>
          <w:ilvl w:val="5"/>
          <w:numId w:val="1"/>
        </w:numPr>
        <w:rPr/>
      </w:pPr>
      <w:bookmarkStart w:id="436" w:name="__RefHeading___Toc10417090_73709187"/>
      <w:bookmarkStart w:id="437" w:name="_Toc163"/>
      <w:bookmarkEnd w:id="435"/>
      <w:bookmarkEnd w:id="436"/>
      <w:r>
        <w:rPr>
          <w:rtl w:val="true"/>
        </w:rPr>
        <w:t>العجين المعجون بالماء النّجس</w:t>
      </w:r>
      <w:bookmarkEnd w:id="437"/>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العجين المعجون بالماء النّجس لو خُبز لا يطهر، كما هو المشهور شهرة عظيمة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دعوى الإجماع عليه، إذ لم يُنقل الخلاف إلّاعن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057"/>
      </w:r>
      <w:r>
        <w:rPr>
          <w:rFonts w:ascii="Amiri" w:hAnsi="Amiri" w:eastAsia="Amiri" w:cs="Amiri"/>
          <w:color w:val="111111"/>
          <w:sz w:val="28"/>
          <w:sz w:val="28"/>
          <w:szCs w:val="28"/>
          <w:rtl w:val="true"/>
          <w:lang w:bidi="ar-SA"/>
        </w:rPr>
        <w:t xml:space="preserve">،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من الكتب المعدّة للفتوى‌، بل هي متون أخبار، مع أنّ المحكي عن أطعمتها الجزم أوّلاً بعدم جواز أكل الخُبز المعجون بالماء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رُويت رخصة جواز أكله، وذلك أنّ النّار قد طهّرته، والأحوط ما قدّمناه</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 قدس سره اختصاص ذلك بالمعجون بماء البئر المتنجّس لا بالتغيّر، ومراد الأخيرين أيضاً ذلك، إذ ليس فيهما إلّاجواز أكل الخبز ممّا عُجن من ماء بئر وقع فيه شيءٌ من الدّواب فماتت، فإذاً دعوى الإجماع </w:t>
      </w:r>
    </w:p>
    <w:p>
      <w:pPr>
        <w:pStyle w:val="BookText"/>
        <w:rPr/>
      </w:pPr>
      <w:r>
        <w:rPr>
          <w:rFonts w:ascii="Amiri" w:hAnsi="Amiri" w:eastAsia="Amiri" w:cs="Amiri"/>
          <w:color w:val="111111"/>
          <w:sz w:val="28"/>
          <w:sz w:val="28"/>
          <w:szCs w:val="28"/>
          <w:rtl w:val="true"/>
          <w:lang w:bidi="ar-SA"/>
        </w:rPr>
        <w:t>على النجاسة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أبي عُمير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أحسبه إلّاحفص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العجين يُعجن من الماء النّجس، كيف يُصنع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ممّن يستحلّ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يُدفن ولا 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نبيذ قطرَ في عجينٍ أو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سندها في غير محلّها، لحجيّة المرسل، إذا كان المرسل من مثل ابن أبي عُمير الذي مراسيله كالمسانيد، بل هو على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أجمعت العصابة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يروي إلّاعن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منها المناقشة في دلالتها، إذ مضافاً إلى أنّ الظاهر منها إرادة البيع بعدما صار خُبزاً، أنّه لو كان يطهر بالخبز كان له عليه السلام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يعارضها صحيحٌ آخر رواه ابن أبي عُمير أيضاً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عجينٍ عُجن وخُبز ثمّ عُلم أنّ الماء كان فيه الميته‌؟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أكلت النّار ما فيه</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الزبيري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البئر تقع فيها الفأرة أو غيرها من الدّواب فتموت،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فيُعجن من مائها، أيُؤكل ذلك الخبز؟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النّار فلا بأس بأكله</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الثاني منهما أجنبيٌ عن المقام، بناءً على المختار من عدم نجاسة البئر بملاقاتها مع النجاسة، وإنّما تحدث فيها مرتبة من القذارة، فإنّه حينئذٍ يدلّ على أنّ إصابة النّار تكون كنزحِ مقدارٍ معيّن من مائها، رافعة لتلك المرتبة من القذارة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فلإعراض الأصحاب عنه، ومعارضته مع صحيحيه المتقدّمين، غير القابلين للحمل على الكراهة، يتعيّن طرحه، أو حمله على إرادة ماء البئر منه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38" w:name="pg11798_104764"/>
    </w:p>
    <w:p>
      <w:pPr>
        <w:pStyle w:val="Heading6"/>
        <w:numPr>
          <w:ilvl w:val="5"/>
          <w:numId w:val="1"/>
        </w:numPr>
        <w:rPr/>
      </w:pPr>
      <w:bookmarkStart w:id="439" w:name="__RefHeading___Toc10417092_73709187"/>
      <w:bookmarkStart w:id="440" w:name="_Toc164"/>
      <w:bookmarkEnd w:id="438"/>
      <w:bookmarkEnd w:id="439"/>
      <w:r>
        <w:rPr>
          <w:rtl w:val="true"/>
        </w:rPr>
        <w:t>صيرورة الطين آجراً</w:t>
      </w:r>
      <w:bookmarkEnd w:id="440"/>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النّجس إذا صار آجراً أو خزفاً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يصبح طاهراً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والمصنّف في بعض كتبه</w:t>
      </w:r>
      <w:r>
        <w:rPr>
          <w:rStyle w:val="FootnoteAnchor"/>
          <w:rtl w:val="true"/>
        </w:rPr>
        <w:footnoteReference w:id="1066"/>
      </w:r>
      <w:r>
        <w:rPr>
          <w:rFonts w:ascii="Amiri" w:hAnsi="Amiri" w:eastAsia="Amiri" w:cs="Amiri"/>
          <w:color w:val="111111"/>
          <w:sz w:val="28"/>
          <w:sz w:val="28"/>
          <w:szCs w:val="28"/>
          <w:rtl w:val="true"/>
          <w:lang w:bidi="ar-SA"/>
        </w:rPr>
        <w:t>، والشهيد</w:t>
      </w:r>
      <w:r>
        <w:rPr>
          <w:rStyle w:val="FootnoteAnchor"/>
          <w:rtl w:val="true"/>
        </w:rPr>
        <w:footnoteReference w:id="1067"/>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يكون باقياً على نجاسته،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يتوقّف في الحكم، كما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 والمصنّف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الحسن بن محبوب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الطهارة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 يدلّ على طهارة العَذَرة المستحالة إلى الرّماد أو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محكوماً لاستصحاب النجاسة، لبقاء الموضوع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74"/>
      </w:r>
      <w:r>
        <w:rPr>
          <w:rFonts w:ascii="Amiri" w:hAnsi="Amiri" w:eastAsia="Amiri" w:cs="Amiri"/>
          <w:color w:val="111111"/>
          <w:sz w:val="28"/>
          <w:sz w:val="28"/>
          <w:szCs w:val="28"/>
          <w:rtl w:val="true"/>
          <w:lang w:bidi="ar-SA"/>
        </w:rPr>
        <w:t>عدم جريانه إمّا لأنّ عمدة المستند للحكم بالنجاسة بعد زوال العين هو الإجماع، والاستصحاب لايجري في مثل المقام، أو لكون الشكّ في بقاء النجاسة من قبيل الشكّ في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يجري حتّى فيما كان الدليل المُثبت للمستصحب هو الإجماع،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جريانه بين موارد الشكّ في المقتضي، والشكّ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هو الحقّ من عدم جريان الاستصحاب في الأحكام الشرعيّة، لكونه محكوماً لاستصحاب عدم الجعل، لا يجري في المقام استصحاب النجاسة، فمع الشكّ في بقائها يتعيّن الرجوع إلى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الخراساني رحمه الله</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الطهارة الخَبَثيّة وما يقابلها من الاُمور التي إذا وجدت بأسبابها، لا يشكّ في بقائها، إلّامن قبل الشكّ في الرافع، لا من قِبل الشكّ في مقدار تأثير أسبابها، فلا أصل، لأصالة عدم جعل الملاقاة سبباً للنجاسة بعد صيرورة الطين آجراً مثلاً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النجاسة والطهارة من الأحكام الشرعيّة، كما عرفت في أوّل هذ</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فتكونان ممّا أمره بيد الشارع، فإذا لم يُعلم جَعل النجاسة بعد صيرورة الطين آجراً، فلا محالة يكون المرجع أصالة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النجاسة من الاُمور الواقعيّة الّتي كشف عنها الشارع، كان ما ذكره قدس سره وجيهاً، ولكن بما أنّها من الاُمور الإعتباريّة، فلا محالة تكون نسبتها إلى أسبابها، نسبة الحكم إلى الموضوع، لا نسبة الأثر إلى المؤثّر حتّى تكون مؤثّرة في بقائها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الشكّ في بقاء النجاسة مسبّباً عن الشكّ في كيفيّة الجعل، وحيثُ أنّ الجعل بنحوٍ يكون باقياً بعد صيرورته آجراً مسبوقٌ بالعدم، فيجري استصحاب عدم الجعل، ويترتّب عليه عدم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متين، فيما إذا كان الشكّ في بقاء النجاسة مسبّباً عن الشكّ في كيفيّة الجعل، وأمّا إذا كان الجعل معلوماً، فلا مورد لجريان أصالة العدم، والمقام كذلك، إذ المعلوم من الشريعة أنّ كلّ جسمٍ لاقى نجساً ينجس، وأنّه لا يطهر إلّا بمطهّرٍ أو بارتفاع موضوع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عدم الشكّ في الحكم في المقام، لعدم الشكّ في الموضوع، لا من ناحية المفهوم ولا من ناحية الاُمور الخارجيّة، وعلى ذلك فالشّك في بقاء النجاسة لو كان، لا منشأ له سوى عدم معلوميّة كيفيّة الجعل،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بالطهارة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الإستحالة، يحكم بالطهارة لقاعدتها، لعدم جريان الاستصحاب لا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بقاء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الموضوع، أي نفس العنوان الذي رتب عليه الحكم، مثل كونه كلباً، لأنّه على فرض الاستحالة يكون </w:t>
      </w:r>
    </w:p>
    <w:p>
      <w:pPr>
        <w:pStyle w:val="BookText"/>
        <w:rPr/>
      </w:pPr>
      <w:r>
        <w:rPr>
          <w:rFonts w:ascii="Amiri" w:hAnsi="Amiri" w:eastAsia="Amiri" w:cs="Amiri"/>
          <w:color w:val="111111"/>
          <w:sz w:val="28"/>
          <w:sz w:val="28"/>
          <w:szCs w:val="28"/>
          <w:rtl w:val="true"/>
          <w:lang w:bidi="ar-SA"/>
        </w:rPr>
        <w:t>ما اُحيل إليه غير ما اُحيل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متّصفاً بهذا العنوان سابقاً هو الثاني، وما اُريد إثباته له في الزمان اللّاحق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تحقّق الاستحالة الموجبة لتبدّل الموضوع، مانعٌ عن جريان الاستصحاب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استصحاب بقاء ذلك العنوان بنحو مفاد كان التامّة، يجري إذا ترتّب عليه الأثر، لكنّه لا يثبت اتّصاف الموجود الخارجي به</w:t>
      </w:r>
      <w:r>
        <w:rPr>
          <w:rFonts w:eastAsia="Amiri" w:cs="Amiri" w:ascii="Amiri" w:hAnsi="Amiri"/>
          <w:color w:val="111111"/>
          <w:sz w:val="28"/>
          <w:szCs w:val="28"/>
          <w:rtl w:val="true"/>
          <w:lang w:bidi="ar-SA"/>
        </w:rPr>
        <w:t>.</w:t>
      </w:r>
      <w:bookmarkStart w:id="441" w:name="pg11798_104768"/>
    </w:p>
    <w:p>
      <w:pPr>
        <w:pStyle w:val="Heading6"/>
        <w:numPr>
          <w:ilvl w:val="5"/>
          <w:numId w:val="1"/>
        </w:numPr>
        <w:rPr/>
      </w:pPr>
      <w:bookmarkStart w:id="442" w:name="__RefHeading___Toc10417094_73709187"/>
      <w:bookmarkStart w:id="443" w:name="_Toc165"/>
      <w:bookmarkEnd w:id="441"/>
      <w:bookmarkEnd w:id="442"/>
      <w:r>
        <w:rPr>
          <w:rtl w:val="true"/>
        </w:rPr>
        <w:t>الثاني</w:t>
      </w:r>
      <w:r>
        <w:rPr>
          <w:rtl w:val="true"/>
        </w:rPr>
        <w:t xml:space="preserve">: </w:t>
      </w:r>
      <w:r>
        <w:rPr>
          <w:rtl w:val="true"/>
        </w:rPr>
        <w:t>مطهّريّة الانقلاب</w:t>
      </w:r>
      <w:bookmarkEnd w:id="443"/>
    </w:p>
    <w:p>
      <w:pPr>
        <w:pStyle w:val="BookText"/>
        <w:rPr/>
      </w:pPr>
      <w:r>
        <w:rPr>
          <w:rFonts w:ascii="Amiri" w:hAnsi="Amiri" w:eastAsia="Amiri" w:cs="Amiri"/>
          <w:color w:val="111111"/>
          <w:sz w:val="28"/>
          <w:sz w:val="28"/>
          <w:szCs w:val="28"/>
          <w:rtl w:val="true"/>
          <w:lang w:bidi="ar-SA"/>
        </w:rPr>
        <w:t>المطهّر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فإذا انقلب الخَمُر خلّاً، فلا خلاف في طهارته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76"/>
      </w:r>
      <w:r>
        <w:rPr>
          <w:rFonts w:ascii="Amiri" w:hAnsi="Amiri" w:eastAsia="Amiri" w:cs="Amiri"/>
          <w:color w:val="111111"/>
          <w:sz w:val="28"/>
          <w:sz w:val="28"/>
          <w:szCs w:val="28"/>
          <w:rtl w:val="true"/>
          <w:lang w:bidi="ar-SA"/>
        </w:rPr>
        <w:t>نسبة القول بها إلى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عبد العزيز بن المُهتَدي،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العصير يصيرُ خمراً فيصبّ عليه الخَلّ وشيءٌ يغيّره حتّى يصير خَلّاً؟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باع عصيراً فحبسه السلطان حتّى صار خمراً، فجعله صاحبه 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 عن اسم الخمر فلا بأس</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الخمر العتيقة تُجعل خلّاً؟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يقع في مواضع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الحكم يختصُّ بما إذا انقلبَ الخَمرُ خلّاً بنفسه، أم يعمّ ما إذا كان ذلك بعلاج‌؟ </w:t>
      </w:r>
    </w:p>
    <w:p>
      <w:pPr>
        <w:pStyle w:val="BookText"/>
        <w:rPr/>
      </w:pPr>
      <w:r>
        <w:rPr>
          <w:rFonts w:ascii="Amiri" w:hAnsi="Amiri" w:eastAsia="Amiri" w:cs="Amiri"/>
          <w:color w:val="111111"/>
          <w:sz w:val="28"/>
          <w:sz w:val="28"/>
          <w:szCs w:val="28"/>
          <w:rtl w:val="true"/>
          <w:lang w:bidi="ar-SA"/>
        </w:rPr>
        <w:t>وجهان، ثانيهما المشهور بين الأصحاب</w:t>
      </w:r>
      <w:r>
        <w:rPr>
          <w:rStyle w:val="FootnoteAnchor"/>
          <w:rtl w:val="true"/>
        </w:rPr>
        <w:footnoteReference w:id="1081"/>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جملةٍ من النصوص كموثّق عبيد ومصحّح زرارة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ابن المهتدي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الخمر يُعالج بالملح وغيره ليحوّل خَلّاً؟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هنا أخبارٌ تدلّ على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الخمر يُجعل فيها الخَلّ؟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إلّاما جاء من قبل نفسه</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الخمر يُجعل خَلّاً؟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يجعل فيها ما يقلبها</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الخَمر ما انفسد، ولا تأكلوا ما أفسدتموه أنتم</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يتعيّن حملها على الكراهة، جمعاً بينها وبين ما تقدّم، ممّا هو صريحٌ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العلاج بين أن يكون بما يستهلك في الخمر قبل التخليل، وبين ما يبقى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Style w:val="FootnoteAnchor"/>
          <w:rtl w:val="true"/>
        </w:rPr>
        <w:footnoteReference w:id="10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نسبة المنع إلى القيل، والظاهر أنّ المراد منه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المقدّس الأردبيلي</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إليه الشيخ في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المعالج به يتنجّس بالخمر، ولا دليل على طهارته بالانقلاب، لإختصاص الدليل بالخمر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النصوص الدالّة على طهارة الخمر بالانقلاب إذا كان بعلاجٍ‌، هو الطهارة حتّى فيما إذا لم يستهلك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كان الباقي بعد الانقلاب من الجوامد، وبين ما إذا كان من المائعات، والقول بالطهارة في الأوّل وعدمها في الثاني، كما اختاره بعض أعاظم المحقّقين</w:t>
      </w:r>
      <w:r>
        <w:rPr>
          <w:rStyle w:val="FootnoteAnchor"/>
          <w:rtl w:val="true"/>
        </w:rPr>
        <w:footnoteReference w:id="1092"/>
      </w:r>
      <w:r>
        <w:rPr>
          <w:rFonts w:ascii="Amiri" w:hAnsi="Amiri" w:eastAsia="Amiri" w:cs="Amiri"/>
          <w:color w:val="111111"/>
          <w:sz w:val="28"/>
          <w:sz w:val="28"/>
          <w:szCs w:val="28"/>
          <w:rtl w:val="true"/>
          <w:lang w:bidi="ar-SA"/>
        </w:rPr>
        <w:t>مستدلّاً بأنّ الباقي إذا كان من الجوامد، يكون بنظر العرف نجاسته تابعة لنجاستها، ولا يرون له أثراً خاصّاً، وأمّا إذا كان من المائعات، فيرونه بعد الاتّصال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بالنجس كعين النّجس مستقلّاً بالأثر، فالحكم بالتبعيّة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خبر أبي بصير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الطهارة في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إلى ما إذا استهلك المعالج به،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لاقى الخمر نجاسة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طهارتها بالانقلاب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آخرين</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طهارتها به، ومبنى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النجاسة للمضاعفة وعدمه، إذ على الأوّل يتعيّن القول بالعدم، لأنّه لا دليل على ارتفاع النجاسة الخارجيّة بالانقلاب، لاختصاص النصوص بالنجاسة الخمريّة، وقد تقدّم تنقيح المبنى في مبحث تنجّس المتنجّس، فراجع</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العصير بملاقاة الخمر، ثمّ انقلب خمراً، ثمّ انقلب خَلّاً، فقد استشكل الشيخ الأعظم رحمه الله في طهارته</w:t>
      </w:r>
      <w:r>
        <w:rPr>
          <w:rStyle w:val="FootnoteAnchor"/>
          <w:rtl w:val="true"/>
        </w:rPr>
        <w:footnoteReference w:id="1097"/>
      </w:r>
      <w:r>
        <w:rPr>
          <w:rFonts w:ascii="Amiri" w:hAnsi="Amiri" w:eastAsia="Amiri" w:cs="Amiri"/>
          <w:color w:val="111111"/>
          <w:sz w:val="28"/>
          <w:sz w:val="28"/>
          <w:szCs w:val="28"/>
          <w:rtl w:val="true"/>
          <w:lang w:bidi="ar-SA"/>
        </w:rPr>
        <w:t>بدعوى أنّه لا مانع من قيام التنجّس بجسم الخمر من حيث هو جسم، والنجاسة بالنوع من حيث أنّه 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النجاسة كسائر الأحكام الشرعيّة يكون موضوعها الأفراد الخارجيّة لا الطبيعيّة من حيث هي، وما تنطبق عليه الطبيعة الجنسيّة، والطبيعة النوعيّة في المقام هو موجودٌ واحدٌ، وشيءٌ فارد، فيلزم من ذلك اجتماع حكمين مثليين في محلٍّ واحد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هو الحكم بالطهارة، وذلك لأنّ ما دلّ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طهارة الخمر بالانقلاب، يدلّ بإطلاقه على أنّ النجاسة الخمريّة ترتفع به، من غير فرقٍ بين العَرَضيّة والذاتيّة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دعوى</w:t>
      </w:r>
      <w:r>
        <w:rPr>
          <w:rStyle w:val="FootnoteAnchor"/>
          <w:rtl w:val="true"/>
        </w:rPr>
        <w:footnoteReference w:id="1098"/>
      </w:r>
      <w:r>
        <w:rPr>
          <w:rFonts w:ascii="Amiri" w:hAnsi="Amiri" w:eastAsia="Amiri" w:cs="Amiri"/>
          <w:color w:val="111111"/>
          <w:sz w:val="28"/>
          <w:sz w:val="28"/>
          <w:szCs w:val="28"/>
          <w:rtl w:val="true"/>
          <w:lang w:bidi="ar-SA"/>
        </w:rPr>
        <w:t>صيرورة العَرَضيّة ذاتيّة بصيرورته خمراً قريبة جدّاً، إذ لا سبيل إلى القول بأنّه حين ما صار خمراً لم ينجّس، لتنجّسه قبله بملاقاة الخمر، ولا إلى القول بتكرّر النجاسة فيه ولو بنحو التأكّد، إذ النجاسة الواحدة بالصنف لا تقبل التكرّر، فيتعيّن القول بالتبدّل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 في الخمر ما أوجب انقلابها إلى غيرالخَلّ‌، بأن زال سكرها ولم تصبح خَلّاً فهل تطهر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يكون أوّله خمراً ثمّ يصير خَلّاً؟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سُكره فلا بأس</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قوله عليه السلام في موثّق عبيد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تحوّل عن اسم الخمر،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يوجب التوقّف في الإفتاء، عدم إفتاء الأساطين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شيءٌ من الخمر في الخَلّ‌، واستهلكت فيه، أو صار الخمر خَلّاً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يطهر الجميع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لا كما عن الحِلّي</w:t>
      </w:r>
      <w:r>
        <w:rPr>
          <w:rStyle w:val="FootnoteAnchor"/>
          <w:rtl w:val="true"/>
        </w:rPr>
        <w:footnoteReference w:id="1101"/>
      </w:r>
      <w:r>
        <w:rPr>
          <w:rFonts w:ascii="Amiri" w:hAnsi="Amiri" w:eastAsia="Amiri" w:cs="Amiri"/>
          <w:color w:val="111111"/>
          <w:sz w:val="28"/>
          <w:sz w:val="28"/>
          <w:szCs w:val="28"/>
          <w:rtl w:val="true"/>
          <w:lang w:bidi="ar-SA"/>
        </w:rPr>
        <w:t>دعوى الإجماع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الاستهلاك، فلا وجه للطهارة، لأنّ الخَلّ بعد وقوع الخمر فيه صار نجساً، ولا دليل على الطهارة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102"/>
      </w:r>
      <w:r>
        <w:rPr>
          <w:rFonts w:ascii="Amiri" w:hAnsi="Amiri" w:eastAsia="Amiri" w:cs="Amiri"/>
          <w:color w:val="111111"/>
          <w:sz w:val="28"/>
          <w:sz w:val="28"/>
          <w:szCs w:val="28"/>
          <w:rtl w:val="true"/>
          <w:lang w:bidi="ar-SA"/>
        </w:rPr>
        <w:t>أنّه يدلّ عليها ما دلّ على طهارة الخمر بالانقلاب، وعلامة صيرروته خَلّاً صيرورة الخمر الخارجيّة الباقية بعد صبّ مقدارٍ منها في الخَلّ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الاستهلاك لا تكون الخمر باقيةً حتّى يصحّ أن يقال إنّها طهرت بصيرورتها خَلّاً وبتبعها طهر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عدم الاستهلاك، وانقلاب الخمر، فلا يبعد القول بالطهارة، إذ الخمر تطهر بانقلابها خَلّاً، والخَلّ المتنجّس حكمه حكم المعالج به، الذي عرفت أنّه يطهر بتبع طهارة الخمر، من غير فرقٍ بين كونه من الجوامد أو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طهارة المعالج به أيضاً إنّما يدلّ عليها إذا عُدَّ ذلك من توابع المستحيل، لافي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عدم الطهارة مطلقاً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44" w:name="pg11798_104774"/>
    </w:p>
    <w:p>
      <w:pPr>
        <w:pStyle w:val="Heading6"/>
        <w:numPr>
          <w:ilvl w:val="5"/>
          <w:numId w:val="1"/>
        </w:numPr>
        <w:rPr/>
      </w:pPr>
      <w:bookmarkStart w:id="445" w:name="__RefHeading___Toc10417096_73709187"/>
      <w:bookmarkStart w:id="446" w:name="_Toc166"/>
      <w:bookmarkEnd w:id="444"/>
      <w:bookmarkEnd w:id="445"/>
      <w:r>
        <w:rPr>
          <w:rtl w:val="true"/>
        </w:rPr>
        <w:t>الثالث</w:t>
      </w:r>
      <w:r>
        <w:rPr>
          <w:rtl w:val="true"/>
        </w:rPr>
        <w:t xml:space="preserve">: </w:t>
      </w:r>
      <w:r>
        <w:rPr>
          <w:rtl w:val="true"/>
        </w:rPr>
        <w:t>ذهاب الثُّلثين</w:t>
      </w:r>
      <w:bookmarkEnd w:id="446"/>
    </w:p>
    <w:p>
      <w:pPr>
        <w:pStyle w:val="BookText"/>
        <w:rPr/>
      </w:pPr>
      <w:r>
        <w:rPr>
          <w:rFonts w:ascii="Amiri" w:hAnsi="Amiri" w:eastAsia="Amiri" w:cs="Amiri"/>
          <w:color w:val="111111"/>
          <w:sz w:val="28"/>
          <w:sz w:val="28"/>
          <w:szCs w:val="28"/>
          <w:rtl w:val="true"/>
          <w:lang w:bidi="ar-SA"/>
        </w:rPr>
        <w:t>المطهّر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الثلثين في العصير العنبي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ذلك المبحث أنّ العصير العنبي ما لَم يَغل بنفسه لاينجس، ولو غَلى بنفسه ينجس، ولا يطهر بذهاب الثلثين، وإنّما ينحصر مطهره بالانقلاب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 ما ذكرناه</w:t>
      </w:r>
      <w:r>
        <w:rPr>
          <w:rFonts w:eastAsia="Amiri" w:cs="Amiri" w:ascii="Amiri" w:hAnsi="Amiri"/>
          <w:color w:val="111111"/>
          <w:sz w:val="28"/>
          <w:szCs w:val="28"/>
          <w:rtl w:val="true"/>
          <w:lang w:bidi="ar-SA"/>
        </w:rPr>
        <w:t>.</w:t>
      </w:r>
      <w:r>
        <w:rPr>
          <w:rStyle w:val="FootnoteAnchor"/>
          <w:rtl w:val="true"/>
        </w:rPr>
        <w:footnoteReference w:id="1103"/>
      </w:r>
      <w:bookmarkStart w:id="447" w:name="pg11798_104775"/>
    </w:p>
    <w:p>
      <w:pPr>
        <w:pStyle w:val="Heading6"/>
        <w:numPr>
          <w:ilvl w:val="5"/>
          <w:numId w:val="1"/>
        </w:numPr>
        <w:rPr/>
      </w:pPr>
      <w:bookmarkStart w:id="448" w:name="__RefHeading___Toc10417098_73709187"/>
      <w:bookmarkStart w:id="449" w:name="_Toc167"/>
      <w:bookmarkEnd w:id="447"/>
      <w:bookmarkEnd w:id="448"/>
      <w:r>
        <w:rPr>
          <w:rtl w:val="true"/>
        </w:rPr>
        <w:t>الرابع</w:t>
      </w:r>
      <w:r>
        <w:rPr>
          <w:rtl w:val="true"/>
        </w:rPr>
        <w:t xml:space="preserve">: </w:t>
      </w:r>
      <w:r>
        <w:rPr>
          <w:rtl w:val="true"/>
        </w:rPr>
        <w:t>الإنتقال</w:t>
      </w:r>
      <w:bookmarkEnd w:id="449"/>
    </w:p>
    <w:p>
      <w:pPr>
        <w:pStyle w:val="BookText"/>
        <w:rPr/>
      </w:pPr>
      <w:r>
        <w:rPr>
          <w:rFonts w:ascii="Amiri" w:hAnsi="Amiri" w:eastAsia="Amiri" w:cs="Amiri"/>
          <w:color w:val="111111"/>
          <w:sz w:val="28"/>
          <w:sz w:val="28"/>
          <w:szCs w:val="28"/>
          <w:rtl w:val="true"/>
          <w:lang w:bidi="ar-SA"/>
        </w:rPr>
        <w:t>المطهّر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كانتقال دم الإنسان أو غيره ممّا له نفسٌ إلى جوف ما لا نفس له، بلا خلافٍ في مطهّريّته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الانتقال بنحوٍ يوجب استحالة المنتقل عنه، فلا ريب في مطهّريّته، لما تقدّم في الاستحالة، وإلّا كما لو تغذّى البقّ بدم إنسانٍ واستقرّ في جوفه قبل أن تحيله معدته إلى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الانتقال سلب إضافته إلى المنتقل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لما دلّ على نجاسة دم الإنسان إطلاقٌ‌، يكون هو المرجع، من غير فرقٍ بين صحّة إضافته إلى المنتقل إليه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صحّت إضافته إلى المنتَقل إليه، يقع التعارض بين إطلاق ما دلّ على طهارة دم ذلك الحيوان، وبين إطلاق ما دلّ على نجاسة دم الإنسان، فيتساقطان، والمرجع إلى أصالة الطهارة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تعارض بينهما، إذ ما دلّ على طهارة دم البقّ مثلاً لا يدلّ على طهارته حتّى مع انطباق عنوانٍ آخرٍ عليه موجبٌ لنجاسته، إلّاأن يكون في مقام بيان الطهارة الفعليّة من جميع الجهات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لما دلّ على نجاسة دم الإنسان إطلاقٌ‌، واحتمل صيرورة الدّم طاهراً بمجرّد انتقال محلّه ومكانه، واستقراره في جوف ما لا نفس له، فيتعيّن الرجوع إلى قاعدة الطهارة، بناءً على ما هو الحقّ من عدم جريان الاستصحاب في الأحكام، حتّى في مثل الطهارة والنجاسة، كما أشرنا إليه في مبحث الاستحالة</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ومن ذلك يظهر لزوم البناء على الطهارة، فيما إذا أوجب الانتقال سلب إضافته إلى المنتَقل عنه، من غير فرقٍ بين ثبوت الإطلاق لدليل نجاسة ما اُضيف إليه وعدمه، إذ إطلاق ذلك الدليل لا يشمله بعد سلب الإضافة،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دعوى تبدّل الموضوع عرفاً في مثل الفرض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ما لو شكّ في صحّة الإضافة، حكم ما لو علم بالصحّة، لاستصحاب بقاء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نفي البأس بقولٍ مطلق في دم البقّ والبراغيث، في عددٍ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دم البراغيث‌؟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يكثر ويتفاحش‌؟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كثر</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محمّد بن الريّان،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دم البقّ مجرى دم البراغيث‌؟ وهل يجوز لأحدٍ أن يقيس دم البق على دم البراغيث، فيُصلّي فيه، وأن يقيس على نحو هذا فيعمل به‌؟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والطهر أفضل</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ونحوهما غيرهما</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واحتمال عدم شمولها للدّم المجتمع في جوفها من تغذّيها بدم الإنسان كما ترى‌، إذ هو المتيقّن إرادته من هذه النصوص</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استقرار السيرة على عدم التجنّب عن مااستقرّ في جوفها من دم الإنسان، وعلى ذلك، فلا مورد للرجوع إلى عموم ما دلّ على نجاسة دم الإنسان أو غيره</w:t>
      </w:r>
      <w:r>
        <w:rPr>
          <w:rFonts w:eastAsia="Amiri" w:cs="Amiri" w:ascii="Amiri" w:hAnsi="Amiri"/>
          <w:color w:val="111111"/>
          <w:sz w:val="28"/>
          <w:szCs w:val="28"/>
          <w:rtl w:val="true"/>
          <w:lang w:bidi="ar-SA"/>
        </w:rPr>
        <w:t>.</w:t>
      </w:r>
      <w:bookmarkStart w:id="450" w:name="pg11798_104778"/>
    </w:p>
    <w:p>
      <w:pPr>
        <w:pStyle w:val="Heading6"/>
        <w:numPr>
          <w:ilvl w:val="5"/>
          <w:numId w:val="1"/>
        </w:numPr>
        <w:rPr/>
      </w:pPr>
      <w:bookmarkStart w:id="451" w:name="__RefHeading___Toc10417100_73709187"/>
      <w:bookmarkStart w:id="452" w:name="_Toc168"/>
      <w:bookmarkEnd w:id="450"/>
      <w:bookmarkEnd w:id="451"/>
      <w:r>
        <w:rPr>
          <w:rtl w:val="true"/>
        </w:rPr>
        <w:t>الخامس</w:t>
      </w:r>
      <w:r>
        <w:rPr>
          <w:rtl w:val="true"/>
        </w:rPr>
        <w:t xml:space="preserve">: </w:t>
      </w:r>
      <w:r>
        <w:rPr>
          <w:rtl w:val="true"/>
        </w:rPr>
        <w:t>مطهّريّة الإسلام</w:t>
      </w:r>
      <w:bookmarkEnd w:id="452"/>
    </w:p>
    <w:p>
      <w:pPr>
        <w:pStyle w:val="BookText"/>
        <w:rPr/>
      </w:pPr>
      <w:r>
        <w:rPr>
          <w:rFonts w:ascii="Amiri" w:hAnsi="Amiri" w:eastAsia="Amiri" w:cs="Amiri"/>
          <w:color w:val="111111"/>
          <w:sz w:val="28"/>
          <w:sz w:val="28"/>
          <w:szCs w:val="28"/>
          <w:rtl w:val="true"/>
          <w:lang w:bidi="ar-SA"/>
        </w:rPr>
        <w:t>المطهّر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مطهّرٌ لبدن الكافر، بلا خلافٍ‌، بل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الضرورة على مطهّريّته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تطهر به رطوباته المتّصلة به، من بصاقه وعرقه وغيرهما من الرطوبات الكائنة على بدنه، كما هو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 رحمه الله</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إشكالٍ في الحكم المذكور،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الأوّل، إذ لم يعهد أمرهم عليهم السلام بإزالة تلك الاُمور عن بدن مَن أسلم، مع أنّه لا يخلو بدنه عنها، بل المعهود عدمه، مع أنّ نجاستها حال الكفر كانت من جهة كونها أجزاء للكافر، وبعد الإسلام وتبدّل الموضوع، يتبدّل إضافتها أيضاً، وتصبح من أجزاء المسلم، فيحكم بطهارتها، فتأمّل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المايعات النجسة أو المتنجّسة به لا تطهر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والعلّامة الطباطبائي</w:t>
      </w:r>
      <w:r>
        <w:rPr>
          <w:rStyle w:val="FootnoteAnchor"/>
          <w:rtl w:val="true"/>
        </w:rPr>
        <w:footnoteReference w:id="1118"/>
      </w:r>
      <w:r>
        <w:rPr>
          <w:rFonts w:ascii="Amiri" w:hAnsi="Amiri" w:eastAsia="Amiri" w:cs="Amiri"/>
          <w:color w:val="111111"/>
          <w:sz w:val="28"/>
          <w:sz w:val="28"/>
          <w:szCs w:val="28"/>
          <w:rtl w:val="true"/>
          <w:lang w:bidi="ar-SA"/>
        </w:rPr>
        <w:t>، والمحقّق القمّي</w:t>
      </w:r>
      <w:r>
        <w:rPr>
          <w:rStyle w:val="FootnoteAnchor"/>
          <w:rtl w:val="true"/>
        </w:rPr>
        <w:footnoteReference w:id="111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مطهّريّة إسلام المرتدّ الفطري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المشهور</w:t>
      </w:r>
      <w:r>
        <w:rPr>
          <w:rStyle w:val="FootnoteAnchor"/>
          <w:rtl w:val="true"/>
        </w:rPr>
        <w:footnoteReference w:id="1120"/>
      </w:r>
      <w:r>
        <w:rPr>
          <w:rFonts w:ascii="Amiri" w:hAnsi="Amiri" w:eastAsia="Amiri" w:cs="Amiri"/>
          <w:color w:val="111111"/>
          <w:sz w:val="28"/>
          <w:sz w:val="28"/>
          <w:szCs w:val="28"/>
          <w:rtl w:val="true"/>
          <w:lang w:bidi="ar-SA"/>
        </w:rPr>
        <w:t>العدم، واستدلّ له بالنصوص الدالّة على عدم قبول توبته، وأنّه يُقتل ولا يُستتاب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المرتدّ؟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الإسلام، وكفَر بما اُنزل على محمّد صلى الله عليه و آله بعد إسلامه، فلا توبة له، وقد وجب قتله، وبانَت منه امرأته، ويقسّم ما ترك على ولده</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 به بقرينة ما دلّ على قبول توبة المرتدّ المِلّي، كصحيح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مسلمٍ تنصّر؟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ولا يُستتاب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فنصرانيٌّ أسلم ثمّ ارتدّ؟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رجع وإلّا قُتل</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بخطّ رجلٍ إلى أبي الحسن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وُلِد على الإسلام، ثمّ كفر وأشرك، وخرج عن الإسلام، هل يُستتاب أو يُقتل ولا يستتاب‌؟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ما دلّ على عدم قبول التوبة، يحمل على إرادة عدمه بالنسبة إلى وجوب قتله، وبينونة زوجته، وانتقال أمواله لا مطلقاً،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عدم قبول التوبة بها في النصوص، الموجب لإقتران الكلام بما يصلح للقرينيّة، الموجب لسقوطه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النصوص إليها، لكونها أظهر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صحّة عباداته حتّى المتوقّفة على الطهارة، ولولا طهارة بدنه بالإسلام، لكان تكليفه بها تكليفاً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شيءٍ قرينةً لصرف ظهور الآخر، إنّما يكون فيما إذا كان الظهوران متنافيين، لا فيما كان بينهما كمال الملائمة،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كونها أظهر الأحكام، مع أنّ الأظهريّة لا توجب الانصراف الموجب لتقييد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صحّة عباداته كما يمكن أن تكون لطهارة بدنه، يمكن أن تكون لسقوط شرطيّة الطهارة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إنّما تدلّ على عدم قبول توبته، وهو أعمّ من عدم قبول إسلامه، فيرجع فيه إلى عموم ما ورد في بيان الإسلام، وأنّه الإقرار بالشهادتين، ولازمه الحكم بكونه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124"/>
      </w:r>
      <w:r>
        <w:rPr>
          <w:rFonts w:ascii="Amiri" w:hAnsi="Amiri" w:eastAsia="Amiri" w:cs="Amiri"/>
          <w:color w:val="111111"/>
          <w:sz w:val="28"/>
          <w:sz w:val="28"/>
          <w:szCs w:val="28"/>
          <w:rtl w:val="true"/>
          <w:lang w:bidi="ar-SA"/>
        </w:rPr>
        <w:t>أنّه لا دليل عليطهارة كلّ مسلمٍ‌، فالمرجع استصحاب بقاء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القطع بهذه الكليّة قريبةً جدّاً، مع أنّه على فرض عدم ثبوتها، لا مجال للرجوع إلى الاستصحاب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الموضوع، إذ الموضوع بنظر العرف هو الكافر بما أنّه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وأشرنا إليه في هذا الشرح غير مرّة، من عدم جريان الاستصحاب في الأحكام، لكونه محكوماً لاستصحاب عدم الجَعل، فيتعيّن الرجوع إلى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قبول إسلامه وطهارة بدنه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الأقوى قبول توبته باطناً، وصيرورتها موجبةً لدخول الجنّة، إذ ظاهر نصوص نفي التوبة، إرادة الأحكام العمليّة، لا الاُمور الاُخرويّة، فالمرجع فيها هو عمومات قبول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كان مؤمناً فحجّ وعمل في إيمانه، ثمّ أصابته في إيمانه فتنة، فكفر ثمّ تاب وآمن‌؟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كلّ عملٍ صالح في إيمانه، ولا يبطل منه شيء</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قتله، وتبين زوجته، وتعتدّ عِدّة الوفاة، وتنتقل أمواله الموجودة حال الارتداد إلى ورثته، ولا يسقط شيءٌ منها بالتوبة، كما هو المشهور شهرة عظيمة، بل لم يُنقل الخلاف إلّاعن ابن الجُنيد</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بين المسلمين ارتدّ عن الإسلام، وجَحَد محمّداً صلى الله عليه و آله نبوّته وكذَّبه، فإنّ دمه مُباح لمن سمع ذلك منه، وامرأته بائنة منه يوم ارتدّ، ويُقسّم ماله على ورثته، وتعتدّ امرأته عِدّة المتوفّي عنها زوجها، وعلى الإمام أن يقتله ولا يستتيبه</w:t>
      </w:r>
      <w:r>
        <w:rPr>
          <w:rFonts w:eastAsia="Amiri" w:cs="Amiri" w:ascii="Amiri" w:hAnsi="Amiri"/>
          <w:color w:val="111111"/>
          <w:sz w:val="28"/>
          <w:szCs w:val="28"/>
          <w:rtl w:val="true"/>
          <w:lang w:bidi="ar-SA"/>
        </w:rPr>
        <w:t>»</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يملك ما اكتسبه بعد التوبة، بل وقبلها، ولا ينتقل إلى ورثته‌؟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كلٍّ منهما جماعةٌ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الأوّل، إذ ما دلّ على انتقال ماله إلى ورثته، إنّما يدلّ عليه فيما كان مِلْكاً له قبل الارتداد، ولا يدلّ عليه فيما يملكه بعد الإرتداد، كما أنّه لا يدلّ على عدم قابليّته للتملّك، لأنّ انتقال ماله عنه أعمٌّ من ذلك، فيرجع إلى عموم دليل السبب المملّك، وعلى فرض عدم وجوده إلى استصحاب بقاء القابليّة الثابتة قبل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ذكرناه ظهر حكم الرجوع إلى زوجته بعقدٍ جديد، وأنّ الأقوى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129"/>
      </w:r>
      <w:r>
        <w:rPr>
          <w:rFonts w:ascii="Amiri" w:hAnsi="Amiri" w:eastAsia="Amiri" w:cs="Amiri"/>
          <w:color w:val="111111"/>
          <w:sz w:val="28"/>
          <w:sz w:val="28"/>
          <w:szCs w:val="28"/>
          <w:rtl w:val="true"/>
          <w:lang w:bidi="ar-SA"/>
        </w:rPr>
        <w:t>دلالة النصوص المتضمّنة للبينونة، على الحرمة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تدلّ على ارتفاع العلاقة الزوجيّة الموجودة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يطهر بدن الكافر من النجاسات الخارجيّة التى زالت عينها أم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يفصّل بين كون تلك النجاسة أشدّ فالثاني، وبين غيره فالأوّل‌؟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أقواها الأخير، لما تقدّم في مبحث تنجّس المتنجّس</w:t>
      </w:r>
      <w:r>
        <w:rPr>
          <w:rStyle w:val="FootnoteAnchor"/>
          <w:rtl w:val="true"/>
        </w:rPr>
        <w:footnoteReference w:id="1130"/>
      </w:r>
      <w:r>
        <w:rPr>
          <w:rFonts w:ascii="Amiri" w:hAnsi="Amiri" w:eastAsia="Amiri" w:cs="Amiri"/>
          <w:color w:val="111111"/>
          <w:sz w:val="28"/>
          <w:sz w:val="28"/>
          <w:szCs w:val="28"/>
          <w:rtl w:val="true"/>
          <w:lang w:bidi="ar-SA"/>
        </w:rPr>
        <w:t>من أنّ النّجس أو المتنجّس لا يتنجّس ثانياً، إلّامع كون النجاسة الثانية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حديث الجُبّ‌</w:t>
      </w:r>
      <w:r>
        <w:rPr>
          <w:rStyle w:val="FootnoteAnchor"/>
          <w:rtl w:val="true"/>
        </w:rPr>
        <w:footnoteReference w:id="1131"/>
      </w:r>
      <w:r>
        <w:rPr>
          <w:rFonts w:ascii="Amiri" w:hAnsi="Amiri" w:eastAsia="Amiri" w:cs="Amiri"/>
          <w:color w:val="111111"/>
          <w:sz w:val="28"/>
          <w:sz w:val="28"/>
          <w:szCs w:val="28"/>
          <w:rtl w:val="true"/>
          <w:lang w:bidi="ar-SA"/>
        </w:rPr>
        <w:t>طهارته منها مطلقاً، لأنّه لا يختصّ بارتفاع العقاب، كما يشهد له استدلاله عليه السلام به لعدم وجوب قضاء الصّلاة والصوم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بحسب ظاهره بما يستتبع عدم العمل بوظيفته الفعليّة، من الفعل أو الترك، كقضاء الصّلاة والصوم والكفّارة للإفطار في شهر رمضان،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غيرها كوجوب الصّلاة عليه إنْ أسلم في وسط الوقت، ولزوم غُسل الجنابة عليه لكونه جُنُباً، ولزوم تطهير بدنه لكونه ملاقياً للنجس ونحوها، فالحديث غير مربوطٍ بها، كما لا يخفى على المتدبّر، ولذا ترى أنّ أحداً من الفقهاء لم يستدلّ به في المثالين الأولين، لعدم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إلّاأن يستدلّ لها بالسيرة، وعدم معهوديّة أمره بتطهيره منها،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ذكرناه ظهر أنّ الأقوى عدم طهارة ثيابه التي لاقاها حال الكفر مع الرطوبة، من غير فرقٍ بين ما كان على بدنه فعلاً وما لم يكن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إسلام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مبحث نجاسة الكافر،</w:t>
      </w:r>
      <w:r>
        <w:rPr>
          <w:rStyle w:val="FootnoteAnchor"/>
          <w:rtl w:val="true"/>
        </w:rPr>
        <w:footnoteReference w:id="1133"/>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453" w:name="pg11798_104784"/>
    </w:p>
    <w:p>
      <w:pPr>
        <w:pStyle w:val="Heading6"/>
        <w:numPr>
          <w:ilvl w:val="5"/>
          <w:numId w:val="1"/>
        </w:numPr>
        <w:rPr/>
      </w:pPr>
      <w:bookmarkStart w:id="454" w:name="__RefHeading___Toc10417102_73709187"/>
      <w:bookmarkStart w:id="455" w:name="_Toc169"/>
      <w:bookmarkEnd w:id="453"/>
      <w:bookmarkEnd w:id="454"/>
      <w:r>
        <w:rPr>
          <w:rtl w:val="true"/>
        </w:rPr>
        <w:t>السادس</w:t>
      </w:r>
      <w:r>
        <w:rPr>
          <w:rtl w:val="true"/>
        </w:rPr>
        <w:t xml:space="preserve">: </w:t>
      </w:r>
      <w:r>
        <w:rPr>
          <w:rtl w:val="true"/>
        </w:rPr>
        <w:t>زوال النجاسة</w:t>
      </w:r>
      <w:bookmarkEnd w:id="455"/>
    </w:p>
    <w:p>
      <w:pPr>
        <w:pStyle w:val="BookText"/>
        <w:rPr/>
      </w:pPr>
      <w:r>
        <w:rPr>
          <w:rFonts w:ascii="Amiri" w:hAnsi="Amiri" w:eastAsia="Amiri" w:cs="Amiri"/>
          <w:color w:val="111111"/>
          <w:sz w:val="28"/>
          <w:sz w:val="28"/>
          <w:szCs w:val="28"/>
          <w:rtl w:val="true"/>
          <w:lang w:bidi="ar-SA"/>
        </w:rPr>
        <w:t>المطهّر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أو المتنجّس عن جسد الحيوان، بأيّ وجهٍ كان، وعن بواطن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المشهور في خصوص الهرّة،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جملةٍ من المتأخّرين</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كلّ حيوانٍ غير آدمي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بالطهارة بصورة غيبة الحيوان، بنحوٍ يُحتمل ورود المطهّر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بالنجاسة حتّى يعلم بورود المطهر عليه، اعتماداً على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المرتضى رحمه الله</w:t>
      </w:r>
      <w:r>
        <w:rPr>
          <w:rStyle w:val="FootnoteAnchor"/>
          <w:rtl w:val="true"/>
        </w:rPr>
        <w:footnoteReference w:id="1138"/>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تنجّس بدن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الثالث فتدفعه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القطعيّة على عدم التجنّب عن ما لاقى مع الحيوانات، المعلوم تلوّثها بالنّجاسة، كدم الولادة، والبول والمَنيّ الخارجين منها، والمواضع القذرة عند </w:t>
      </w:r>
    </w:p>
    <w:p>
      <w:pPr>
        <w:pStyle w:val="BookText"/>
        <w:rPr/>
      </w:pPr>
      <w:r>
        <w:rPr>
          <w:rFonts w:ascii="Amiri" w:hAnsi="Amiri" w:eastAsia="Amiri" w:cs="Amiri"/>
          <w:color w:val="111111"/>
          <w:sz w:val="28"/>
          <w:sz w:val="28"/>
          <w:szCs w:val="28"/>
          <w:rtl w:val="true"/>
          <w:lang w:bidi="ar-SA"/>
        </w:rPr>
        <w:t>النوم عليها، وغير ذلك من الموارد التي هي كثيرة، ولا يُعلم، بل لا يُحتمل ورود المطهّر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والنصوص</w:t>
      </w:r>
      <w:r>
        <w:rPr>
          <w:rStyle w:val="FootnoteAnchor"/>
          <w:rtl w:val="true"/>
        </w:rPr>
        <w:footnoteReference w:id="1139"/>
      </w:r>
      <w:r>
        <w:rPr>
          <w:rFonts w:ascii="Amiri" w:hAnsi="Amiri" w:eastAsia="Amiri" w:cs="Amiri"/>
          <w:color w:val="111111"/>
          <w:sz w:val="28"/>
          <w:sz w:val="28"/>
          <w:szCs w:val="28"/>
          <w:rtl w:val="true"/>
          <w:lang w:bidi="ar-SA"/>
        </w:rPr>
        <w:t>الدالّة على طهارة سؤر الهرّة والوحش والسّباع وغيرها مع تلوّثها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فأرةٍ وقعت في حبّ دهن، واُخرجت قبل أن تموت، أيبيعه من مسلم‌؟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ويدهن منه</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طهارة موضع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ظهر ضعف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الإستدلال بهذه الأدلّة على أحد القولين الأوّل والرابع، بناءً على أنّ المتنجّس الجامد لا ينجس، فلتكن هذه الأدلّة بضميمة ما دلّ على تنجّس كلّ جسمٍ بملاقاة النجاسة، وبقاء النجاسة إلى أن يرد عليه مطهّرٌ من جملة ما يدلّ 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يستدلّ عليه بالسيرة القطعيّة، على اتّخاذ جلد الحيوان وصوفه ثوباً للمصلّي، مع عدم غسلهما، فيدورالأمر بين القول الأوّل والرابع، والأقوى هو الأوّل، لعموم ما دلَّ على تنجّس كلّ جسمٍ بالملاقاة، كموثّق عمّار المتقدّم في مبحث تنجيس المتنجّس</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ومنه يظهر ضعف ما ذكرناه في مبحث البول والغائط من عدم الدليل على هذه الكليّة</w:t>
      </w:r>
      <w:r>
        <w:rPr>
          <w:rFonts w:eastAsia="Amiri" w:cs="Amiri" w:ascii="Amiri" w:hAnsi="Amiri"/>
          <w:color w:val="111111"/>
          <w:sz w:val="28"/>
          <w:szCs w:val="28"/>
          <w:rtl w:val="true"/>
          <w:lang w:bidi="ar-SA"/>
        </w:rPr>
        <w:t>.</w:t>
      </w:r>
      <w:r>
        <w:rPr>
          <w:rStyle w:val="FootnoteAnchor"/>
          <w:rtl w:val="true"/>
        </w:rPr>
        <w:footnoteReference w:id="114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وتظهر الثمرة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شكّ في زوال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على المختار، لو لاقى بدنه مع شيءٍ‌، وكانت فيه رطوبة مسرية، يحكم بنجاسته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بقاء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آثارها نجاسة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التنجّس، فلا يحكم بها، للشكّ في ملاقاته للنجس، فيرجع إلى استصحاب الطهارة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ذكرناه في المقام، وفي مسألة ملاقاة الغائط في الباطن، ظهر حكم ملاقاة النجاسة لبواطن الإنسان</w:t>
      </w:r>
      <w:r>
        <w:rPr>
          <w:rFonts w:eastAsia="Amiri" w:cs="Amiri" w:ascii="Amiri" w:hAnsi="Amiri"/>
          <w:color w:val="111111"/>
          <w:sz w:val="28"/>
          <w:szCs w:val="28"/>
          <w:rtl w:val="true"/>
          <w:lang w:bidi="ar-SA"/>
        </w:rPr>
        <w:t>.</w:t>
      </w:r>
      <w:bookmarkStart w:id="456" w:name="pg11798_104787"/>
    </w:p>
    <w:p>
      <w:pPr>
        <w:pStyle w:val="Heading6"/>
        <w:numPr>
          <w:ilvl w:val="5"/>
          <w:numId w:val="1"/>
        </w:numPr>
        <w:rPr/>
      </w:pPr>
      <w:bookmarkStart w:id="457" w:name="__RefHeading___Toc10417104_73709187"/>
      <w:bookmarkStart w:id="458" w:name="_Toc170"/>
      <w:bookmarkEnd w:id="456"/>
      <w:bookmarkEnd w:id="457"/>
      <w:r>
        <w:rPr>
          <w:rtl w:val="true"/>
        </w:rPr>
        <w:t>السابع</w:t>
      </w:r>
      <w:r>
        <w:rPr>
          <w:rtl w:val="true"/>
        </w:rPr>
        <w:t xml:space="preserve">: </w:t>
      </w:r>
      <w:r>
        <w:rPr>
          <w:rtl w:val="true"/>
        </w:rPr>
        <w:t>غيبة الإنسان</w:t>
      </w:r>
      <w:bookmarkEnd w:id="458"/>
    </w:p>
    <w:p>
      <w:pPr>
        <w:pStyle w:val="BookText"/>
        <w:rPr/>
      </w:pPr>
      <w:r>
        <w:rPr>
          <w:rFonts w:ascii="Amiri" w:hAnsi="Amiri" w:eastAsia="Amiri" w:cs="Amiri"/>
          <w:color w:val="111111"/>
          <w:sz w:val="28"/>
          <w:sz w:val="28"/>
          <w:szCs w:val="28"/>
          <w:rtl w:val="true"/>
          <w:lang w:bidi="ar-SA"/>
        </w:rPr>
        <w:t>المطهّر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الإنسان، بلا خلافٍ في مطهّريّتها في الجملة، وإنْ كان التعبير بكونها مطهّرة مسامحة، فإنّها أمارة للطهارة، ومن طرق إثباتها عند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لمطهّريّتها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استقرار السيرة القطعيّة</w:t>
      </w:r>
      <w:r>
        <w:rPr>
          <w:rStyle w:val="FootnoteAnchor"/>
          <w:rtl w:val="true"/>
        </w:rPr>
        <w:footnoteReference w:id="1143"/>
      </w:r>
      <w:r>
        <w:rPr>
          <w:rFonts w:ascii="Amiri" w:hAnsi="Amiri" w:eastAsia="Amiri" w:cs="Amiri"/>
          <w:color w:val="111111"/>
          <w:sz w:val="28"/>
          <w:sz w:val="28"/>
          <w:szCs w:val="28"/>
          <w:rtl w:val="true"/>
          <w:lang w:bidi="ar-SA"/>
        </w:rPr>
        <w:t>على ترتيب آثار الطهارة، إذ ما من أحدٍ إلّاوفي مدة قليلة من الزمان يمشي إلى الحمّام، ويتنجّس جميع بدنه، ويغسل ثيابه النّجسة، فينجس جميعها، ولا يحصل العلم ولا الاطمئنان بورود المطهّر عليها، فلولا الحكم بكون الغيبة من المطهّرات، لكان اللّازم ترتيب آثار النجاسة في هذه الفروض، مع أنّه كما ترى خلاف سيرة المسلمين بل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ويؤيّدها ظهور حال المسلم في التنزّه عن النجاسة، ولزوم الحرج، لو لا ترتيب آثار الطهارة، وما دلّ على كراهة سؤر الحائض المتهمة، وعدم البأس بسؤرها إذا كانت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فأصل الحكم ممّا لا ينبغي التوقّف فيه، فما عن الأردبيلي</w:t>
      </w:r>
      <w:r>
        <w:rPr>
          <w:rStyle w:val="FootnoteAnchor"/>
          <w:rtl w:val="true"/>
        </w:rPr>
        <w:footnoteReference w:id="1144"/>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من التردّد فيه، ضعيفٌ‌</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عموم الحكم لبدنه ولباسه وفرشه وظرفه، وغيره ذلك ممّا في يده لعموم السيرة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w:t>
      </w:r>
      <w:r>
        <w:rPr>
          <w:rStyle w:val="FootnoteAnchor"/>
          <w:rtl w:val="true"/>
        </w:rPr>
        <w:footnoteReference w:id="11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مستمسك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الاختصاص بالبدن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ذكره جملةٌ من الفقهاء، من أنّه مشروط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بملاقاة ما يتعلّق به من بدنه وغيره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بكون ذلك الشيء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لذلك الشيء فيما تشترط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باشتراط الطهارة في الاستعمال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تطهيره لذلك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الظنّ الحاصل من شهادة حاله أو مقاله بزوال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بينهم في اشتراط الشرط الخامس، وأمّا غيره فقد اختلفت كلماتهم فيه غاية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العلّامة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شيء من تلك</w:t>
      </w:r>
    </w:p>
    <w:p>
      <w:pPr>
        <w:pStyle w:val="BookText"/>
        <w:rPr/>
      </w:pPr>
      <w:r>
        <w:rPr>
          <w:rFonts w:ascii="Amiri" w:hAnsi="Amiri" w:eastAsia="Amiri" w:cs="Amiri"/>
          <w:color w:val="111111"/>
          <w:sz w:val="28"/>
          <w:sz w:val="28"/>
          <w:szCs w:val="28"/>
          <w:rtl w:val="true"/>
          <w:lang w:bidi="ar-SA"/>
        </w:rPr>
        <w:t xml:space="preserve">الاُمور، وهو الأقوى لعموم السيرة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غير ما ذُكر، من ما ذكروه في عِداد المطهّرات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نزح المقادير المنصوصة، لوقوع النجاسات المخصوصة في البئر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والاستبراء بالخَرَطات بعد البول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وبالبول بعد خروج المَنيّ‌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وزوال التغيّر في البئر والجاري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وحَجَر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وخروج الدّم من الذبيحة بالمقدار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وتيمّم الميّت بدلاً عن الأغسال عند فقد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واستبراء الحيوان الجلّال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والتبعيّة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إلى محلّه، حيث تقدّم الكلام في جملة منها وسيأتي في غيرها</w:t>
      </w:r>
      <w:r>
        <w:rPr>
          <w:rFonts w:eastAsia="Amiri" w:cs="Amiri" w:ascii="Amiri" w:hAnsi="Amiri"/>
          <w:color w:val="111111"/>
          <w:sz w:val="28"/>
          <w:szCs w:val="28"/>
          <w:rtl w:val="true"/>
          <w:lang w:bidi="ar-SA"/>
        </w:rPr>
        <w:t>.</w:t>
      </w:r>
      <w:bookmarkStart w:id="459" w:name="pg11798_104790"/>
    </w:p>
    <w:p>
      <w:pPr>
        <w:pStyle w:val="BookText"/>
        <w:rPr/>
      </w:pPr>
      <w:bookmarkEnd w:id="459"/>
      <w:r>
        <w:rPr>
          <w:rFonts w:ascii="Amiri" w:hAnsi="Amiri" w:eastAsia="Amiri" w:cs="Amiri"/>
          <w:color w:val="111111"/>
          <w:sz w:val="28"/>
          <w:sz w:val="28"/>
          <w:szCs w:val="28"/>
          <w:rtl w:val="true"/>
          <w:lang w:bidi="ar-SA"/>
        </w:rPr>
        <w:t>ولو نَجَس الإناء وَجَب غَسله، فيُغسَل مِنْ ولُوغ الكَلب ثلاثاً</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0417106_73709187"/>
      <w:bookmarkStart w:id="461" w:name="_Toc171"/>
      <w:bookmarkEnd w:id="460"/>
      <w:r>
        <w:rPr>
          <w:rtl w:val="true"/>
        </w:rPr>
        <w:t>فصلٌ في أحكام الأواني</w:t>
      </w:r>
      <w:bookmarkEnd w:id="461"/>
    </w:p>
    <w:p>
      <w:pPr>
        <w:pStyle w:val="Heading5"/>
        <w:numPr>
          <w:ilvl w:val="4"/>
          <w:numId w:val="1"/>
        </w:numPr>
        <w:rPr/>
      </w:pPr>
      <w:bookmarkStart w:id="462" w:name="__RefHeading___Toc10417108_73709187"/>
      <w:bookmarkStart w:id="463" w:name="_Toc172"/>
      <w:bookmarkEnd w:id="462"/>
      <w:r>
        <w:rPr>
          <w:rtl w:val="true"/>
        </w:rPr>
        <w:t>و فيه مسائل</w:t>
      </w:r>
      <w:r>
        <w:rPr>
          <w:rtl w:val="true"/>
        </w:rPr>
        <w:t>:</w:t>
      </w:r>
      <w:bookmarkEnd w:id="463"/>
    </w:p>
    <w:p>
      <w:pPr>
        <w:pStyle w:val="Heading6"/>
        <w:numPr>
          <w:ilvl w:val="5"/>
          <w:numId w:val="1"/>
        </w:numPr>
        <w:rPr/>
      </w:pPr>
      <w:bookmarkStart w:id="464" w:name="__RefHeading___Toc10417110_73709187"/>
      <w:bookmarkStart w:id="465" w:name="_Toc173"/>
      <w:bookmarkEnd w:id="464"/>
      <w:r>
        <w:rPr>
          <w:rtl w:val="true"/>
        </w:rPr>
        <w:t>اشارة</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10417112_73709187"/>
      <w:bookmarkStart w:id="467" w:name="_Toc174"/>
      <w:bookmarkEnd w:id="466"/>
      <w:r>
        <w:rPr>
          <w:rtl w:val="true"/>
        </w:rPr>
        <w:t>لو نَجَس الإناءُ وَجَب غَسله</w:t>
      </w:r>
      <w:bookmarkEnd w:id="467"/>
    </w:p>
    <w:p>
      <w:pPr>
        <w:pStyle w:val="Heading6"/>
        <w:numPr>
          <w:ilvl w:val="5"/>
          <w:numId w:val="1"/>
        </w:numPr>
        <w:rPr/>
      </w:pPr>
      <w:bookmarkStart w:id="468" w:name="__RefHeading___Toc10417114_73709187"/>
      <w:bookmarkStart w:id="469" w:name="_Toc175"/>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نَجَس الإناءُ وَجَب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المتنجّسات،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فيُغسَل من ولُوغ الكلب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حكاه جماعة منهم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سبع 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وشيخه الأردبيلي</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الإكتفاء بغَسْلَةٍ واحدة بعد التعفير، لولا الإجماع على اعتبار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الأمر بالغسل في صحيح البقباق، قال فيه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انتهيت إلى الكلب‌؟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يتوضّأ بفضله، فاصببْ ذلك الماء واغسله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وجدته في ما وقفتُ عليه من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كذلك الشيخ في مواضعَ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xml:space="preserve">،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المحقّق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xml:space="preserve">بزيادة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وقلّده في ذلك مَن تأخّر عنه، ولا يبعدُ أن يكون ذلك من قلم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استدلال المحقّق وغيره به مع الزيادة، ممّا يمنع من احتمال سهو القلم، مع أنّ المحقَّق في محلّه أنّ القاعدة عند دوران الأمر بين الزيادة والنقيصة تقتضي البناء على كون الإختلال في طرف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استدلاله قدس سره به لا يدلّ على كونه كذلك، بعد كونه مرويّاً في كتب الحديث مع النقيصة، إلّامن جهة كون الرواية كذلك في أصلٍ معتبر لم يصل إلينا، وهو لا يدلّ عليه لضعف احتماله، لأنّه لو كان كذلك، كان عليه التنبيه على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القاعدة في نفسها وإنْ كانت تامّة، إلّاأنّه في المقام من جهة أنّ النقص إنّما يكون في أغلب كتب الحديث، والزيادة في جملةٍ من الكتب الاستدلاليّة لا تتمّ القاعدة، ولا توجب الوثوق بالنقص، بل معروفيّة الفتوى بذلك في جميع الأعصار، الموجبة لأُنس الذهن بالزيادة، تشهد بالنقص، لأنّها موجبة للجريان على القلم مع عدم الالتفات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على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تقييد إطلاقه لو كان في مقام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الكوز والإناء يكون قذراً، كيف يُغسل، وكم مرّة يُغسل‌؟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 مرّات، يصبّ فيه الماء فيحرّك فيه، ثمّ يفرغ منه، الحديث</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إنّما يكون في مقام بيان ما يعتبر في الغَسَلات المعتبرة بالموثّق، ويدلّ على أنّه يعتبر أن يكون أولاهنّ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ترفع اليد عن ظهور موثّق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الإناء يُشرب فيه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سبع مرّات، وكذا الكلب</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النبويّ العامّي في الوجوب، ويُحملان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اختاره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الغَسل ثلاثاً، ولكن ستعرف تعيّن حمل الموثّق على الاستحباب، وعليه فالقول بوجوب الثلاث لا مدرك له سوى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ريب ولا خلاف في لزوم كون إحدى الغَسَلات بالتّراب، كما تشهد له نصوص الباب المتقدّم بعضها، لكن البحث عن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يعتبر أن يكون غسلة التّراب أولاهنّ‌، كما هو المشهور؟</w:t>
      </w:r>
    </w:p>
    <w:p>
      <w:pPr>
        <w:pStyle w:val="BookText"/>
        <w:rPr/>
      </w:pPr>
      <w:r>
        <w:rPr>
          <w:rFonts w:ascii="Amiri" w:hAnsi="Amiri" w:eastAsia="Amiri" w:cs="Amiri"/>
          <w:color w:val="111111"/>
          <w:sz w:val="28"/>
          <w:sz w:val="28"/>
          <w:szCs w:val="28"/>
          <w:rtl w:val="true"/>
          <w:lang w:bidi="ar-SA"/>
        </w:rPr>
        <w:t xml:space="preserve">أم وسطاهن، كما 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161"/>
      </w:r>
      <w:r>
        <w:rPr>
          <w:rFonts w:ascii="IRNazanin" w:hAnsi="IRNazanin" w:eastAsia="IRNazanin"/>
          <w:color w:val="111111"/>
          <w:sz w:val="28"/>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يعتبر سوى كون إحداهنّ بالتّراب،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Pr>
        <w:footnoteReference w:id="116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أقواها الأوّل، ويشهد له صحيح البقباق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مستند له بحسب الظاهر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وقع الكلب في الماء، أو شرب منه، اُهريق الماء، وغُسل الإناء ثلاث مرّات؛ مرّة بالتّراب، ومرّتين بالماء، ثمّ يُجفّف</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لعدم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لا يعتمد عليه، وعلى فرض الحجيّة يقيّد إطلاقه بالصحيح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المفيد رحمه الله فلم يُعرف مستنده، كما صرّح به جماعةٌ على ما حُكي، فما في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أولاهنّ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70" w:name="pg11798_104794"/>
    </w:p>
    <w:p>
      <w:pPr>
        <w:pStyle w:val="Heading6"/>
        <w:numPr>
          <w:ilvl w:val="5"/>
          <w:numId w:val="1"/>
        </w:numPr>
        <w:rPr/>
      </w:pPr>
      <w:bookmarkStart w:id="471" w:name="__RefHeading___Toc10417116_73709187"/>
      <w:bookmarkStart w:id="472" w:name="_Toc176"/>
      <w:bookmarkEnd w:id="470"/>
      <w:bookmarkEnd w:id="471"/>
      <w:r>
        <w:rPr>
          <w:rtl w:val="true"/>
        </w:rPr>
        <w:t>تنبيهات أحكام الأواني</w:t>
      </w:r>
      <w:bookmarkEnd w:id="472"/>
    </w:p>
    <w:p>
      <w:pPr>
        <w:pStyle w:val="Heading6"/>
        <w:numPr>
          <w:ilvl w:val="5"/>
          <w:numId w:val="1"/>
        </w:numPr>
        <w:rPr/>
      </w:pPr>
      <w:bookmarkStart w:id="473" w:name="__RefHeading___Toc10417118_73709187"/>
      <w:bookmarkStart w:id="474" w:name="_Toc177"/>
      <w:bookmarkEnd w:id="473"/>
      <w:r>
        <w:rPr>
          <w:rtl w:val="true"/>
        </w:rPr>
        <w:t>الظاهر من الأمر بالغَسل بالتّراب، استعمال التّراب أوّلاً، ثمّ إزالته بالماء</w:t>
      </w:r>
      <w:bookmarkEnd w:id="474"/>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الأمر بالغَسل بالتّراب، استعمال التّراب أوّلاً، ثمّ‌إزالته بالماء، نظير غَسل الرأس بالسِّدر، لأنّه لازم الأخذ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اختاره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والحِلّي</w:t>
      </w:r>
      <w:r>
        <w:rPr>
          <w:rStyle w:val="FootnoteAnchor"/>
          <w:rtl w:val="true"/>
        </w:rPr>
        <w:footnoteReference w:id="1166"/>
      </w:r>
      <w:r>
        <w:rPr>
          <w:rFonts w:ascii="Amiri" w:hAnsi="Amiri" w:eastAsia="Amiri" w:cs="Amiri"/>
          <w:color w:val="111111"/>
          <w:sz w:val="28"/>
          <w:sz w:val="28"/>
          <w:szCs w:val="28"/>
          <w:rtl w:val="true"/>
          <w:lang w:bidi="ar-SA"/>
        </w:rPr>
        <w:t>والراوندي</w:t>
      </w:r>
      <w:r>
        <w:rPr>
          <w:rStyle w:val="FootnoteAnchor"/>
          <w:rtl w:val="true"/>
        </w:rPr>
        <w:footnoteReference w:id="1167"/>
      </w:r>
      <w:r>
        <w:rPr>
          <w:rFonts w:ascii="Amiri" w:hAnsi="Amiri" w:eastAsia="Amiri" w:cs="Amiri"/>
          <w:color w:val="111111"/>
          <w:sz w:val="28"/>
          <w:sz w:val="28"/>
          <w:szCs w:val="28"/>
          <w:rtl w:val="true"/>
          <w:lang w:bidi="ar-SA"/>
        </w:rPr>
        <w:t>من أنّ المراد به مزج التّراب بالماء ثمّ استعماله، تحفّظاً على ظهور الغَسل في إجراء 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صرف التّراب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المزج لا يوجب صدق الغَسل، لأنّه عبارة عن استعمال الماء المطلق دون مطلق المائع كالوَحَل والدِّبس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نُسب إلى المشهور</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اعتبار المزج، وكفاية التعفير بالتّراب، من جهة أنّه بعدما لا يمكن الأخذ بظاهر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وجه لرفع اليد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لرفع اليد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الأخذ بظاهرهما، فإذاً يتعيّن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استعمال التّراب مع المزج بالماء، أو بدونه، ثمّ إزالته بالماء المطلق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التعفير بالتّراب، واستعمال الممتزج، ثمّ الإزالة بالماء، وعلى ذلك فيعتبر الغَسل بالماء بعد التعفير ثلاث مرّات</w:t>
      </w:r>
      <w:r>
        <w:rPr>
          <w:rFonts w:eastAsia="Amiri" w:cs="Amiri" w:ascii="Amiri" w:hAnsi="Amiri"/>
          <w:color w:val="111111"/>
          <w:sz w:val="28"/>
          <w:szCs w:val="28"/>
          <w:rtl w:val="true"/>
          <w:lang w:bidi="ar-SA"/>
        </w:rPr>
        <w:t>.</w:t>
      </w:r>
      <w:bookmarkStart w:id="475" w:name="pg11798_104795"/>
    </w:p>
    <w:p>
      <w:pPr>
        <w:pStyle w:val="Heading6"/>
        <w:numPr>
          <w:ilvl w:val="5"/>
          <w:numId w:val="1"/>
        </w:numPr>
        <w:rPr/>
      </w:pPr>
      <w:bookmarkStart w:id="476" w:name="__RefHeading___Toc10417120_73709187"/>
      <w:bookmarkStart w:id="477" w:name="_Toc178"/>
      <w:bookmarkEnd w:id="475"/>
      <w:bookmarkEnd w:id="476"/>
      <w:r>
        <w:rPr>
          <w:rtl w:val="true"/>
        </w:rPr>
        <w:t>لا يكتفى عن التّراب بغيره كالرّماد</w:t>
      </w:r>
      <w:bookmarkEnd w:id="477"/>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شهرةً عظيمة</w:t>
      </w:r>
      <w:r>
        <w:rPr>
          <w:rStyle w:val="FootnoteAnchor"/>
          <w:rtl w:val="true"/>
        </w:rPr>
        <w:footnoteReference w:id="11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العلّامة في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يكتفى عن التّراب بغيره كالرّماد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به 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بمساواة غير التّراب للتّراب في قالعيّة النجاسة، لو لم يكن أولى منه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لازم ذلك هو الاكتفاء به مطلقاً، كما اختاره ابن الجُنيد، واستدلّ 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معلوميّة المناط، لا تكون هذه الأولويّة قطعيّة، فلا يعتمد عليها</w:t>
      </w:r>
      <w:r>
        <w:rPr>
          <w:rFonts w:eastAsia="Amiri" w:cs="Amiri" w:ascii="Amiri" w:hAnsi="Amiri"/>
          <w:color w:val="111111"/>
          <w:sz w:val="28"/>
          <w:szCs w:val="28"/>
          <w:rtl w:val="true"/>
          <w:lang w:bidi="ar-SA"/>
        </w:rPr>
        <w:t xml:space="preserve">. </w:t>
      </w:r>
      <w:bookmarkStart w:id="478" w:name="pg11798_104796"/>
    </w:p>
    <w:p>
      <w:pPr>
        <w:pStyle w:val="Heading6"/>
        <w:numPr>
          <w:ilvl w:val="5"/>
          <w:numId w:val="1"/>
        </w:numPr>
        <w:rPr/>
      </w:pPr>
      <w:bookmarkStart w:id="479" w:name="__RefHeading___Toc10417122_73709187"/>
      <w:bookmarkStart w:id="480" w:name="_Toc179"/>
      <w:bookmarkEnd w:id="478"/>
      <w:bookmarkEnd w:id="479"/>
      <w:r>
        <w:rPr>
          <w:rtl w:val="true"/>
        </w:rPr>
        <w:t>لزوم التعفير في الغَسل بالكثير</w:t>
      </w:r>
      <w:bookmarkEnd w:id="480"/>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في وجه وجوب الغَسل ثلاثاً، من الاعتماد على الإجماع، فإنّه لا دليل على وجوبه ثلاثاً في غير القليل، لإختصاصه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بناءً على الاعتماد على موثّق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في غيره التعفير، لإطلاق صحيح البقباق أم لا؟</w:t>
      </w:r>
    </w:p>
    <w:p>
      <w:pPr>
        <w:pStyle w:val="BookText"/>
        <w:rPr/>
      </w:pPr>
      <w:r>
        <w:rPr>
          <w:rFonts w:ascii="Amiri" w:hAnsi="Amiri" w:eastAsia="Amiri" w:cs="Amiri"/>
          <w:color w:val="111111"/>
          <w:sz w:val="28"/>
          <w:sz w:val="28"/>
          <w:szCs w:val="28"/>
          <w:rtl w:val="true"/>
          <w:lang w:bidi="ar-SA"/>
        </w:rPr>
        <w:t>أم يفصّل بين التطهير بماء المطر فلا يعتبر، وبين التطهير بغيره كالجاري والكُرّ فيعتبر؟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بعض أعاظم المحقّقين رحمهم الله</w:t>
      </w:r>
      <w:r>
        <w:rPr>
          <w:rStyle w:val="FootnoteAnchor"/>
          <w:rtl w:val="true"/>
        </w:rPr>
        <w:footnoteReference w:id="1173"/>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اعتبار التعفير،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إغسله بالتّراب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قوّة ظهورٍ في إرادة الإطّراد، بحيث لا يعارضه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له نوع حكومة على هذا العموم بنظر العرف، حيث يرونه بمنزلة الأمر بإزالة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الحكومة، فممنوعةٌ جدّاً كما لا يخفى‌، وأمّا قوّة الظهور فقد ذكرنا في محلّه من أنّ العامّين من وجه إذا كانت دلالة أحدهما بالعموم، ودلالة الآخر بالإطلاق، يُقدَّم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في المقام تقديم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إغسله بالتّراب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فالأقوى عدم اعتبار التعفير في التطهير بماء المطر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طهُر الإناء بالجاري والكُرّ، فبما أنّه يعتبر في حصول الطهارة بهما الغَسل، ولا يُجزي مجرّد الإصابة، كما عرفت في أوّل هذا المبحث، فيعتبر التعفير، لأنّ دليل التعفير إنّما يدلّ على اعتبار شيء زائد في الغَسل، فلا تعارض بين ما دلّ‌ </w:t>
      </w:r>
    </w:p>
    <w:p>
      <w:pPr>
        <w:pStyle w:val="BookText"/>
        <w:rPr/>
      </w:pPr>
      <w:r>
        <w:rPr>
          <w:rFonts w:ascii="Amiri" w:hAnsi="Amiri" w:eastAsia="Amiri" w:cs="Amiri"/>
          <w:color w:val="111111"/>
          <w:sz w:val="28"/>
          <w:sz w:val="28"/>
          <w:szCs w:val="28"/>
          <w:rtl w:val="true"/>
          <w:lang w:bidi="ar-SA"/>
        </w:rPr>
        <w:t>على اعتبار التعفير، وما دلّ على كفاية الغَسل، فيؤخذ بهما معاً،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تمّ سند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من ذكر بعض علماء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بالمدينة رجلٌ يدخل على أبي جعفر محمّد بن عليّ عليهما السلام، وكان في طريقه ماءٌ فيه العَذَرة والجيفة، وكان يأمر الغلام أن يحمل كوزاً من ماء يغسل به رجله إذا خاضه،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فأبصرني يوماً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يُصيب شيئاً إلّا طهّره، فلا تعد للّه منه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حكم الكُرّ حكم ماء المطر في عدم وجوب التعفير، لكن قد عرفت أنّه لإرساله لا يُعتمد عليه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81" w:name="pg11798_104798"/>
    </w:p>
    <w:p>
      <w:pPr>
        <w:pStyle w:val="Heading6"/>
        <w:numPr>
          <w:ilvl w:val="5"/>
          <w:numId w:val="1"/>
        </w:numPr>
        <w:rPr/>
      </w:pPr>
      <w:bookmarkStart w:id="482" w:name="__RefHeading___Toc10417124_73709187"/>
      <w:bookmarkStart w:id="483" w:name="_Toc180"/>
      <w:bookmarkEnd w:id="481"/>
      <w:bookmarkEnd w:id="482"/>
      <w:r>
        <w:rPr>
          <w:rtl w:val="true"/>
        </w:rPr>
        <w:t>لزوم أن يكون التّراب قبل الاستعمال طاهراً</w:t>
      </w:r>
      <w:bookmarkEnd w:id="483"/>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أن يكون التّراب قبل الاستعمال طاهراً، بل لم يُحكَ الخلاف إلّاعن جماعةٍ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بالقاعدة الإرتكازيّة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الفاقد لا يُعطي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 النّص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بقاء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مطهّريّة التّراب تعبّديّة محضة، ولا يكون للعرف ارتكازٌ في التطهير به، فلا مورد لإعمال مرتكزاتهم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مراراً أنّه لا يُعتمد على مثل هذا الانصراف، ولا يوجب ذلك 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بقاء نجاسة الإناء، فهو محكومٌ لإستصحاب بقاء مطهّريّة التّراب، الثابتة له قبل عروض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176"/>
      </w:r>
      <w:r>
        <w:rPr>
          <w:rFonts w:ascii="Amiri" w:hAnsi="Amiri" w:eastAsia="Amiri" w:cs="Amiri"/>
          <w:color w:val="111111"/>
          <w:sz w:val="28"/>
          <w:sz w:val="28"/>
          <w:szCs w:val="28"/>
          <w:rtl w:val="true"/>
          <w:lang w:bidi="ar-SA"/>
        </w:rPr>
        <w:t>كونه من الاستصحاب التعليقي، كما ترى‌، مع أنّه لا وجه للرجوع إليه مع إطلاق النّص</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في الإيراد على الوجه الأوّل، ظهر ضعف ما ذكره بعض الأعاظم</w:t>
      </w:r>
      <w:r>
        <w:rPr>
          <w:rStyle w:val="FootnoteAnchor"/>
          <w:rtl w:val="true"/>
        </w:rPr>
        <w:footnoteReference w:id="1177"/>
      </w:r>
      <w:r>
        <w:rPr>
          <w:rFonts w:ascii="Amiri" w:hAnsi="Amiri" w:eastAsia="Amiri" w:cs="Amiri"/>
          <w:color w:val="111111"/>
          <w:sz w:val="28"/>
          <w:sz w:val="28"/>
          <w:szCs w:val="28"/>
          <w:rtl w:val="true"/>
          <w:lang w:bidi="ar-SA"/>
        </w:rPr>
        <w:t xml:space="preserve">من أنّ هذا كلّه مبنيٌ على اعتبار عدم المزج بالماء، أمّا بناءً على اعتباره، فلابدَّ من طهارة التّراب، لأنّه مع نجاسته ينجس الماء الممزوج به، مع أنّه لا شبهة </w:t>
      </w:r>
    </w:p>
    <w:p>
      <w:pPr>
        <w:pStyle w:val="BookText"/>
        <w:rPr/>
      </w:pPr>
      <w:r>
        <w:rPr>
          <w:rFonts w:ascii="Amiri" w:hAnsi="Amiri" w:eastAsia="Amiri" w:cs="Amiri"/>
          <w:color w:val="111111"/>
          <w:sz w:val="28"/>
          <w:sz w:val="28"/>
          <w:szCs w:val="28"/>
          <w:rtl w:val="true"/>
          <w:lang w:bidi="ar-SA"/>
        </w:rPr>
        <w:t>في اعتبار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للعرف ارتكازٌ في التطهير بالماء الممزوج بالتّراب، حتّى يرجع إلى مرتكزاتهم فيه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 الطهارة</w:t>
      </w:r>
      <w:r>
        <w:rPr>
          <w:rFonts w:eastAsia="Amiri" w:cs="Amiri" w:ascii="Amiri" w:hAnsi="Amiri"/>
          <w:color w:val="111111"/>
          <w:sz w:val="28"/>
          <w:szCs w:val="28"/>
          <w:rtl w:val="true"/>
          <w:lang w:bidi="ar-SA"/>
        </w:rPr>
        <w:t>.</w:t>
      </w:r>
      <w:bookmarkStart w:id="484" w:name="pg11798_104800"/>
    </w:p>
    <w:p>
      <w:pPr>
        <w:pStyle w:val="Heading6"/>
        <w:numPr>
          <w:ilvl w:val="5"/>
          <w:numId w:val="1"/>
        </w:numPr>
        <w:rPr/>
      </w:pPr>
      <w:bookmarkStart w:id="485" w:name="__RefHeading___Toc10417126_73709187"/>
      <w:bookmarkStart w:id="486" w:name="_Toc181"/>
      <w:bookmarkEnd w:id="484"/>
      <w:bookmarkEnd w:id="485"/>
      <w:r>
        <w:rPr>
          <w:rtl w:val="true"/>
        </w:rPr>
        <w:t>اختصاص الحكم بالولوغ</w:t>
      </w:r>
      <w:bookmarkEnd w:id="486"/>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بالولوغ، وما في معناه وهو اللّطع، الذي لا يفقد شيئاً ممّا تضمّنه الولوغ، ممّا يناسب للتنجيس، وعدم شموله لمباشرة باقي أعضائه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1179"/>
      </w:r>
      <w:r>
        <w:rPr>
          <w:rFonts w:ascii="Amiri" w:hAnsi="Amiri" w:eastAsia="Amiri" w:cs="Amiri"/>
          <w:color w:val="111111"/>
          <w:sz w:val="28"/>
          <w:sz w:val="28"/>
          <w:szCs w:val="28"/>
          <w:rtl w:val="true"/>
          <w:lang w:bidi="ar-SA"/>
        </w:rPr>
        <w:t>والمفيد</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الحكم المذكور في مطلق 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بدعوى ظهوره في أنّه لا خصوصيّة للولوغ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فمه أنظف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في كونه موضوعاً لما ذُكر بعده من جميع الأحكام، وإلّا كان اللّازم التعدّي إلى غيره من النجاسات، فلهذا يُحمل على كونه موضوعاً لخصوص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 بفضله</w:t>
      </w:r>
      <w:r>
        <w:rPr>
          <w:rFonts w:eastAsia="Amiri" w:cs="Amiri" w:ascii="Amiri" w:hAnsi="Amiri"/>
          <w:color w:val="111111"/>
          <w:sz w:val="28"/>
          <w:szCs w:val="28"/>
          <w:rtl w:val="true"/>
          <w:lang w:bidi="ar-SA"/>
        </w:rPr>
        <w:t>)</w:t>
      </w:r>
      <w:r>
        <w:rPr>
          <w:rStyle w:val="FootnoteAnchor"/>
          <w:rtl w:val="true"/>
        </w:rPr>
        <w:footnoteReference w:id="1182"/>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وأنظفيّة فمه غير ثابتة، مع أنّه يرد عليه ما أورده هو قدس سره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بأنّه تكليفٌ غير معقول، فيقف على النّص، وعلى ذلك فبما أنّ المذكور في النّص الفضل، فلا وجه للتعدّي</w:t>
      </w:r>
      <w:r>
        <w:rPr>
          <w:rFonts w:eastAsia="Amiri" w:cs="Amiri" w:ascii="Amiri" w:hAnsi="Amiri"/>
          <w:color w:val="111111"/>
          <w:sz w:val="28"/>
          <w:szCs w:val="28"/>
          <w:rtl w:val="true"/>
          <w:lang w:bidi="ar-SA"/>
        </w:rPr>
        <w:t xml:space="preserve">. </w:t>
      </w:r>
      <w:bookmarkStart w:id="487" w:name="pg11798_104801"/>
    </w:p>
    <w:p>
      <w:pPr>
        <w:pStyle w:val="BookText"/>
        <w:rPr/>
      </w:pPr>
      <w:bookmarkEnd w:id="487"/>
      <w:r>
        <w:rPr>
          <w:rFonts w:ascii="Amiri" w:hAnsi="Amiri" w:eastAsia="Amiri" w:cs="Amiri"/>
          <w:color w:val="111111"/>
          <w:sz w:val="28"/>
          <w:sz w:val="28"/>
          <w:szCs w:val="28"/>
          <w:rtl w:val="true"/>
          <w:lang w:bidi="ar-SA"/>
        </w:rPr>
        <w:t>ومنه يظهر وجه عدم اختصاص الحكم بالولوغ، وشموله للّطع ونحوه، مع أنّ احتمال اختصاص الحكم بما إذا سَرَت النجاسة إلى الإناء بواسطة الماء كما ترى‌، ولذا ترى أنّ جملة من أعاظم المحقّقين ادّعوا الجزم بالأولويّة، وهي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مورد النّص وإنْ كان هو الماء، إلّاأنّ التعدّي إلى سائر المائعات في محلّه، للقطع بعدم الفرق،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10417128_73709187"/>
      <w:bookmarkStart w:id="489" w:name="_Toc182"/>
      <w:bookmarkEnd w:id="488"/>
      <w:r>
        <w:rPr>
          <w:rtl w:val="true"/>
        </w:rPr>
        <w:t>هل يجري حكم التعفير في غير الإناء ممّا تنجّس بالولوغ</w:t>
      </w:r>
      <w:bookmarkEnd w:id="489"/>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حكم التعفير في غير الإناء ممّا تنجّس بولوغ الكلب أو لطعه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الأوّل، لعدم اختصاص الدليل بالظروف، لأنّ موضوع الحكم المأخوذ في النّص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في غيرها أيضاً، فلا وجه للتخصيص</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10417130_73709187"/>
      <w:bookmarkStart w:id="491" w:name="_Toc183"/>
      <w:bookmarkEnd w:id="490"/>
      <w:r>
        <w:rPr>
          <w:rtl w:val="true"/>
        </w:rPr>
        <w:t>لو خيف فَساد المحلّ باستعمال التّراب، سقط اعتبار التعفير</w:t>
      </w:r>
      <w:bookmarkEnd w:id="491"/>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وجماعة</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لو خيف فَساد المحلّ باستعمال التّراب، سقط اعتبار 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بانصراف النصوص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لازم عدم السقوط، تعطيل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النقض بالثوب المتنجّس، الذي لا يكون قابلاً للغسل، فإنّه لم يتوهّم أحدٌ حصول الطهارة له بذلك، وعدم لزوم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w:t>
      </w:r>
    </w:p>
    <w:p>
      <w:pPr>
        <w:pStyle w:val="BookText"/>
        <w:rPr/>
      </w:pPr>
      <w:r>
        <w:rPr>
          <w:rFonts w:ascii="Amiri" w:hAnsi="Amiri" w:eastAsia="Amiri" w:cs="Amiri"/>
          <w:color w:val="111111"/>
          <w:sz w:val="28"/>
          <w:sz w:val="28"/>
          <w:szCs w:val="28"/>
          <w:rtl w:val="true"/>
          <w:lang w:bidi="ar-SA"/>
        </w:rPr>
        <w:t>بالتعفير إرشادٌ إلى مطهّريّته واعتباره في حصول الطهارة، ولا يكون تكليفاً إلزاميّاً كي يمتنع شموله لصورة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التعطيل لا يكون مثبتاً، لبدليّة الماء عن التّراب، وحيثُ أنّ المشروط لا يتحقّق بتعذّر شرطه، فالأقوى بقاء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ما لو لم يمكن جعل التّراب في الإناء، لو فرض إمكان الولوغ في المورد، وأمّا إذا أمكن ذلك، ولم يمكن مسحه بالتّراب، لضيق فمه، فهل يكفي جعل التّراب فيه وتحريكه إلى أن يصل إلى جميع أطرافه، أم لا؟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بل قولان، أقواهما الأوّل، إذ لا دليل على لزوم المسح</w:t>
      </w:r>
      <w:r>
        <w:rPr>
          <w:rFonts w:eastAsia="Amiri" w:cs="Amiri" w:ascii="Amiri" w:hAnsi="Amiri"/>
          <w:color w:val="111111"/>
          <w:sz w:val="28"/>
          <w:szCs w:val="28"/>
          <w:rtl w:val="true"/>
          <w:lang w:bidi="ar-SA"/>
        </w:rPr>
        <w:t>.</w:t>
      </w:r>
      <w:bookmarkStart w:id="492" w:name="pg11798_104803"/>
    </w:p>
    <w:p>
      <w:pPr>
        <w:pStyle w:val="BookText"/>
        <w:rPr/>
      </w:pPr>
      <w:bookmarkEnd w:id="492"/>
      <w:r>
        <w:rPr>
          <w:rFonts w:ascii="Amiri" w:hAnsi="Amiri" w:eastAsia="Amiri" w:cs="Amiri"/>
          <w:color w:val="111111"/>
          <w:sz w:val="28"/>
          <w:sz w:val="28"/>
          <w:szCs w:val="28"/>
          <w:rtl w:val="true"/>
          <w:lang w:bidi="ar-SA"/>
        </w:rPr>
        <w:t>ومِنَ الخنزير سَبْعاً</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10417132_73709187"/>
      <w:bookmarkStart w:id="494" w:name="_Toc184"/>
      <w:bookmarkEnd w:id="493"/>
      <w:r>
        <w:rPr>
          <w:rtl w:val="true"/>
        </w:rPr>
        <w:t>ولوغ الخنزير</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المتأخّرين</w:t>
      </w:r>
      <w:r>
        <w:rPr>
          <w:rStyle w:val="FootnoteAnchor"/>
          <w:rtl w:val="true"/>
        </w:rPr>
        <w:footnoteReference w:id="1188"/>
      </w:r>
      <w:r>
        <w:rPr>
          <w:rFonts w:ascii="Amiri" w:hAnsi="Amiri" w:eastAsia="Amiri" w:cs="Amiri"/>
          <w:color w:val="111111"/>
          <w:sz w:val="28"/>
          <w:sz w:val="28"/>
          <w:szCs w:val="28"/>
          <w:rtl w:val="true"/>
          <w:lang w:bidi="ar-SA"/>
        </w:rPr>
        <w:t>على ما نُسب إليهم، وهو اختيار المصنّف رحمه الله في جملةٍ من كتبه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إلحاقة بالكلب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لصحيح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خنزيرٍشرب من إناءٍ‌، كيف يُصنع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الاستحباب، لإعراض أكثر القدماء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أو المحتمل أنّ عدم عملهم به ليس إعراضاً، بل يكون من جهة ما ذكره بعضهم من أنّ هذا الحكم بعيدٌ، إذا الكلب الذي هو أنجس من كلّ نجسٍ‌، لا يجبُ غَسل ملاقيه أكثر من ثلاث غسلات، فكيف يجبُ الغَسل سَبعاً من الخنزير؟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مثل ذلك لا يوجبُ التصرّف في ظاهر النّص، ما لم يوجب الاطمئنان بارادة خلاف ظاهره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فالأقوى هو الأخذ بظاهره، وهو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بتسمية الخنزير كلباً لغةً‌، فتشمله نصوص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تسميته به مجازٌ، فلا يحمل اللّفظ عليه، ما لم يدلّ عليه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شموله له، لاريب في 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وجه لزوم التعفير وعدمه</w:t>
      </w:r>
      <w:r>
        <w:rPr>
          <w:rFonts w:eastAsia="Amiri" w:cs="Amiri" w:ascii="Amiri" w:hAnsi="Amiri"/>
          <w:color w:val="111111"/>
          <w:sz w:val="28"/>
          <w:szCs w:val="28"/>
          <w:rtl w:val="true"/>
          <w:lang w:bidi="ar-SA"/>
        </w:rPr>
        <w:t>.</w:t>
      </w:r>
      <w:bookmarkStart w:id="495" w:name="pg11798_104805"/>
    </w:p>
    <w:p>
      <w:pPr>
        <w:pStyle w:val="BookText"/>
        <w:rPr/>
      </w:pPr>
      <w:bookmarkEnd w:id="495"/>
      <w:r>
        <w:rPr>
          <w:rFonts w:ascii="Amiri" w:hAnsi="Amiri" w:eastAsia="Amiri" w:cs="Amiri"/>
          <w:color w:val="111111"/>
          <w:sz w:val="28"/>
          <w:sz w:val="28"/>
          <w:szCs w:val="28"/>
          <w:rtl w:val="true"/>
          <w:lang w:bidi="ar-SA"/>
        </w:rPr>
        <w:t>ومِنَ الخَمر</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0417134_73709187"/>
      <w:bookmarkStart w:id="497" w:name="_Toc185"/>
      <w:bookmarkEnd w:id="496"/>
      <w:r>
        <w:rPr>
          <w:rtl w:val="true"/>
        </w:rPr>
        <w:t>المتنجّس بالخَمر</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قدحٍ أو إناءٍ يُشرب فيه الخمر؟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أيجزيه أن يصبّ فيه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يدلكه بيده، ويغسله ثلاث مرّات</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به يقيّد إطلاق ما تضمّن الأمر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رحمه الله في جملةٍ من كتبه</w:t>
      </w:r>
      <w:r>
        <w:rPr>
          <w:rStyle w:val="FootnoteAnchor"/>
          <w:rtl w:val="true"/>
        </w:rPr>
        <w:footnoteReference w:id="1196"/>
      </w:r>
      <w:r>
        <w:rPr>
          <w:rFonts w:ascii="Amiri" w:hAnsi="Amiri" w:eastAsia="Amiri" w:cs="Amiri"/>
          <w:color w:val="111111"/>
          <w:sz w:val="28"/>
          <w:sz w:val="28"/>
          <w:szCs w:val="28"/>
          <w:rtl w:val="true"/>
          <w:lang w:bidi="ar-SA"/>
        </w:rPr>
        <w:t>وغيرهما، من الاكتفاء بالمرّة،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وترفع اليد عن ظهور ما دلّ على وجوب الغسل سبعاً، كموثّق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الإناء يُشرب فيه النبيذ؟ فقال عليه السلام تغسله سبع مرّات</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198"/>
      </w:r>
      <w:r>
        <w:rPr>
          <w:rFonts w:ascii="Amiri" w:hAnsi="Amiri" w:eastAsia="Amiri" w:cs="Amiri"/>
          <w:color w:val="111111"/>
          <w:sz w:val="28"/>
          <w:sz w:val="28"/>
          <w:szCs w:val="28"/>
          <w:rtl w:val="true"/>
          <w:lang w:bidi="ar-SA"/>
        </w:rPr>
        <w:t>أنّ الجمع بينهما يمكن بتقيّيد الأوّل بالثاني، لأنّ ظهوره مستندٌ إلى مفهوم العدد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الشيخ الأعظم رحمه الله من أنّ دلالته إنّما تكون بمنطوق التحديد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عن المفيد</w:t>
      </w:r>
      <w:r>
        <w:rPr>
          <w:rStyle w:val="FootnoteAnchor"/>
          <w:rtl w:val="true"/>
        </w:rPr>
        <w:footnoteReference w:id="1199"/>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والشهيد</w:t>
      </w:r>
      <w:r>
        <w:rPr>
          <w:rStyle w:val="FootnoteAnchor"/>
          <w:rtl w:val="true"/>
        </w:rPr>
        <w:footnoteReference w:id="1201"/>
      </w:r>
      <w:r>
        <w:rPr>
          <w:rFonts w:ascii="Amiri" w:hAnsi="Amiri" w:eastAsia="Amiri" w:cs="Amiri"/>
          <w:color w:val="111111"/>
          <w:sz w:val="28"/>
          <w:sz w:val="28"/>
          <w:szCs w:val="28"/>
          <w:rtl w:val="true"/>
          <w:lang w:bidi="ar-SA"/>
        </w:rPr>
        <w:t>، والمحقّق من وجوب السَّبع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ما اختاره المصنّف رحمه الله في المقام،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03"/>
      </w:r>
      <w:r>
        <w:rPr>
          <w:rFonts w:ascii="IRNazanin" w:hAnsi="IRNazanin" w:eastAsia="IRNazanin"/>
          <w:color w:val="111111"/>
          <w:sz w:val="28"/>
          <w:sz w:val="28"/>
          <w:szCs w:val="28"/>
          <w:rtl w:val="true"/>
          <w:lang w:bidi="fa-IR"/>
        </w:rPr>
        <w:t>من وجوب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الأظهر عدم الفرق بين الغسل بالقليل أو الكثير، الجاري أو الكُرّ، للإطلاق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204"/>
      </w:r>
      <w:r>
        <w:rPr>
          <w:rFonts w:ascii="Amiri" w:hAnsi="Amiri" w:eastAsia="Amiri" w:cs="Amiri"/>
          <w:color w:val="111111"/>
          <w:sz w:val="28"/>
          <w:sz w:val="28"/>
          <w:szCs w:val="28"/>
          <w:rtl w:val="true"/>
          <w:lang w:bidi="ar-SA"/>
        </w:rPr>
        <w:t>أنّ النسبة بينه وبين إطلاق مطهّريّة الكثير، عمومٌ من وجه، فلا مورد للتمسّك به، لسقوطه بالمعارضة، وعليه فبما أنّ الأقوى عدم جريان الاستصحاب في الأحكام، لكونه محكوماً لاستصحاب عدم الجعل، فيرجع إلى قاعدة الطهارة بعد الغَسل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 نصوص الكثير غير الإناء، ولا إطلاق لشيء منها يشمله، بناءً على عدم حجيّة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والتعدّي إليه يحتاج إلى عدم الفصل، غير الثابت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معارض لإطلاق نصوص المقام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دليل مطهّريّة الماء، فقد عرفت في أوّل الكتاب أنّه لا إطلاق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طهر بالمطر، فالأظهر كفاية مجرّد الرؤية، لعموم مرسل الكاهلي المقدّم على إطلاق النصوص، لأنّ دلالته بالعموم</w:t>
      </w:r>
      <w:r>
        <w:rPr>
          <w:rFonts w:eastAsia="Amiri" w:cs="Amiri" w:ascii="Amiri" w:hAnsi="Amiri"/>
          <w:color w:val="111111"/>
          <w:sz w:val="28"/>
          <w:szCs w:val="28"/>
          <w:rtl w:val="true"/>
          <w:lang w:bidi="ar-SA"/>
        </w:rPr>
        <w:t>.</w:t>
      </w:r>
      <w:bookmarkStart w:id="498" w:name="pg11798_104808"/>
    </w:p>
    <w:p>
      <w:pPr>
        <w:pStyle w:val="BookText"/>
        <w:rPr/>
      </w:pPr>
      <w:bookmarkEnd w:id="498"/>
      <w:r>
        <w:rPr>
          <w:rFonts w:ascii="Amiri" w:hAnsi="Amiri" w:eastAsia="Amiri" w:cs="Amiri"/>
          <w:color w:val="111111"/>
          <w:sz w:val="28"/>
          <w:sz w:val="28"/>
          <w:szCs w:val="28"/>
          <w:rtl w:val="true"/>
          <w:lang w:bidi="ar-SA"/>
        </w:rPr>
        <w:t>والفأرة ثلاثاً، والسَبْع أفضل،</w:t>
      </w:r>
    </w:p>
    <w:p>
      <w:pPr>
        <w:pStyle w:val="Heading6"/>
        <w:numPr>
          <w:ilvl w:val="5"/>
          <w:numId w:val="1"/>
        </w:numPr>
        <w:rPr/>
      </w:pPr>
      <w:bookmarkStart w:id="499" w:name="__RefHeading___Toc10417136_73709187"/>
      <w:bookmarkStart w:id="500" w:name="_Toc186"/>
      <w:bookmarkEnd w:id="499"/>
      <w:r>
        <w:rPr>
          <w:rtl w:val="true"/>
        </w:rPr>
        <w:t>الإناء الملاقي للجرذ</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الإناء من موت الجرذ سبعاً على المشهور، والجُرذ ضربٌ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الجاحظ</w:t>
      </w:r>
      <w:r>
        <w:rPr>
          <w:rStyle w:val="FootnoteAnchor"/>
          <w:rtl w:val="true"/>
        </w:rPr>
        <w:footnoteReference w:id="1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الفرق بينه وبين الفأر، كالفرق بين الجواميس، والبقر البخاتي والعرب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الذَّكَر من الفئران، أعظم من اليربوع، أكدر في ذنبه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والسَّبْعُ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Style w:val="FootnoteAnchor"/>
          <w:rtl w:val="true"/>
        </w:rPr>
        <w:footnoteReference w:id="12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21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عمّار الآتي في مطلق النجاسات، ولعلّه المراد من ما حُكي عن بعضٍ أنّ عليه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تقييده بموثّقه الآخر،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الإناء الذي يصيبُ فيه الجُرذ ميّتاً سبع مرّات</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السَبْع هو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غير ذلك مرّة والثلاث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يُغسل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 ذكر من النجاسات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والثّلاثُ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وابن الجُنيد في مختصره</w:t>
      </w:r>
      <w:r>
        <w:rPr>
          <w:rStyle w:val="FootnoteAnchor"/>
          <w:rtl w:val="true"/>
        </w:rPr>
        <w:footnoteReference w:id="1214"/>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الكوز أو الإناء يكون قذراً، كيف يُغسل، وكم مرّة يُغسل‌؟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 مرّات، يصبّ فيه الماء، فيحرّك فيه، ثمّ يفرغ منه</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واستضعافه في غير محلّه، لما حقّقناه في محلّه من حجيّة الموثّق، وعدم عمل جماعةٍ من الأصحاب به، لا يكون إعراضاً عنه، موجباً لوهنه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فالرجوع إلى أصالة البراءة، أو إطلاق ما دلّ على كفاية مطلق الغَسل في إزالة النجاسات، والبناء على كفاية المرّة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الاستحباب، بقرينة المرسل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مدرك فتوى المصنّف رحمه الله في المقام، غير تامّ‌، لعدم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إفتاء الأساطين بكفاية المرّة مع وجود هذا الموثّق، وكونه بمرأى ومسمعٍ منهم، لا وجه له سوى الاعتماد على المرسل، فضعفُ سنده مجبورٌ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ما اختاره الماتن والشيخ في كتبه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عرفت أنّه المشهور على ما نُسب إليهم من كفاية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في غير ما إذا تنجّس بالبول، وإلّا فلو تنجّس به، واُريد غَسله بالقليل، فللقطع بأنّه على فرض وجوب الغسل في غيره مرّتين، يجبُ ذلك فيه، فلا يكتفي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فرض عدم الاعتماد على المرسل، بما أنّ الموثّق مختصٌّ بحسب ظاهره بالقليل، فيرجع في الكثير إلى إطلاقات الأدلّة لو ثبتت، وإلّا فإلى قاعدة الطهارة بعد الغَسل به مرّة واحدة، بناءً على عدم جريان الاستصحاب في الأحكام، كما هو الحقّ‌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فلو شكّ في متنجّسٍ أنّه من الظروف أو غيرها، فالأقوى عدم ترتّب حكم الإناء عليه، لاستصحاب عدم كونه من الظروف، لأنّ كلّ ما يحتمل فيه ذلك، لا محالة لم يكن من أوّل وجوده كذلك، بل كان غير ظرف، بل بناءً على جريان استصحاب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هذا الأصل حتّى مع احتمال كونه من أوّل تحقّقه كذلك</w:t>
      </w:r>
      <w:r>
        <w:rPr>
          <w:rFonts w:eastAsia="Amiri" w:cs="Amiri" w:ascii="Amiri" w:hAnsi="Amiri"/>
          <w:color w:val="111111"/>
          <w:sz w:val="28"/>
          <w:szCs w:val="28"/>
          <w:rtl w:val="true"/>
          <w:lang w:bidi="ar-SA"/>
        </w:rPr>
        <w:t>.</w:t>
      </w:r>
      <w:bookmarkStart w:id="501" w:name="pg11798_104811"/>
    </w:p>
    <w:p>
      <w:pPr>
        <w:pStyle w:val="BookText"/>
        <w:rPr/>
      </w:pPr>
      <w:bookmarkEnd w:id="501"/>
      <w:r>
        <w:rPr>
          <w:rFonts w:ascii="Amiri" w:hAnsi="Amiri" w:eastAsia="Amiri" w:cs="Amiri"/>
          <w:color w:val="111111"/>
          <w:sz w:val="28"/>
          <w:sz w:val="28"/>
          <w:szCs w:val="28"/>
          <w:rtl w:val="true"/>
          <w:lang w:bidi="ar-SA"/>
        </w:rPr>
        <w:t>ويَحْرُم استعمالُ أواني الذّهب والفضّة في الأكل وغيره</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0417138_73709187"/>
      <w:bookmarkStart w:id="503" w:name="_Toc187"/>
      <w:bookmarkEnd w:id="502"/>
      <w:r>
        <w:rPr>
          <w:rtl w:val="true"/>
        </w:rPr>
        <w:t>حُرمة استعمال أواني الذّهب والفضّة</w:t>
      </w:r>
      <w:bookmarkEnd w:id="503"/>
    </w:p>
    <w:p>
      <w:pPr>
        <w:pStyle w:val="Heading6"/>
        <w:numPr>
          <w:ilvl w:val="5"/>
          <w:numId w:val="1"/>
        </w:numPr>
        <w:rPr/>
      </w:pPr>
      <w:bookmarkStart w:id="504" w:name="__RefHeading___Toc10417140_73709187"/>
      <w:bookmarkStart w:id="505" w:name="_Toc188"/>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استعمال أواني الذّهب والفضّة في الأكل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إجماعاً، كما عن غير واحدٍ حكايته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باتّفاق المسلمين على حُرمة الأكل والشرب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21"/>
      </w:r>
      <w:r>
        <w:rPr>
          <w:rFonts w:ascii="Amiri" w:hAnsi="Amiri" w:eastAsia="Amiri" w:cs="Amiri"/>
          <w:color w:val="111111"/>
          <w:sz w:val="28"/>
          <w:sz w:val="28"/>
          <w:szCs w:val="28"/>
          <w:rtl w:val="true"/>
          <w:lang w:bidi="ar-SA"/>
        </w:rPr>
        <w:t>فيهما إجماعاً منّا، ومِنْ كلّ من يُحفظ عنه العلم، عدا داود فحَرّم الشرب خاصّة، محصّلاً ومنقولاً مستفيضاً، إنْ لم يكن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استعمال أواني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ظاهراً في نفسه في إرادة الكراهة المصطلحة، إلّاأنّه يتعيّن حمله على إرادة الحرمة، لتصريحه بها في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المحكيّ‌</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لحرمة الاستعمال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آنية الذّهب والفضّة</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حذف المتعلّق دليل العموم</w:t>
      </w:r>
      <w:r>
        <w:rPr>
          <w:rFonts w:eastAsia="Amiri" w:cs="Amiri" w:ascii="Amiri" w:hAnsi="Amiri"/>
          <w:color w:val="111111"/>
          <w:sz w:val="28"/>
          <w:szCs w:val="28"/>
          <w:rtl w:val="true"/>
          <w:lang w:bidi="ar-SA"/>
        </w:rPr>
        <w:t xml:space="preserve">. </w:t>
      </w:r>
      <w:bookmarkStart w:id="506" w:name="pg11798_104812"/>
    </w:p>
    <w:p>
      <w:pPr>
        <w:pStyle w:val="BookText"/>
        <w:rPr/>
      </w:pPr>
      <w:bookmarkEnd w:id="50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موسى بن بكر،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آنية الذّهب والفضّة متاعُ اللّذين لا يوقنون</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ولحرمة الأكل خاصّة في جملةٍ من النصوص، كصحيح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في آنية ذهبٍ ولا فضّة</w:t>
      </w:r>
      <w:r>
        <w:rPr>
          <w:rFonts w:eastAsia="Amiri" w:cs="Amiri" w:ascii="Amiri" w:hAnsi="Amiri"/>
          <w:color w:val="111111"/>
          <w:sz w:val="28"/>
          <w:szCs w:val="28"/>
          <w:rtl w:val="true"/>
          <w:lang w:bidi="ar-SA"/>
        </w:rPr>
        <w:t>»</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فالنصوص المتضمّنة للفظ الكراهة، كصحيح ابن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آنية الذّهب والفضّة فكرههما</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ونحوه غيره</w:t>
      </w:r>
      <w:r>
        <w:rPr>
          <w:rStyle w:val="FootnoteAnchor"/>
          <w:rtl w:val="true"/>
        </w:rPr>
        <w:footnoteReference w:id="1229"/>
      </w:r>
      <w:r>
        <w:rPr>
          <w:rFonts w:ascii="Amiri" w:hAnsi="Amiri" w:eastAsia="Amiri" w:cs="Amiri"/>
          <w:color w:val="111111"/>
          <w:sz w:val="28"/>
          <w:sz w:val="28"/>
          <w:szCs w:val="28"/>
          <w:rtl w:val="true"/>
          <w:lang w:bidi="ar-SA"/>
        </w:rPr>
        <w:t>، يتعيّن حملها على التحريم، لعدم ظهور الكراهة في الكراهة المصطلحة، والنهي ظاهرٌ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الشرب في آنية الذّهب والفضّة</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 ظاهرٌ في الكراهة، ورفع اليد عن ظهوره مشكلٌ‌، لكن لعدم اعتماد الأصحاب عليه يتعيّن طرحه</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10417142_73709187"/>
      <w:bookmarkStart w:id="508" w:name="_Toc189"/>
      <w:bookmarkEnd w:id="507"/>
      <w:r>
        <w:rPr>
          <w:rtl w:val="true"/>
        </w:rPr>
        <w:t>يقع الكلام في جهات</w:t>
      </w:r>
      <w:bookmarkEnd w:id="508"/>
    </w:p>
    <w:p>
      <w:pPr>
        <w:pStyle w:val="Heading6"/>
        <w:numPr>
          <w:ilvl w:val="5"/>
          <w:numId w:val="1"/>
        </w:numPr>
        <w:rPr/>
      </w:pPr>
      <w:bookmarkStart w:id="509" w:name="__RefHeading___Toc10417144_73709187"/>
      <w:bookmarkStart w:id="510" w:name="_Toc190"/>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الحكم ممّا لا إشكال فيه ولا كلام، وإنّما الكلام يقع في جهات</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10417146_73709187"/>
      <w:bookmarkStart w:id="512" w:name="_Toc191"/>
      <w:bookmarkEnd w:id="511"/>
      <w:r>
        <w:rPr>
          <w:rtl w:val="true"/>
        </w:rPr>
        <w:t>هل المحرّم هو خصوص الإستعمال أم مطلق الانتفاع</w:t>
      </w:r>
      <w:bookmarkEnd w:id="512"/>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المحرّم هو خصوص الإستعمال، فلا يَحرُم وضعها على الرفوف للتزيين مثلاً، أم مطلق الانتفاع بها فيحرم‌؟ وجهان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أقواهما الثاني، لظهور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حذف المتعلّق في بعضها، وفهم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وعليه فيحرم</w:t>
      </w:r>
      <w:r>
        <w:rPr>
          <w:rFonts w:eastAsia="Amiri" w:cs="Amiri" w:ascii="Amiri" w:hAnsi="Amiri"/>
          <w:color w:val="111111"/>
          <w:sz w:val="28"/>
          <w:szCs w:val="28"/>
          <w:rtl w:val="true"/>
          <w:lang w:bidi="ar-SA"/>
        </w:rPr>
        <w:t xml:space="preserve">. </w:t>
      </w:r>
      <w:bookmarkStart w:id="513" w:name="pg11798_104813"/>
    </w:p>
    <w:p>
      <w:pPr>
        <w:pStyle w:val="BookText"/>
        <w:rPr/>
      </w:pPr>
      <w:bookmarkEnd w:id="513"/>
      <w:r>
        <w:rPr>
          <w:rFonts w:ascii="Amiri" w:hAnsi="Amiri" w:eastAsia="Amiri" w:cs="Amiri"/>
          <w:color w:val="111111"/>
          <w:sz w:val="28"/>
          <w:sz w:val="28"/>
          <w:szCs w:val="28"/>
          <w:rtl w:val="true"/>
          <w:lang w:bidi="ar-SA"/>
        </w:rPr>
        <w:t>ولو بنينا على عدم حرمة الإقتناء، فما عن المصنّف رحمه الله من ابتناء حرمة ذلك على حرمة الإقتناء، غير تامّ‌</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10417148_73709187"/>
      <w:bookmarkStart w:id="515" w:name="_Toc192"/>
      <w:bookmarkEnd w:id="514"/>
      <w:r>
        <w:rPr>
          <w:rtl w:val="true"/>
        </w:rPr>
        <w:t>المشهور بين الأصحاب حرمة اقتنائها</w:t>
      </w:r>
      <w:bookmarkEnd w:id="515"/>
    </w:p>
    <w:p>
      <w:pPr>
        <w:pStyle w:val="Heading6"/>
        <w:numPr>
          <w:ilvl w:val="5"/>
          <w:numId w:val="1"/>
        </w:numPr>
        <w:rPr/>
      </w:pPr>
      <w:bookmarkStart w:id="516" w:name="__RefHeading___Toc10417150_73709187"/>
      <w:bookmarkStart w:id="517" w:name="_Toc193"/>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231"/>
      </w:r>
      <w:r>
        <w:rPr>
          <w:rFonts w:ascii="Amiri" w:hAnsi="Amiri" w:eastAsia="Amiri" w:cs="Amiri"/>
          <w:color w:val="111111"/>
          <w:sz w:val="28"/>
          <w:sz w:val="28"/>
          <w:szCs w:val="28"/>
          <w:rtl w:val="true"/>
          <w:lang w:bidi="ar-SA"/>
        </w:rPr>
        <w:t>حرمة اقتنائها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وجملةٍ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الإقتناء تضييعٌ للمال كما عن الشيخ</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وبأنّه تعطيلٌ له، فيكون سرفاً لعدم الانتفاع كما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حرمة الاستعمال تستلزم حرمة اتّخاذها بهيئة الاستعمال،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موسى بن بكر المتقدّم، بدعوى دخوله في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المستفاد من النصوص، أنّ مراد الشارع النهي عن أصل وجودها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اتّخاذها إظهاراً للثروة والتذاذاً بوجدانها، لا يكون تضييعاً للمال، ولا تعطيلاً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واستلزام حرمة الاستعمال لحرمة اتّخاذها بهيئة الاستعمال، محلّ منعٍ واضح</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ودخوله في المتاع مشكلٌ‌، كما يشير إليه جعل المتاع مقابل التحلّي في الآية </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حِلْيَةٍ أَوْ مَتاعٍ‌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والنهي عن الشيء الموجود الخارجي غير معقولٍ‌، إلّابتقدير ما يتعلّق به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فالمقدّر إمّا خصوص الاستعمال، أو مطلق الانتفاع، كما عرفت آنفاً، وإرادة ما يشمل إبقاء ذلك الشيء في الخارج، كي يجب اعدامه، خلاف الظاهر،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الأعاظم</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المحرّم لو كان ذات الآنية، لم يبق دليلٌ على حرمة الاستعمال، سوى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قُدّر ما يعمّ إبقائها لم يبق موردٌ لهذا الإيراد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حرمة اقتنائها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518" w:name="pg11798_104815"/>
    </w:p>
    <w:p>
      <w:pPr>
        <w:pStyle w:val="Heading6"/>
        <w:numPr>
          <w:ilvl w:val="5"/>
          <w:numId w:val="1"/>
        </w:numPr>
        <w:rPr/>
      </w:pPr>
      <w:bookmarkStart w:id="519" w:name="__RefHeading___Toc10417152_73709187"/>
      <w:bookmarkStart w:id="520" w:name="_Toc194"/>
      <w:bookmarkEnd w:id="518"/>
      <w:bookmarkEnd w:id="519"/>
      <w:r>
        <w:rPr>
          <w:rtl w:val="true"/>
        </w:rPr>
        <w:t>التناول من الإناء</w:t>
      </w:r>
      <w:bookmarkEnd w:id="520"/>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جملةٍ من الأصحاب، بل إلى المشهور</w:t>
      </w:r>
      <w:r>
        <w:rPr>
          <w:rStyle w:val="FootnoteAnchor"/>
          <w:rtl w:val="true"/>
        </w:rPr>
        <w:footnoteReference w:id="1238"/>
      </w:r>
      <w:r>
        <w:rPr>
          <w:rFonts w:ascii="Amiri" w:hAnsi="Amiri" w:eastAsia="Amiri" w:cs="Amiri"/>
          <w:color w:val="111111"/>
          <w:sz w:val="28"/>
          <w:sz w:val="28"/>
          <w:szCs w:val="28"/>
          <w:rtl w:val="true"/>
          <w:lang w:bidi="ar-SA"/>
        </w:rPr>
        <w:t>حُرمة نفس الأكل والشّرب، لا مجرّد التناول من الإناء، من غير فرقٍ بين مباشرة الفم للآنية، أو أخذ اللُّقمة منها ووضعها في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الواردة في المقام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تحريم مطلق الاستعمال، وهو ما تضمّن النهي عن الآنية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تحريم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الطائفة الأُولى تحريم الأكل والشُّرب بجميع أقسامهما، وإنْ لم يصدق عليهما استعمال الآنية دون مقدّماتهما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الطائفة الثانية حُرمة كلّ ما يكون استعمالاً لها، كان في الأكل والشّرب أو في غيرهما، ولو كان هو التناول منها، فلو تناول الطعام من آنية الذّهب وأكله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في كلٍّ مِنَ التّناول والأكل، وعلى ذلك، فلو تناول الماء من آنية الذّهب والفضّة وتوضّأ به، صحَّ وضوئه، وإنْ عَصى بالتناول، لأنّ الوضوء بنفسه ليس استعمالاً للآنية، ولم يدلّ دليلٌ على حرمة الوضوء منها بنفسه من حيث هو، فلا يتّحد المأمور به والمحرّم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المشهور من صحّة الوضوء من آنية الذّهب والفضّة، هو الأقوي‌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بناءً على حُرمة الأكل والشّرب، لا وجه للحكم بصحّة </w:t>
      </w:r>
      <w:bookmarkStart w:id="521" w:name="pg11798_104816"/>
    </w:p>
    <w:p>
      <w:pPr>
        <w:pStyle w:val="BookText"/>
        <w:rPr/>
      </w:pPr>
      <w:bookmarkEnd w:id="521"/>
      <w:r>
        <w:rPr>
          <w:rFonts w:ascii="Amiri" w:hAnsi="Amiri" w:eastAsia="Amiri" w:cs="Amiri"/>
          <w:color w:val="111111"/>
          <w:sz w:val="28"/>
          <w:sz w:val="28"/>
          <w:szCs w:val="28"/>
          <w:rtl w:val="true"/>
          <w:lang w:bidi="ar-SA"/>
        </w:rPr>
        <w:t xml:space="preserve">الوضوء، لعدم الفرق بينهما وبين غيرهما من أنواع الاستعمال،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39"/>
      </w:r>
      <w:r>
        <w:rPr>
          <w:rFonts w:ascii="Amiri" w:hAnsi="Amiri" w:eastAsia="Amiri" w:cs="Amiri"/>
          <w:color w:val="111111"/>
          <w:sz w:val="28"/>
          <w:sz w:val="28"/>
          <w:szCs w:val="28"/>
          <w:rtl w:val="true"/>
          <w:lang w:bidi="ar-SA"/>
        </w:rPr>
        <w:t>، في غير محلّه، لما عرفت من ثبوت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الوضوء منها بالارتماس فيها لا يصحّ‌، لأنّ الوضوء في هذا الفرض مصداقٌ للاستعمال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من التصريح بصحّة الوضوء في صورة الارتماس أيضاً غير سديد</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10417154_73709187"/>
      <w:bookmarkStart w:id="523" w:name="_Toc195"/>
      <w:bookmarkEnd w:id="522"/>
      <w:r>
        <w:rPr>
          <w:rtl w:val="true"/>
        </w:rPr>
        <w:t>المراد من الأواني</w:t>
      </w:r>
      <w:bookmarkEnd w:id="523"/>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القوم في تعيين مفهوم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جملةٍ من كتب اللّغة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لا استعمال له في عرفنا اليوم، فلا يفيد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1243"/>
      </w:r>
      <w:r>
        <w:rPr>
          <w:rFonts w:ascii="Amiri" w:hAnsi="Amiri" w:eastAsia="Amiri" w:cs="Amiri"/>
          <w:color w:val="111111"/>
          <w:sz w:val="28"/>
          <w:sz w:val="28"/>
          <w:szCs w:val="28"/>
          <w:rtl w:val="true"/>
          <w:lang w:bidi="ar-SA"/>
        </w:rPr>
        <w:t>تفسيره بالوعاء</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تفسيراً بالمباين، من جهة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بالإضافة إلى ما يُوضع فيه فعلاً،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يُطلق بلحاظ الظرف في حَدّ ذاته، فلا ينبغي التأمّل في كونه تفسيراً بالأعمّ‌،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الصندوق، </w:t>
      </w:r>
    </w:p>
    <w:p>
      <w:pPr>
        <w:pStyle w:val="BookText"/>
        <w:rPr/>
      </w:pPr>
      <w:r>
        <w:rPr>
          <w:rFonts w:ascii="Amiri" w:hAnsi="Amiri" w:eastAsia="Amiri" w:cs="Amiri"/>
          <w:color w:val="111111"/>
          <w:sz w:val="28"/>
          <w:sz w:val="28"/>
          <w:szCs w:val="28"/>
          <w:rtl w:val="true"/>
          <w:lang w:bidi="ar-SA"/>
        </w:rPr>
        <w:t xml:space="preserve">وعُلبة العِطر ونحوهما،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من تفسيره بما يُوضع فيه الشيء، وما عن غير واحد من تفسيره بالظرف، ويؤيّد ذلك مصحّح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التعويذ يُعلّق على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جلدٍ أو فضّةٍ أو قصبة حديد</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عبارة عن متاع البيت الذي يُستعمل في الأكل أو الشرب أو مقدّماتهما كالسّماور ونحوه، أو مؤخّراتهما كالإبريق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w:t>
      </w:r>
      <w:r>
        <w:rPr>
          <w:rStyle w:val="FootnoteAnchor"/>
          <w:rtl w:val="true"/>
        </w:rPr>
        <w:footnoteReference w:id="1246"/>
      </w:r>
      <w:r>
        <w:rPr>
          <w:rFonts w:ascii="Amiri" w:hAnsi="Amiri" w:eastAsia="Amiri" w:cs="Amiri"/>
          <w:color w:val="111111"/>
          <w:sz w:val="28"/>
          <w:sz w:val="28"/>
          <w:szCs w:val="28"/>
          <w:rtl w:val="true"/>
          <w:lang w:bidi="ar-SA"/>
        </w:rPr>
        <w:t>ابن بزيع، المشتمل على مبالغة الإمام عليه السلام في تنزيه فعل أبي الحسن عليه السلام عن إمساك المرآة الملبّسة بالفضّة، الموهم لأعمّيّة الإناء من ذلك، فلا يُعتنى به؛ لعدم ظهور جوابه عليه السلام فيها، كما لا يخفى‌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24" w:name="pg11798_104818"/>
    </w:p>
    <w:p>
      <w:pPr>
        <w:pStyle w:val="BookText"/>
        <w:rPr/>
      </w:pPr>
      <w:bookmarkEnd w:id="524"/>
      <w:r>
        <w:rPr>
          <w:rFonts w:ascii="Amiri" w:hAnsi="Amiri" w:eastAsia="Amiri" w:cs="Amiri"/>
          <w:color w:val="111111"/>
          <w:sz w:val="28"/>
          <w:sz w:val="28"/>
          <w:szCs w:val="28"/>
          <w:rtl w:val="true"/>
          <w:lang w:bidi="ar-SA"/>
        </w:rPr>
        <w:t>ويُكَره المُفضَّفض</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10417156_73709187"/>
      <w:bookmarkStart w:id="526" w:name="_Toc196"/>
      <w:bookmarkEnd w:id="525"/>
      <w:r>
        <w:rPr>
          <w:rtl w:val="true"/>
        </w:rPr>
        <w:t>الإناء المُفضّض</w:t>
      </w:r>
      <w:bookmarkEnd w:id="526"/>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 استعماله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عامّة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فيه خلافاً، إلّاما يُحكى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سوّى بينه وبين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xml:space="preserve">بصحيح الحلبيّ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آنية الذّهب والفضّة، والآنية المُفضّضة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موثّق</w:t>
      </w:r>
      <w:r>
        <w:rPr>
          <w:rStyle w:val="FootnoteAnchor"/>
          <w:rtl w:val="true"/>
        </w:rPr>
        <w:footnoteReference w:id="1251"/>
      </w:r>
      <w:r>
        <w:rPr>
          <w:rFonts w:ascii="Amiri" w:hAnsi="Amiri" w:eastAsia="Amiri" w:cs="Amiri"/>
          <w:color w:val="111111"/>
          <w:sz w:val="28"/>
          <w:sz w:val="28"/>
          <w:szCs w:val="28"/>
          <w:rtl w:val="true"/>
          <w:lang w:bidi="ar-SA"/>
        </w:rPr>
        <w:t>بُريد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ومصحّح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في آنيةٍ من فضّةٍ ولا في آنيةٍ مفضّضة</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هذه النصوص في المنع، وإنْ كان لا يُنكر، إلّاأنّه يتعيّن صرفها </w:t>
      </w:r>
    </w:p>
    <w:p>
      <w:pPr>
        <w:pStyle w:val="BookText"/>
        <w:rPr/>
      </w:pPr>
      <w:r>
        <w:rPr>
          <w:rFonts w:ascii="Amiri" w:hAnsi="Amiri" w:eastAsia="Amiri" w:cs="Amiri"/>
          <w:color w:val="111111"/>
          <w:sz w:val="28"/>
          <w:sz w:val="28"/>
          <w:szCs w:val="28"/>
          <w:rtl w:val="true"/>
          <w:lang w:bidi="ar-SA"/>
        </w:rPr>
        <w:t>عن ظاهرها، وحملها على الكراهة، لا لصحيح معاوية</w:t>
      </w:r>
      <w:r>
        <w:rPr>
          <w:rStyle w:val="FootnoteAnchor"/>
          <w:rtl w:val="true"/>
        </w:rPr>
        <w:footnoteReference w:id="1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الشُّرب في القَدَح فيه ضبّةٌ من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إلّاأن يَكره الفضّة فينزعها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الحلقة، ولا ريب في عدم صدق المُفضّض على الإناء الذي تكون حلقته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لصحيح</w:t>
      </w:r>
      <w:r>
        <w:rPr>
          <w:rStyle w:val="FootnoteAnchor"/>
          <w:rtl w:val="true"/>
        </w:rPr>
        <w:footnoteReference w:id="1254"/>
      </w:r>
      <w:r>
        <w:rPr>
          <w:rFonts w:ascii="Amiri" w:hAnsi="Amiri" w:eastAsia="Amiri" w:cs="Amiri"/>
          <w:color w:val="111111"/>
          <w:sz w:val="28"/>
          <w:sz w:val="28"/>
          <w:szCs w:val="28"/>
          <w:rtl w:val="true"/>
          <w:lang w:bidi="ar-SA"/>
        </w:rPr>
        <w:t>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يشرب الرَّجل في القَدَح المُفضّض، واعزل فاكَ عن موضع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الكراهة في المذهَّبِ أيضاً، واستدلّ له بأنّ الذّهب لا ينزل عن درجة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بالكراهة مع عدم الدليل، ومناطها في الفضّة غير معلوم حتّى يتعدّى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عدم شمول المُفضّض للمطليّ بماء الفضّة، إذ الظاهر منه هو ما كانت الفضّة فيه جِرْماً عرفاً لا 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المصنّف رحمه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من شموله له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شموله لما فيه حلقةٌ من فضّة كما تقدّم، وعدم شموله للممتزج من الفضّة، وغيرها، إذ مع استهلاك أحدهما، يكون من مصاديق الآخر عرفاً، وإلّا فهو مغشوشٌ لا مُفضّض</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اجتناب موضع الفضّة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والعلّامة الطباطبائي رحمه الله</w:t>
      </w:r>
      <w:r>
        <w:rPr>
          <w:rStyle w:val="FootnoteAnchor"/>
          <w:rtl w:val="true"/>
        </w:rPr>
        <w:footnoteReference w:id="1257"/>
      </w:r>
      <w:r>
        <w:rPr>
          <w:rFonts w:ascii="Amiri" w:hAnsi="Amiri" w:eastAsia="Amiri" w:cs="Amiri"/>
          <w:color w:val="111111"/>
          <w:sz w:val="28"/>
          <w:sz w:val="28"/>
          <w:szCs w:val="28"/>
          <w:rtl w:val="true"/>
          <w:lang w:bidi="ar-SA"/>
        </w:rPr>
        <w:t xml:space="preserve">،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المتقدّم،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واعزل فاكَ عن موضع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معاوية المتقدّم، ولأجله تُرفع اليد عن ظاهر الأمر في صحيح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المُفضّض غير ما فيه حلقة من فضّة، والصحيح يدلّ على الجواز في الثاني دون الأوّل، مع أنّ دلالته على الجواز في المقام إنّما تكون بالإطلاق، فيقيّد بصحيح ابن سنان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27" w:name="pg11798_104821"/>
    </w:p>
    <w:p>
      <w:pPr>
        <w:pStyle w:val="BookText"/>
        <w:rPr/>
      </w:pPr>
      <w:bookmarkEnd w:id="527"/>
      <w:r>
        <w:rPr>
          <w:rFonts w:ascii="Amiri" w:hAnsi="Amiri" w:eastAsia="Amiri" w:cs="Amiri"/>
          <w:color w:val="111111"/>
          <w:sz w:val="28"/>
          <w:sz w:val="28"/>
          <w:szCs w:val="28"/>
          <w:rtl w:val="true"/>
          <w:lang w:bidi="ar-SA"/>
        </w:rPr>
        <w:t>وأواني المشركين طاهرةٌ ما لم يُعْلَم مُباشَرتهم لها برطوبة</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10417158_73709187"/>
      <w:bookmarkStart w:id="529" w:name="_Toc197"/>
      <w:bookmarkEnd w:id="528"/>
      <w:r>
        <w:rPr>
          <w:rtl w:val="true"/>
        </w:rPr>
        <w:t>أواني المشركين</w:t>
      </w:r>
      <w:bookmarkEnd w:id="52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وأواني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طاهرةٌ‌، ما لم يُعلَم مباشرتهم لها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استعمالها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الطهارة واستصحابها، ويؤيّدهما ما دلّ‌</w:t>
      </w:r>
      <w:r>
        <w:rPr>
          <w:rStyle w:val="FootnoteAnchor"/>
          <w:rtl w:val="true"/>
        </w:rPr>
        <w:footnoteReference w:id="1263"/>
      </w:r>
      <w:r>
        <w:rPr>
          <w:rFonts w:ascii="Amiri" w:hAnsi="Amiri" w:eastAsia="Amiri" w:cs="Amiri"/>
          <w:color w:val="111111"/>
          <w:sz w:val="28"/>
          <w:sz w:val="28"/>
          <w:szCs w:val="28"/>
          <w:rtl w:val="true"/>
          <w:lang w:bidi="ar-SA"/>
        </w:rPr>
        <w:t>على طهارة الثّوب الذي يعمله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في صحيح</w:t>
      </w:r>
      <w:r>
        <w:rPr>
          <w:rStyle w:val="FootnoteAnchor"/>
          <w:rtl w:val="true"/>
        </w:rPr>
        <w:footnoteReference w:id="1264"/>
      </w:r>
      <w:r>
        <w:rPr>
          <w:rFonts w:ascii="Amiri" w:hAnsi="Amiri" w:eastAsia="Amiri" w:cs="Amiri"/>
          <w:color w:val="111111"/>
          <w:sz w:val="28"/>
          <w:sz w:val="28"/>
          <w:szCs w:val="28"/>
          <w:rtl w:val="true"/>
          <w:lang w:bidi="ar-SA"/>
        </w:rPr>
        <w:t>ابن سنان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أعرتهُ إيّاه وهو طاهرٌ ولم تستيقن أنّه 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أنّ مورده الثّوب الذي أعاره للذمّي، انه لا يزيد مفاده عن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لما اختاره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بآية</w:t>
      </w:r>
      <w:r>
        <w:rPr>
          <w:rStyle w:val="FootnoteAnchor"/>
          <w:rtl w:val="true"/>
        </w:rPr>
        <w:footnoteReference w:id="1265"/>
      </w:r>
      <w:r>
        <w:rPr>
          <w:rFonts w:ascii="Amiri" w:hAnsi="Amiri" w:eastAsia="Amiri" w:cs="Amiri"/>
          <w:color w:val="111111"/>
          <w:sz w:val="28"/>
          <w:sz w:val="28"/>
          <w:szCs w:val="28"/>
          <w:rtl w:val="true"/>
          <w:lang w:bidi="ar-SA"/>
        </w:rPr>
        <w:t>نجاسة المشركين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المنع عن الأكل من الآنية التي يشربون فيها الخمر</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والرواية لا تدلّان على النجاسة في صورة الشكّ في ملاقاة المشرك لها مع الرطوبة، وعدم ثبوت الإجماع غنيٌ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فيتعيّن حمل كلامه رحمه الله على إرادة النجاسة في صورة المباشرة لها مع الرطوبة، وأمّا ما تضمّن النهي عن الأكل في آنية أهل الكتاب، فيتعيّن حمله على صورة العلم بمباشرتهم لها مع الرطوبة، كما تقدّم في مبحث نجاسة الكافر</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تمَّ الجزء الخامس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مؤلّفه الأحقر،</w:t>
      </w:r>
    </w:p>
    <w:p>
      <w:pPr>
        <w:pStyle w:val="BookText"/>
        <w:rPr/>
      </w:pPr>
      <w:r>
        <w:rPr>
          <w:rFonts w:ascii="Amiri" w:hAnsi="Amiri" w:eastAsia="Amiri" w:cs="Amiri"/>
          <w:color w:val="111111"/>
          <w:sz w:val="28"/>
          <w:sz w:val="28"/>
          <w:szCs w:val="28"/>
          <w:rtl w:val="true"/>
          <w:lang w:bidi="ar-SA"/>
        </w:rPr>
        <w:t>محمّد صادق الحسيني الروحاني عفى اللّه عنه،</w:t>
      </w:r>
    </w:p>
    <w:p>
      <w:pPr>
        <w:pStyle w:val="BookText"/>
        <w:rPr/>
      </w:pPr>
      <w:r>
        <w:rPr>
          <w:rFonts w:ascii="Amiri" w:hAnsi="Amiri" w:eastAsia="Amiri" w:cs="Amiri"/>
          <w:color w:val="111111"/>
          <w:sz w:val="28"/>
          <w:sz w:val="28"/>
          <w:szCs w:val="28"/>
          <w:rtl w:val="true"/>
          <w:lang w:bidi="ar-SA"/>
        </w:rPr>
        <w:t>ويتلوه الجزء السادس إنْ شاء اللّه تعالى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إلّاباللّه، والحمدُ للّه أوّلاً وآخراً وظاهراً وباطناً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11798_104824"/>
      <w:bookmarkStart w:id="531" w:name="pg11798_104824"/>
      <w:bookmarkEnd w:id="531"/>
    </w:p>
    <w:p>
      <w:pPr>
        <w:pStyle w:val="Heading2"/>
        <w:numPr>
          <w:ilvl w:val="1"/>
          <w:numId w:val="1"/>
        </w:numPr>
        <w:rPr/>
      </w:pPr>
      <w:bookmarkStart w:id="532" w:name="pg11798_104824"/>
      <w:bookmarkStart w:id="533" w:name="__RefHeading___Toc10417160_73709187"/>
      <w:bookmarkStart w:id="534" w:name="_Toc198"/>
      <w:bookmarkEnd w:id="532"/>
      <w:bookmarkEnd w:id="533"/>
      <w:r>
        <w:rPr>
          <w:rtl w:val="true"/>
        </w:rPr>
        <w:t>فهرس الموضوعات</w:t>
      </w:r>
      <w:bookmarkEnd w:id="534"/>
    </w:p>
    <w:p>
      <w:pPr>
        <w:pStyle w:val="BookText"/>
        <w:rPr/>
      </w:pPr>
      <w:r>
        <w:rPr>
          <w:rFonts w:ascii="Amiri" w:hAnsi="Amiri" w:eastAsia="Amiri" w:cs="Amiri"/>
          <w:color w:val="111111"/>
          <w:sz w:val="28"/>
          <w:sz w:val="28"/>
          <w:szCs w:val="28"/>
          <w:rtl w:val="true"/>
          <w:lang w:bidi="ar-SA"/>
        </w:rPr>
        <w:t>في النّجاسات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أقسام 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بولُ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البول والغائط من حلال اللّحم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فروع 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بيع البول والغائط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الشكّ في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نجاسة المَنيّ‌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نجاسة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الأجزاء المُبانة من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طهارة الأنفحة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الأجزاء المُبانة من الحَيّ‌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طهارة فأرة المسك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ميتة ما لا نَفس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الشَّك في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حكم الجلد في سوق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حكم ما في يد المُستَحلّ للميتة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حكم دباغة جلد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حكم السِّقط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حكم ملاقاة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عدم جواز بيع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نجاسة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دَمُ ما لا نفس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حُكم العَلَقة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الدَّم المشكوك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الدّم المُراق في الأمراق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الكَلْب والخنزير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حكم المتولّد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نجاسة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حكم مُنكِر الضروري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ولد الكافر تابعٌ للكافر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طهارة ولد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الغُلاة والخَوارج والنّواصب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طهارة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حكم المشكوك إسلامه أو كفره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نجاسة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في نجاسة العصير العنبي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حُرمة العصير العنبي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حكم غليان العنب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حكم العصير من التمر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حكم العصير الزبيبي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عَرَق الجُنُب من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فروع عرق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حكم عرق الإبل الجلّالة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حكم المُسُوخات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المتنجّسات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المتنجّس لا يتنجّس 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لو علم تنجّس شيء بالأشدّ أو الأضعف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المتنجّس منجّس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اعتبار الطهارة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وجوب إزالة النجاسة عن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فروع نجاسة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وجوب قطع الصّلاة للإزالة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حكم تنجيس المسجد الخراب وتطهيره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وجوب التيمّم لمكث الجُنُب في المسجد للإزالة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حكم تنجيس المشاهد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ما يُعفى عنه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في المستثنيات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دم نجس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المراد بالدّرهم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حكم الدّم المتفرق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الدَّم المشكوك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الدّم المتسرّي إلى الجانب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العفو عن دم الجروح والقروح</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ما لا يَتمُّ فيه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اذا كان اللّباس متّخذاً من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المحمول المتنجّس</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ثوب المُربّية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في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انحصار الثّوب في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فروع ثوب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الصَّلاة في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فرعان حول الصلاة في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حكم الجاهل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الجاهل بالموضوع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الإلتفات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فصل في المطهّرات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شرائط التطهير بالماء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شرائط التطهير بالقليل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اعتبار تعدّد الغسل في المتنجّس بالبول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بول الرَّضيع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الاكتفاء بالمرّة في عامّة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كفاية المرّة في الكُرّ والجاري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عصر الثياب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ما ينفذ فيه الماء ولا يمكن عَصْره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مطهّريّة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فروع مطهّرية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مطهّريّة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اشتراط طهارة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الإستحالة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استحالة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العجين المعجون بالماء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صيرورة الطين آجراً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مطهّريّة الانقلاب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ذهاب الثُّلثين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الإنتقال</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مطهّريّة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زوال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غيبة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تنبيهات أحكام الأواني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لزوم التعفير في الغَسل بالكثير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اختصاص الحكم بالولوغ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ولوغ 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المتنجّس بالخَمر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الإناء الملاقي للجرذ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حُرمة استعمال أواني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التناول من الإناء</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المراد من الأواني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الإناء المُفضّض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أواني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يقال للرجل إذا قطع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أزرمتَ بولك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له أربعة أسماء كما حكاه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البطليولسي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الخفاش له أربعة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خفاش وخشّاف وخطّاف ووطواط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حكاها السيّد قدس سره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 الرجوع إلى أخبار الترجيح في تعارض العامين من وجه مطلقاً، فيقدّم دليل النجاسة للأشهريّة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المؤلّف حفظه المولى‌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الحبل المتين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xml:space="preserve">، وقد عبَّر عنه بالأعزّ بدل الأغرّ، ولعلّ الصواب أبو الأغرّ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والراء المهملة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كون الأعزّ في الأسماء، وفي اسمه نوع إبهام، ولكن رواية صفوان وابن أبي عمير عنه تفيد نوع اعتماد عليه لكونهما من أصحاب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المشكلة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 أو النحّاس، والصواب النحّاس كما عن بعض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الوحيد البهبهاني في تعليقة على منهاج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إنّما يجب غسل ظاهر البدن من النجاسة دون البواطن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إنّما يجب غسل ظاهر البدن من النجاسة دون البواطن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طهارة بلل الفرج والقيح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طهارة بصاق شارب الخمر مع خلوّه من 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خيرة السرائر والتحرير ونهاية الإحكام والمختلف والدروس والتنقيح وحواشي الكتاب للشهيد وتعليق الإرشاد وجامع المقاصد والمسالك والروضة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المرتضى نقلاً عن اُستاذه، ولم يجده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السيّد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نجاسة المني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حكم البلل المشتبه الخارج بعد البول والمني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بطهارة الماء إلى أن يعلم ورود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30292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يُقطع من إليات الضأن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30024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 يقطع من الحيوانات قبل الذكاة فهو ميتة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طهارة ما يشترى من مسلم ومن سوق المسلمين، والحكم بذكاته ما لم يعلم أنّه ميتة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يظهر ذلك من البيان للشهيد الأوّل في معرض الحديث عن الخلل في صورة العمد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قول المشهور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أنّ القول بالطهارة هو قول العامّة وما حُكي عن ابن الجُنيد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الأوّل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فتاوى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الأواني والجلود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المختلف أيضاً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الدعائم، 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دعوى الإجماع على ذلك كاشف الغطاء في حاشيته على العروة الوثقى مسألة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اتّفاقاً كما عن شرح المفاتيح، وبلا خلاف كما عن جوامع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في معرض حديثه عن حكم السّقط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نجاسة الميّت تتعدّى مع رطوبته ويبوسته، للحكم بها من غير استفصال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حكاه عنه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وأيضاً تعرّض لذلك مرّة اُخرى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المفاتيح السيّد الجزائري في التحفة السنيّة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وجوّز الشيخ في النهاية عمل جلد الميتة دلواً يُستقى به الماء لغير الوضوء والصّلاة والشرب، وإن كان تجنّبه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نسبه إلى علمائنا، ثمّ إلى علماء الإسلام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الدّم المسفوح من غير هذه الدِّماء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وقد نفى فيه الخلاف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ادّعى الإجماع على نجاسته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السيّد المرتضى في الانتصار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المخالفين،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واحتجّ به عليهم ابن زُهرة الحلبي في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الإجماع من الأعلام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دم غير ذي النفس السائلة فيتعرّض له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على طهارته الإجماع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والغُنية، والسرائر، والمعتبر، والمنتهى، والمختلف، والتذكرة، والذكرى، والروض، والمدارك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وموت ما لا نفس له كالذُّباب والجراد وما أشبههما في الماء قليلاً كان أو كثيراً لا ينجسه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ما لا نفس له سائلة كالجراد والذُّباب، فإنّه لا ينجس الماء بوقوعه فيه ولا بموته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عبّر عنه بالدّم الذي يستحبّ إزالته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نفس له سائلة، كالذُّباب، والخنفساء، والزنابير وغير ذلك، لا ينجس بالموت، ولا ينجس الماء، ولا المائع الذي يموت فيه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وقد حكاه عنه غير واحدٍ من الأعلام منهم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المسفوح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وظاهرهم الاتّفاق على 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إلحاق ما يتخلّف في القلب والكبد به وجهان، من مساواته له في المعنى، وعدم كونه مسفوحاً، ومن الاقتصار بالرخصة المخالفة للأصل على موردها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بنجاسة العلقة والمضغة والبيضة إذا صارت دماً، ودليله غير واضح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ناقش الشيخ في دعواه الإجماع على النجاسة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عهدنا ولا ذهب أحدٌ من أصحابنا إلى أنّ المائع النجس بالغليان يطهر، إلّاما خرج بالدليل من العصير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وقع دمٌ في قِدر تغلي على النار جاز أكل ما فيها بعد زوال عين الدّم وتفريقها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وقع فيها دمٌ‌، وكان قليلاً وغلى جاز أكل ما فيها بعد أن تغلي، وإن كان كثيراً لم يجز أكل شيء منها، وقيل إنّ هذا إنّما جاز في الدّم بغير غسل اللّحم، لأنّ النار تحمل الدّم، ولأنّ اللّحم لا يكاد يعرى منه، وقد جاز أكله بعد الغسل مع إنّه كذلك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نجاسة الخنزير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التاسعة عشرة،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الميتة طاهر، وكذلك شعر الكلب والخنزير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وهو مذهب أصحابنا وهو مذهب أبي حنيفة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علي صحّة ما ذهبنا إليه بعد الإجماع المتكرّر،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أَصْوَافِهَا وَأَوْبَارِهَا وَأَشْعَارِهَا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يظهر ذلك من تعليقاته على روايات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أبواب الصيد والذبائح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ما لا تحلّه الحياة من الميتة وممّا لا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وإطلاقهما يشمل ما لو فرض صدق اسم حيوان طاهر عليه وهو مشكل كما عن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والمدارك بل الإشكال في غيره أيضاً من حيث عدم الدليل على النجاسة، ومجرّد كونه جزء منهما في زمان لا يسوغ استصحاب نجاسته لانتفاء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الأعظم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أيضاً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السيّد العاملي في مفاتيح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الإجماع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والانتصار، والغنية، والسرائر، والمعتبر، والمنتهى، والبحار، وشرح الفضل، وظاهر التذكرة، ونهاية الاحكام، وفي التهذيب إجماع المسلمين، وفي حاشية المدارك أنّه شعار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الأعظم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عبارة ابن الجنيد فظاهرها القول بطهارة أهل الكتاب وله في بحث الأسئار عبارة اُخرى تقرُب من هذه حكيناها هناك</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وأيضاً أجمع المسلمون على نجاسة المشركون والكفّار إطلاقاً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الكفّار أنجاس وهو مذهب علماؤنا أجمع سواء كانوا أهل الكتاب أو حربيّين أو مرتدّين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 من النجاسات الكافر أصليّاً أو مرتدّاً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الحكيم قدس سره عن بعض اللّغويين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الإرشاد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 عدَّة روايات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ظاهر نهاية الاحكام، والتذكرة، والروض، الإجماع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إدخال منكر الضرورة في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جحود الضرورى كفرٌ فى نفسه أو يكشف عن إنكار النبوّة مثلاً؟ ظاهرهم الأوّل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حكم من ترك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استحل ترك الصّلاة يُقتل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إلّاأنّه عطف مُنكر الضرورة على الكفّار والمشركين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 أنكر ضروريّاً من ضروريّات الدِّين مع علمه بأنّه من ضروريّاته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الأعظم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من يموت من أطفال المشركين والكفّار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10/412</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الوضوء بسؤر اليهودي والنصراني وولد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الشهيد الأوّل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عنه غير واحد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تغسيل الميّت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باشر المخالف تغسيل المؤمن فالأقرب الأجزاء، ولا تغسل الخوارج ولا الغُلاة وإنْ أظهروا الإسلام، والنّاصبي خارجي، وفي المجسّمة بالحقيقة نظر أقربه المنع، أمّا المجسّمة بالتسمية المجرّدة فلا منع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بيانه في معنى الإرادتين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ممّا يثبت به الكفر والارتداد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الشيخ بنجاسة المجبّرة والمجسّمة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طهارة غير النّاصب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الشيخ بنجاسة المجبّرة والمجسّمة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عندي الطهارة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المجسّمة والمجبّرة والقائلين بوحدة الوجود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حكم المخالفين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بين متأخِّري الأصحاب هو الحكم بإسلام المخالفين وطهارتهم وخصّوا الكفر والنجاسة بالنّاصب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والمفهوم من الأخبار المستفيضة هو كفر المخالف الغير المستضعف ونصبه ونجاسته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ذلك عدّة روايات 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جملة ممّا يثبت به الكفر والارتداد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في ذلك كثيرة منها ما ورد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وفي رواياته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النّاصب لنا أهل البيت شرٌ من الكافر وولد الزّنا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الإيمان يشرك الإسلام والإسلام لا يشرك الإيمان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مولود يولد على الفطرة يعني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آخر دلَّ على أنّ كلّ مولود يولد على الفطرة،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فأبواه اللّذان يهوّدانه وينصّرانه ويمجّسانه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38/182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أعرض عنه الأصحاب كالمرسل عنه كلّ مولودٍ يولد على الفطرة حتّييكون أبواه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إجمال دلالته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المشهور 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المسألة السادسة عشرة،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والخمر نجس بلا خلاف أو كلّ مسكر عندنا حكمه حكم الخمر، وألحق أصحابنا الفقاع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بالصلاة في ثوب أصابه خمر، لأنّ اللّه عزّ وجلّ حرّم شربها ولم يحرّم الصّلاة في ثوبٍ أصابته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قطر خمر أو نبيذ في عجين فقد فسد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الأوّل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الأعيان النجسة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عن الجُعفي القول بحليّة بعض الفقاع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غير واحدٍ من الأعلام منهم الشهيد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هذه الآية دلالة على تحريم سائر التصرّفات في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دلالة فيها على نجاسة الخمر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والأخبار محمولة على التقيّة من اُمراء الوقت والوزراء وجُهّال بني اُميّة وبني العبّاس كما عن 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السيّد الخوئي قدس سره في معرض بيان دلالة خصوص الصحيحة كما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دلّت الصحيحة على نجاسة خصوص المسكر منه، ولا دلالة لها على المدّعى، وهو نجاسة كلّ مُسكر وإن لم يتعارف شربه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أحكام الأشربة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استشكل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ينجس بالغليان أو يقف على الشدّة‌؟ إشكال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والعصير إذا غَلى واشتدّ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العصير إذا غَلى واشتدّ حكم الخمر ما لم يذهب ثُلثاه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موردين من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روض الجنان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الظاهر من كلامهم أنّ القول بالنجاسة هو المشهور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العصير من العنب قبل غليانه طاهرٌ حلال، وبعد غليانه واشتداده نجسٌ حرام وذلك إجماع من فقهائنا، أمّا بعد غليانه وقبل اشتداده فحرامٌ إجماعاً منّا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31907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31903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319113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الأشربة،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ما يحلّ شربه وما لا يحلّ‌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غير واحد من الاعلام المتأخّرين عن شيخ الشريعة الأصفهاني قدس سره نسبة هذا القول إلى جملة من الفقهاءالمتقدّمين، وأنّ هذا كان مسلّماً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وبالتأمّل في كلمات القدماء فإنّ بعضهم صرّح بهذا الفرق كابن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وبعضهم يستظهر منه ذلك كما أشار إليه الشهيد الثاني في اللُّمعة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وبعضهم الآخر صرّح بخلاف ذلك أي بعدم الفرق بين الغليان بنفسه أو بالنار كابن فهد الحلّي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العصير من العنب والزبيب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الاختلافات اليسيرة عن البحار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63/517</w:t>
      </w:r>
      <w:r>
        <w:rPr>
          <w:rFonts w:ascii="IRNazanin" w:hAnsi="IRNazanin" w:eastAsia="IRNazanin"/>
          <w:b w:val="false"/>
          <w:b w:val="false"/>
          <w:bCs w:val="false"/>
          <w:i w:val="false"/>
          <w:i w:val="false"/>
          <w:iCs w:val="false"/>
          <w:color w:val="333333"/>
          <w:sz w:val="20"/>
          <w:sz w:val="20"/>
          <w:szCs w:val="20"/>
          <w:rtl w:val="true"/>
        </w:rPr>
        <w:t>، الخامس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ألحق جماعةٌ من الأصحاب بالعصير ماء العنب إذا غَلى في حِبّه وهو غير موجّه لعدم صدق العصير عليه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الحليّة الكثير من الاعلام، وفي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بالشهرة، وكذلك في كفاية الأحكام للسبزواري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نعم في الحدائق الناضرة حكى الإجماع عن شرح الرسالة على عدم إلحاق عصير التمر بالعنب، راجع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32174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الرسائل الفقهيّة للوحيد البهبهاني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القول بالحرمة الوحيد البهبهاني في الرسائل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في جواب مسائل سادات آل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وقد حكي القول بالحرمة عن المُحدِّث البحراني ولكن لم يظهر منه تبنّي ذلك، بل الظاهر خلافه، نعم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القول بالحرمة عن أبي الحسن الشيخ سليمان بن عبد اللّه البحراني والمُحدِّث الشيخ محمّد بن الحسن الحرّ العاملي على ما يظهر من وسائل الشيعة، ثمّ اشتهر ذلك الآن بين جملة من الفضلاء المعاصرين، وقد استوجهه آل ياسين في تعليقه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واحتاط فيه الحكيم، وقوّاه الشيخ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وكذلك الخوانساري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عصير التمر والزبيب والحصرم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الحاشية لم تُطبع لحدّ الآن، ولا زالت في مسودّات كتب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المولى‌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أصل تحريم الخمر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أحكام الأشربة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عبّر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وألحق أصحابنا الفقاع بالخمر في جميع الأحكام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بيع الفقاع وكلّ مُسكر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الشريف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أبو هاشم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الفقاع نبيذ الشعير، فإذا نشّ فهو 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كاشف الغطاء في كتابه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الفقاع كرمّان وهو شراب مخصوص غير مُسكر يتّخذ من الشعير غالباً وأدنى منه في الغلبة ما يكون من الحنطة ودونهما ما يكون من الزبيب ودونها ما يكون من غيره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نهاية البحث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بطهارة عَرَق الجُنُب من الحرام، نعم تكره الصّلاة فيه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50/173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قيام الدليل على طهارة عَرَق الجُنُب من الحرام عند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وإفتائه بذلك سماعاً، وفي تعليقه على العروة الوثقى، عَدَل من المنع عن الصّلاة فيه إلى كراهة، فإنّه يجوز الصّلاة مع وجوده على كراهة فقط</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بيع شيء من المسوخ</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المسوخ</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المسألة التاسعة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زبدة الاُصول،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استصحاب الفرد المردد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ادّعى الميرزا القمّي في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مسألة نجاسة الملاقي مع الرطوبة للمتنجّس ينجس من الضروريّات فضلاً عن الإجماعات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على أنّ المتنجّس ينجس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أنّ قول الكاشاني بعدم النجاسة مخالفٌ لإجماع المسلمين وضرورة الدِّين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جواهر الفقه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كان شيخنا المرتضى رحمه الله يذهب إلى جواز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طهارة الثّوب بمائع غير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غير صحيح، لأنّ إجماع الطائفة على خلافه في ذلك</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حكاه عنه أيضاً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السيّد في مستمسك العروة الوثق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وهو ظاهر كلامه في شرطيّة الماء في الطهارة في أغلب الموارد التي منها المتنجّسات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الحكاية عنه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للكاشاني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استدلّ به الحبر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على أنّ المتنجّس لا ينجس</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المحدِّث البحراني في غير مورد من الحدائق الناضرة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تنجيس المتنجّس وعدمه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القول استظهاراً عن السيّد والحِلّي، وأنّ الأجسام السقيلة تطهر بزوال العين معلّلاً لذلك بزال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إنّا وإنْ استظهرنا من الحِلّي والسيّد القول بمنع السراية، لكن القائل به صريحاً إنّما هو المحدِّث الكاشاني، ولذا جلّ من تأخّر عنه ممّن تعرّض لإبطال هذا المذهب جعلوه من متفرّداته وطعنوه بمخالفته للإجماع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وجهه في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منشأ التأمّل ما توقّف به في انتقال النجاسة في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الماء المستعمل في إزالة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والجلود ابتداءً من رواية رقم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 والأواني والجلود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ح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 والأواني والجلود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ح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والنفليّة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ولعلّه إجماعي كما قيل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المسألة إجماعيّة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المحقّق النراقي تحقيقاً وحكاية عن جمع من الأصحاب كما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إزالة النجاسة عن المساجد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المستمسّك عن اللّوامع نسبته إليهما، مستسمك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الترتّب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بالشيء هل يستلزم النهي عن ضدّه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كلّ غايات الوضوء والغسل غايات للتيمّم، وقد حكى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الأعلام تخصيص هذه القاعدة مع اختلافهم ببعض التفاصيل، حيث حصر بعضهم التيمّم بالصّلاة والخروج من المسجدين، وبعضهم صحّحه في الطواف مطلقاً، وآخر صحّحه بدلاً عن الحَدَث الأصغر دون الأكبر، وآخر منع من التيمّم لتصحيح صوم الجُنُب والحائض والمستحاضة، وآخرون غير ذلك من التفاصيل التي تعرّض لها السيّد في مستمسك العروة فراجع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ونسبه إليه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الحديث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ذلك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المراسم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المحقّق الحِلّي في 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الماء القليل ينجس بالملاقاة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 بن حديد ضعيفٌ جدّاً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الخامس</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عن دم القروح والجروح</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 للمصنّف،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تبعيّة القضاء للأداء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77/84</w:t>
      </w:r>
      <w:r>
        <w:rPr>
          <w:rFonts w:ascii="IRNazanin" w:hAnsi="IRNazanin" w:eastAsia="IRNazanin"/>
          <w:b w:val="false"/>
          <w:b w:val="false"/>
          <w:bCs w:val="false"/>
          <w:i w:val="false"/>
          <w:i w:val="false"/>
          <w:iCs w:val="false"/>
          <w:color w:val="333333"/>
          <w:sz w:val="20"/>
          <w:sz w:val="20"/>
          <w:szCs w:val="20"/>
          <w:rtl w:val="true"/>
        </w:rPr>
        <w:t xml:space="preserve">، مستطرفات السرائر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فهد الحِلّي في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تتخيّر في وقت غَسله، والأفضل أن تؤخّره إلى أن تجتمع الصّلوات الأربع عدا الصبح فيه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كفاية الأحكام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الرابع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حكاع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ملاقي النّجس</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تنبّه لردّ هذه الدعوى السيّد الخوئي قدس سره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ما إذا كانت نجاسة بدنه أو ثوبه أشدّ من نجاسة الآخر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بطلان الصّلاة بترك الركوع عمداً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النجاسات والأواني والجلود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روايات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روايات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النجاسات والأواني والجلود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روايات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الاستنجاء</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نسب إلى الشيخ في الإستبصار والسيّد وابن إدريس والعلّامة في المنتهى</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قضاء الفريضة الفائتة بعمد أو نسيان أو نوم أو ترك طهارة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وجوب الإعادة على من صلّى وثوبه أو بدنه نجس قبل العلم بالنجاسة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وما يجوز فيها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لهذه الدعوى السيّد الخوئي قدس سره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السيّد الحكيم قدس سره إلى أنّه قائلٌ بذلك واستبعدهما، راجع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 عنه بأنّه غريب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القول عنه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حكاه عن العلّامة بالاكتفاء بالمرّة، إنْ كان جافّاً، وأنّه يظهر من فحوى كلامه في جملة من كتبه الاكتفاء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الواجب هو الغسل المُزيل للعين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ومسمّى الغسل يصدق بالمرّة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3988</w:t>
      </w:r>
      <w:r>
        <w:rPr>
          <w:rFonts w:ascii="IRNazanin" w:hAnsi="IRNazanin" w:eastAsia="IRNazanin"/>
          <w:b w:val="false"/>
          <w:b w:val="false"/>
          <w:bCs w:val="false"/>
          <w:i w:val="false"/>
          <w:i w:val="false"/>
          <w:iCs w:val="false"/>
          <w:color w:val="333333"/>
          <w:sz w:val="20"/>
          <w:sz w:val="20"/>
          <w:szCs w:val="20"/>
          <w:rtl w:val="true"/>
        </w:rPr>
        <w:t xml:space="preserve">، وفي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بول كلّ ما لا يؤكل لحمه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أيضاً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اقرصيه بدل اغسليه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يُراعى العدد في غير البول، فيه تردد أشبهه يكفي المرّة بعد إزالة العين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وقد يظهر ذلك منه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وأمّاطهارة المائعات النجسة بالاستهلاك فيه ففي عدّه تطهيراً في العرف تأمّل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منه في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السمسم والحنطة إذا انتقعا في الماء النّجس، فالأقوى قبولهما للطهارة، وهكذا اللّحم إذا نجست مرقته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اللّحم الذي وقع فيها شيء من الخمر وهي تغلي بالقدر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غسل الإناء من الخمر ثلاثاً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30330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إلى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النزهة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تطهير الأرض والشّمس</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في الجواهر إلى الحدائق أنّه قائل بعدم الخلاف،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مع اختلاف يسير في الألفاظ</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مرسلان، وقد أرسلهما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طريقي إلى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وأشكل عليها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المطهّرات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ماسحاً أو ممسوحاً أو متماسحين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واشترط بعض الأصحاب طهارتها لأنّ النّجس لا يطهّر غيره وجفافها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حسن، نعم لا يقدح الرطوبة اليسيرة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الشهيد في محكي حواشيه على القواعد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مصباح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المياه وأحكامها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أصابته النّار فلا باس بأكله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أكلت النّار ما فيه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بأس بأكل ذلك الخبز إذا أصابته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الصادق عليه السلام أكلت النّار ما فيه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المياه وأحكامها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وتطهّر النّار ما أحالته رماداً أو دخاناً، لا فحماً وآجراً وخزفاً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السبزواري الخراساني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31904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انقلاب الخمر خَلّاً، و ج </w:t>
      </w:r>
      <w:r>
        <w:rPr>
          <w:rFonts w:eastAsia="IRNazanin" w:cs="IRNazanin"/>
          <w:b w:val="false"/>
          <w:bCs w:val="false"/>
          <w:i w:val="false"/>
          <w:iCs w:val="false"/>
          <w:color w:val="333333"/>
          <w:sz w:val="20"/>
          <w:szCs w:val="20"/>
        </w:rPr>
        <w:t>76/178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الخمر وانقلابها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خَلّ الخمر ما فسد، ولا تأكلوا ما أفسدتموه أنتم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11/295</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يطهر الكافر بإسلامه إجماعاً، ولو كان عن ردّة فطريّة على الأشبه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البيان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والإسلام بدن الكافر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الخامس في سائر المطهّرات، وهي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وهو مطهّر لنجاسة الكافر ضرورة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يطهر الكافر بإسلامه إجماعاً، ولو كان عن ردّة فطريّة على الأشبه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المهذّب للقاضي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والإسلام مطهّر لبدن المسلم من نجاسة الكفر وما يتّصل به من شعر ونحوه لالغيره كثيابه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ومن بحكمه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 عشر من جملة المطهّرات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عن ردة فطريّة ففيه إشكال، والأظهر الطهارة للزوم التكليف بما لا يُطاق لولاه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28301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الحكيم إلى صاحب الجواهر، راجع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المطهّرات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عين النجاسة أو المتنجّس عن جسد الحيوان غير الإنسان، بأيّ وجهٍ كان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6/301</w:t>
      </w:r>
      <w:r>
        <w:rPr>
          <w:rFonts w:ascii="IRNazanin" w:hAnsi="IRNazanin" w:eastAsia="IRNazanin"/>
          <w:b w:val="false"/>
          <w:b w:val="false"/>
          <w:bCs w:val="false"/>
          <w:i w:val="false"/>
          <w:i w:val="false"/>
          <w:iCs w:val="false"/>
          <w:color w:val="333333"/>
          <w:sz w:val="20"/>
          <w:sz w:val="20"/>
          <w:szCs w:val="20"/>
          <w:rtl w:val="true"/>
        </w:rPr>
        <w:t>، وهو الظاهر من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الاسئار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نجس العين ونجس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الأعيان لا تكون نجسة لأنّها عبارة عن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ظاهر مذهب الأصحاب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الأسآر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ومفتاح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والحكم مختصّ بالبدن دون غيره من الثياب وأمثالها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الماء إذا ولغ فيه الكلب</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الحبل المتين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يتيمّم به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الرسائل العشر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حكاها السيّد الحكيم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المحقّق دعوى الإجماع إلى الشيخ، راجع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والنفليّة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إزالة النجاسات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30413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30414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والأواني والجلود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حيث نقل عن صاحب الحدائق أنّ جماعة من الأصحاب قائلين بحرمة الأكل والشرب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6/330</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 حكموا بصحّة الوضوء من آنية الذّهب والفضّة من غير خلافٍ يُعرف فيه بينهم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ضرورة عدم الفرق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الأكل والشرب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غيرهما من أنواع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والإناء معروفٌ‌، وجمعه آنية، وجمع الآنية الأواني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الإناء والآنية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والأوعية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للراغب الأصفهاني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والإناء ما يوضع فيه الشيء، وجمعه آنية نحو كساءوأكسية، والأواني جمع الجمع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استعمال أواني الذّهب والفضّة للأكل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30411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الأواني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أواني الذّهب والفضّة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الطهارة هي الأشهر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استعمال أواني المشركين من أهل الذمّة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إجماع الفرقة، وطريقة الاحتياط تقتضي تنجيسها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جعفر بن محمّد عليه السلام عن الثّوب يعمله أهل الكتاب، اُصلّي فيه قبل أن يُغسل‌؟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وأن يُغسل أحبُّ إليّ‌</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اَلْمُشْرِكُونَ نَجَسٌ‌</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تأكلوا في آنيتهم ولا من طعامهم الذين يطبخون، ولا في آنيتهم الذين يشربون فيها الخمر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66359</Words>
  <Characters>299782</Characters>
  <CharactersWithSpaces>362732</CharactersWithSpaces>
  <Paragraphs>3806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2026-08-22T07:47:15Z</dcterms:created>
  <dc:creator>ghaemiyeh.com</dc:creator>
  <dc:description/>
  <dc:language>en-US</dc:language>
  <cp:lastModifiedBy/>
  <dcterms:modified xsi:type="dcterms:W3CDTF">2026-08-22T11:17:30Z</dcterms:modified>
  <cp:revision>1</cp:revision>
  <dc:subject/>
  <dc:title>فقه الصادق علیه السلام جلد 5</dc:title>
</cp:coreProperties>
</file>

<file path=docProps/custom.xml><?xml version="1.0" encoding="utf-8"?>
<Properties xmlns="http://schemas.openxmlformats.org/officeDocument/2006/custom-properties" xmlns:vt="http://schemas.openxmlformats.org/officeDocument/2006/docPropsVTypes"/>
</file>