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43413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643415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643417_73709187">
            <w:r>
              <w:rPr>
                <w:webHidden/>
                <w:rStyle w:val="IndexLink"/>
                <w:rtl w:val="true"/>
              </w:rPr>
              <w:t>شکر و ثناء</w:t>
            </w:r>
            <w:r>
              <w:rPr>
                <w:rStyle w:val="IndexLink"/>
                <w:rtl w:val="true"/>
              </w:rPr>
              <w:tab/>
            </w:r>
            <w:r>
              <w:rPr>
                <w:rStyle w:val="IndexLink"/>
              </w:rPr>
              <w:t>17</w:t>
            </w:r>
          </w:hyperlink>
        </w:p>
        <w:p>
          <w:pPr>
            <w:pStyle w:val="Contents2"/>
            <w:tabs>
              <w:tab w:val="clear" w:pos="8743"/>
              <w:tab w:val="right" w:pos="9026" w:leader="dot"/>
            </w:tabs>
            <w:rPr/>
          </w:pPr>
          <w:hyperlink w:anchor="__RefHeading___Toc9643419_73709187">
            <w:r>
              <w:rPr>
                <w:webHidden/>
                <w:rStyle w:val="IndexLink"/>
                <w:rtl w:val="true"/>
              </w:rPr>
              <w:t>الفصل الثانی</w:t>
            </w:r>
            <w:r>
              <w:rPr>
                <w:rStyle w:val="IndexLink"/>
                <w:rtl w:val="true"/>
              </w:rPr>
              <w:t xml:space="preserve">: </w:t>
            </w:r>
            <w:r>
              <w:rPr>
                <w:rStyle w:val="IndexLink"/>
                <w:rtl w:val="true"/>
              </w:rPr>
              <w:t>صوم الصبیّ و فیه مباحث</w:t>
            </w:r>
            <w:r>
              <w:rPr>
                <w:rStyle w:val="IndexLink"/>
                <w:rtl w:val="true"/>
              </w:rPr>
              <w:tab/>
            </w:r>
            <w:r>
              <w:rPr>
                <w:rStyle w:val="IndexLink"/>
              </w:rPr>
              <w:t>19</w:t>
            </w:r>
          </w:hyperlink>
        </w:p>
        <w:p>
          <w:pPr>
            <w:pStyle w:val="Contents3"/>
            <w:tabs>
              <w:tab w:val="clear" w:pos="8459"/>
              <w:tab w:val="right" w:pos="9026" w:leader="dot"/>
            </w:tabs>
            <w:rPr/>
          </w:pPr>
          <w:hyperlink w:anchor="__RefHeading___Toc9643421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9643423_73709187">
            <w:r>
              <w:rPr>
                <w:webHidden/>
                <w:rStyle w:val="IndexLink"/>
                <w:rtl w:val="true"/>
              </w:rPr>
              <w:t>المبحث الأوّل</w:t>
            </w:r>
            <w:r>
              <w:rPr>
                <w:rStyle w:val="IndexLink"/>
                <w:rtl w:val="true"/>
              </w:rPr>
              <w:t xml:space="preserve">: </w:t>
            </w:r>
            <w:r>
              <w:rPr>
                <w:rStyle w:val="IndexLink"/>
                <w:rtl w:val="true"/>
              </w:rPr>
              <w:t>مشروعیّة صوم الصبیّ</w:t>
            </w:r>
            <w:r>
              <w:rPr>
                <w:rStyle w:val="IndexLink"/>
                <w:rtl w:val="true"/>
              </w:rPr>
              <w:tab/>
            </w:r>
            <w:r>
              <w:rPr>
                <w:rStyle w:val="IndexLink"/>
              </w:rPr>
              <w:t>20</w:t>
            </w:r>
          </w:hyperlink>
        </w:p>
        <w:p>
          <w:pPr>
            <w:pStyle w:val="Contents4"/>
            <w:tabs>
              <w:tab w:val="clear" w:pos="8176"/>
              <w:tab w:val="right" w:pos="9026" w:leader="dot"/>
            </w:tabs>
            <w:rPr/>
          </w:pPr>
          <w:hyperlink w:anchor="__RefHeading___Toc9643425_73709187">
            <w:r>
              <w:rPr>
                <w:webHidden/>
                <w:rStyle w:val="IndexLink"/>
                <w:rtl w:val="true"/>
              </w:rPr>
              <w:t>تمهید</w:t>
            </w:r>
            <w:r>
              <w:rPr>
                <w:rStyle w:val="IndexLink"/>
                <w:rtl w:val="true"/>
              </w:rPr>
              <w:tab/>
            </w:r>
            <w:r>
              <w:rPr>
                <w:rStyle w:val="IndexLink"/>
              </w:rPr>
              <w:t>20</w:t>
            </w:r>
          </w:hyperlink>
        </w:p>
        <w:p>
          <w:pPr>
            <w:pStyle w:val="Contents4"/>
            <w:tabs>
              <w:tab w:val="clear" w:pos="8176"/>
              <w:tab w:val="right" w:pos="9026" w:leader="dot"/>
            </w:tabs>
            <w:rPr/>
          </w:pPr>
          <w:hyperlink w:anchor="__RefHeading___Toc9643427_73709187">
            <w:r>
              <w:rPr>
                <w:webHidden/>
                <w:rStyle w:val="IndexLink"/>
                <w:rtl w:val="true"/>
              </w:rPr>
              <w:t>أدلّة مشروعیّة صوم الصبیّ</w:t>
            </w:r>
            <w:r>
              <w:rPr>
                <w:rStyle w:val="IndexLink"/>
                <w:rtl w:val="true"/>
              </w:rPr>
              <w:tab/>
            </w:r>
            <w:r>
              <w:rPr>
                <w:rStyle w:val="IndexLink"/>
              </w:rPr>
              <w:t>21</w:t>
            </w:r>
          </w:hyperlink>
        </w:p>
        <w:p>
          <w:pPr>
            <w:pStyle w:val="Contents5"/>
            <w:tabs>
              <w:tab w:val="clear" w:pos="7892"/>
              <w:tab w:val="right" w:pos="9026" w:leader="dot"/>
            </w:tabs>
            <w:rPr/>
          </w:pPr>
          <w:hyperlink w:anchor="__RefHeading___Toc9643429_7370918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9643431_73709187">
            <w:r>
              <w:rPr>
                <w:webHidden/>
                <w:rStyle w:val="IndexLink"/>
                <w:rtl w:val="true"/>
              </w:rPr>
              <w:t>الاولی</w:t>
            </w:r>
            <w:r>
              <w:rPr>
                <w:rStyle w:val="IndexLink"/>
                <w:rtl w:val="true"/>
              </w:rPr>
              <w:t xml:space="preserve">: </w:t>
            </w:r>
            <w:r>
              <w:rPr>
                <w:rStyle w:val="IndexLink"/>
                <w:rtl w:val="true"/>
              </w:rPr>
              <w:t>ما تدلّ علی استحباب الصوم للصبیّ</w:t>
            </w:r>
            <w:r>
              <w:rPr>
                <w:rStyle w:val="IndexLink"/>
                <w:rtl w:val="true"/>
              </w:rPr>
              <w:tab/>
            </w:r>
            <w:r>
              <w:rPr>
                <w:rStyle w:val="IndexLink"/>
              </w:rPr>
              <w:t>22</w:t>
            </w:r>
          </w:hyperlink>
        </w:p>
        <w:p>
          <w:pPr>
            <w:pStyle w:val="Contents5"/>
            <w:tabs>
              <w:tab w:val="clear" w:pos="7892"/>
              <w:tab w:val="right" w:pos="9026" w:leader="dot"/>
            </w:tabs>
            <w:rPr/>
          </w:pPr>
          <w:hyperlink w:anchor="__RefHeading___Toc9643433_73709187">
            <w:r>
              <w:rPr>
                <w:webHidden/>
                <w:rStyle w:val="IndexLink"/>
                <w:rtl w:val="true"/>
              </w:rPr>
              <w:t>الطائفة الثانیة</w:t>
            </w:r>
            <w:r>
              <w:rPr>
                <w:rStyle w:val="IndexLink"/>
                <w:rtl w:val="true"/>
              </w:rPr>
              <w:t xml:space="preserve">: </w:t>
            </w:r>
            <w:r>
              <w:rPr>
                <w:rStyle w:val="IndexLink"/>
                <w:rtl w:val="true"/>
              </w:rPr>
              <w:t>ما تدلّ علی جواز أخذ الصبیّ بالصّوم</w:t>
            </w:r>
            <w:r>
              <w:rPr>
                <w:rStyle w:val="IndexLink"/>
                <w:rtl w:val="true"/>
              </w:rPr>
              <w:tab/>
            </w:r>
            <w:r>
              <w:rPr>
                <w:rStyle w:val="IndexLink"/>
              </w:rPr>
              <w:t>24</w:t>
            </w:r>
          </w:hyperlink>
        </w:p>
        <w:p>
          <w:pPr>
            <w:pStyle w:val="Contents5"/>
            <w:tabs>
              <w:tab w:val="clear" w:pos="7892"/>
              <w:tab w:val="right" w:pos="9026" w:leader="dot"/>
            </w:tabs>
            <w:rPr/>
          </w:pPr>
          <w:hyperlink w:anchor="__RefHeading___Toc9643435_73709187">
            <w:r>
              <w:rPr>
                <w:webHidden/>
                <w:rStyle w:val="IndexLink"/>
                <w:rtl w:val="true"/>
              </w:rPr>
              <w:t>الطائفة الثالثة</w:t>
            </w:r>
            <w:r>
              <w:rPr>
                <w:rStyle w:val="IndexLink"/>
                <w:rtl w:val="true"/>
              </w:rPr>
              <w:t xml:space="preserve">: </w:t>
            </w:r>
            <w:r>
              <w:rPr>
                <w:rStyle w:val="IndexLink"/>
                <w:rtl w:val="true"/>
              </w:rPr>
              <w:t>ما تدلّ علی أمر الولیّ الصبیّ بالصوم</w:t>
            </w:r>
            <w:r>
              <w:rPr>
                <w:rStyle w:val="IndexLink"/>
                <w:rtl w:val="true"/>
              </w:rPr>
              <w:tab/>
            </w:r>
            <w:r>
              <w:rPr>
                <w:rStyle w:val="IndexLink"/>
              </w:rPr>
              <w:t>25</w:t>
            </w:r>
          </w:hyperlink>
        </w:p>
        <w:p>
          <w:pPr>
            <w:pStyle w:val="Contents5"/>
            <w:tabs>
              <w:tab w:val="clear" w:pos="7892"/>
              <w:tab w:val="right" w:pos="9026" w:leader="dot"/>
            </w:tabs>
            <w:rPr/>
          </w:pPr>
          <w:hyperlink w:anchor="__RefHeading___Toc9643437_73709187">
            <w:r>
              <w:rPr>
                <w:webHidden/>
                <w:rStyle w:val="IndexLink"/>
                <w:rtl w:val="true"/>
              </w:rPr>
              <w:t>الطائفة الرابعة</w:t>
            </w:r>
            <w:r>
              <w:rPr>
                <w:rStyle w:val="IndexLink"/>
                <w:rtl w:val="true"/>
              </w:rPr>
              <w:t xml:space="preserve">: </w:t>
            </w:r>
            <w:r>
              <w:rPr>
                <w:rStyle w:val="IndexLink"/>
                <w:rtl w:val="true"/>
              </w:rPr>
              <w:t>ما تدلّ علی مطلوبیّة الصوم مطلقا</w:t>
            </w:r>
            <w:r>
              <w:rPr>
                <w:rStyle w:val="IndexLink"/>
                <w:rtl w:val="true"/>
              </w:rPr>
              <w:tab/>
            </w:r>
            <w:r>
              <w:rPr>
                <w:rStyle w:val="IndexLink"/>
              </w:rPr>
              <w:t>26</w:t>
            </w:r>
          </w:hyperlink>
        </w:p>
        <w:p>
          <w:pPr>
            <w:pStyle w:val="Contents5"/>
            <w:tabs>
              <w:tab w:val="clear" w:pos="7892"/>
              <w:tab w:val="right" w:pos="9026" w:leader="dot"/>
            </w:tabs>
            <w:rPr/>
          </w:pPr>
          <w:hyperlink w:anchor="__RefHeading___Toc9643439_73709187">
            <w:r>
              <w:rPr>
                <w:webHidden/>
                <w:rStyle w:val="IndexLink"/>
                <w:rtl w:val="true"/>
              </w:rPr>
              <w:t>الطائفة الخامسة</w:t>
            </w:r>
            <w:r>
              <w:rPr>
                <w:rStyle w:val="IndexLink"/>
                <w:rtl w:val="true"/>
              </w:rPr>
              <w:t xml:space="preserve">: </w:t>
            </w:r>
            <w:r>
              <w:rPr>
                <w:rStyle w:val="IndexLink"/>
                <w:rtl w:val="true"/>
              </w:rPr>
              <w:t>ما ورد فی بیان علّة الصوم</w:t>
            </w:r>
            <w:r>
              <w:rPr>
                <w:rStyle w:val="IndexLink"/>
                <w:rtl w:val="true"/>
              </w:rPr>
              <w:tab/>
            </w:r>
            <w:r>
              <w:rPr>
                <w:rStyle w:val="IndexLink"/>
              </w:rPr>
              <w:t>27</w:t>
            </w:r>
          </w:hyperlink>
        </w:p>
        <w:p>
          <w:pPr>
            <w:pStyle w:val="Contents4"/>
            <w:tabs>
              <w:tab w:val="clear" w:pos="8176"/>
              <w:tab w:val="right" w:pos="9026" w:leader="dot"/>
            </w:tabs>
            <w:rPr/>
          </w:pPr>
          <w:hyperlink w:anchor="__RefHeading___Toc9643441_73709187">
            <w:r>
              <w:rPr>
                <w:webHidden/>
                <w:rStyle w:val="IndexLink"/>
                <w:rtl w:val="true"/>
              </w:rPr>
              <w:t>صوم الصبیّ للتمرین فقط</w:t>
            </w:r>
            <w:r>
              <w:rPr>
                <w:rStyle w:val="IndexLink"/>
                <w:rtl w:val="true"/>
              </w:rPr>
              <w:tab/>
            </w:r>
            <w:r>
              <w:rPr>
                <w:rStyle w:val="IndexLink"/>
              </w:rPr>
              <w:t>28</w:t>
            </w:r>
          </w:hyperlink>
        </w:p>
        <w:p>
          <w:pPr>
            <w:pStyle w:val="Contents4"/>
            <w:tabs>
              <w:tab w:val="clear" w:pos="8176"/>
              <w:tab w:val="right" w:pos="9026" w:leader="dot"/>
            </w:tabs>
            <w:rPr/>
          </w:pPr>
          <w:hyperlink w:anchor="__RefHeading___Toc9643443_73709187">
            <w:r>
              <w:rPr>
                <w:webHidden/>
                <w:rStyle w:val="IndexLink"/>
                <w:rtl w:val="true"/>
              </w:rPr>
              <w:t>أحکام صوم الصبیّ</w:t>
            </w:r>
            <w:r>
              <w:rPr>
                <w:rStyle w:val="IndexLink"/>
                <w:rtl w:val="true"/>
              </w:rPr>
              <w:tab/>
            </w:r>
            <w:r>
              <w:rPr>
                <w:rStyle w:val="IndexLink"/>
              </w:rPr>
              <w:t>29</w:t>
            </w:r>
          </w:hyperlink>
        </w:p>
        <w:p>
          <w:pPr>
            <w:pStyle w:val="Contents4"/>
            <w:tabs>
              <w:tab w:val="clear" w:pos="8176"/>
              <w:tab w:val="right" w:pos="9026" w:leader="dot"/>
            </w:tabs>
            <w:rPr/>
          </w:pPr>
          <w:hyperlink w:anchor="__RefHeading___Toc9643445_73709187">
            <w:r>
              <w:rPr>
                <w:webHidden/>
                <w:rStyle w:val="IndexLink"/>
                <w:rtl w:val="true"/>
              </w:rPr>
              <w:t>نیّة صوم الصبیّ</w:t>
            </w:r>
            <w:r>
              <w:rPr>
                <w:rStyle w:val="IndexLink"/>
                <w:rtl w:val="true"/>
              </w:rPr>
              <w:tab/>
            </w:r>
            <w:r>
              <w:rPr>
                <w:rStyle w:val="IndexLink"/>
              </w:rPr>
              <w:t>31</w:t>
            </w:r>
          </w:hyperlink>
        </w:p>
        <w:p>
          <w:pPr>
            <w:pStyle w:val="Contents5"/>
            <w:tabs>
              <w:tab w:val="clear" w:pos="7892"/>
              <w:tab w:val="right" w:pos="9026" w:leader="dot"/>
            </w:tabs>
            <w:rPr/>
          </w:pPr>
          <w:hyperlink w:anchor="__RefHeading___Toc9643447_7370918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9643449_73709187">
            <w:r>
              <w:rPr>
                <w:webHidden/>
                <w:rStyle w:val="IndexLink"/>
                <w:rtl w:val="true"/>
              </w:rPr>
              <w:t>فرع</w:t>
            </w:r>
            <w:r>
              <w:rPr>
                <w:rStyle w:val="IndexLink"/>
                <w:rtl w:val="true"/>
              </w:rPr>
              <w:tab/>
            </w:r>
            <w:r>
              <w:rPr>
                <w:rStyle w:val="IndexLink"/>
              </w:rPr>
              <w:t>33</w:t>
            </w:r>
          </w:hyperlink>
        </w:p>
        <w:p>
          <w:pPr>
            <w:pStyle w:val="Contents4"/>
            <w:tabs>
              <w:tab w:val="clear" w:pos="8176"/>
              <w:tab w:val="right" w:pos="9026" w:leader="dot"/>
            </w:tabs>
            <w:rPr/>
          </w:pPr>
          <w:hyperlink w:anchor="__RefHeading___Toc9643451_73709187">
            <w:r>
              <w:rPr>
                <w:webHidden/>
                <w:rStyle w:val="IndexLink"/>
                <w:rtl w:val="true"/>
              </w:rPr>
              <w:t>آراء أهل السنّة فی مشروعیّة صوم الصبیّ</w:t>
            </w:r>
            <w:r>
              <w:rPr>
                <w:rStyle w:val="IndexLink"/>
                <w:rtl w:val="true"/>
              </w:rPr>
              <w:tab/>
            </w:r>
            <w:r>
              <w:rPr>
                <w:rStyle w:val="IndexLink"/>
              </w:rPr>
              <w:t>35</w:t>
            </w:r>
          </w:hyperlink>
        </w:p>
        <w:p>
          <w:pPr>
            <w:pStyle w:val="Contents3"/>
            <w:tabs>
              <w:tab w:val="clear" w:pos="8459"/>
              <w:tab w:val="right" w:pos="9026" w:leader="dot"/>
            </w:tabs>
            <w:rPr/>
          </w:pPr>
          <w:hyperlink w:anchor="__RefHeading___Toc9643453_73709187">
            <w:r>
              <w:rPr>
                <w:webHidden/>
                <w:rStyle w:val="IndexLink"/>
                <w:rtl w:val="true"/>
              </w:rPr>
              <w:t>المبحث الثانی</w:t>
            </w:r>
            <w:r>
              <w:rPr>
                <w:rStyle w:val="IndexLink"/>
                <w:rtl w:val="true"/>
              </w:rPr>
              <w:t xml:space="preserve">: </w:t>
            </w:r>
            <w:r>
              <w:rPr>
                <w:rStyle w:val="IndexLink"/>
                <w:rtl w:val="true"/>
              </w:rPr>
              <w:t>تمرین الصبیّ علی الصیام و مؤاخذته علیه</w:t>
            </w:r>
            <w:r>
              <w:rPr>
                <w:rStyle w:val="IndexLink"/>
                <w:rtl w:val="true"/>
              </w:rPr>
              <w:tab/>
            </w:r>
            <w:r>
              <w:rPr>
                <w:rStyle w:val="IndexLink"/>
              </w:rPr>
              <w:t>37</w:t>
            </w:r>
          </w:hyperlink>
        </w:p>
        <w:p>
          <w:pPr>
            <w:pStyle w:val="Contents4"/>
            <w:tabs>
              <w:tab w:val="clear" w:pos="8176"/>
              <w:tab w:val="right" w:pos="9026" w:leader="dot"/>
            </w:tabs>
            <w:rPr/>
          </w:pPr>
          <w:hyperlink w:anchor="__RefHeading___Toc9643455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9643457_73709187">
            <w:r>
              <w:rPr>
                <w:webHidden/>
                <w:rStyle w:val="IndexLink"/>
                <w:rtl w:val="true"/>
              </w:rPr>
              <w:t>مبدأ التمرین و المؤاخذة</w:t>
            </w:r>
            <w:r>
              <w:rPr>
                <w:rStyle w:val="IndexLink"/>
                <w:rtl w:val="true"/>
              </w:rPr>
              <w:tab/>
            </w:r>
            <w:r>
              <w:rPr>
                <w:rStyle w:val="IndexLink"/>
              </w:rPr>
              <w:t>39</w:t>
            </w:r>
          </w:hyperlink>
        </w:p>
        <w:p>
          <w:pPr>
            <w:pStyle w:val="Contents5"/>
            <w:tabs>
              <w:tab w:val="clear" w:pos="7892"/>
              <w:tab w:val="right" w:pos="9026" w:leader="dot"/>
            </w:tabs>
            <w:rPr/>
          </w:pPr>
          <w:hyperlink w:anchor="__RefHeading___Toc9643459_7370918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9643461_73709187">
            <w:r>
              <w:rPr>
                <w:webHidden/>
                <w:rStyle w:val="IndexLink"/>
                <w:rtl w:val="true"/>
              </w:rPr>
              <w:t>التحقیق فی المسألة</w:t>
            </w:r>
            <w:r>
              <w:rPr>
                <w:rStyle w:val="IndexLink"/>
                <w:rtl w:val="true"/>
              </w:rPr>
              <w:tab/>
            </w:r>
            <w:r>
              <w:rPr>
                <w:rStyle w:val="IndexLink"/>
              </w:rPr>
              <w:t>43</w:t>
            </w:r>
          </w:hyperlink>
        </w:p>
        <w:p>
          <w:pPr>
            <w:pStyle w:val="Contents4"/>
            <w:tabs>
              <w:tab w:val="clear" w:pos="8176"/>
              <w:tab w:val="right" w:pos="9026" w:leader="dot"/>
            </w:tabs>
            <w:rPr/>
          </w:pPr>
          <w:hyperlink w:anchor="__RefHeading___Toc9643463_73709187">
            <w:r>
              <w:rPr>
                <w:webHidden/>
                <w:rStyle w:val="IndexLink"/>
                <w:rtl w:val="true"/>
              </w:rPr>
              <w:t>اشتراک الصبیّ و الصبیّة فی الحکم</w:t>
            </w:r>
            <w:r>
              <w:rPr>
                <w:rStyle w:val="IndexLink"/>
                <w:rtl w:val="true"/>
              </w:rPr>
              <w:tab/>
            </w:r>
            <w:r>
              <w:rPr>
                <w:rStyle w:val="IndexLink"/>
              </w:rPr>
              <w:t>45</w:t>
            </w:r>
          </w:hyperlink>
        </w:p>
        <w:p>
          <w:pPr>
            <w:pStyle w:val="Contents4"/>
            <w:tabs>
              <w:tab w:val="clear" w:pos="8176"/>
              <w:tab w:val="right" w:pos="9026" w:leader="dot"/>
            </w:tabs>
            <w:rPr/>
          </w:pPr>
          <w:hyperlink w:anchor="__RefHeading___Toc9643465_73709187">
            <w:r>
              <w:rPr>
                <w:webHidden/>
                <w:rStyle w:val="IndexLink"/>
                <w:rtl w:val="true"/>
              </w:rPr>
              <w:t>آراء أهل السنّة فی تمرین الصبیّ علی الصیام و مؤاخذته علیه</w:t>
            </w:r>
            <w:r>
              <w:rPr>
                <w:rStyle w:val="IndexLink"/>
                <w:rtl w:val="true"/>
              </w:rPr>
              <w:tab/>
            </w:r>
            <w:r>
              <w:rPr>
                <w:rStyle w:val="IndexLink"/>
              </w:rPr>
              <w:t>46</w:t>
            </w:r>
          </w:hyperlink>
        </w:p>
        <w:p>
          <w:pPr>
            <w:pStyle w:val="Contents5"/>
            <w:tabs>
              <w:tab w:val="clear" w:pos="7892"/>
              <w:tab w:val="right" w:pos="9026" w:leader="dot"/>
            </w:tabs>
            <w:rPr/>
          </w:pPr>
          <w:hyperlink w:anchor="__RefHeading___Toc9643467_7370918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9643469_73709187">
            <w:r>
              <w:rPr>
                <w:webHidden/>
                <w:rStyle w:val="IndexLink"/>
                <w:rtl w:val="true"/>
              </w:rPr>
              <w:t xml:space="preserve">أ </w:t>
            </w:r>
            <w:r>
              <w:rPr>
                <w:rStyle w:val="IndexLink"/>
                <w:rtl w:val="true"/>
              </w:rPr>
              <w:t xml:space="preserve">- </w:t>
            </w:r>
            <w:r>
              <w:rPr>
                <w:rStyle w:val="IndexLink"/>
                <w:rtl w:val="true"/>
              </w:rPr>
              <w:t>الشافعیّة</w:t>
            </w:r>
            <w:r>
              <w:rPr>
                <w:rStyle w:val="IndexLink"/>
                <w:rtl w:val="true"/>
              </w:rPr>
              <w:tab/>
            </w:r>
            <w:r>
              <w:rPr>
                <w:rStyle w:val="IndexLink"/>
              </w:rPr>
              <w:t>47</w:t>
            </w:r>
          </w:hyperlink>
        </w:p>
        <w:p>
          <w:pPr>
            <w:pStyle w:val="Contents5"/>
            <w:tabs>
              <w:tab w:val="clear" w:pos="7892"/>
              <w:tab w:val="right" w:pos="9026" w:leader="dot"/>
            </w:tabs>
            <w:rPr/>
          </w:pPr>
          <w:hyperlink w:anchor="__RefHeading___Toc9643471_73709187">
            <w:r>
              <w:rPr>
                <w:webHidden/>
                <w:rStyle w:val="IndexLink"/>
                <w:rtl w:val="true"/>
              </w:rPr>
              <w:t xml:space="preserve">ب </w:t>
            </w:r>
            <w:r>
              <w:rPr>
                <w:rStyle w:val="IndexLink"/>
                <w:rtl w:val="true"/>
              </w:rPr>
              <w:t xml:space="preserve">- </w:t>
            </w:r>
            <w:r>
              <w:rPr>
                <w:rStyle w:val="IndexLink"/>
                <w:rtl w:val="true"/>
              </w:rPr>
              <w:t>الحنابلة</w:t>
            </w:r>
            <w:r>
              <w:rPr>
                <w:rStyle w:val="IndexLink"/>
                <w:rtl w:val="true"/>
              </w:rPr>
              <w:tab/>
            </w:r>
            <w:r>
              <w:rPr>
                <w:rStyle w:val="IndexLink"/>
              </w:rPr>
              <w:t>47</w:t>
            </w:r>
          </w:hyperlink>
        </w:p>
        <w:p>
          <w:pPr>
            <w:pStyle w:val="Contents5"/>
            <w:tabs>
              <w:tab w:val="clear" w:pos="7892"/>
              <w:tab w:val="right" w:pos="9026" w:leader="dot"/>
            </w:tabs>
            <w:rPr/>
          </w:pPr>
          <w:hyperlink w:anchor="__RefHeading___Toc9643473_73709187">
            <w:r>
              <w:rPr>
                <w:webHidden/>
                <w:rStyle w:val="IndexLink"/>
                <w:rtl w:val="true"/>
              </w:rPr>
              <w:t xml:space="preserve">ج </w:t>
            </w:r>
            <w:r>
              <w:rPr>
                <w:rStyle w:val="IndexLink"/>
                <w:rtl w:val="true"/>
              </w:rPr>
              <w:t xml:space="preserve">- </w:t>
            </w:r>
            <w:r>
              <w:rPr>
                <w:rStyle w:val="IndexLink"/>
                <w:rtl w:val="true"/>
              </w:rPr>
              <w:t>الحنفیّة</w:t>
            </w:r>
            <w:r>
              <w:rPr>
                <w:rStyle w:val="IndexLink"/>
                <w:rtl w:val="true"/>
              </w:rPr>
              <w:tab/>
            </w:r>
            <w:r>
              <w:rPr>
                <w:rStyle w:val="IndexLink"/>
              </w:rPr>
              <w:t>48</w:t>
            </w:r>
          </w:hyperlink>
        </w:p>
        <w:p>
          <w:pPr>
            <w:pStyle w:val="Contents3"/>
            <w:tabs>
              <w:tab w:val="clear" w:pos="8459"/>
              <w:tab w:val="right" w:pos="9026" w:leader="dot"/>
            </w:tabs>
            <w:rPr/>
          </w:pPr>
          <w:hyperlink w:anchor="__RefHeading___Toc9643475_73709187">
            <w:r>
              <w:rPr>
                <w:webHidden/>
                <w:rStyle w:val="IndexLink"/>
                <w:rtl w:val="true"/>
              </w:rPr>
              <w:t>المبحث الثالث</w:t>
            </w:r>
            <w:r>
              <w:rPr>
                <w:rStyle w:val="IndexLink"/>
                <w:rtl w:val="true"/>
              </w:rPr>
              <w:t xml:space="preserve">: </w:t>
            </w:r>
            <w:r>
              <w:rPr>
                <w:rStyle w:val="IndexLink"/>
                <w:rtl w:val="true"/>
              </w:rPr>
              <w:t>بلوغ الصبیّ فی شهر رمضان</w:t>
            </w:r>
            <w:r>
              <w:rPr>
                <w:rStyle w:val="IndexLink"/>
                <w:rtl w:val="true"/>
              </w:rPr>
              <w:tab/>
            </w:r>
            <w:r>
              <w:rPr>
                <w:rStyle w:val="IndexLink"/>
              </w:rPr>
              <w:t>50</w:t>
            </w:r>
          </w:hyperlink>
        </w:p>
        <w:p>
          <w:pPr>
            <w:pStyle w:val="Contents4"/>
            <w:tabs>
              <w:tab w:val="clear" w:pos="8176"/>
              <w:tab w:val="right" w:pos="9026" w:leader="dot"/>
            </w:tabs>
            <w:rPr/>
          </w:pPr>
          <w:hyperlink w:anchor="__RefHeading___Toc9643477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9643479_73709187">
            <w:r>
              <w:rPr>
                <w:webHidden/>
                <w:rStyle w:val="IndexLink"/>
                <w:rtl w:val="true"/>
              </w:rPr>
              <w:t>الاولی</w:t>
            </w:r>
            <w:r>
              <w:rPr>
                <w:rStyle w:val="IndexLink"/>
                <w:rtl w:val="true"/>
              </w:rPr>
              <w:t xml:space="preserve">: </w:t>
            </w:r>
            <w:r>
              <w:rPr>
                <w:rStyle w:val="IndexLink"/>
                <w:rtl w:val="true"/>
              </w:rPr>
              <w:t>بلوغ الصبیّ قبل الفجر مع التمکّن من الطهارة</w:t>
            </w:r>
            <w:r>
              <w:rPr>
                <w:rStyle w:val="IndexLink"/>
                <w:rtl w:val="true"/>
              </w:rPr>
              <w:tab/>
            </w:r>
            <w:r>
              <w:rPr>
                <w:rStyle w:val="IndexLink"/>
              </w:rPr>
              <w:t>50</w:t>
            </w:r>
          </w:hyperlink>
        </w:p>
        <w:p>
          <w:pPr>
            <w:pStyle w:val="Contents4"/>
            <w:tabs>
              <w:tab w:val="clear" w:pos="8176"/>
              <w:tab w:val="right" w:pos="9026" w:leader="dot"/>
            </w:tabs>
            <w:rPr/>
          </w:pPr>
          <w:hyperlink w:anchor="__RefHeading___Toc9643481_73709187">
            <w:r>
              <w:rPr>
                <w:webHidden/>
                <w:rStyle w:val="IndexLink"/>
                <w:rtl w:val="true"/>
              </w:rPr>
              <w:t>الصورة الثانیة</w:t>
            </w:r>
            <w:r>
              <w:rPr>
                <w:rStyle w:val="IndexLink"/>
                <w:rtl w:val="true"/>
              </w:rPr>
              <w:t xml:space="preserve">: </w:t>
            </w:r>
            <w:r>
              <w:rPr>
                <w:rStyle w:val="IndexLink"/>
                <w:rtl w:val="true"/>
              </w:rPr>
              <w:t>الصورة نفسها مع عدم التمکّن من الطهارة</w:t>
            </w:r>
            <w:r>
              <w:rPr>
                <w:rStyle w:val="IndexLink"/>
                <w:rtl w:val="true"/>
              </w:rPr>
              <w:tab/>
            </w:r>
            <w:r>
              <w:rPr>
                <w:rStyle w:val="IndexLink"/>
              </w:rPr>
              <w:t>51</w:t>
            </w:r>
          </w:hyperlink>
        </w:p>
        <w:p>
          <w:pPr>
            <w:pStyle w:val="Contents4"/>
            <w:tabs>
              <w:tab w:val="clear" w:pos="8176"/>
              <w:tab w:val="right" w:pos="9026" w:leader="dot"/>
            </w:tabs>
            <w:rPr/>
          </w:pPr>
          <w:hyperlink w:anchor="__RefHeading___Toc9643483_73709187">
            <w:r>
              <w:rPr>
                <w:webHidden/>
                <w:rStyle w:val="IndexLink"/>
                <w:rtl w:val="true"/>
              </w:rPr>
              <w:t>الصورة الثالثة</w:t>
            </w:r>
            <w:r>
              <w:rPr>
                <w:rStyle w:val="IndexLink"/>
                <w:rtl w:val="true"/>
              </w:rPr>
              <w:t xml:space="preserve">: </w:t>
            </w:r>
            <w:r>
              <w:rPr>
                <w:rStyle w:val="IndexLink"/>
                <w:rtl w:val="true"/>
              </w:rPr>
              <w:t>بلوغ الصبیّ بعد الزوال</w:t>
            </w:r>
            <w:r>
              <w:rPr>
                <w:rStyle w:val="IndexLink"/>
                <w:rtl w:val="true"/>
              </w:rPr>
              <w:tab/>
            </w:r>
            <w:r>
              <w:rPr>
                <w:rStyle w:val="IndexLink"/>
              </w:rPr>
              <w:t>53</w:t>
            </w:r>
          </w:hyperlink>
        </w:p>
        <w:p>
          <w:pPr>
            <w:pStyle w:val="Contents4"/>
            <w:tabs>
              <w:tab w:val="clear" w:pos="8176"/>
              <w:tab w:val="right" w:pos="9026" w:leader="dot"/>
            </w:tabs>
            <w:rPr/>
          </w:pPr>
          <w:hyperlink w:anchor="__RefHeading___Toc9643485_73709187">
            <w:r>
              <w:rPr>
                <w:webHidden/>
                <w:rStyle w:val="IndexLink"/>
                <w:rtl w:val="true"/>
              </w:rPr>
              <w:t>الصورة الرابعة</w:t>
            </w:r>
            <w:r>
              <w:rPr>
                <w:rStyle w:val="IndexLink"/>
                <w:rtl w:val="true"/>
              </w:rPr>
              <w:t xml:space="preserve">: </w:t>
            </w:r>
            <w:r>
              <w:rPr>
                <w:rStyle w:val="IndexLink"/>
                <w:rtl w:val="true"/>
              </w:rPr>
              <w:t>بلوغ الصبیّ قبل الزوال</w:t>
            </w:r>
            <w:r>
              <w:rPr>
                <w:rStyle w:val="IndexLink"/>
                <w:rtl w:val="true"/>
              </w:rPr>
              <w:tab/>
            </w:r>
            <w:r>
              <w:rPr>
                <w:rStyle w:val="IndexLink"/>
              </w:rPr>
              <w:t>54</w:t>
            </w:r>
          </w:hyperlink>
        </w:p>
        <w:p>
          <w:pPr>
            <w:pStyle w:val="Contents4"/>
            <w:tabs>
              <w:tab w:val="clear" w:pos="8176"/>
              <w:tab w:val="right" w:pos="9026" w:leader="dot"/>
            </w:tabs>
            <w:rPr/>
          </w:pPr>
          <w:hyperlink w:anchor="__RefHeading___Toc9643487_73709187">
            <w:r>
              <w:rPr>
                <w:webHidden/>
                <w:rStyle w:val="IndexLink"/>
                <w:rtl w:val="true"/>
              </w:rPr>
              <w:t>الصورة الخامسة</w:t>
            </w:r>
            <w:r>
              <w:rPr>
                <w:rStyle w:val="IndexLink"/>
                <w:rtl w:val="true"/>
              </w:rPr>
              <w:t xml:space="preserve">: </w:t>
            </w:r>
            <w:r>
              <w:rPr>
                <w:rStyle w:val="IndexLink"/>
                <w:rtl w:val="true"/>
              </w:rPr>
              <w:t>ما إذا لم یتناول شیئا و لم یکن ناویا للصوم أیضا</w:t>
            </w:r>
            <w:r>
              <w:rPr>
                <w:rStyle w:val="IndexLink"/>
                <w:rtl w:val="true"/>
              </w:rPr>
              <w:tab/>
            </w:r>
            <w:r>
              <w:rPr>
                <w:rStyle w:val="IndexLink"/>
              </w:rPr>
              <w:t>59</w:t>
            </w:r>
          </w:hyperlink>
        </w:p>
        <w:p>
          <w:pPr>
            <w:pStyle w:val="Contents5"/>
            <w:tabs>
              <w:tab w:val="clear" w:pos="7892"/>
              <w:tab w:val="right" w:pos="9026" w:leader="dot"/>
            </w:tabs>
            <w:rPr/>
          </w:pPr>
          <w:hyperlink w:anchor="__RefHeading___Toc9643489_7370918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9643491_73709187">
            <w:r>
              <w:rPr>
                <w:webHidden/>
                <w:rStyle w:val="IndexLink"/>
                <w:rtl w:val="true"/>
              </w:rPr>
              <w:t>تتمیم</w:t>
            </w:r>
            <w:r>
              <w:rPr>
                <w:rStyle w:val="IndexLink"/>
                <w:rtl w:val="true"/>
              </w:rPr>
              <w:t xml:space="preserve">: </w:t>
            </w:r>
            <w:r>
              <w:rPr>
                <w:rStyle w:val="IndexLink"/>
                <w:rtl w:val="true"/>
              </w:rPr>
              <w:t>لو بلغ الصبیّ بعد الفجر</w:t>
            </w:r>
            <w:r>
              <w:rPr>
                <w:rStyle w:val="IndexLink"/>
                <w:rtl w:val="true"/>
              </w:rPr>
              <w:tab/>
            </w:r>
            <w:r>
              <w:rPr>
                <w:rStyle w:val="IndexLink"/>
              </w:rPr>
              <w:t>60</w:t>
            </w:r>
          </w:hyperlink>
        </w:p>
        <w:p>
          <w:pPr>
            <w:pStyle w:val="Contents4"/>
            <w:tabs>
              <w:tab w:val="clear" w:pos="8176"/>
              <w:tab w:val="right" w:pos="9026" w:leader="dot"/>
            </w:tabs>
            <w:rPr/>
          </w:pPr>
          <w:hyperlink w:anchor="__RefHeading___Toc9643493_73709187">
            <w:r>
              <w:rPr>
                <w:webHidden/>
                <w:rStyle w:val="IndexLink"/>
                <w:rtl w:val="true"/>
              </w:rPr>
              <w:t>حکم بلوغ الصبیّ أثناء النهار عند أهل السنّة</w:t>
            </w:r>
            <w:r>
              <w:rPr>
                <w:rStyle w:val="IndexLink"/>
                <w:rtl w:val="true"/>
              </w:rPr>
              <w:tab/>
            </w:r>
            <w:r>
              <w:rPr>
                <w:rStyle w:val="IndexLink"/>
              </w:rPr>
              <w:t>60</w:t>
            </w:r>
          </w:hyperlink>
        </w:p>
        <w:p>
          <w:pPr>
            <w:pStyle w:val="Contents5"/>
            <w:tabs>
              <w:tab w:val="clear" w:pos="7892"/>
              <w:tab w:val="right" w:pos="9026" w:leader="dot"/>
            </w:tabs>
            <w:rPr/>
          </w:pPr>
          <w:hyperlink w:anchor="__RefHeading___Toc9643495_7370918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9643497_73709187">
            <w:r>
              <w:rPr>
                <w:webHidden/>
                <w:rStyle w:val="IndexLink"/>
                <w:rtl w:val="true"/>
              </w:rPr>
              <w:t>إیضاح</w:t>
            </w:r>
            <w:r>
              <w:rPr>
                <w:rStyle w:val="IndexLink"/>
                <w:rtl w:val="true"/>
              </w:rPr>
              <w:tab/>
            </w:r>
            <w:r>
              <w:rPr>
                <w:rStyle w:val="IndexLink"/>
              </w:rPr>
              <w:t>65</w:t>
            </w:r>
          </w:hyperlink>
        </w:p>
        <w:p>
          <w:pPr>
            <w:pStyle w:val="Contents5"/>
            <w:tabs>
              <w:tab w:val="clear" w:pos="7892"/>
              <w:tab w:val="right" w:pos="9026" w:leader="dot"/>
            </w:tabs>
            <w:rPr/>
          </w:pPr>
          <w:hyperlink w:anchor="__RefHeading___Toc9643499_73709187">
            <w:r>
              <w:rPr>
                <w:webHidden/>
                <w:rStyle w:val="IndexLink"/>
                <w:rtl w:val="true"/>
              </w:rPr>
              <w:t>فرعان</w:t>
            </w:r>
            <w:r>
              <w:rPr>
                <w:rStyle w:val="IndexLink"/>
                <w:rtl w:val="true"/>
              </w:rPr>
              <w:tab/>
            </w:r>
            <w:r>
              <w:rPr>
                <w:rStyle w:val="IndexLink"/>
              </w:rPr>
              <w:t>65</w:t>
            </w:r>
          </w:hyperlink>
        </w:p>
        <w:p>
          <w:pPr>
            <w:pStyle w:val="Contents5"/>
            <w:tabs>
              <w:tab w:val="clear" w:pos="7892"/>
              <w:tab w:val="right" w:pos="9026" w:leader="dot"/>
            </w:tabs>
            <w:rPr/>
          </w:pPr>
          <w:hyperlink w:anchor="__RefHeading___Toc9643501_73709187">
            <w:r>
              <w:rPr>
                <w:webHidden/>
                <w:rStyle w:val="IndexLink"/>
                <w:rtl w:val="true"/>
              </w:rPr>
              <w:t>إیضاح</w:t>
            </w:r>
            <w:r>
              <w:rPr>
                <w:rStyle w:val="IndexLink"/>
                <w:rtl w:val="true"/>
              </w:rPr>
              <w:tab/>
            </w:r>
            <w:r>
              <w:rPr>
                <w:rStyle w:val="IndexLink"/>
              </w:rPr>
              <w:t>65</w:t>
            </w:r>
          </w:hyperlink>
        </w:p>
        <w:p>
          <w:pPr>
            <w:pStyle w:val="Contents3"/>
            <w:tabs>
              <w:tab w:val="clear" w:pos="8459"/>
              <w:tab w:val="right" w:pos="9026" w:leader="dot"/>
            </w:tabs>
            <w:rPr/>
          </w:pPr>
          <w:hyperlink w:anchor="__RefHeading___Toc9643503_73709187">
            <w:r>
              <w:rPr>
                <w:webHidden/>
                <w:rStyle w:val="IndexLink"/>
                <w:rtl w:val="true"/>
              </w:rPr>
              <w:t>المبحث الرابع</w:t>
            </w:r>
            <w:r>
              <w:rPr>
                <w:rStyle w:val="IndexLink"/>
                <w:rtl w:val="true"/>
              </w:rPr>
              <w:t xml:space="preserve">: </w:t>
            </w:r>
            <w:r>
              <w:rPr>
                <w:rStyle w:val="IndexLink"/>
                <w:rtl w:val="true"/>
              </w:rPr>
              <w:t>اعتکاف الصبیّ</w:t>
            </w:r>
            <w:r>
              <w:rPr>
                <w:rStyle w:val="IndexLink"/>
                <w:rtl w:val="true"/>
              </w:rPr>
              <w:tab/>
            </w:r>
            <w:r>
              <w:rPr>
                <w:rStyle w:val="IndexLink"/>
              </w:rPr>
              <w:t>66</w:t>
            </w:r>
          </w:hyperlink>
        </w:p>
        <w:p>
          <w:pPr>
            <w:pStyle w:val="Contents4"/>
            <w:tabs>
              <w:tab w:val="clear" w:pos="8176"/>
              <w:tab w:val="right" w:pos="9026" w:leader="dot"/>
            </w:tabs>
            <w:rPr/>
          </w:pPr>
          <w:hyperlink w:anchor="__RefHeading___Toc9643505_7370918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9643507_73709187">
            <w:r>
              <w:rPr>
                <w:webHidden/>
                <w:rStyle w:val="IndexLink"/>
                <w:rtl w:val="true"/>
              </w:rPr>
              <w:t>هل یصحّ الاعتکاف من الصبیّ الممیّز أم لا؟</w:t>
            </w:r>
            <w:r>
              <w:rPr>
                <w:rStyle w:val="IndexLink"/>
                <w:rtl w:val="true"/>
              </w:rPr>
              <w:tab/>
            </w:r>
            <w:r>
              <w:rPr>
                <w:rStyle w:val="IndexLink"/>
              </w:rPr>
              <w:t>67</w:t>
            </w:r>
          </w:hyperlink>
        </w:p>
        <w:p>
          <w:pPr>
            <w:pStyle w:val="Contents5"/>
            <w:tabs>
              <w:tab w:val="clear" w:pos="7892"/>
              <w:tab w:val="right" w:pos="9026" w:leader="dot"/>
            </w:tabs>
            <w:rPr/>
          </w:pPr>
          <w:hyperlink w:anchor="__RefHeading___Toc9643509_73709187">
            <w:r>
              <w:rPr>
                <w:webHidden/>
                <w:rStyle w:val="IndexLink"/>
                <w:rtl w:val="true"/>
              </w:rPr>
              <w:t>الأوّل</w:t>
            </w:r>
            <w:r>
              <w:rPr>
                <w:rStyle w:val="IndexLink"/>
                <w:rtl w:val="true"/>
              </w:rPr>
              <w:t xml:space="preserve">: </w:t>
            </w:r>
            <w:r>
              <w:rPr>
                <w:rStyle w:val="IndexLink"/>
                <w:rtl w:val="true"/>
              </w:rPr>
              <w:t>عدم الصحّة</w:t>
            </w:r>
            <w:r>
              <w:rPr>
                <w:rStyle w:val="IndexLink"/>
                <w:rtl w:val="true"/>
              </w:rPr>
              <w:tab/>
            </w:r>
            <w:r>
              <w:rPr>
                <w:rStyle w:val="IndexLink"/>
              </w:rPr>
              <w:t>67</w:t>
            </w:r>
          </w:hyperlink>
        </w:p>
        <w:p>
          <w:pPr>
            <w:pStyle w:val="Contents5"/>
            <w:tabs>
              <w:tab w:val="clear" w:pos="7892"/>
              <w:tab w:val="right" w:pos="9026" w:leader="dot"/>
            </w:tabs>
            <w:rPr/>
          </w:pPr>
          <w:hyperlink w:anchor="__RefHeading___Toc9643511_73709187">
            <w:r>
              <w:rPr>
                <w:webHidden/>
                <w:rStyle w:val="IndexLink"/>
                <w:rtl w:val="true"/>
              </w:rPr>
              <w:t>القول الثانی</w:t>
            </w:r>
            <w:r>
              <w:rPr>
                <w:rStyle w:val="IndexLink"/>
                <w:rtl w:val="true"/>
              </w:rPr>
              <w:t xml:space="preserve">: </w:t>
            </w:r>
            <w:r>
              <w:rPr>
                <w:rStyle w:val="IndexLink"/>
                <w:rtl w:val="true"/>
              </w:rPr>
              <w:t>صحّته تمرینا</w:t>
            </w:r>
            <w:r>
              <w:rPr>
                <w:rStyle w:val="IndexLink"/>
                <w:rtl w:val="true"/>
              </w:rPr>
              <w:tab/>
            </w:r>
            <w:r>
              <w:rPr>
                <w:rStyle w:val="IndexLink"/>
              </w:rPr>
              <w:t>68</w:t>
            </w:r>
          </w:hyperlink>
        </w:p>
        <w:p>
          <w:pPr>
            <w:pStyle w:val="Contents5"/>
            <w:tabs>
              <w:tab w:val="clear" w:pos="7892"/>
              <w:tab w:val="right" w:pos="9026" w:leader="dot"/>
            </w:tabs>
            <w:rPr/>
          </w:pPr>
          <w:hyperlink w:anchor="__RefHeading___Toc9643513_73709187">
            <w:r>
              <w:rPr>
                <w:webHidden/>
                <w:rStyle w:val="IndexLink"/>
                <w:rtl w:val="true"/>
              </w:rPr>
              <w:t>القول الثالث</w:t>
            </w:r>
            <w:r>
              <w:rPr>
                <w:rStyle w:val="IndexLink"/>
                <w:rtl w:val="true"/>
              </w:rPr>
              <w:t xml:space="preserve">: </w:t>
            </w:r>
            <w:r>
              <w:rPr>
                <w:rStyle w:val="IndexLink"/>
                <w:rtl w:val="true"/>
              </w:rPr>
              <w:t>صحّة اعتکاف الصبیّ و مشروعیّته</w:t>
            </w:r>
            <w:r>
              <w:rPr>
                <w:rStyle w:val="IndexLink"/>
                <w:rtl w:val="true"/>
              </w:rPr>
              <w:tab/>
            </w:r>
            <w:r>
              <w:rPr>
                <w:rStyle w:val="IndexLink"/>
              </w:rPr>
              <w:t>69</w:t>
            </w:r>
          </w:hyperlink>
        </w:p>
        <w:p>
          <w:pPr>
            <w:pStyle w:val="Contents4"/>
            <w:tabs>
              <w:tab w:val="clear" w:pos="8176"/>
              <w:tab w:val="right" w:pos="9026" w:leader="dot"/>
            </w:tabs>
            <w:rPr/>
          </w:pPr>
          <w:hyperlink w:anchor="__RefHeading___Toc9643515_73709187">
            <w:r>
              <w:rPr>
                <w:webHidden/>
                <w:rStyle w:val="IndexLink"/>
                <w:rtl w:val="true"/>
              </w:rPr>
              <w:t>إتمام الاعتکاف فی الیوم الثالث</w:t>
            </w:r>
            <w:r>
              <w:rPr>
                <w:rStyle w:val="IndexLink"/>
                <w:rtl w:val="true"/>
              </w:rPr>
              <w:tab/>
            </w:r>
            <w:r>
              <w:rPr>
                <w:rStyle w:val="IndexLink"/>
              </w:rPr>
              <w:t>71</w:t>
            </w:r>
          </w:hyperlink>
        </w:p>
        <w:p>
          <w:pPr>
            <w:pStyle w:val="Contents4"/>
            <w:tabs>
              <w:tab w:val="clear" w:pos="8176"/>
              <w:tab w:val="right" w:pos="9026" w:leader="dot"/>
            </w:tabs>
            <w:rPr/>
          </w:pPr>
          <w:hyperlink w:anchor="__RefHeading___Toc9643517_73709187">
            <w:r>
              <w:rPr>
                <w:webHidden/>
                <w:rStyle w:val="IndexLink"/>
                <w:rtl w:val="true"/>
              </w:rPr>
              <w:t>محرّمات الاعتکاف بالنسبة إلی الصبیّ</w:t>
            </w:r>
            <w:r>
              <w:rPr>
                <w:rStyle w:val="IndexLink"/>
                <w:rtl w:val="true"/>
              </w:rPr>
              <w:tab/>
            </w:r>
            <w:r>
              <w:rPr>
                <w:rStyle w:val="IndexLink"/>
              </w:rPr>
              <w:t>72</w:t>
            </w:r>
          </w:hyperlink>
        </w:p>
        <w:p>
          <w:pPr>
            <w:pStyle w:val="Contents4"/>
            <w:tabs>
              <w:tab w:val="clear" w:pos="8176"/>
              <w:tab w:val="right" w:pos="9026" w:leader="dot"/>
            </w:tabs>
            <w:rPr/>
          </w:pPr>
          <w:hyperlink w:anchor="__RefHeading___Toc9643519_73709187">
            <w:r>
              <w:rPr>
                <w:webHidden/>
                <w:rStyle w:val="IndexLink"/>
                <w:rtl w:val="true"/>
              </w:rPr>
              <w:t>آراء أهل السنّة فی اعتکاف الصبیّ</w:t>
            </w:r>
            <w:r>
              <w:rPr>
                <w:rStyle w:val="IndexLink"/>
                <w:rtl w:val="true"/>
              </w:rPr>
              <w:tab/>
            </w:r>
            <w:r>
              <w:rPr>
                <w:rStyle w:val="IndexLink"/>
              </w:rPr>
              <w:t>75</w:t>
            </w:r>
          </w:hyperlink>
        </w:p>
        <w:p>
          <w:pPr>
            <w:pStyle w:val="Contents2"/>
            <w:tabs>
              <w:tab w:val="clear" w:pos="8743"/>
              <w:tab w:val="right" w:pos="9026" w:leader="dot"/>
            </w:tabs>
            <w:rPr/>
          </w:pPr>
          <w:hyperlink w:anchor="__RefHeading___Toc9643521_73709187">
            <w:r>
              <w:rPr>
                <w:webHidden/>
                <w:rStyle w:val="IndexLink"/>
                <w:rtl w:val="true"/>
              </w:rPr>
              <w:t>الفصل الثالث</w:t>
            </w:r>
            <w:r>
              <w:rPr>
                <w:rStyle w:val="IndexLink"/>
                <w:rtl w:val="true"/>
              </w:rPr>
              <w:t xml:space="preserve">: </w:t>
            </w:r>
            <w:r>
              <w:rPr>
                <w:rStyle w:val="IndexLink"/>
                <w:rtl w:val="true"/>
              </w:rPr>
              <w:t>زکاة أموال الصبیّ</w:t>
            </w:r>
            <w:r>
              <w:rPr>
                <w:rStyle w:val="IndexLink"/>
                <w:rtl w:val="true"/>
              </w:rPr>
              <w:tab/>
            </w:r>
            <w:r>
              <w:rPr>
                <w:rStyle w:val="IndexLink"/>
              </w:rPr>
              <w:t>77</w:t>
            </w:r>
          </w:hyperlink>
        </w:p>
        <w:p>
          <w:pPr>
            <w:pStyle w:val="Contents3"/>
            <w:tabs>
              <w:tab w:val="clear" w:pos="8459"/>
              <w:tab w:val="right" w:pos="9026" w:leader="dot"/>
            </w:tabs>
            <w:rPr/>
          </w:pPr>
          <w:hyperlink w:anchor="__RefHeading___Toc9643523_73709187">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9643525_73709187">
            <w:r>
              <w:rPr>
                <w:webHidden/>
                <w:rStyle w:val="IndexLink"/>
                <w:rtl w:val="true"/>
              </w:rPr>
              <w:t>تمهید فی معنی الزکاة</w:t>
            </w:r>
            <w:r>
              <w:rPr>
                <w:rStyle w:val="IndexLink"/>
                <w:rtl w:val="true"/>
              </w:rPr>
              <w:tab/>
            </w:r>
            <w:r>
              <w:rPr>
                <w:rStyle w:val="IndexLink"/>
              </w:rPr>
              <w:t>78</w:t>
            </w:r>
          </w:hyperlink>
        </w:p>
        <w:p>
          <w:pPr>
            <w:pStyle w:val="Contents3"/>
            <w:tabs>
              <w:tab w:val="clear" w:pos="8459"/>
              <w:tab w:val="right" w:pos="9026" w:leader="dot"/>
            </w:tabs>
            <w:rPr/>
          </w:pPr>
          <w:hyperlink w:anchor="__RefHeading___Toc9643527_73709187">
            <w:r>
              <w:rPr>
                <w:webHidden/>
                <w:rStyle w:val="IndexLink"/>
                <w:rtl w:val="true"/>
              </w:rPr>
              <w:t>المبحث الأوّل</w:t>
            </w:r>
            <w:r>
              <w:rPr>
                <w:rStyle w:val="IndexLink"/>
                <w:rtl w:val="true"/>
              </w:rPr>
              <w:t xml:space="preserve">: </w:t>
            </w:r>
            <w:r>
              <w:rPr>
                <w:rStyle w:val="IndexLink"/>
                <w:rtl w:val="true"/>
              </w:rPr>
              <w:t>زکاة أموال الأطفال</w:t>
            </w:r>
            <w:r>
              <w:rPr>
                <w:rStyle w:val="IndexLink"/>
                <w:rtl w:val="true"/>
              </w:rPr>
              <w:tab/>
            </w:r>
            <w:r>
              <w:rPr>
                <w:rStyle w:val="IndexLink"/>
              </w:rPr>
              <w:t>80</w:t>
            </w:r>
          </w:hyperlink>
        </w:p>
        <w:p>
          <w:pPr>
            <w:pStyle w:val="Contents4"/>
            <w:tabs>
              <w:tab w:val="clear" w:pos="8176"/>
              <w:tab w:val="right" w:pos="9026" w:leader="dot"/>
            </w:tabs>
            <w:rPr/>
          </w:pPr>
          <w:hyperlink w:anchor="__RefHeading___Toc9643529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9643531_73709187">
            <w:r>
              <w:rPr>
                <w:webHidden/>
                <w:rStyle w:val="IndexLink"/>
                <w:rtl w:val="true"/>
              </w:rPr>
              <w:t>المطلب الأوّل</w:t>
            </w:r>
            <w:r>
              <w:rPr>
                <w:rStyle w:val="IndexLink"/>
                <w:rtl w:val="true"/>
              </w:rPr>
              <w:t xml:space="preserve">: </w:t>
            </w:r>
            <w:r>
              <w:rPr>
                <w:rStyle w:val="IndexLink"/>
                <w:rtl w:val="true"/>
              </w:rPr>
              <w:t>زکاة أموال الأطفال الصامتة</w:t>
            </w:r>
            <w:r>
              <w:rPr>
                <w:rStyle w:val="IndexLink"/>
                <w:rtl w:val="true"/>
              </w:rPr>
              <w:tab/>
            </w:r>
            <w:r>
              <w:rPr>
                <w:rStyle w:val="IndexLink"/>
              </w:rPr>
              <w:t>80</w:t>
            </w:r>
          </w:hyperlink>
        </w:p>
        <w:p>
          <w:pPr>
            <w:pStyle w:val="Contents5"/>
            <w:tabs>
              <w:tab w:val="clear" w:pos="7892"/>
              <w:tab w:val="right" w:pos="9026" w:leader="dot"/>
            </w:tabs>
            <w:rPr/>
          </w:pPr>
          <w:hyperlink w:anchor="__RefHeading___Toc9643533_7370918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9643535_73709187">
            <w:r>
              <w:rPr>
                <w:webHidden/>
                <w:rStyle w:val="IndexLink"/>
                <w:rtl w:val="true"/>
              </w:rPr>
              <w:t>أدلّة عدم وجوب الزکاة فی النقدین علی الأطفال</w:t>
            </w:r>
            <w:r>
              <w:rPr>
                <w:rStyle w:val="IndexLink"/>
                <w:rtl w:val="true"/>
              </w:rPr>
              <w:tab/>
            </w:r>
            <w:r>
              <w:rPr>
                <w:rStyle w:val="IndexLink"/>
              </w:rPr>
              <w:t>82</w:t>
            </w:r>
          </w:hyperlink>
        </w:p>
        <w:p>
          <w:pPr>
            <w:pStyle w:val="Contents4"/>
            <w:tabs>
              <w:tab w:val="clear" w:pos="8176"/>
              <w:tab w:val="right" w:pos="9026" w:leader="dot"/>
            </w:tabs>
            <w:rPr/>
          </w:pPr>
          <w:hyperlink w:anchor="__RefHeading___Toc9643537_73709187">
            <w:r>
              <w:rPr>
                <w:webHidden/>
                <w:rStyle w:val="IndexLink"/>
                <w:rtl w:val="true"/>
              </w:rPr>
              <w:t>المطلب الثانی زکاة أموال الأطفال غیر الصامتة</w:t>
            </w:r>
            <w:r>
              <w:rPr>
                <w:rStyle w:val="IndexLink"/>
                <w:rtl w:val="true"/>
              </w:rPr>
              <w:tab/>
            </w:r>
            <w:r>
              <w:rPr>
                <w:rStyle w:val="IndexLink"/>
              </w:rPr>
              <w:t>86</w:t>
            </w:r>
          </w:hyperlink>
        </w:p>
        <w:p>
          <w:pPr>
            <w:pStyle w:val="Contents5"/>
            <w:tabs>
              <w:tab w:val="clear" w:pos="7892"/>
              <w:tab w:val="right" w:pos="9026" w:leader="dot"/>
            </w:tabs>
            <w:rPr/>
          </w:pPr>
          <w:hyperlink w:anchor="__RefHeading___Toc9643539_7370918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9643541_73709187">
            <w:r>
              <w:rPr>
                <w:webHidden/>
                <w:rStyle w:val="IndexLink"/>
                <w:rtl w:val="true"/>
              </w:rPr>
              <w:t>أدلّة وجوب الزکاة فی أموال الأطفال غیر الصامتة</w:t>
            </w:r>
            <w:r>
              <w:rPr>
                <w:rStyle w:val="IndexLink"/>
                <w:rtl w:val="true"/>
              </w:rPr>
              <w:tab/>
            </w:r>
            <w:r>
              <w:rPr>
                <w:rStyle w:val="IndexLink"/>
              </w:rPr>
              <w:t>87</w:t>
            </w:r>
          </w:hyperlink>
        </w:p>
        <w:p>
          <w:pPr>
            <w:pStyle w:val="Contents5"/>
            <w:tabs>
              <w:tab w:val="clear" w:pos="7892"/>
              <w:tab w:val="right" w:pos="9026" w:leader="dot"/>
            </w:tabs>
            <w:rPr/>
          </w:pPr>
          <w:hyperlink w:anchor="__RefHeading___Toc9643543_73709187">
            <w:r>
              <w:rPr>
                <w:webHidden/>
                <w:rStyle w:val="IndexLink"/>
                <w:rtl w:val="true"/>
              </w:rPr>
              <w:t>عدم وجوب الزکاة فی أموال الأطفال غیر الصامتة</w:t>
            </w:r>
            <w:r>
              <w:rPr>
                <w:rStyle w:val="IndexLink"/>
                <w:rtl w:val="true"/>
              </w:rPr>
              <w:tab/>
            </w:r>
            <w:r>
              <w:rPr>
                <w:rStyle w:val="IndexLink"/>
              </w:rPr>
              <w:t>92</w:t>
            </w:r>
          </w:hyperlink>
        </w:p>
        <w:p>
          <w:pPr>
            <w:pStyle w:val="Contents5"/>
            <w:tabs>
              <w:tab w:val="clear" w:pos="7892"/>
              <w:tab w:val="right" w:pos="9026" w:leader="dot"/>
            </w:tabs>
            <w:rPr/>
          </w:pPr>
          <w:hyperlink w:anchor="__RefHeading___Toc9643545_73709187">
            <w:r>
              <w:rPr>
                <w:webHidden/>
                <w:rStyle w:val="IndexLink"/>
                <w:rtl w:val="true"/>
              </w:rPr>
              <w:t>أدلّة عدم وجوب الزکاة فی غلاّت الأطفال و مواشیهم</w:t>
            </w:r>
            <w:r>
              <w:rPr>
                <w:rStyle w:val="IndexLink"/>
                <w:rtl w:val="true"/>
              </w:rPr>
              <w:tab/>
            </w:r>
            <w:r>
              <w:rPr>
                <w:rStyle w:val="IndexLink"/>
              </w:rPr>
              <w:t>93</w:t>
            </w:r>
          </w:hyperlink>
        </w:p>
        <w:p>
          <w:pPr>
            <w:pStyle w:val="Contents4"/>
            <w:tabs>
              <w:tab w:val="clear" w:pos="8176"/>
              <w:tab w:val="right" w:pos="9026" w:leader="dot"/>
            </w:tabs>
            <w:rPr/>
          </w:pPr>
          <w:hyperlink w:anchor="__RefHeading___Toc9643547_73709187">
            <w:r>
              <w:rPr>
                <w:webHidden/>
                <w:rStyle w:val="IndexLink"/>
                <w:rtl w:val="true"/>
              </w:rPr>
              <w:t>المطلب الثالث زکاة أموال الطفل لو بلغ فی أثناء الحول</w:t>
            </w:r>
            <w:r>
              <w:rPr>
                <w:rStyle w:val="IndexLink"/>
                <w:rtl w:val="true"/>
              </w:rPr>
              <w:tab/>
            </w:r>
            <w:r>
              <w:rPr>
                <w:rStyle w:val="IndexLink"/>
              </w:rPr>
              <w:t>98</w:t>
            </w:r>
          </w:hyperlink>
        </w:p>
        <w:p>
          <w:pPr>
            <w:pStyle w:val="Contents5"/>
            <w:tabs>
              <w:tab w:val="clear" w:pos="7892"/>
              <w:tab w:val="right" w:pos="9026" w:leader="dot"/>
            </w:tabs>
            <w:rPr/>
          </w:pPr>
          <w:hyperlink w:anchor="__RefHeading___Toc9643549_7370918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9643551_73709187">
            <w:r>
              <w:rPr>
                <w:webHidden/>
                <w:rStyle w:val="IndexLink"/>
                <w:rtl w:val="true"/>
              </w:rPr>
              <w:t>أدلّة هذا الحکم</w:t>
            </w:r>
            <w:r>
              <w:rPr>
                <w:rStyle w:val="IndexLink"/>
                <w:rtl w:val="true"/>
              </w:rPr>
              <w:tab/>
            </w:r>
            <w:r>
              <w:rPr>
                <w:rStyle w:val="IndexLink"/>
              </w:rPr>
              <w:t>99</w:t>
            </w:r>
          </w:hyperlink>
        </w:p>
        <w:p>
          <w:pPr>
            <w:pStyle w:val="Contents3"/>
            <w:tabs>
              <w:tab w:val="clear" w:pos="8459"/>
              <w:tab w:val="right" w:pos="9026" w:leader="dot"/>
            </w:tabs>
            <w:rPr/>
          </w:pPr>
          <w:hyperlink w:anchor="__RefHeading___Toc9643553_73709187">
            <w:r>
              <w:rPr>
                <w:webHidden/>
                <w:rStyle w:val="IndexLink"/>
                <w:rtl w:val="true"/>
              </w:rPr>
              <w:t>المبحث الثانی</w:t>
            </w:r>
            <w:r>
              <w:rPr>
                <w:rStyle w:val="IndexLink"/>
                <w:rtl w:val="true"/>
              </w:rPr>
              <w:t xml:space="preserve">: </w:t>
            </w:r>
            <w:r>
              <w:rPr>
                <w:rStyle w:val="IndexLink"/>
                <w:rtl w:val="true"/>
              </w:rPr>
              <w:t>استحباب الزکاة فی أموال الصغار</w:t>
            </w:r>
            <w:r>
              <w:rPr>
                <w:rStyle w:val="IndexLink"/>
                <w:rtl w:val="true"/>
              </w:rPr>
              <w:tab/>
            </w:r>
            <w:r>
              <w:rPr>
                <w:rStyle w:val="IndexLink"/>
              </w:rPr>
              <w:t>105</w:t>
            </w:r>
          </w:hyperlink>
        </w:p>
        <w:p>
          <w:pPr>
            <w:pStyle w:val="Contents4"/>
            <w:tabs>
              <w:tab w:val="clear" w:pos="8176"/>
              <w:tab w:val="right" w:pos="9026" w:leader="dot"/>
            </w:tabs>
            <w:rPr/>
          </w:pPr>
          <w:hyperlink w:anchor="__RefHeading___Toc9643555_7370918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9643557_73709187">
            <w:r>
              <w:rPr>
                <w:webHidden/>
                <w:rStyle w:val="IndexLink"/>
                <w:rtl w:val="true"/>
              </w:rPr>
              <w:t>المطلب الأوّل</w:t>
            </w:r>
            <w:r>
              <w:rPr>
                <w:rStyle w:val="IndexLink"/>
                <w:rtl w:val="true"/>
              </w:rPr>
              <w:t xml:space="preserve">: </w:t>
            </w:r>
            <w:r>
              <w:rPr>
                <w:rStyle w:val="IndexLink"/>
                <w:rtl w:val="true"/>
              </w:rPr>
              <w:t>استحباب الزکاة فی أموالهم الصامتة</w:t>
            </w:r>
            <w:r>
              <w:rPr>
                <w:rStyle w:val="IndexLink"/>
                <w:rtl w:val="true"/>
              </w:rPr>
              <w:tab/>
            </w:r>
            <w:r>
              <w:rPr>
                <w:rStyle w:val="IndexLink"/>
              </w:rPr>
              <w:t>105</w:t>
            </w:r>
          </w:hyperlink>
        </w:p>
        <w:p>
          <w:pPr>
            <w:pStyle w:val="Contents5"/>
            <w:tabs>
              <w:tab w:val="clear" w:pos="7892"/>
              <w:tab w:val="right" w:pos="9026" w:leader="dot"/>
            </w:tabs>
            <w:rPr/>
          </w:pPr>
          <w:hyperlink w:anchor="__RefHeading___Toc9643559_7370918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643561_73709187">
            <w:r>
              <w:rPr>
                <w:webHidden/>
                <w:rStyle w:val="IndexLink"/>
                <w:rtl w:val="true"/>
              </w:rPr>
              <w:t>أدلّة استحباب زکاة أموال الصغار الصامتة</w:t>
            </w:r>
            <w:r>
              <w:rPr>
                <w:rStyle w:val="IndexLink"/>
                <w:rtl w:val="true"/>
              </w:rPr>
              <w:tab/>
            </w:r>
            <w:r>
              <w:rPr>
                <w:rStyle w:val="IndexLink"/>
              </w:rPr>
              <w:t>107</w:t>
            </w:r>
          </w:hyperlink>
        </w:p>
        <w:p>
          <w:pPr>
            <w:pStyle w:val="Contents5"/>
            <w:tabs>
              <w:tab w:val="clear" w:pos="7892"/>
              <w:tab w:val="right" w:pos="9026" w:leader="dot"/>
            </w:tabs>
            <w:rPr/>
          </w:pPr>
          <w:hyperlink w:anchor="__RefHeading___Toc9643563_73709187">
            <w:r>
              <w:rPr>
                <w:webHidden/>
                <w:rStyle w:val="IndexLink"/>
                <w:rtl w:val="true"/>
              </w:rPr>
              <w:t>الجواب عمّا اختاره فی السرائر و المدارک</w:t>
            </w:r>
            <w:r>
              <w:rPr>
                <w:rStyle w:val="IndexLink"/>
                <w:rtl w:val="true"/>
              </w:rPr>
              <w:tab/>
            </w:r>
            <w:r>
              <w:rPr>
                <w:rStyle w:val="IndexLink"/>
              </w:rPr>
              <w:t>110</w:t>
            </w:r>
          </w:hyperlink>
        </w:p>
        <w:p>
          <w:pPr>
            <w:pStyle w:val="Contents5"/>
            <w:tabs>
              <w:tab w:val="clear" w:pos="7892"/>
              <w:tab w:val="right" w:pos="9026" w:leader="dot"/>
            </w:tabs>
            <w:rPr/>
          </w:pPr>
          <w:hyperlink w:anchor="__RefHeading___Toc9643565_73709187">
            <w:r>
              <w:rPr>
                <w:webHidden/>
                <w:rStyle w:val="IndexLink"/>
                <w:rtl w:val="true"/>
              </w:rPr>
              <w:t>الأقسام المتصوّرة فی التجارة و المضاربة بأموال الصغار</w:t>
            </w:r>
            <w:r>
              <w:rPr>
                <w:rStyle w:val="IndexLink"/>
                <w:rtl w:val="true"/>
              </w:rPr>
              <w:tab/>
            </w:r>
            <w:r>
              <w:rPr>
                <w:rStyle w:val="IndexLink"/>
              </w:rPr>
              <w:t>111</w:t>
            </w:r>
          </w:hyperlink>
        </w:p>
        <w:p>
          <w:pPr>
            <w:pStyle w:val="Contents6"/>
            <w:tabs>
              <w:tab w:val="clear" w:pos="7609"/>
              <w:tab w:val="right" w:pos="9026" w:leader="dot"/>
            </w:tabs>
            <w:rPr/>
          </w:pPr>
          <w:hyperlink w:anchor="__RefHeading___Toc9643567_7370918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9643569_73709187">
            <w:r>
              <w:rPr>
                <w:webHidden/>
                <w:rStyle w:val="IndexLink"/>
                <w:rtl w:val="true"/>
              </w:rPr>
              <w:t>القسم الاول</w:t>
            </w:r>
            <w:r>
              <w:rPr>
                <w:rStyle w:val="IndexLink"/>
                <w:rtl w:val="true"/>
              </w:rPr>
              <w:t xml:space="preserve">: </w:t>
            </w:r>
            <w:r>
              <w:rPr>
                <w:rStyle w:val="IndexLink"/>
                <w:rtl w:val="true"/>
              </w:rPr>
              <w:t>اتّجار الولیّ للطفل</w:t>
            </w:r>
            <w:r>
              <w:rPr>
                <w:rStyle w:val="IndexLink"/>
                <w:rtl w:val="true"/>
              </w:rPr>
              <w:tab/>
            </w:r>
            <w:r>
              <w:rPr>
                <w:rStyle w:val="IndexLink"/>
              </w:rPr>
              <w:t>111</w:t>
            </w:r>
          </w:hyperlink>
        </w:p>
        <w:p>
          <w:pPr>
            <w:pStyle w:val="Contents6"/>
            <w:tabs>
              <w:tab w:val="clear" w:pos="7609"/>
              <w:tab w:val="right" w:pos="9026" w:leader="dot"/>
            </w:tabs>
            <w:rPr/>
          </w:pPr>
          <w:hyperlink w:anchor="__RefHeading___Toc9643571_73709187">
            <w:r>
              <w:rPr>
                <w:webHidden/>
                <w:rStyle w:val="IndexLink"/>
                <w:rtl w:val="true"/>
              </w:rPr>
              <w:t>لمن الربح و علی من الخسارة؟</w:t>
            </w:r>
            <w:r>
              <w:rPr>
                <w:rStyle w:val="IndexLink"/>
                <w:rtl w:val="true"/>
              </w:rPr>
              <w:tab/>
            </w:r>
            <w:r>
              <w:rPr>
                <w:rStyle w:val="IndexLink"/>
              </w:rPr>
              <w:t>112</w:t>
            </w:r>
          </w:hyperlink>
        </w:p>
        <w:p>
          <w:pPr>
            <w:pStyle w:val="Contents6"/>
            <w:tabs>
              <w:tab w:val="clear" w:pos="7609"/>
              <w:tab w:val="right" w:pos="9026" w:leader="dot"/>
            </w:tabs>
            <w:rPr/>
          </w:pPr>
          <w:hyperlink w:anchor="__RefHeading___Toc9643573_73709187">
            <w:r>
              <w:rPr>
                <w:webHidden/>
                <w:rStyle w:val="IndexLink"/>
                <w:rtl w:val="true"/>
              </w:rPr>
              <w:t>نصوص حول الربح و الخسارة</w:t>
            </w:r>
            <w:r>
              <w:rPr>
                <w:rStyle w:val="IndexLink"/>
                <w:rtl w:val="true"/>
              </w:rPr>
              <w:tab/>
            </w:r>
            <w:r>
              <w:rPr>
                <w:rStyle w:val="IndexLink"/>
              </w:rPr>
              <w:t>113</w:t>
            </w:r>
          </w:hyperlink>
        </w:p>
        <w:p>
          <w:pPr>
            <w:pStyle w:val="Contents6"/>
            <w:tabs>
              <w:tab w:val="clear" w:pos="7609"/>
              <w:tab w:val="right" w:pos="9026" w:leader="dot"/>
            </w:tabs>
            <w:rPr/>
          </w:pPr>
          <w:hyperlink w:anchor="__RefHeading___Toc9643575_73709187">
            <w:r>
              <w:rPr>
                <w:webHidden/>
                <w:rStyle w:val="IndexLink"/>
                <w:rtl w:val="true"/>
              </w:rPr>
              <w:t xml:space="preserve">أ </w:t>
            </w:r>
            <w:r>
              <w:rPr>
                <w:rStyle w:val="IndexLink"/>
                <w:rtl w:val="true"/>
              </w:rPr>
              <w:t xml:space="preserve">- </w:t>
            </w:r>
            <w:r>
              <w:rPr>
                <w:rStyle w:val="IndexLink"/>
                <w:rtl w:val="true"/>
              </w:rPr>
              <w:t>فی التجارة</w:t>
            </w:r>
            <w:r>
              <w:rPr>
                <w:rStyle w:val="IndexLink"/>
                <w:rtl w:val="true"/>
              </w:rPr>
              <w:tab/>
            </w:r>
            <w:r>
              <w:rPr>
                <w:rStyle w:val="IndexLink"/>
              </w:rPr>
              <w:t>113</w:t>
            </w:r>
          </w:hyperlink>
        </w:p>
        <w:p>
          <w:pPr>
            <w:pStyle w:val="Contents6"/>
            <w:tabs>
              <w:tab w:val="clear" w:pos="7609"/>
              <w:tab w:val="right" w:pos="9026" w:leader="dot"/>
            </w:tabs>
            <w:rPr/>
          </w:pPr>
          <w:hyperlink w:anchor="__RefHeading___Toc9643577_73709187">
            <w:r>
              <w:rPr>
                <w:webHidden/>
                <w:rStyle w:val="IndexLink"/>
                <w:rtl w:val="true"/>
              </w:rPr>
              <w:t xml:space="preserve">ب </w:t>
            </w:r>
            <w:r>
              <w:rPr>
                <w:rStyle w:val="IndexLink"/>
                <w:rtl w:val="true"/>
              </w:rPr>
              <w:t xml:space="preserve">- </w:t>
            </w:r>
            <w:r>
              <w:rPr>
                <w:rStyle w:val="IndexLink"/>
                <w:rtl w:val="true"/>
              </w:rPr>
              <w:t>فی المضاربة</w:t>
            </w:r>
            <w:r>
              <w:rPr>
                <w:rStyle w:val="IndexLink"/>
                <w:rtl w:val="true"/>
              </w:rPr>
              <w:tab/>
            </w:r>
            <w:r>
              <w:rPr>
                <w:rStyle w:val="IndexLink"/>
              </w:rPr>
              <w:t>114</w:t>
            </w:r>
          </w:hyperlink>
        </w:p>
        <w:p>
          <w:pPr>
            <w:pStyle w:val="Contents6"/>
            <w:tabs>
              <w:tab w:val="clear" w:pos="7609"/>
              <w:tab w:val="right" w:pos="9026" w:leader="dot"/>
            </w:tabs>
            <w:rPr/>
          </w:pPr>
          <w:hyperlink w:anchor="__RefHeading___Toc9643579_73709187">
            <w:r>
              <w:rPr>
                <w:webHidden/>
                <w:rStyle w:val="IndexLink"/>
                <w:rtl w:val="true"/>
              </w:rPr>
              <w:t>القسم الثانی</w:t>
            </w:r>
            <w:r>
              <w:rPr>
                <w:rStyle w:val="IndexLink"/>
                <w:rtl w:val="true"/>
              </w:rPr>
              <w:t xml:space="preserve">: </w:t>
            </w:r>
            <w:r>
              <w:rPr>
                <w:rStyle w:val="IndexLink"/>
                <w:rtl w:val="true"/>
              </w:rPr>
              <w:t>اتّجار الولیّ بمال الطفل لنفسه</w:t>
            </w:r>
            <w:r>
              <w:rPr>
                <w:rStyle w:val="IndexLink"/>
                <w:rtl w:val="true"/>
              </w:rPr>
              <w:tab/>
            </w:r>
            <w:r>
              <w:rPr>
                <w:rStyle w:val="IndexLink"/>
              </w:rPr>
              <w:t>115</w:t>
            </w:r>
          </w:hyperlink>
        </w:p>
        <w:p>
          <w:pPr>
            <w:pStyle w:val="Contents6"/>
            <w:tabs>
              <w:tab w:val="clear" w:pos="7609"/>
              <w:tab w:val="right" w:pos="9026" w:leader="dot"/>
            </w:tabs>
            <w:rPr/>
          </w:pPr>
          <w:hyperlink w:anchor="__RefHeading___Toc9643581_73709187">
            <w:r>
              <w:rPr>
                <w:webHidden/>
                <w:rStyle w:val="IndexLink"/>
                <w:rtl w:val="true"/>
              </w:rPr>
              <w:t>القسم الثالث</w:t>
            </w:r>
            <w:r>
              <w:rPr>
                <w:rStyle w:val="IndexLink"/>
                <w:rtl w:val="true"/>
              </w:rPr>
              <w:t xml:space="preserve">: </w:t>
            </w:r>
            <w:r>
              <w:rPr>
                <w:rStyle w:val="IndexLink"/>
                <w:rtl w:val="true"/>
              </w:rPr>
              <w:t>ضمان الولیّ لمال الیتیم و اتّجاره لنفسه</w:t>
            </w:r>
            <w:r>
              <w:rPr>
                <w:rStyle w:val="IndexLink"/>
                <w:rtl w:val="true"/>
              </w:rPr>
              <w:tab/>
            </w:r>
            <w:r>
              <w:rPr>
                <w:rStyle w:val="IndexLink"/>
              </w:rPr>
              <w:t>117</w:t>
            </w:r>
          </w:hyperlink>
        </w:p>
        <w:p>
          <w:pPr>
            <w:pStyle w:val="Contents6"/>
            <w:tabs>
              <w:tab w:val="clear" w:pos="7609"/>
              <w:tab w:val="right" w:pos="9026" w:leader="dot"/>
            </w:tabs>
            <w:rPr/>
          </w:pPr>
          <w:hyperlink w:anchor="__RefHeading___Toc9643583_73709187">
            <w:r>
              <w:rPr>
                <w:webHidden/>
                <w:rStyle w:val="IndexLink"/>
                <w:rtl w:val="true"/>
              </w:rPr>
              <w:t>حکم الزکاة فی هذا القسم</w:t>
            </w:r>
            <w:r>
              <w:rPr>
                <w:rStyle w:val="IndexLink"/>
                <w:rtl w:val="true"/>
              </w:rPr>
              <w:tab/>
            </w:r>
            <w:r>
              <w:rPr>
                <w:rStyle w:val="IndexLink"/>
              </w:rPr>
              <w:t>121</w:t>
            </w:r>
          </w:hyperlink>
        </w:p>
        <w:p>
          <w:pPr>
            <w:pStyle w:val="Contents6"/>
            <w:tabs>
              <w:tab w:val="clear" w:pos="7609"/>
              <w:tab w:val="right" w:pos="9026" w:leader="dot"/>
            </w:tabs>
            <w:rPr/>
          </w:pPr>
          <w:hyperlink w:anchor="__RefHeading___Toc9643585_73709187">
            <w:r>
              <w:rPr>
                <w:webHidden/>
                <w:rStyle w:val="IndexLink"/>
                <w:rtl w:val="true"/>
              </w:rPr>
              <w:t>القسم الرابع</w:t>
            </w:r>
            <w:r>
              <w:rPr>
                <w:rStyle w:val="IndexLink"/>
                <w:rtl w:val="true"/>
              </w:rPr>
              <w:t xml:space="preserve">: </w:t>
            </w:r>
            <w:r>
              <w:rPr>
                <w:rStyle w:val="IndexLink"/>
                <w:rtl w:val="true"/>
              </w:rPr>
              <w:t>اتّجار ولیّ الطفل غیر الملیّ بماله</w:t>
            </w:r>
            <w:r>
              <w:rPr>
                <w:rStyle w:val="IndexLink"/>
                <w:rtl w:val="true"/>
              </w:rPr>
              <w:tab/>
            </w:r>
            <w:r>
              <w:rPr>
                <w:rStyle w:val="IndexLink"/>
              </w:rPr>
              <w:t>122</w:t>
            </w:r>
          </w:hyperlink>
        </w:p>
        <w:p>
          <w:pPr>
            <w:pStyle w:val="Contents6"/>
            <w:tabs>
              <w:tab w:val="clear" w:pos="7609"/>
              <w:tab w:val="right" w:pos="9026" w:leader="dot"/>
            </w:tabs>
            <w:rPr/>
          </w:pPr>
          <w:hyperlink w:anchor="__RefHeading___Toc9643587_73709187">
            <w:r>
              <w:rPr>
                <w:webHidden/>
                <w:rStyle w:val="IndexLink"/>
                <w:rtl w:val="true"/>
              </w:rPr>
              <w:t>القسم الخامس</w:t>
            </w:r>
            <w:r>
              <w:rPr>
                <w:rStyle w:val="IndexLink"/>
                <w:rtl w:val="true"/>
              </w:rPr>
              <w:t xml:space="preserve">: </w:t>
            </w:r>
            <w:r>
              <w:rPr>
                <w:rStyle w:val="IndexLink"/>
                <w:rtl w:val="true"/>
              </w:rPr>
              <w:t>اتّجار غیر الولیّ بمال الطفل للطفل</w:t>
            </w:r>
            <w:r>
              <w:rPr>
                <w:rStyle w:val="IndexLink"/>
                <w:rtl w:val="true"/>
              </w:rPr>
              <w:tab/>
            </w:r>
            <w:r>
              <w:rPr>
                <w:rStyle w:val="IndexLink"/>
              </w:rPr>
              <w:t>123</w:t>
            </w:r>
          </w:hyperlink>
        </w:p>
        <w:p>
          <w:pPr>
            <w:pStyle w:val="Contents6"/>
            <w:tabs>
              <w:tab w:val="clear" w:pos="7609"/>
              <w:tab w:val="right" w:pos="9026" w:leader="dot"/>
            </w:tabs>
            <w:rPr/>
          </w:pPr>
          <w:hyperlink w:anchor="__RefHeading___Toc9643589_73709187">
            <w:r>
              <w:rPr>
                <w:webHidden/>
                <w:rStyle w:val="IndexLink"/>
                <w:rtl w:val="true"/>
              </w:rPr>
              <w:t>القسم السادس</w:t>
            </w:r>
            <w:r>
              <w:rPr>
                <w:rStyle w:val="IndexLink"/>
                <w:rtl w:val="true"/>
              </w:rPr>
              <w:t xml:space="preserve">: </w:t>
            </w:r>
            <w:r>
              <w:rPr>
                <w:rStyle w:val="IndexLink"/>
                <w:rtl w:val="true"/>
              </w:rPr>
              <w:t>أن یکون المتّجر ملیّا غیر ولیّ و یتّجر لنفسه، فحکمه حکم القسم الثالث</w:t>
            </w:r>
            <w:r>
              <w:rPr>
                <w:rStyle w:val="IndexLink"/>
                <w:rtl w:val="true"/>
              </w:rPr>
              <w:tab/>
            </w:r>
            <w:r>
              <w:rPr>
                <w:rStyle w:val="IndexLink"/>
              </w:rPr>
              <w:t>124</w:t>
            </w:r>
          </w:hyperlink>
        </w:p>
        <w:p>
          <w:pPr>
            <w:pStyle w:val="Contents6"/>
            <w:tabs>
              <w:tab w:val="clear" w:pos="7609"/>
              <w:tab w:val="right" w:pos="9026" w:leader="dot"/>
            </w:tabs>
            <w:rPr/>
          </w:pPr>
          <w:hyperlink w:anchor="__RefHeading___Toc9643591_73709187">
            <w:r>
              <w:rPr>
                <w:webHidden/>
                <w:rStyle w:val="IndexLink"/>
                <w:rtl w:val="true"/>
              </w:rPr>
              <w:t>القسم السابع</w:t>
            </w:r>
            <w:r>
              <w:rPr>
                <w:rStyle w:val="IndexLink"/>
                <w:rtl w:val="true"/>
              </w:rPr>
              <w:t xml:space="preserve">: </w:t>
            </w:r>
            <w:r>
              <w:rPr>
                <w:rStyle w:val="IndexLink"/>
                <w:rtl w:val="true"/>
              </w:rPr>
              <w:t>أن لا یکون المتّجر ولیّا و لا ملیّا و یتّجر للطفل، فالربح للطفل کما تقدّم، و المال مضمون و لا زکاة هنا</w:t>
            </w:r>
            <w:r>
              <w:rPr>
                <w:rStyle w:val="IndexLink"/>
                <w:rtl w:val="true"/>
              </w:rPr>
              <w:tab/>
            </w:r>
            <w:r>
              <w:rPr>
                <w:rStyle w:val="IndexLink"/>
              </w:rPr>
              <w:t>124</w:t>
            </w:r>
          </w:hyperlink>
        </w:p>
        <w:p>
          <w:pPr>
            <w:pStyle w:val="Contents6"/>
            <w:tabs>
              <w:tab w:val="clear" w:pos="7609"/>
              <w:tab w:val="right" w:pos="9026" w:leader="dot"/>
            </w:tabs>
            <w:rPr/>
          </w:pPr>
          <w:hyperlink w:anchor="__RefHeading___Toc9643593_73709187">
            <w:r>
              <w:rPr>
                <w:webHidden/>
                <w:rStyle w:val="IndexLink"/>
                <w:rtl w:val="true"/>
              </w:rPr>
              <w:t>القسم الثامن</w:t>
            </w:r>
            <w:r>
              <w:rPr>
                <w:rStyle w:val="IndexLink"/>
                <w:rtl w:val="true"/>
              </w:rPr>
              <w:t xml:space="preserve">: </w:t>
            </w:r>
            <w:r>
              <w:rPr>
                <w:rStyle w:val="IndexLink"/>
                <w:rtl w:val="true"/>
              </w:rPr>
              <w:t>أن لا یکون ولیّا و لا ملیّا و یتّجر لنفسه، فحکمه حکم القسم الثالث أیضا</w:t>
            </w:r>
            <w:r>
              <w:rPr>
                <w:rStyle w:val="IndexLink"/>
                <w:rtl w:val="true"/>
              </w:rPr>
              <w:tab/>
            </w:r>
            <w:r>
              <w:rPr>
                <w:rStyle w:val="IndexLink"/>
              </w:rPr>
              <w:t>124</w:t>
            </w:r>
          </w:hyperlink>
        </w:p>
        <w:p>
          <w:pPr>
            <w:pStyle w:val="Contents6"/>
            <w:tabs>
              <w:tab w:val="clear" w:pos="7609"/>
              <w:tab w:val="right" w:pos="9026" w:leader="dot"/>
            </w:tabs>
            <w:rPr/>
          </w:pPr>
          <w:hyperlink w:anchor="__RefHeading___Toc9643595_73709187">
            <w:r>
              <w:rPr>
                <w:webHidden/>
                <w:rStyle w:val="IndexLink"/>
                <w:rtl w:val="true"/>
              </w:rPr>
              <w:t>ینبغی التنبیه علی أمرین</w:t>
            </w:r>
            <w:r>
              <w:rPr>
                <w:rStyle w:val="IndexLink"/>
                <w:rtl w:val="true"/>
              </w:rPr>
              <w:tab/>
            </w:r>
            <w:r>
              <w:rPr>
                <w:rStyle w:val="IndexLink"/>
              </w:rPr>
              <w:t>124</w:t>
            </w:r>
          </w:hyperlink>
        </w:p>
        <w:p>
          <w:pPr>
            <w:pStyle w:val="Contents6"/>
            <w:tabs>
              <w:tab w:val="clear" w:pos="7609"/>
              <w:tab w:val="right" w:pos="9026" w:leader="dot"/>
            </w:tabs>
            <w:rPr/>
          </w:pPr>
          <w:hyperlink w:anchor="__RefHeading___Toc9643597_73709187">
            <w:r>
              <w:rPr>
                <w:webHidden/>
                <w:rStyle w:val="IndexLink"/>
                <w:rtl w:val="true"/>
              </w:rPr>
              <w:t>فرع</w:t>
            </w:r>
            <w:r>
              <w:rPr>
                <w:rStyle w:val="IndexLink"/>
                <w:rtl w:val="true"/>
              </w:rPr>
              <w:t xml:space="preserve">: </w:t>
            </w:r>
            <w:r>
              <w:rPr>
                <w:rStyle w:val="IndexLink"/>
                <w:rtl w:val="true"/>
              </w:rPr>
              <w:t>لو لم یکن فی الشراء بمال الطفل ربح</w:t>
            </w:r>
            <w:r>
              <w:rPr>
                <w:rStyle w:val="IndexLink"/>
                <w:rtl w:val="true"/>
              </w:rPr>
              <w:tab/>
            </w:r>
            <w:r>
              <w:rPr>
                <w:rStyle w:val="IndexLink"/>
              </w:rPr>
              <w:t>125</w:t>
            </w:r>
          </w:hyperlink>
        </w:p>
        <w:p>
          <w:pPr>
            <w:pStyle w:val="Contents4"/>
            <w:tabs>
              <w:tab w:val="clear" w:pos="8176"/>
              <w:tab w:val="right" w:pos="9026" w:leader="dot"/>
            </w:tabs>
            <w:rPr/>
          </w:pPr>
          <w:hyperlink w:anchor="__RefHeading___Toc9643599_73709187">
            <w:r>
              <w:rPr>
                <w:webHidden/>
                <w:rStyle w:val="IndexLink"/>
                <w:rtl w:val="true"/>
              </w:rPr>
              <w:t>المطلب الثانی استحباب الزکاة فی غلاّت الصغار و مواشیهم</w:t>
            </w:r>
            <w:r>
              <w:rPr>
                <w:rStyle w:val="IndexLink"/>
                <w:rtl w:val="true"/>
              </w:rPr>
              <w:tab/>
            </w:r>
            <w:r>
              <w:rPr>
                <w:rStyle w:val="IndexLink"/>
              </w:rPr>
              <w:t>127</w:t>
            </w:r>
          </w:hyperlink>
        </w:p>
        <w:p>
          <w:pPr>
            <w:pStyle w:val="Contents5"/>
            <w:tabs>
              <w:tab w:val="clear" w:pos="7892"/>
              <w:tab w:val="right" w:pos="9026" w:leader="dot"/>
            </w:tabs>
            <w:rPr/>
          </w:pPr>
          <w:hyperlink w:anchor="__RefHeading___Toc9643601_7370918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9643603_73709187">
            <w:r>
              <w:rPr>
                <w:webHidden/>
                <w:rStyle w:val="IndexLink"/>
                <w:rtl w:val="true"/>
              </w:rPr>
              <w:t>عدم استحباب الزکاة فی غلاّت و مواشی الصغار</w:t>
            </w:r>
            <w:r>
              <w:rPr>
                <w:rStyle w:val="IndexLink"/>
                <w:rtl w:val="true"/>
              </w:rPr>
              <w:tab/>
            </w:r>
            <w:r>
              <w:rPr>
                <w:rStyle w:val="IndexLink"/>
              </w:rPr>
              <w:t>131</w:t>
            </w:r>
          </w:hyperlink>
        </w:p>
        <w:p>
          <w:pPr>
            <w:pStyle w:val="Contents5"/>
            <w:tabs>
              <w:tab w:val="clear" w:pos="7892"/>
              <w:tab w:val="right" w:pos="9026" w:leader="dot"/>
            </w:tabs>
            <w:rPr/>
          </w:pPr>
          <w:hyperlink w:anchor="__RefHeading___Toc9643605_73709187">
            <w:r>
              <w:rPr>
                <w:webHidden/>
                <w:rStyle w:val="IndexLink"/>
                <w:rtl w:val="true"/>
              </w:rPr>
              <w:t>التفصیل بین الغلاّت و المواشی</w:t>
            </w:r>
            <w:r>
              <w:rPr>
                <w:rStyle w:val="IndexLink"/>
                <w:rtl w:val="true"/>
              </w:rPr>
              <w:tab/>
            </w:r>
            <w:r>
              <w:rPr>
                <w:rStyle w:val="IndexLink"/>
              </w:rPr>
              <w:t>138</w:t>
            </w:r>
          </w:hyperlink>
        </w:p>
        <w:p>
          <w:pPr>
            <w:pStyle w:val="Contents5"/>
            <w:tabs>
              <w:tab w:val="clear" w:pos="7892"/>
              <w:tab w:val="right" w:pos="9026" w:leader="dot"/>
            </w:tabs>
            <w:rPr/>
          </w:pPr>
          <w:hyperlink w:anchor="__RefHeading___Toc9643607_73709187">
            <w:r>
              <w:rPr>
                <w:webHidden/>
                <w:rStyle w:val="IndexLink"/>
                <w:rtl w:val="true"/>
              </w:rPr>
              <w:t>و ینبغی التنبیه علی امور</w:t>
            </w:r>
            <w:r>
              <w:rPr>
                <w:rStyle w:val="IndexLink"/>
                <w:rtl w:val="true"/>
              </w:rPr>
              <w:tab/>
            </w:r>
            <w:r>
              <w:rPr>
                <w:rStyle w:val="IndexLink"/>
              </w:rPr>
              <w:t>139</w:t>
            </w:r>
          </w:hyperlink>
        </w:p>
        <w:p>
          <w:pPr>
            <w:pStyle w:val="Contents6"/>
            <w:tabs>
              <w:tab w:val="clear" w:pos="7609"/>
              <w:tab w:val="right" w:pos="9026" w:leader="dot"/>
            </w:tabs>
            <w:rPr/>
          </w:pPr>
          <w:hyperlink w:anchor="__RefHeading___Toc9643609_73709187">
            <w:r>
              <w:rPr>
                <w:webHidden/>
                <w:rStyle w:val="IndexLink"/>
                <w:rtl w:val="true"/>
              </w:rPr>
              <w:t>الأوّل حول الیتیم</w:t>
            </w:r>
            <w:r>
              <w:rPr>
                <w:rStyle w:val="IndexLink"/>
                <w:rtl w:val="true"/>
              </w:rPr>
              <w:tab/>
            </w:r>
            <w:r>
              <w:rPr>
                <w:rStyle w:val="IndexLink"/>
              </w:rPr>
              <w:t>139</w:t>
            </w:r>
          </w:hyperlink>
        </w:p>
        <w:p>
          <w:pPr>
            <w:pStyle w:val="Contents6"/>
            <w:tabs>
              <w:tab w:val="clear" w:pos="7609"/>
              <w:tab w:val="right" w:pos="9026" w:leader="dot"/>
            </w:tabs>
            <w:rPr/>
          </w:pPr>
          <w:hyperlink w:anchor="__RefHeading___Toc9643611_73709187">
            <w:r>
              <w:rPr>
                <w:webHidden/>
                <w:rStyle w:val="IndexLink"/>
                <w:rtl w:val="true"/>
              </w:rPr>
              <w:t>الأمر الثانی المراد بالطفل هو المولود المنفصل الغیر البالغ</w:t>
            </w:r>
            <w:r>
              <w:rPr>
                <w:rStyle w:val="IndexLink"/>
                <w:rtl w:val="true"/>
              </w:rPr>
              <w:tab/>
            </w:r>
            <w:r>
              <w:rPr>
                <w:rStyle w:val="IndexLink"/>
              </w:rPr>
              <w:t>140</w:t>
            </w:r>
          </w:hyperlink>
        </w:p>
        <w:p>
          <w:pPr>
            <w:pStyle w:val="Contents6"/>
            <w:tabs>
              <w:tab w:val="clear" w:pos="7609"/>
              <w:tab w:val="right" w:pos="9026" w:leader="dot"/>
            </w:tabs>
            <w:rPr/>
          </w:pPr>
          <w:hyperlink w:anchor="__RefHeading___Toc9643613_73709187">
            <w:r>
              <w:rPr>
                <w:webHidden/>
                <w:rStyle w:val="IndexLink"/>
                <w:rtl w:val="true"/>
              </w:rPr>
              <w:t>الأمر الثالث أنّ الوجوب و الاستحباب و إن نسبا إلی مال الطفل إلاّ أنّ المکلّف بالإتیان به فی الحقیقة هو الولیّ</w:t>
            </w:r>
            <w:r>
              <w:rPr>
                <w:rStyle w:val="IndexLink"/>
                <w:rtl w:val="true"/>
              </w:rPr>
              <w:tab/>
            </w:r>
            <w:r>
              <w:rPr>
                <w:rStyle w:val="IndexLink"/>
              </w:rPr>
              <w:t>141</w:t>
            </w:r>
          </w:hyperlink>
        </w:p>
        <w:p>
          <w:pPr>
            <w:pStyle w:val="Contents6"/>
            <w:tabs>
              <w:tab w:val="clear" w:pos="7609"/>
              <w:tab w:val="right" w:pos="9026" w:leader="dot"/>
            </w:tabs>
            <w:rPr/>
          </w:pPr>
          <w:hyperlink w:anchor="__RefHeading___Toc9643615_73709187">
            <w:r>
              <w:rPr>
                <w:webHidden/>
                <w:rStyle w:val="IndexLink"/>
                <w:rtl w:val="true"/>
              </w:rPr>
              <w:t>الأمر الرابع هل یجوز للولیّ أن یأخذ من الربح فی تجارة مال الیتیم أم لا؟</w:t>
            </w:r>
            <w:r>
              <w:rPr>
                <w:rStyle w:val="IndexLink"/>
                <w:rtl w:val="true"/>
              </w:rPr>
              <w:tab/>
            </w:r>
            <w:r>
              <w:rPr>
                <w:rStyle w:val="IndexLink"/>
              </w:rPr>
              <w:t>143</w:t>
            </w:r>
          </w:hyperlink>
        </w:p>
        <w:p>
          <w:pPr>
            <w:pStyle w:val="Contents6"/>
            <w:tabs>
              <w:tab w:val="clear" w:pos="7609"/>
              <w:tab w:val="right" w:pos="9026" w:leader="dot"/>
            </w:tabs>
            <w:rPr/>
          </w:pPr>
          <w:hyperlink w:anchor="__RefHeading___Toc9643617_73709187">
            <w:r>
              <w:rPr>
                <w:webHidden/>
                <w:rStyle w:val="IndexLink"/>
                <w:rtl w:val="true"/>
              </w:rPr>
              <w:t xml:space="preserve">الأمر الخامس لو لم یؤدّ الولیّ </w:t>
            </w:r>
            <w:r>
              <w:rPr>
                <w:rStyle w:val="IndexLink"/>
                <w:rtl w:val="true"/>
              </w:rPr>
              <w:t xml:space="preserve">- </w:t>
            </w:r>
            <w:r>
              <w:rPr>
                <w:rStyle w:val="IndexLink"/>
                <w:rtl w:val="true"/>
              </w:rPr>
              <w:t xml:space="preserve">الزکاة </w:t>
            </w:r>
            <w:r>
              <w:rPr>
                <w:rStyle w:val="IndexLink"/>
                <w:rtl w:val="true"/>
              </w:rPr>
              <w:t xml:space="preserve">- </w:t>
            </w:r>
            <w:r>
              <w:rPr>
                <w:rStyle w:val="IndexLink"/>
                <w:rtl w:val="true"/>
              </w:rPr>
              <w:t>إلی أن بلغ المولّی علیه فالظاهر ثبوت الاستحباب بالنسبة إلیه</w:t>
            </w:r>
            <w:r>
              <w:rPr>
                <w:rStyle w:val="IndexLink"/>
                <w:rtl w:val="true"/>
              </w:rPr>
              <w:tab/>
            </w:r>
            <w:r>
              <w:rPr>
                <w:rStyle w:val="IndexLink"/>
              </w:rPr>
              <w:t>145</w:t>
            </w:r>
          </w:hyperlink>
        </w:p>
        <w:p>
          <w:pPr>
            <w:pStyle w:val="Contents3"/>
            <w:tabs>
              <w:tab w:val="clear" w:pos="8459"/>
              <w:tab w:val="right" w:pos="9026" w:leader="dot"/>
            </w:tabs>
            <w:rPr/>
          </w:pPr>
          <w:hyperlink w:anchor="__RefHeading___Toc9643619_73709187">
            <w:r>
              <w:rPr>
                <w:webHidden/>
                <w:rStyle w:val="IndexLink"/>
                <w:rtl w:val="true"/>
              </w:rPr>
              <w:t>المبحث الثالث</w:t>
            </w:r>
            <w:r>
              <w:rPr>
                <w:rStyle w:val="IndexLink"/>
                <w:rtl w:val="true"/>
              </w:rPr>
              <w:t xml:space="preserve">: </w:t>
            </w:r>
            <w:r>
              <w:rPr>
                <w:rStyle w:val="IndexLink"/>
                <w:rtl w:val="true"/>
              </w:rPr>
              <w:t>آراء أهل السنّة فی زکاة أموال الصغار</w:t>
            </w:r>
            <w:r>
              <w:rPr>
                <w:rStyle w:val="IndexLink"/>
                <w:rtl w:val="true"/>
              </w:rPr>
              <w:tab/>
            </w:r>
            <w:r>
              <w:rPr>
                <w:rStyle w:val="IndexLink"/>
              </w:rPr>
              <w:t>147</w:t>
            </w:r>
          </w:hyperlink>
        </w:p>
        <w:p>
          <w:pPr>
            <w:pStyle w:val="Contents4"/>
            <w:tabs>
              <w:tab w:val="clear" w:pos="8176"/>
              <w:tab w:val="right" w:pos="9026" w:leader="dot"/>
            </w:tabs>
            <w:rPr/>
          </w:pPr>
          <w:hyperlink w:anchor="__RefHeading___Toc9643621_7370918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9643623_73709187">
            <w:r>
              <w:rPr>
                <w:webHidden/>
                <w:rStyle w:val="IndexLink"/>
                <w:rtl w:val="true"/>
              </w:rPr>
              <w:t>أنّ المقصود من الزکاة سدّ خلّة الفقراء من مال الأغنیاء</w:t>
            </w:r>
            <w:r>
              <w:rPr>
                <w:rStyle w:val="IndexLink"/>
                <w:rtl w:val="true"/>
              </w:rPr>
              <w:tab/>
            </w:r>
            <w:r>
              <w:rPr>
                <w:rStyle w:val="IndexLink"/>
              </w:rPr>
              <w:t>150</w:t>
            </w:r>
          </w:hyperlink>
        </w:p>
        <w:p>
          <w:pPr>
            <w:pStyle w:val="Contents5"/>
            <w:tabs>
              <w:tab w:val="clear" w:pos="7892"/>
              <w:tab w:val="right" w:pos="9026" w:leader="dot"/>
            </w:tabs>
            <w:rPr/>
          </w:pPr>
          <w:hyperlink w:anchor="__RefHeading___Toc9643625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643627_73709187">
            <w:r>
              <w:rPr>
                <w:webHidden/>
                <w:rStyle w:val="IndexLink"/>
                <w:rtl w:val="true"/>
              </w:rPr>
              <w:t>إیضاح</w:t>
            </w:r>
            <w:r>
              <w:rPr>
                <w:rStyle w:val="IndexLink"/>
                <w:rtl w:val="true"/>
              </w:rPr>
              <w:tab/>
            </w:r>
            <w:r>
              <w:rPr>
                <w:rStyle w:val="IndexLink"/>
              </w:rPr>
              <w:t>152</w:t>
            </w:r>
          </w:hyperlink>
        </w:p>
        <w:p>
          <w:pPr>
            <w:pStyle w:val="Contents3"/>
            <w:tabs>
              <w:tab w:val="clear" w:pos="8459"/>
              <w:tab w:val="right" w:pos="9026" w:leader="dot"/>
            </w:tabs>
            <w:rPr/>
          </w:pPr>
          <w:hyperlink w:anchor="__RefHeading___Toc9643629_73709187">
            <w:r>
              <w:rPr>
                <w:webHidden/>
                <w:rStyle w:val="IndexLink"/>
                <w:rtl w:val="true"/>
              </w:rPr>
              <w:t>المبحث الرابع</w:t>
            </w:r>
            <w:r>
              <w:rPr>
                <w:rStyle w:val="IndexLink"/>
                <w:rtl w:val="true"/>
              </w:rPr>
              <w:t xml:space="preserve">: </w:t>
            </w:r>
            <w:r>
              <w:rPr>
                <w:rStyle w:val="IndexLink"/>
                <w:rtl w:val="true"/>
              </w:rPr>
              <w:t>عدم وجوب زکاة الأبدان علی الصبیّ</w:t>
            </w:r>
            <w:r>
              <w:rPr>
                <w:rStyle w:val="IndexLink"/>
                <w:rtl w:val="true"/>
              </w:rPr>
              <w:tab/>
            </w:r>
            <w:r>
              <w:rPr>
                <w:rStyle w:val="IndexLink"/>
              </w:rPr>
              <w:t>154</w:t>
            </w:r>
          </w:hyperlink>
        </w:p>
        <w:p>
          <w:pPr>
            <w:pStyle w:val="Contents4"/>
            <w:tabs>
              <w:tab w:val="clear" w:pos="8176"/>
              <w:tab w:val="right" w:pos="9026" w:leader="dot"/>
            </w:tabs>
            <w:rPr/>
          </w:pPr>
          <w:hyperlink w:anchor="__RefHeading___Toc9643631_7370918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9643633_73709187">
            <w:r>
              <w:rPr>
                <w:webHidden/>
                <w:rStyle w:val="IndexLink"/>
                <w:rtl w:val="true"/>
              </w:rPr>
              <w:t>أدلّة عدم وجوب زکاة الفطرة علی الصبیّ</w:t>
            </w:r>
            <w:r>
              <w:rPr>
                <w:rStyle w:val="IndexLink"/>
                <w:rtl w:val="true"/>
              </w:rPr>
              <w:tab/>
            </w:r>
            <w:r>
              <w:rPr>
                <w:rStyle w:val="IndexLink"/>
              </w:rPr>
              <w:t>155</w:t>
            </w:r>
          </w:hyperlink>
        </w:p>
        <w:p>
          <w:pPr>
            <w:pStyle w:val="Contents5"/>
            <w:tabs>
              <w:tab w:val="clear" w:pos="7892"/>
              <w:tab w:val="right" w:pos="9026" w:leader="dot"/>
            </w:tabs>
            <w:rPr/>
          </w:pPr>
          <w:hyperlink w:anchor="__RefHeading___Toc9643635_7370918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9643637_73709187">
            <w:r>
              <w:rPr>
                <w:webHidden/>
                <w:rStyle w:val="IndexLink"/>
                <w:rtl w:val="true"/>
              </w:rPr>
              <w:t>فرع</w:t>
            </w:r>
            <w:r>
              <w:rPr>
                <w:rStyle w:val="IndexLink"/>
                <w:rtl w:val="true"/>
              </w:rPr>
              <w:tab/>
            </w:r>
            <w:r>
              <w:rPr>
                <w:rStyle w:val="IndexLink"/>
              </w:rPr>
              <w:t>157</w:t>
            </w:r>
          </w:hyperlink>
        </w:p>
        <w:p>
          <w:pPr>
            <w:pStyle w:val="Contents4"/>
            <w:tabs>
              <w:tab w:val="clear" w:pos="8176"/>
              <w:tab w:val="right" w:pos="9026" w:leader="dot"/>
            </w:tabs>
            <w:rPr/>
          </w:pPr>
          <w:hyperlink w:anchor="__RefHeading___Toc9643639_73709187">
            <w:r>
              <w:rPr>
                <w:webHidden/>
                <w:rStyle w:val="IndexLink"/>
                <w:rtl w:val="true"/>
              </w:rPr>
              <w:t>مذهب أهل السنّة فی وجوب الفطرة علی الصبیّ</w:t>
            </w:r>
            <w:r>
              <w:rPr>
                <w:rStyle w:val="IndexLink"/>
                <w:rtl w:val="true"/>
              </w:rPr>
              <w:tab/>
            </w:r>
            <w:r>
              <w:rPr>
                <w:rStyle w:val="IndexLink"/>
              </w:rPr>
              <w:t>157</w:t>
            </w:r>
          </w:hyperlink>
        </w:p>
        <w:p>
          <w:pPr>
            <w:pStyle w:val="Contents2"/>
            <w:tabs>
              <w:tab w:val="clear" w:pos="8743"/>
              <w:tab w:val="right" w:pos="9026" w:leader="dot"/>
            </w:tabs>
            <w:rPr/>
          </w:pPr>
          <w:hyperlink w:anchor="__RefHeading___Toc9643641_73709187">
            <w:r>
              <w:rPr>
                <w:webHidden/>
                <w:rStyle w:val="IndexLink"/>
                <w:rtl w:val="true"/>
              </w:rPr>
              <w:t>الفصل الرابع</w:t>
            </w:r>
            <w:r>
              <w:rPr>
                <w:rStyle w:val="IndexLink"/>
                <w:rtl w:val="true"/>
              </w:rPr>
              <w:t xml:space="preserve">: </w:t>
            </w:r>
            <w:r>
              <w:rPr>
                <w:rStyle w:val="IndexLink"/>
                <w:rtl w:val="true"/>
              </w:rPr>
              <w:t>خمس أموال الصبیّ</w:t>
            </w:r>
            <w:r>
              <w:rPr>
                <w:rStyle w:val="IndexLink"/>
                <w:rtl w:val="true"/>
              </w:rPr>
              <w:tab/>
            </w:r>
            <w:r>
              <w:rPr>
                <w:rStyle w:val="IndexLink"/>
              </w:rPr>
              <w:t>161</w:t>
            </w:r>
          </w:hyperlink>
        </w:p>
        <w:p>
          <w:pPr>
            <w:pStyle w:val="Contents3"/>
            <w:tabs>
              <w:tab w:val="clear" w:pos="8459"/>
              <w:tab w:val="right" w:pos="9026" w:leader="dot"/>
            </w:tabs>
            <w:rPr/>
          </w:pPr>
          <w:hyperlink w:anchor="__RefHeading___Toc9643643_7370918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9643645_73709187">
            <w:r>
              <w:rPr>
                <w:webHidden/>
                <w:rStyle w:val="IndexLink"/>
                <w:rtl w:val="true"/>
              </w:rPr>
              <w:t>تمهید</w:t>
            </w:r>
            <w:r>
              <w:rPr>
                <w:rStyle w:val="IndexLink"/>
                <w:rtl w:val="true"/>
              </w:rPr>
              <w:t xml:space="preserve">: </w:t>
            </w:r>
            <w:r>
              <w:rPr>
                <w:rStyle w:val="IndexLink"/>
                <w:rtl w:val="true"/>
              </w:rPr>
              <w:t>الخمس فی الاصطلاح</w:t>
            </w:r>
            <w:r>
              <w:rPr>
                <w:rStyle w:val="IndexLink"/>
                <w:rtl w:val="true"/>
              </w:rPr>
              <w:tab/>
            </w:r>
            <w:r>
              <w:rPr>
                <w:rStyle w:val="IndexLink"/>
              </w:rPr>
              <w:t>162</w:t>
            </w:r>
          </w:hyperlink>
        </w:p>
        <w:p>
          <w:pPr>
            <w:pStyle w:val="Contents3"/>
            <w:tabs>
              <w:tab w:val="clear" w:pos="8459"/>
              <w:tab w:val="right" w:pos="9026" w:leader="dot"/>
            </w:tabs>
            <w:rPr/>
          </w:pPr>
          <w:hyperlink w:anchor="__RefHeading___Toc9643647_73709187">
            <w:r>
              <w:rPr>
                <w:webHidden/>
                <w:rStyle w:val="IndexLink"/>
                <w:rtl w:val="true"/>
              </w:rPr>
              <w:t>المبحث الأوّل</w:t>
            </w:r>
            <w:r>
              <w:rPr>
                <w:rStyle w:val="IndexLink"/>
                <w:rtl w:val="true"/>
              </w:rPr>
              <w:t xml:space="preserve">: </w:t>
            </w:r>
            <w:r>
              <w:rPr>
                <w:rStyle w:val="IndexLink"/>
                <w:rtl w:val="true"/>
              </w:rPr>
              <w:t>وجوب الخمس فی أموال الأطفال</w:t>
            </w:r>
            <w:r>
              <w:rPr>
                <w:rStyle w:val="IndexLink"/>
                <w:rtl w:val="true"/>
              </w:rPr>
              <w:tab/>
            </w:r>
            <w:r>
              <w:rPr>
                <w:rStyle w:val="IndexLink"/>
              </w:rPr>
              <w:t>164</w:t>
            </w:r>
          </w:hyperlink>
        </w:p>
        <w:p>
          <w:pPr>
            <w:pStyle w:val="Contents4"/>
            <w:tabs>
              <w:tab w:val="clear" w:pos="8176"/>
              <w:tab w:val="right" w:pos="9026" w:leader="dot"/>
            </w:tabs>
            <w:rPr/>
          </w:pPr>
          <w:hyperlink w:anchor="__RefHeading___Toc9643649_7370918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9643651_73709187">
            <w:r>
              <w:rPr>
                <w:webHidden/>
                <w:rStyle w:val="IndexLink"/>
                <w:rtl w:val="true"/>
              </w:rPr>
              <w:t>أدلّة وجوب الخمس فی المعادن و الکنوز و الغوص للأطفال</w:t>
            </w:r>
            <w:r>
              <w:rPr>
                <w:rStyle w:val="IndexLink"/>
                <w:rtl w:val="true"/>
              </w:rPr>
              <w:tab/>
            </w:r>
            <w:r>
              <w:rPr>
                <w:rStyle w:val="IndexLink"/>
              </w:rPr>
              <w:t>165</w:t>
            </w:r>
          </w:hyperlink>
        </w:p>
        <w:p>
          <w:pPr>
            <w:pStyle w:val="Contents4"/>
            <w:tabs>
              <w:tab w:val="clear" w:pos="8176"/>
              <w:tab w:val="right" w:pos="9026" w:leader="dot"/>
            </w:tabs>
            <w:rPr/>
          </w:pPr>
          <w:hyperlink w:anchor="__RefHeading___Toc9643653_73709187">
            <w:r>
              <w:rPr>
                <w:webHidden/>
                <w:rStyle w:val="IndexLink"/>
                <w:rtl w:val="true"/>
              </w:rPr>
              <w:t>اشتراط وجوب الخمس بالبلوغ مطلقا</w:t>
            </w:r>
            <w:r>
              <w:rPr>
                <w:rStyle w:val="IndexLink"/>
                <w:rtl w:val="true"/>
              </w:rPr>
              <w:tab/>
            </w:r>
            <w:r>
              <w:rPr>
                <w:rStyle w:val="IndexLink"/>
              </w:rPr>
              <w:t>169</w:t>
            </w:r>
          </w:hyperlink>
        </w:p>
        <w:p>
          <w:pPr>
            <w:pStyle w:val="Contents4"/>
            <w:tabs>
              <w:tab w:val="clear" w:pos="8176"/>
              <w:tab w:val="right" w:pos="9026" w:leader="dot"/>
            </w:tabs>
            <w:rPr/>
          </w:pPr>
          <w:hyperlink w:anchor="__RefHeading___Toc9643655_73709187">
            <w:r>
              <w:rPr>
                <w:webHidden/>
                <w:rStyle w:val="IndexLink"/>
                <w:rtl w:val="true"/>
              </w:rPr>
              <w:t>أدلّة اشتراط وجوب الخمس بالبلوغ</w:t>
            </w:r>
            <w:r>
              <w:rPr>
                <w:rStyle w:val="IndexLink"/>
                <w:rtl w:val="true"/>
              </w:rPr>
              <w:tab/>
            </w:r>
            <w:r>
              <w:rPr>
                <w:rStyle w:val="IndexLink"/>
              </w:rPr>
              <w:t>170</w:t>
            </w:r>
          </w:hyperlink>
        </w:p>
        <w:p>
          <w:pPr>
            <w:pStyle w:val="Contents4"/>
            <w:tabs>
              <w:tab w:val="clear" w:pos="8176"/>
              <w:tab w:val="right" w:pos="9026" w:leader="dot"/>
            </w:tabs>
            <w:rPr/>
          </w:pPr>
          <w:hyperlink w:anchor="__RefHeading___Toc9643657_73709187">
            <w:r>
              <w:rPr>
                <w:webHidden/>
                <w:rStyle w:val="IndexLink"/>
                <w:rtl w:val="true"/>
              </w:rPr>
              <w:t>أقوال الفقهاء فی معنی حدیث الرفع</w:t>
            </w:r>
            <w:r>
              <w:rPr>
                <w:rStyle w:val="IndexLink"/>
                <w:rtl w:val="true"/>
              </w:rPr>
              <w:tab/>
            </w:r>
            <w:r>
              <w:rPr>
                <w:rStyle w:val="IndexLink"/>
              </w:rPr>
              <w:t>174</w:t>
            </w:r>
          </w:hyperlink>
        </w:p>
        <w:p>
          <w:pPr>
            <w:pStyle w:val="Contents5"/>
            <w:tabs>
              <w:tab w:val="clear" w:pos="7892"/>
              <w:tab w:val="right" w:pos="9026" w:leader="dot"/>
            </w:tabs>
            <w:rPr/>
          </w:pPr>
          <w:hyperlink w:anchor="__RefHeading___Toc9643659_7370918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9643661_73709187">
            <w:r>
              <w:rPr>
                <w:webHidden/>
                <w:rStyle w:val="IndexLink"/>
                <w:rtl w:val="true"/>
              </w:rPr>
              <w:t>ما المراد من المرفوع فی حدیث الرفع</w:t>
            </w:r>
            <w:r>
              <w:rPr>
                <w:rStyle w:val="IndexLink"/>
                <w:rtl w:val="true"/>
              </w:rPr>
              <w:tab/>
            </w:r>
            <w:r>
              <w:rPr>
                <w:rStyle w:val="IndexLink"/>
              </w:rPr>
              <w:t>176</w:t>
            </w:r>
          </w:hyperlink>
        </w:p>
        <w:p>
          <w:pPr>
            <w:pStyle w:val="Contents4"/>
            <w:tabs>
              <w:tab w:val="clear" w:pos="8176"/>
              <w:tab w:val="right" w:pos="9026" w:leader="dot"/>
            </w:tabs>
            <w:rPr/>
          </w:pPr>
          <w:hyperlink w:anchor="__RefHeading___Toc9643663_73709187">
            <w:r>
              <w:rPr>
                <w:webHidden/>
                <w:rStyle w:val="IndexLink"/>
                <w:rtl w:val="true"/>
              </w:rPr>
              <w:t>مخالفة القول الثالث لمفاد بعض الروایات</w:t>
            </w:r>
            <w:r>
              <w:rPr>
                <w:rStyle w:val="IndexLink"/>
                <w:rtl w:val="true"/>
              </w:rPr>
              <w:tab/>
            </w:r>
            <w:r>
              <w:rPr>
                <w:rStyle w:val="IndexLink"/>
              </w:rPr>
              <w:t>179</w:t>
            </w:r>
          </w:hyperlink>
        </w:p>
        <w:p>
          <w:pPr>
            <w:pStyle w:val="Contents4"/>
            <w:tabs>
              <w:tab w:val="clear" w:pos="8176"/>
              <w:tab w:val="right" w:pos="9026" w:leader="dot"/>
            </w:tabs>
            <w:rPr/>
          </w:pPr>
          <w:hyperlink w:anchor="__RefHeading___Toc9643665_73709187">
            <w:r>
              <w:rPr>
                <w:webHidden/>
                <w:rStyle w:val="IndexLink"/>
                <w:rtl w:val="true"/>
              </w:rPr>
              <w:t>تطبیق المعانی الخمسة فی مسألة خمس أموال الصبیّ</w:t>
            </w:r>
            <w:r>
              <w:rPr>
                <w:rStyle w:val="IndexLink"/>
                <w:rtl w:val="true"/>
              </w:rPr>
              <w:tab/>
            </w:r>
            <w:r>
              <w:rPr>
                <w:rStyle w:val="IndexLink"/>
              </w:rPr>
              <w:t>186</w:t>
            </w:r>
          </w:hyperlink>
        </w:p>
        <w:p>
          <w:pPr>
            <w:pStyle w:val="Contents4"/>
            <w:tabs>
              <w:tab w:val="clear" w:pos="8176"/>
              <w:tab w:val="right" w:pos="9026" w:leader="dot"/>
            </w:tabs>
            <w:rPr/>
          </w:pPr>
          <w:hyperlink w:anchor="__RefHeading___Toc9643667_73709187">
            <w:r>
              <w:rPr>
                <w:webHidden/>
                <w:rStyle w:val="IndexLink"/>
                <w:rtl w:val="true"/>
              </w:rPr>
              <w:t>عدم اشتراط ثبوت الخمس بالبلوغ مطلقا</w:t>
            </w:r>
            <w:r>
              <w:rPr>
                <w:rStyle w:val="IndexLink"/>
                <w:rtl w:val="true"/>
              </w:rPr>
              <w:tab/>
            </w:r>
            <w:r>
              <w:rPr>
                <w:rStyle w:val="IndexLink"/>
              </w:rPr>
              <w:t>188</w:t>
            </w:r>
          </w:hyperlink>
        </w:p>
        <w:p>
          <w:pPr>
            <w:pStyle w:val="Contents4"/>
            <w:tabs>
              <w:tab w:val="clear" w:pos="8176"/>
              <w:tab w:val="right" w:pos="9026" w:leader="dot"/>
            </w:tabs>
            <w:rPr/>
          </w:pPr>
          <w:hyperlink w:anchor="__RefHeading___Toc9643669_73709187">
            <w:r>
              <w:rPr>
                <w:webHidden/>
                <w:rStyle w:val="IndexLink"/>
                <w:rtl w:val="true"/>
              </w:rPr>
              <w:t>أدلّة عدم اشتراط ثبوت الخمس بالبلوغ</w:t>
            </w:r>
            <w:r>
              <w:rPr>
                <w:rStyle w:val="IndexLink"/>
                <w:rtl w:val="true"/>
              </w:rPr>
              <w:tab/>
            </w:r>
            <w:r>
              <w:rPr>
                <w:rStyle w:val="IndexLink"/>
              </w:rPr>
              <w:t>190</w:t>
            </w:r>
          </w:hyperlink>
        </w:p>
        <w:p>
          <w:pPr>
            <w:pStyle w:val="Contents5"/>
            <w:tabs>
              <w:tab w:val="clear" w:pos="7892"/>
              <w:tab w:val="right" w:pos="9026" w:leader="dot"/>
            </w:tabs>
            <w:rPr/>
          </w:pPr>
          <w:hyperlink w:anchor="__RefHeading___Toc9643671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9643673_73709187">
            <w:r>
              <w:rPr>
                <w:webHidden/>
                <w:rStyle w:val="IndexLink"/>
                <w:rtl w:val="true"/>
              </w:rPr>
              <w:t>نصوص فی خمس مال المختلط بالحرام</w:t>
            </w:r>
            <w:r>
              <w:rPr>
                <w:rStyle w:val="IndexLink"/>
                <w:rtl w:val="true"/>
              </w:rPr>
              <w:tab/>
            </w:r>
            <w:r>
              <w:rPr>
                <w:rStyle w:val="IndexLink"/>
              </w:rPr>
              <w:t>193</w:t>
            </w:r>
          </w:hyperlink>
        </w:p>
        <w:p>
          <w:pPr>
            <w:pStyle w:val="Contents4"/>
            <w:tabs>
              <w:tab w:val="clear" w:pos="8176"/>
              <w:tab w:val="right" w:pos="9026" w:leader="dot"/>
            </w:tabs>
            <w:rPr/>
          </w:pPr>
          <w:hyperlink w:anchor="__RefHeading___Toc9643675_73709187">
            <w:r>
              <w:rPr>
                <w:webHidden/>
                <w:rStyle w:val="IndexLink"/>
                <w:rtl w:val="true"/>
              </w:rPr>
              <w:t>ثبوت الخمس بعد التکلیف</w:t>
            </w:r>
            <w:r>
              <w:rPr>
                <w:rStyle w:val="IndexLink"/>
                <w:rtl w:val="true"/>
              </w:rPr>
              <w:tab/>
            </w:r>
            <w:r>
              <w:rPr>
                <w:rStyle w:val="IndexLink"/>
              </w:rPr>
              <w:t>198</w:t>
            </w:r>
          </w:hyperlink>
        </w:p>
        <w:p>
          <w:pPr>
            <w:pStyle w:val="Contents3"/>
            <w:tabs>
              <w:tab w:val="clear" w:pos="8459"/>
              <w:tab w:val="right" w:pos="9026" w:leader="dot"/>
            </w:tabs>
            <w:rPr/>
          </w:pPr>
          <w:hyperlink w:anchor="__RefHeading___Toc9643677_73709187">
            <w:r>
              <w:rPr>
                <w:webHidden/>
                <w:rStyle w:val="IndexLink"/>
                <w:rtl w:val="true"/>
              </w:rPr>
              <w:t>المبحث الثانی</w:t>
            </w:r>
            <w:r>
              <w:rPr>
                <w:rStyle w:val="IndexLink"/>
                <w:rtl w:val="true"/>
              </w:rPr>
              <w:t xml:space="preserve">: </w:t>
            </w:r>
            <w:r>
              <w:rPr>
                <w:rStyle w:val="IndexLink"/>
                <w:rtl w:val="true"/>
              </w:rPr>
              <w:t>الخمس فی أموال الصبیّ عند أهل السنّة</w:t>
            </w:r>
            <w:r>
              <w:rPr>
                <w:rStyle w:val="IndexLink"/>
                <w:rtl w:val="true"/>
              </w:rPr>
              <w:tab/>
            </w:r>
            <w:r>
              <w:rPr>
                <w:rStyle w:val="IndexLink"/>
              </w:rPr>
              <w:t>200</w:t>
            </w:r>
          </w:hyperlink>
        </w:p>
        <w:p>
          <w:pPr>
            <w:pStyle w:val="Contents4"/>
            <w:tabs>
              <w:tab w:val="clear" w:pos="8176"/>
              <w:tab w:val="right" w:pos="9026" w:leader="dot"/>
            </w:tabs>
            <w:rPr/>
          </w:pPr>
          <w:hyperlink w:anchor="__RefHeading___Toc9643679_73709187">
            <w:r>
              <w:rPr>
                <w:webHidden/>
                <w:rStyle w:val="IndexLink"/>
                <w:rtl w:val="true"/>
              </w:rPr>
              <w:t>تمهید</w:t>
            </w:r>
            <w:r>
              <w:rPr>
                <w:rStyle w:val="IndexLink"/>
                <w:rtl w:val="true"/>
              </w:rPr>
              <w:tab/>
            </w:r>
            <w:r>
              <w:rPr>
                <w:rStyle w:val="IndexLink"/>
              </w:rPr>
              <w:t>200</w:t>
            </w:r>
          </w:hyperlink>
        </w:p>
        <w:p>
          <w:pPr>
            <w:pStyle w:val="Contents4"/>
            <w:tabs>
              <w:tab w:val="clear" w:pos="8176"/>
              <w:tab w:val="right" w:pos="9026" w:leader="dot"/>
            </w:tabs>
            <w:rPr/>
          </w:pPr>
          <w:hyperlink w:anchor="__RefHeading___Toc9643681_73709187">
            <w:r>
              <w:rPr>
                <w:webHidden/>
                <w:rStyle w:val="IndexLink"/>
                <w:rtl w:val="true"/>
              </w:rPr>
              <w:t>آراء فی خمس الاصناف الاربعة بالنسبة إلی الصبیّ</w:t>
            </w:r>
            <w:r>
              <w:rPr>
                <w:rStyle w:val="IndexLink"/>
                <w:rtl w:val="true"/>
              </w:rPr>
              <w:t>:</w:t>
              <w:tab/>
            </w:r>
            <w:r>
              <w:rPr>
                <w:rStyle w:val="IndexLink"/>
              </w:rPr>
              <w:t>202</w:t>
            </w:r>
          </w:hyperlink>
        </w:p>
        <w:p>
          <w:pPr>
            <w:pStyle w:val="Contents5"/>
            <w:tabs>
              <w:tab w:val="clear" w:pos="7892"/>
              <w:tab w:val="right" w:pos="9026" w:leader="dot"/>
            </w:tabs>
            <w:rPr/>
          </w:pPr>
          <w:hyperlink w:anchor="__RefHeading___Toc9643683_73709187">
            <w:r>
              <w:rPr>
                <w:webHidden/>
                <w:rStyle w:val="IndexLink"/>
                <w:rtl w:val="true"/>
              </w:rPr>
              <w:t>الأوّل</w:t>
            </w:r>
            <w:r>
              <w:rPr>
                <w:rStyle w:val="IndexLink"/>
                <w:rtl w:val="true"/>
              </w:rPr>
              <w:t xml:space="preserve">: </w:t>
            </w:r>
            <w:r>
              <w:rPr>
                <w:rStyle w:val="IndexLink"/>
                <w:rtl w:val="true"/>
              </w:rPr>
              <w:t>خمس الغنیمة للصبیّ</w:t>
            </w:r>
            <w:r>
              <w:rPr>
                <w:rStyle w:val="IndexLink"/>
                <w:rtl w:val="true"/>
              </w:rPr>
              <w:tab/>
            </w:r>
            <w:r>
              <w:rPr>
                <w:rStyle w:val="IndexLink"/>
              </w:rPr>
              <w:t>202</w:t>
            </w:r>
          </w:hyperlink>
        </w:p>
        <w:p>
          <w:pPr>
            <w:pStyle w:val="Contents5"/>
            <w:tabs>
              <w:tab w:val="clear" w:pos="7892"/>
              <w:tab w:val="right" w:pos="9026" w:leader="dot"/>
            </w:tabs>
            <w:rPr/>
          </w:pPr>
          <w:hyperlink w:anchor="__RefHeading___Toc9643685_73709187">
            <w:r>
              <w:rPr>
                <w:webHidden/>
                <w:rStyle w:val="IndexLink"/>
                <w:rtl w:val="true"/>
              </w:rPr>
              <w:t>الثانی</w:t>
            </w:r>
            <w:r>
              <w:rPr>
                <w:rStyle w:val="IndexLink"/>
                <w:rtl w:val="true"/>
              </w:rPr>
              <w:t xml:space="preserve">: </w:t>
            </w:r>
            <w:r>
              <w:rPr>
                <w:rStyle w:val="IndexLink"/>
                <w:rtl w:val="true"/>
              </w:rPr>
              <w:t>خمس المعادن و الرکاز و الغوص للصبیّ</w:t>
            </w:r>
            <w:r>
              <w:rPr>
                <w:rStyle w:val="IndexLink"/>
                <w:rtl w:val="true"/>
              </w:rPr>
              <w:tab/>
            </w:r>
            <w:r>
              <w:rPr>
                <w:rStyle w:val="IndexLink"/>
              </w:rPr>
              <w:t>204</w:t>
            </w:r>
          </w:hyperlink>
        </w:p>
        <w:p>
          <w:pPr>
            <w:pStyle w:val="Contents2"/>
            <w:tabs>
              <w:tab w:val="clear" w:pos="8743"/>
              <w:tab w:val="right" w:pos="9026" w:leader="dot"/>
            </w:tabs>
            <w:rPr/>
          </w:pPr>
          <w:hyperlink w:anchor="__RefHeading___Toc9643687_73709187">
            <w:r>
              <w:rPr>
                <w:webHidden/>
                <w:rStyle w:val="IndexLink"/>
                <w:rtl w:val="true"/>
              </w:rPr>
              <w:t>الفصل الخامس</w:t>
            </w:r>
            <w:r>
              <w:rPr>
                <w:rStyle w:val="IndexLink"/>
                <w:rtl w:val="true"/>
              </w:rPr>
              <w:t xml:space="preserve">: </w:t>
            </w:r>
            <w:r>
              <w:rPr>
                <w:rStyle w:val="IndexLink"/>
                <w:rtl w:val="true"/>
              </w:rPr>
              <w:t>حجّ الصبیّ و فیه مباحث</w:t>
            </w:r>
            <w:r>
              <w:rPr>
                <w:rStyle w:val="IndexLink"/>
                <w:rtl w:val="true"/>
              </w:rPr>
              <w:tab/>
            </w:r>
            <w:r>
              <w:rPr>
                <w:rStyle w:val="IndexLink"/>
              </w:rPr>
              <w:t>207</w:t>
            </w:r>
          </w:hyperlink>
        </w:p>
        <w:p>
          <w:pPr>
            <w:pStyle w:val="Contents3"/>
            <w:tabs>
              <w:tab w:val="clear" w:pos="8459"/>
              <w:tab w:val="right" w:pos="9026" w:leader="dot"/>
            </w:tabs>
            <w:rPr/>
          </w:pPr>
          <w:hyperlink w:anchor="__RefHeading___Toc9643689_7370918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9643691_73709187">
            <w:r>
              <w:rPr>
                <w:webHidden/>
                <w:rStyle w:val="IndexLink"/>
                <w:rtl w:val="true"/>
              </w:rPr>
              <w:t>المبحث الأوّل</w:t>
            </w:r>
            <w:r>
              <w:rPr>
                <w:rStyle w:val="IndexLink"/>
                <w:rtl w:val="true"/>
              </w:rPr>
              <w:t xml:space="preserve">: </w:t>
            </w:r>
            <w:r>
              <w:rPr>
                <w:rStyle w:val="IndexLink"/>
                <w:rtl w:val="true"/>
              </w:rPr>
              <w:t>حکم حجّ الصبیّ</w:t>
            </w:r>
            <w:r>
              <w:rPr>
                <w:rStyle w:val="IndexLink"/>
                <w:rtl w:val="true"/>
              </w:rPr>
              <w:tab/>
            </w:r>
            <w:r>
              <w:rPr>
                <w:rStyle w:val="IndexLink"/>
              </w:rPr>
              <w:t>208</w:t>
            </w:r>
          </w:hyperlink>
        </w:p>
        <w:p>
          <w:pPr>
            <w:pStyle w:val="Contents4"/>
            <w:tabs>
              <w:tab w:val="clear" w:pos="8176"/>
              <w:tab w:val="right" w:pos="9026" w:leader="dot"/>
            </w:tabs>
            <w:rPr/>
          </w:pPr>
          <w:hyperlink w:anchor="__RefHeading___Toc9643693_7370918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9643695_73709187">
            <w:r>
              <w:rPr>
                <w:webHidden/>
                <w:rStyle w:val="IndexLink"/>
                <w:rtl w:val="true"/>
              </w:rPr>
              <w:t>أدلّة عدم وجوب الحجّ علی الصبیّ</w:t>
            </w:r>
            <w:r>
              <w:rPr>
                <w:rStyle w:val="IndexLink"/>
                <w:rtl w:val="true"/>
              </w:rPr>
              <w:tab/>
            </w:r>
            <w:r>
              <w:rPr>
                <w:rStyle w:val="IndexLink"/>
              </w:rPr>
              <w:t>210</w:t>
            </w:r>
          </w:hyperlink>
        </w:p>
        <w:p>
          <w:pPr>
            <w:pStyle w:val="Contents4"/>
            <w:tabs>
              <w:tab w:val="clear" w:pos="8176"/>
              <w:tab w:val="right" w:pos="9026" w:leader="dot"/>
            </w:tabs>
            <w:rPr/>
          </w:pPr>
          <w:hyperlink w:anchor="__RefHeading___Toc9643697_73709187">
            <w:r>
              <w:rPr>
                <w:webHidden/>
                <w:rStyle w:val="IndexLink"/>
                <w:rtl w:val="true"/>
              </w:rPr>
              <w:t>رأی أهل السنّة فی حکم الحجّ علی الصبیّ</w:t>
            </w:r>
            <w:r>
              <w:rPr>
                <w:rStyle w:val="IndexLink"/>
                <w:rtl w:val="true"/>
              </w:rPr>
              <w:tab/>
            </w:r>
            <w:r>
              <w:rPr>
                <w:rStyle w:val="IndexLink"/>
              </w:rPr>
              <w:t>214</w:t>
            </w:r>
          </w:hyperlink>
        </w:p>
        <w:p>
          <w:pPr>
            <w:pStyle w:val="Contents3"/>
            <w:tabs>
              <w:tab w:val="clear" w:pos="8459"/>
              <w:tab w:val="right" w:pos="9026" w:leader="dot"/>
            </w:tabs>
            <w:rPr/>
          </w:pPr>
          <w:hyperlink w:anchor="__RefHeading___Toc9643699_73709187">
            <w:r>
              <w:rPr>
                <w:webHidden/>
                <w:rStyle w:val="IndexLink"/>
                <w:rtl w:val="true"/>
              </w:rPr>
              <w:t>المبحث الثانی</w:t>
            </w:r>
            <w:r>
              <w:rPr>
                <w:rStyle w:val="IndexLink"/>
                <w:rtl w:val="true"/>
              </w:rPr>
              <w:t xml:space="preserve">: </w:t>
            </w:r>
            <w:r>
              <w:rPr>
                <w:rStyle w:val="IndexLink"/>
                <w:rtl w:val="true"/>
              </w:rPr>
              <w:t>نذر الصبیّ للحجّ</w:t>
            </w:r>
            <w:r>
              <w:rPr>
                <w:rStyle w:val="IndexLink"/>
                <w:rtl w:val="true"/>
              </w:rPr>
              <w:tab/>
            </w:r>
            <w:r>
              <w:rPr>
                <w:rStyle w:val="IndexLink"/>
              </w:rPr>
              <w:t>216</w:t>
            </w:r>
          </w:hyperlink>
        </w:p>
        <w:p>
          <w:pPr>
            <w:pStyle w:val="Contents4"/>
            <w:tabs>
              <w:tab w:val="clear" w:pos="8176"/>
              <w:tab w:val="right" w:pos="9026" w:leader="dot"/>
            </w:tabs>
            <w:rPr/>
          </w:pPr>
          <w:hyperlink w:anchor="__RefHeading___Toc9643701_7370918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9643703_73709187">
            <w:r>
              <w:rPr>
                <w:webHidden/>
                <w:rStyle w:val="IndexLink"/>
                <w:rtl w:val="true"/>
              </w:rPr>
              <w:t>نذر الصبیّ للحجّ عند أهل السنّة</w:t>
            </w:r>
            <w:r>
              <w:rPr>
                <w:rStyle w:val="IndexLink"/>
                <w:rtl w:val="true"/>
              </w:rPr>
              <w:tab/>
            </w:r>
            <w:r>
              <w:rPr>
                <w:rStyle w:val="IndexLink"/>
              </w:rPr>
              <w:t>219</w:t>
            </w:r>
          </w:hyperlink>
        </w:p>
        <w:p>
          <w:pPr>
            <w:pStyle w:val="Contents5"/>
            <w:tabs>
              <w:tab w:val="clear" w:pos="7892"/>
              <w:tab w:val="right" w:pos="9026" w:leader="dot"/>
            </w:tabs>
            <w:rPr/>
          </w:pPr>
          <w:hyperlink w:anchor="__RefHeading___Toc9643705_7370918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9643707_73709187">
            <w:r>
              <w:rPr>
                <w:webHidden/>
                <w:rStyle w:val="IndexLink"/>
                <w:rtl w:val="true"/>
              </w:rPr>
              <w:t>إیضاح</w:t>
            </w:r>
            <w:r>
              <w:rPr>
                <w:rStyle w:val="IndexLink"/>
                <w:rtl w:val="true"/>
              </w:rPr>
              <w:tab/>
            </w:r>
            <w:r>
              <w:rPr>
                <w:rStyle w:val="IndexLink"/>
              </w:rPr>
              <w:t>220</w:t>
            </w:r>
          </w:hyperlink>
        </w:p>
        <w:p>
          <w:pPr>
            <w:pStyle w:val="Contents4"/>
            <w:tabs>
              <w:tab w:val="clear" w:pos="8176"/>
              <w:tab w:val="right" w:pos="9026" w:leader="dot"/>
            </w:tabs>
            <w:rPr/>
          </w:pPr>
          <w:hyperlink w:anchor="__RefHeading___Toc9643709_73709187">
            <w:r>
              <w:rPr>
                <w:webHidden/>
                <w:rStyle w:val="IndexLink"/>
                <w:rtl w:val="true"/>
              </w:rPr>
              <w:t>التحقیق فی عدم وصف الحجّ النذری و نحوه بالوجوب</w:t>
            </w:r>
            <w:r>
              <w:rPr>
                <w:rStyle w:val="IndexLink"/>
                <w:rtl w:val="true"/>
              </w:rPr>
              <w:tab/>
            </w:r>
            <w:r>
              <w:rPr>
                <w:rStyle w:val="IndexLink"/>
              </w:rPr>
              <w:t>220</w:t>
            </w:r>
          </w:hyperlink>
        </w:p>
        <w:p>
          <w:pPr>
            <w:pStyle w:val="Contents3"/>
            <w:tabs>
              <w:tab w:val="clear" w:pos="8459"/>
              <w:tab w:val="right" w:pos="9026" w:leader="dot"/>
            </w:tabs>
            <w:rPr/>
          </w:pPr>
          <w:hyperlink w:anchor="__RefHeading___Toc9643711_73709187">
            <w:r>
              <w:rPr>
                <w:webHidden/>
                <w:rStyle w:val="IndexLink"/>
                <w:rtl w:val="true"/>
              </w:rPr>
              <w:t>المبحث الثالث</w:t>
            </w:r>
            <w:r>
              <w:rPr>
                <w:rStyle w:val="IndexLink"/>
                <w:rtl w:val="true"/>
              </w:rPr>
              <w:t xml:space="preserve">: </w:t>
            </w:r>
            <w:r>
              <w:rPr>
                <w:rStyle w:val="IndexLink"/>
                <w:rtl w:val="true"/>
              </w:rPr>
              <w:t>مشروعیّة حجّ الصبیّ</w:t>
            </w:r>
            <w:r>
              <w:rPr>
                <w:rStyle w:val="IndexLink"/>
                <w:rtl w:val="true"/>
              </w:rPr>
              <w:tab/>
            </w:r>
            <w:r>
              <w:rPr>
                <w:rStyle w:val="IndexLink"/>
              </w:rPr>
              <w:t>224</w:t>
            </w:r>
          </w:hyperlink>
        </w:p>
        <w:p>
          <w:pPr>
            <w:pStyle w:val="Contents4"/>
            <w:tabs>
              <w:tab w:val="clear" w:pos="8176"/>
              <w:tab w:val="right" w:pos="9026" w:leader="dot"/>
            </w:tabs>
            <w:rPr/>
          </w:pPr>
          <w:hyperlink w:anchor="__RefHeading___Toc9643713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9643715_73709187">
            <w:r>
              <w:rPr>
                <w:webHidden/>
                <w:rStyle w:val="IndexLink"/>
                <w:rtl w:val="true"/>
              </w:rPr>
              <w:t>استحباب حجّ الصبیّ الممیّز</w:t>
            </w:r>
            <w:r>
              <w:rPr>
                <w:rStyle w:val="IndexLink"/>
                <w:rtl w:val="true"/>
              </w:rPr>
              <w:tab/>
            </w:r>
            <w:r>
              <w:rPr>
                <w:rStyle w:val="IndexLink"/>
              </w:rPr>
              <w:t>226</w:t>
            </w:r>
          </w:hyperlink>
        </w:p>
        <w:p>
          <w:pPr>
            <w:pStyle w:val="Contents4"/>
            <w:tabs>
              <w:tab w:val="clear" w:pos="8176"/>
              <w:tab w:val="right" w:pos="9026" w:leader="dot"/>
            </w:tabs>
            <w:rPr/>
          </w:pPr>
          <w:hyperlink w:anchor="__RefHeading___Toc9643717_73709187">
            <w:r>
              <w:rPr>
                <w:webHidden/>
                <w:rStyle w:val="IndexLink"/>
                <w:rtl w:val="true"/>
              </w:rPr>
              <w:t>أدلّة صحّة حجّ الصبیّ الممیّز</w:t>
            </w:r>
            <w:r>
              <w:rPr>
                <w:rStyle w:val="IndexLink"/>
                <w:rtl w:val="true"/>
              </w:rPr>
              <w:tab/>
            </w:r>
            <w:r>
              <w:rPr>
                <w:rStyle w:val="IndexLink"/>
              </w:rPr>
              <w:t>227</w:t>
            </w:r>
          </w:hyperlink>
        </w:p>
        <w:p>
          <w:pPr>
            <w:pStyle w:val="Contents5"/>
            <w:tabs>
              <w:tab w:val="clear" w:pos="7892"/>
              <w:tab w:val="right" w:pos="9026" w:leader="dot"/>
            </w:tabs>
            <w:rPr/>
          </w:pPr>
          <w:hyperlink w:anchor="__RefHeading___Toc9643719_7370918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9643721_73709187">
            <w:r>
              <w:rPr>
                <w:webHidden/>
                <w:rStyle w:val="IndexLink"/>
                <w:rtl w:val="true"/>
              </w:rPr>
              <w:t>حج الصبیّ لا یجزی عن حجّة الإسلام</w:t>
            </w:r>
            <w:r>
              <w:rPr>
                <w:rStyle w:val="IndexLink"/>
                <w:rtl w:val="true"/>
              </w:rPr>
              <w:tab/>
            </w:r>
            <w:r>
              <w:rPr>
                <w:rStyle w:val="IndexLink"/>
              </w:rPr>
              <w:t>230</w:t>
            </w:r>
          </w:hyperlink>
        </w:p>
        <w:p>
          <w:pPr>
            <w:pStyle w:val="Contents4"/>
            <w:tabs>
              <w:tab w:val="clear" w:pos="8176"/>
              <w:tab w:val="right" w:pos="9026" w:leader="dot"/>
            </w:tabs>
            <w:rPr/>
          </w:pPr>
          <w:hyperlink w:anchor="__RefHeading___Toc9643723_73709187">
            <w:r>
              <w:rPr>
                <w:webHidden/>
                <w:rStyle w:val="IndexLink"/>
                <w:rtl w:val="true"/>
              </w:rPr>
              <w:t>استحباب إحجاج الصبیّ غیر الممیّز</w:t>
            </w:r>
            <w:r>
              <w:rPr>
                <w:rStyle w:val="IndexLink"/>
                <w:rtl w:val="true"/>
              </w:rPr>
              <w:tab/>
            </w:r>
            <w:r>
              <w:rPr>
                <w:rStyle w:val="IndexLink"/>
              </w:rPr>
              <w:t>233</w:t>
            </w:r>
          </w:hyperlink>
        </w:p>
        <w:p>
          <w:pPr>
            <w:pStyle w:val="Contents4"/>
            <w:tabs>
              <w:tab w:val="clear" w:pos="8176"/>
              <w:tab w:val="right" w:pos="9026" w:leader="dot"/>
            </w:tabs>
            <w:rPr/>
          </w:pPr>
          <w:hyperlink w:anchor="__RefHeading___Toc9643725_73709187">
            <w:r>
              <w:rPr>
                <w:webHidden/>
                <w:rStyle w:val="IndexLink"/>
                <w:rtl w:val="true"/>
              </w:rPr>
              <w:t>أدلّة استحباب إحجاج الصبیّ للولیّ</w:t>
            </w:r>
            <w:r>
              <w:rPr>
                <w:rStyle w:val="IndexLink"/>
                <w:rtl w:val="true"/>
              </w:rPr>
              <w:tab/>
            </w:r>
            <w:r>
              <w:rPr>
                <w:rStyle w:val="IndexLink"/>
              </w:rPr>
              <w:t>236</w:t>
            </w:r>
          </w:hyperlink>
        </w:p>
        <w:p>
          <w:pPr>
            <w:pStyle w:val="Contents4"/>
            <w:tabs>
              <w:tab w:val="clear" w:pos="8176"/>
              <w:tab w:val="right" w:pos="9026" w:leader="dot"/>
            </w:tabs>
            <w:rPr/>
          </w:pPr>
          <w:hyperlink w:anchor="__RefHeading___Toc9643727_73709187">
            <w:r>
              <w:rPr>
                <w:webHidden/>
                <w:rStyle w:val="IndexLink"/>
                <w:rtl w:val="true"/>
              </w:rPr>
              <w:t>عدم اختصاص الحکم بالصبیّ</w:t>
            </w:r>
            <w:r>
              <w:rPr>
                <w:rStyle w:val="IndexLink"/>
                <w:rtl w:val="true"/>
              </w:rPr>
              <w:tab/>
            </w:r>
            <w:r>
              <w:rPr>
                <w:rStyle w:val="IndexLink"/>
              </w:rPr>
              <w:t>238</w:t>
            </w:r>
          </w:hyperlink>
        </w:p>
        <w:p>
          <w:pPr>
            <w:pStyle w:val="Contents5"/>
            <w:tabs>
              <w:tab w:val="clear" w:pos="7892"/>
              <w:tab w:val="right" w:pos="9026" w:leader="dot"/>
            </w:tabs>
            <w:rPr/>
          </w:pPr>
          <w:hyperlink w:anchor="__RefHeading___Toc9643729_7370918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9643731_73709187">
            <w:r>
              <w:rPr>
                <w:webHidden/>
                <w:rStyle w:val="IndexLink"/>
                <w:rtl w:val="true"/>
              </w:rPr>
              <w:t>رأی مشهور الفقهاء باشتراک الصبیّة و الصبیّ</w:t>
            </w:r>
            <w:r>
              <w:rPr>
                <w:rStyle w:val="IndexLink"/>
                <w:rtl w:val="true"/>
              </w:rPr>
              <w:tab/>
            </w:r>
            <w:r>
              <w:rPr>
                <w:rStyle w:val="IndexLink"/>
              </w:rPr>
              <w:t>239</w:t>
            </w:r>
          </w:hyperlink>
        </w:p>
        <w:p>
          <w:pPr>
            <w:pStyle w:val="Contents4"/>
            <w:tabs>
              <w:tab w:val="clear" w:pos="8176"/>
              <w:tab w:val="right" w:pos="9026" w:leader="dot"/>
            </w:tabs>
            <w:rPr/>
          </w:pPr>
          <w:hyperlink w:anchor="__RefHeading___Toc9643733_73709187">
            <w:r>
              <w:rPr>
                <w:webHidden/>
                <w:rStyle w:val="IndexLink"/>
                <w:rtl w:val="true"/>
              </w:rPr>
              <w:t>استحباب العمرة للصبیّ</w:t>
            </w:r>
            <w:r>
              <w:rPr>
                <w:rStyle w:val="IndexLink"/>
                <w:rtl w:val="true"/>
              </w:rPr>
              <w:tab/>
            </w:r>
            <w:r>
              <w:rPr>
                <w:rStyle w:val="IndexLink"/>
              </w:rPr>
              <w:t>243</w:t>
            </w:r>
          </w:hyperlink>
        </w:p>
        <w:p>
          <w:pPr>
            <w:pStyle w:val="Contents4"/>
            <w:tabs>
              <w:tab w:val="clear" w:pos="8176"/>
              <w:tab w:val="right" w:pos="9026" w:leader="dot"/>
            </w:tabs>
            <w:rPr/>
          </w:pPr>
          <w:hyperlink w:anchor="__RefHeading___Toc9643735_73709187">
            <w:r>
              <w:rPr>
                <w:webHidden/>
                <w:rStyle w:val="IndexLink"/>
                <w:rtl w:val="true"/>
              </w:rPr>
              <w:t>صحّة حجّ الصبیّ عند أهل السنّة</w:t>
            </w:r>
            <w:r>
              <w:rPr>
                <w:rStyle w:val="IndexLink"/>
                <w:rtl w:val="true"/>
              </w:rPr>
              <w:tab/>
            </w:r>
            <w:r>
              <w:rPr>
                <w:rStyle w:val="IndexLink"/>
              </w:rPr>
              <w:t>245</w:t>
            </w:r>
          </w:hyperlink>
        </w:p>
        <w:p>
          <w:pPr>
            <w:pStyle w:val="Contents3"/>
            <w:tabs>
              <w:tab w:val="clear" w:pos="8459"/>
              <w:tab w:val="right" w:pos="9026" w:leader="dot"/>
            </w:tabs>
            <w:rPr/>
          </w:pPr>
          <w:hyperlink w:anchor="__RefHeading___Toc9643737_73709187">
            <w:r>
              <w:rPr>
                <w:webHidden/>
                <w:rStyle w:val="IndexLink"/>
                <w:rtl w:val="true"/>
              </w:rPr>
              <w:t>المبحث الرابع</w:t>
            </w:r>
            <w:r>
              <w:rPr>
                <w:rStyle w:val="IndexLink"/>
                <w:rtl w:val="true"/>
              </w:rPr>
              <w:t xml:space="preserve">: </w:t>
            </w:r>
            <w:r>
              <w:rPr>
                <w:rStyle w:val="IndexLink"/>
                <w:rtl w:val="true"/>
              </w:rPr>
              <w:t>أولیاء الأطفال فی الحجّ</w:t>
            </w:r>
            <w:r>
              <w:rPr>
                <w:rStyle w:val="IndexLink"/>
                <w:rtl w:val="true"/>
              </w:rPr>
              <w:tab/>
            </w:r>
            <w:r>
              <w:rPr>
                <w:rStyle w:val="IndexLink"/>
              </w:rPr>
              <w:t>249</w:t>
            </w:r>
          </w:hyperlink>
        </w:p>
        <w:p>
          <w:pPr>
            <w:pStyle w:val="Contents4"/>
            <w:tabs>
              <w:tab w:val="clear" w:pos="8176"/>
              <w:tab w:val="right" w:pos="9026" w:leader="dot"/>
            </w:tabs>
            <w:rPr/>
          </w:pPr>
          <w:hyperlink w:anchor="__RefHeading___Toc9643739_7370918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643741_73709187">
            <w:r>
              <w:rPr>
                <w:webHidden/>
                <w:rStyle w:val="IndexLink"/>
                <w:rtl w:val="true"/>
              </w:rPr>
              <w:t>أدلّة هذا القول أی القول بالولی الذی یحرم الطفل بانه هو الولی الشرعی</w:t>
            </w:r>
            <w:r>
              <w:rPr>
                <w:rStyle w:val="IndexLink"/>
                <w:rtl w:val="true"/>
              </w:rPr>
              <w:tab/>
            </w:r>
            <w:r>
              <w:rPr>
                <w:rStyle w:val="IndexLink"/>
              </w:rPr>
              <w:t>249</w:t>
            </w:r>
          </w:hyperlink>
        </w:p>
        <w:p>
          <w:pPr>
            <w:pStyle w:val="Contents4"/>
            <w:tabs>
              <w:tab w:val="clear" w:pos="8176"/>
              <w:tab w:val="right" w:pos="9026" w:leader="dot"/>
            </w:tabs>
            <w:rPr/>
          </w:pPr>
          <w:hyperlink w:anchor="__RefHeading___Toc9643743_73709187">
            <w:r>
              <w:rPr>
                <w:webHidden/>
                <w:rStyle w:val="IndexLink"/>
                <w:rtl w:val="true"/>
              </w:rPr>
              <w:t>الولایة فی الحجّ تشمل الامّ أیضا</w:t>
            </w:r>
            <w:r>
              <w:rPr>
                <w:rStyle w:val="IndexLink"/>
                <w:rtl w:val="true"/>
              </w:rPr>
              <w:tab/>
            </w:r>
            <w:r>
              <w:rPr>
                <w:rStyle w:val="IndexLink"/>
              </w:rPr>
              <w:t>252</w:t>
            </w:r>
          </w:hyperlink>
        </w:p>
        <w:p>
          <w:pPr>
            <w:pStyle w:val="Contents4"/>
            <w:tabs>
              <w:tab w:val="clear" w:pos="8176"/>
              <w:tab w:val="right" w:pos="9026" w:leader="dot"/>
            </w:tabs>
            <w:rPr/>
          </w:pPr>
          <w:hyperlink w:anchor="__RefHeading___Toc9643745_73709187">
            <w:r>
              <w:rPr>
                <w:webHidden/>
                <w:rStyle w:val="IndexLink"/>
                <w:rtl w:val="true"/>
              </w:rPr>
              <w:t>أدلّة شمول الولایة فی الحجّ للامّ أیضا</w:t>
            </w:r>
            <w:r>
              <w:rPr>
                <w:rStyle w:val="IndexLink"/>
                <w:rtl w:val="true"/>
              </w:rPr>
              <w:tab/>
            </w:r>
            <w:r>
              <w:rPr>
                <w:rStyle w:val="IndexLink"/>
              </w:rPr>
              <w:t>253</w:t>
            </w:r>
          </w:hyperlink>
        </w:p>
        <w:p>
          <w:pPr>
            <w:pStyle w:val="Contents4"/>
            <w:tabs>
              <w:tab w:val="clear" w:pos="8176"/>
              <w:tab w:val="right" w:pos="9026" w:leader="dot"/>
            </w:tabs>
            <w:rPr/>
          </w:pPr>
          <w:hyperlink w:anchor="__RefHeading___Toc9643747_73709187">
            <w:r>
              <w:rPr>
                <w:webHidden/>
                <w:rStyle w:val="IndexLink"/>
                <w:rtl w:val="true"/>
              </w:rPr>
              <w:t>الولایة فی الحجّ تشمل لمن یتکفّل أمر الطفل</w:t>
            </w:r>
            <w:r>
              <w:rPr>
                <w:rStyle w:val="IndexLink"/>
                <w:rtl w:val="true"/>
              </w:rPr>
              <w:tab/>
            </w:r>
            <w:r>
              <w:rPr>
                <w:rStyle w:val="IndexLink"/>
              </w:rPr>
              <w:t>255</w:t>
            </w:r>
          </w:hyperlink>
        </w:p>
        <w:p>
          <w:pPr>
            <w:pStyle w:val="Contents4"/>
            <w:tabs>
              <w:tab w:val="clear" w:pos="8176"/>
              <w:tab w:val="right" w:pos="9026" w:leader="dot"/>
            </w:tabs>
            <w:rPr/>
          </w:pPr>
          <w:hyperlink w:anchor="__RefHeading___Toc9643749_73709187">
            <w:r>
              <w:rPr>
                <w:webHidden/>
                <w:rStyle w:val="IndexLink"/>
                <w:rtl w:val="true"/>
              </w:rPr>
              <w:t>أدلّة ولایة من یتکفّل أمر الطفل فی الحجّ</w:t>
            </w:r>
            <w:r>
              <w:rPr>
                <w:rStyle w:val="IndexLink"/>
                <w:rtl w:val="true"/>
              </w:rPr>
              <w:tab/>
            </w:r>
            <w:r>
              <w:rPr>
                <w:rStyle w:val="IndexLink"/>
              </w:rPr>
              <w:t>256</w:t>
            </w:r>
          </w:hyperlink>
        </w:p>
        <w:p>
          <w:pPr>
            <w:pStyle w:val="Contents4"/>
            <w:tabs>
              <w:tab w:val="clear" w:pos="8176"/>
              <w:tab w:val="right" w:pos="9026" w:leader="dot"/>
            </w:tabs>
            <w:rPr/>
          </w:pPr>
          <w:hyperlink w:anchor="__RefHeading___Toc9643751_73709187">
            <w:r>
              <w:rPr>
                <w:webHidden/>
                <w:rStyle w:val="IndexLink"/>
                <w:rtl w:val="true"/>
              </w:rPr>
              <w:t>امور ینبغی ذکرها</w:t>
            </w:r>
            <w:r>
              <w:rPr>
                <w:rStyle w:val="IndexLink"/>
                <w:rtl w:val="true"/>
              </w:rPr>
              <w:tab/>
            </w:r>
            <w:r>
              <w:rPr>
                <w:rStyle w:val="IndexLink"/>
              </w:rPr>
              <w:t>260</w:t>
            </w:r>
          </w:hyperlink>
        </w:p>
        <w:p>
          <w:pPr>
            <w:pStyle w:val="Contents4"/>
            <w:tabs>
              <w:tab w:val="clear" w:pos="8176"/>
              <w:tab w:val="right" w:pos="9026" w:leader="dot"/>
            </w:tabs>
            <w:rPr/>
          </w:pPr>
          <w:hyperlink w:anchor="__RefHeading___Toc9643753_73709187">
            <w:r>
              <w:rPr>
                <w:webHidden/>
                <w:rStyle w:val="IndexLink"/>
                <w:rtl w:val="true"/>
              </w:rPr>
              <w:t>أولیاء الأطفال فی الحجّ عند أهل السنّة</w:t>
            </w:r>
            <w:r>
              <w:rPr>
                <w:rStyle w:val="IndexLink"/>
                <w:rtl w:val="true"/>
              </w:rPr>
              <w:tab/>
            </w:r>
            <w:r>
              <w:rPr>
                <w:rStyle w:val="IndexLink"/>
              </w:rPr>
              <w:t>262</w:t>
            </w:r>
          </w:hyperlink>
        </w:p>
        <w:p>
          <w:pPr>
            <w:pStyle w:val="Contents3"/>
            <w:tabs>
              <w:tab w:val="clear" w:pos="8459"/>
              <w:tab w:val="right" w:pos="9026" w:leader="dot"/>
            </w:tabs>
            <w:rPr/>
          </w:pPr>
          <w:hyperlink w:anchor="__RefHeading___Toc9643755_73709187">
            <w:r>
              <w:rPr>
                <w:webHidden/>
                <w:rStyle w:val="IndexLink"/>
                <w:rtl w:val="true"/>
              </w:rPr>
              <w:t>المبحث الخامس</w:t>
            </w:r>
            <w:r>
              <w:rPr>
                <w:rStyle w:val="IndexLink"/>
                <w:rtl w:val="true"/>
              </w:rPr>
              <w:t xml:space="preserve">: </w:t>
            </w:r>
            <w:r>
              <w:rPr>
                <w:rStyle w:val="IndexLink"/>
                <w:rtl w:val="true"/>
              </w:rPr>
              <w:t>اشتراط إذن الولیّ فی صحّة حجّ الصبیّ</w:t>
            </w:r>
            <w:r>
              <w:rPr>
                <w:rStyle w:val="IndexLink"/>
                <w:rtl w:val="true"/>
              </w:rPr>
              <w:tab/>
            </w:r>
            <w:r>
              <w:rPr>
                <w:rStyle w:val="IndexLink"/>
              </w:rPr>
              <w:t>264</w:t>
            </w:r>
          </w:hyperlink>
        </w:p>
        <w:p>
          <w:pPr>
            <w:pStyle w:val="Contents4"/>
            <w:tabs>
              <w:tab w:val="clear" w:pos="8176"/>
              <w:tab w:val="right" w:pos="9026" w:leader="dot"/>
            </w:tabs>
            <w:rPr/>
          </w:pPr>
          <w:hyperlink w:anchor="__RefHeading___Toc9643757_7370918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9643759_73709187">
            <w:r>
              <w:rPr>
                <w:webHidden/>
                <w:rStyle w:val="IndexLink"/>
                <w:rtl w:val="true"/>
              </w:rPr>
              <w:t>اعتبار إذن الولیّ</w:t>
            </w:r>
            <w:r>
              <w:rPr>
                <w:rStyle w:val="IndexLink"/>
                <w:rtl w:val="true"/>
              </w:rPr>
              <w:tab/>
            </w:r>
            <w:r>
              <w:rPr>
                <w:rStyle w:val="IndexLink"/>
              </w:rPr>
              <w:t>264</w:t>
            </w:r>
          </w:hyperlink>
        </w:p>
        <w:p>
          <w:pPr>
            <w:pStyle w:val="Contents4"/>
            <w:tabs>
              <w:tab w:val="clear" w:pos="8176"/>
              <w:tab w:val="right" w:pos="9026" w:leader="dot"/>
            </w:tabs>
            <w:rPr/>
          </w:pPr>
          <w:hyperlink w:anchor="__RefHeading___Toc9643761_73709187">
            <w:r>
              <w:rPr>
                <w:webHidden/>
                <w:rStyle w:val="IndexLink"/>
                <w:rtl w:val="true"/>
              </w:rPr>
              <w:t>أدلّة اشتراط صحّة حجّ الصبیّ بإذن الولیّ</w:t>
            </w:r>
            <w:r>
              <w:rPr>
                <w:rStyle w:val="IndexLink"/>
                <w:rtl w:val="true"/>
              </w:rPr>
              <w:tab/>
            </w:r>
            <w:r>
              <w:rPr>
                <w:rStyle w:val="IndexLink"/>
              </w:rPr>
              <w:t>265</w:t>
            </w:r>
          </w:hyperlink>
        </w:p>
        <w:p>
          <w:pPr>
            <w:pStyle w:val="Contents4"/>
            <w:tabs>
              <w:tab w:val="clear" w:pos="8176"/>
              <w:tab w:val="right" w:pos="9026" w:leader="dot"/>
            </w:tabs>
            <w:rPr/>
          </w:pPr>
          <w:hyperlink w:anchor="__RefHeading___Toc9643763_73709187">
            <w:r>
              <w:rPr>
                <w:webHidden/>
                <w:rStyle w:val="IndexLink"/>
                <w:rtl w:val="true"/>
              </w:rPr>
              <w:t>اعتبار إذن الأبوین</w:t>
            </w:r>
            <w:r>
              <w:rPr>
                <w:rStyle w:val="IndexLink"/>
                <w:rtl w:val="true"/>
              </w:rPr>
              <w:tab/>
            </w:r>
            <w:r>
              <w:rPr>
                <w:rStyle w:val="IndexLink"/>
              </w:rPr>
              <w:t>270</w:t>
            </w:r>
          </w:hyperlink>
        </w:p>
        <w:p>
          <w:pPr>
            <w:pStyle w:val="Contents4"/>
            <w:tabs>
              <w:tab w:val="clear" w:pos="8176"/>
              <w:tab w:val="right" w:pos="9026" w:leader="dot"/>
            </w:tabs>
            <w:rPr/>
          </w:pPr>
          <w:hyperlink w:anchor="__RefHeading___Toc9643765_73709187">
            <w:r>
              <w:rPr>
                <w:webHidden/>
                <w:rStyle w:val="IndexLink"/>
                <w:rtl w:val="true"/>
              </w:rPr>
              <w:t>عدم اشتراط إذن الولیّ فی صحّة حجّ الصبیّ</w:t>
            </w:r>
            <w:r>
              <w:rPr>
                <w:rStyle w:val="IndexLink"/>
                <w:rtl w:val="true"/>
              </w:rPr>
              <w:tab/>
            </w:r>
            <w:r>
              <w:rPr>
                <w:rStyle w:val="IndexLink"/>
              </w:rPr>
              <w:t>272</w:t>
            </w:r>
          </w:hyperlink>
        </w:p>
        <w:p>
          <w:pPr>
            <w:pStyle w:val="Contents4"/>
            <w:tabs>
              <w:tab w:val="clear" w:pos="8176"/>
              <w:tab w:val="right" w:pos="9026" w:leader="dot"/>
            </w:tabs>
            <w:rPr/>
          </w:pPr>
          <w:hyperlink w:anchor="__RefHeading___Toc9643767_73709187">
            <w:r>
              <w:rPr>
                <w:webHidden/>
                <w:rStyle w:val="IndexLink"/>
                <w:rtl w:val="true"/>
              </w:rPr>
              <w:t>أدلّة عدم اشتراط إذن الولیّ فی حجّ الصبیّ</w:t>
            </w:r>
            <w:r>
              <w:rPr>
                <w:rStyle w:val="IndexLink"/>
                <w:rtl w:val="true"/>
              </w:rPr>
              <w:tab/>
            </w:r>
            <w:r>
              <w:rPr>
                <w:rStyle w:val="IndexLink"/>
              </w:rPr>
              <w:t>273</w:t>
            </w:r>
          </w:hyperlink>
        </w:p>
        <w:p>
          <w:pPr>
            <w:pStyle w:val="Contents4"/>
            <w:tabs>
              <w:tab w:val="clear" w:pos="8176"/>
              <w:tab w:val="right" w:pos="9026" w:leader="dot"/>
            </w:tabs>
            <w:rPr/>
          </w:pPr>
          <w:hyperlink w:anchor="__RefHeading___Toc9643769_73709187">
            <w:r>
              <w:rPr>
                <w:webHidden/>
                <w:rStyle w:val="IndexLink"/>
                <w:rtl w:val="true"/>
              </w:rPr>
              <w:t>اشتراط إذن الولیّ فی صحّة حجّ الصبیّ عند أهل السنّة</w:t>
            </w:r>
            <w:r>
              <w:rPr>
                <w:rStyle w:val="IndexLink"/>
                <w:rtl w:val="true"/>
              </w:rPr>
              <w:tab/>
            </w:r>
            <w:r>
              <w:rPr>
                <w:rStyle w:val="IndexLink"/>
              </w:rPr>
              <w:t>275</w:t>
            </w:r>
          </w:hyperlink>
        </w:p>
        <w:p>
          <w:pPr>
            <w:pStyle w:val="Contents3"/>
            <w:tabs>
              <w:tab w:val="clear" w:pos="8459"/>
              <w:tab w:val="right" w:pos="9026" w:leader="dot"/>
            </w:tabs>
            <w:rPr/>
          </w:pPr>
          <w:hyperlink w:anchor="__RefHeading___Toc9643771_73709187">
            <w:r>
              <w:rPr>
                <w:webHidden/>
                <w:rStyle w:val="IndexLink"/>
                <w:rtl w:val="true"/>
              </w:rPr>
              <w:t>المبحث السادس</w:t>
            </w:r>
            <w:r>
              <w:rPr>
                <w:rStyle w:val="IndexLink"/>
                <w:rtl w:val="true"/>
              </w:rPr>
              <w:t xml:space="preserve">: </w:t>
            </w:r>
            <w:r>
              <w:rPr>
                <w:rStyle w:val="IndexLink"/>
                <w:rtl w:val="true"/>
              </w:rPr>
              <w:t>مئونة حجّ الصبیّ</w:t>
            </w:r>
            <w:r>
              <w:rPr>
                <w:rStyle w:val="IndexLink"/>
                <w:rtl w:val="true"/>
              </w:rPr>
              <w:tab/>
            </w:r>
            <w:r>
              <w:rPr>
                <w:rStyle w:val="IndexLink"/>
              </w:rPr>
              <w:t>277</w:t>
            </w:r>
          </w:hyperlink>
        </w:p>
        <w:p>
          <w:pPr>
            <w:pStyle w:val="Contents4"/>
            <w:tabs>
              <w:tab w:val="clear" w:pos="8176"/>
              <w:tab w:val="right" w:pos="9026" w:leader="dot"/>
            </w:tabs>
            <w:rPr/>
          </w:pPr>
          <w:hyperlink w:anchor="__RefHeading___Toc9643773_7370918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9643775_73709187">
            <w:r>
              <w:rPr>
                <w:webHidden/>
                <w:rStyle w:val="IndexLink"/>
                <w:rtl w:val="true"/>
              </w:rPr>
              <w:t>الدلیل علی أنّ نفقته الزائدة علی الولیّ</w:t>
            </w:r>
            <w:r>
              <w:rPr>
                <w:rStyle w:val="IndexLink"/>
                <w:rtl w:val="true"/>
              </w:rPr>
              <w:tab/>
            </w:r>
            <w:r>
              <w:rPr>
                <w:rStyle w:val="IndexLink"/>
              </w:rPr>
              <w:t>278</w:t>
            </w:r>
          </w:hyperlink>
        </w:p>
        <w:p>
          <w:pPr>
            <w:pStyle w:val="Contents4"/>
            <w:tabs>
              <w:tab w:val="clear" w:pos="8176"/>
              <w:tab w:val="right" w:pos="9026" w:leader="dot"/>
            </w:tabs>
            <w:rPr/>
          </w:pPr>
          <w:hyperlink w:anchor="__RefHeading___Toc9643777_73709187">
            <w:r>
              <w:rPr>
                <w:webHidden/>
                <w:rStyle w:val="IndexLink"/>
                <w:rtl w:val="true"/>
              </w:rPr>
              <w:t>مناقشة ما ذهب إلیه المشهور</w:t>
            </w:r>
            <w:r>
              <w:rPr>
                <w:rStyle w:val="IndexLink"/>
                <w:rtl w:val="true"/>
              </w:rPr>
              <w:tab/>
            </w:r>
            <w:r>
              <w:rPr>
                <w:rStyle w:val="IndexLink"/>
              </w:rPr>
              <w:t>280</w:t>
            </w:r>
          </w:hyperlink>
        </w:p>
        <w:p>
          <w:pPr>
            <w:pStyle w:val="Contents5"/>
            <w:tabs>
              <w:tab w:val="clear" w:pos="7892"/>
              <w:tab w:val="right" w:pos="9026" w:leader="dot"/>
            </w:tabs>
            <w:rPr/>
          </w:pPr>
          <w:hyperlink w:anchor="__RefHeading___Toc9643779_7370918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9643781_73709187">
            <w:r>
              <w:rPr>
                <w:webHidden/>
                <w:rStyle w:val="IndexLink"/>
                <w:rtl w:val="true"/>
              </w:rPr>
              <w:t>فرع</w:t>
            </w:r>
            <w:r>
              <w:rPr>
                <w:rStyle w:val="IndexLink"/>
                <w:rtl w:val="true"/>
              </w:rPr>
              <w:tab/>
            </w:r>
            <w:r>
              <w:rPr>
                <w:rStyle w:val="IndexLink"/>
              </w:rPr>
              <w:t>281</w:t>
            </w:r>
          </w:hyperlink>
        </w:p>
        <w:p>
          <w:pPr>
            <w:pStyle w:val="Contents4"/>
            <w:tabs>
              <w:tab w:val="clear" w:pos="8176"/>
              <w:tab w:val="right" w:pos="9026" w:leader="dot"/>
            </w:tabs>
            <w:rPr/>
          </w:pPr>
          <w:hyperlink w:anchor="__RefHeading___Toc9643783_73709187">
            <w:r>
              <w:rPr>
                <w:webHidden/>
                <w:rStyle w:val="IndexLink"/>
                <w:rtl w:val="true"/>
              </w:rPr>
              <w:t>نفقة حجّ الصبیّ فی فقه أهل السنّة</w:t>
            </w:r>
            <w:r>
              <w:rPr>
                <w:rStyle w:val="IndexLink"/>
                <w:rtl w:val="true"/>
              </w:rPr>
              <w:tab/>
            </w:r>
            <w:r>
              <w:rPr>
                <w:rStyle w:val="IndexLink"/>
              </w:rPr>
              <w:t>283</w:t>
            </w:r>
          </w:hyperlink>
        </w:p>
        <w:p>
          <w:pPr>
            <w:pStyle w:val="Contents3"/>
            <w:tabs>
              <w:tab w:val="clear" w:pos="8459"/>
              <w:tab w:val="right" w:pos="9026" w:leader="dot"/>
            </w:tabs>
            <w:rPr/>
          </w:pPr>
          <w:hyperlink w:anchor="__RefHeading___Toc9643785_73709187">
            <w:r>
              <w:rPr>
                <w:webHidden/>
                <w:rStyle w:val="IndexLink"/>
                <w:rtl w:val="true"/>
              </w:rPr>
              <w:t>المبحث السابع</w:t>
            </w:r>
            <w:r>
              <w:rPr>
                <w:rStyle w:val="IndexLink"/>
                <w:rtl w:val="true"/>
              </w:rPr>
              <w:t xml:space="preserve">: </w:t>
            </w:r>
            <w:r>
              <w:rPr>
                <w:rStyle w:val="IndexLink"/>
                <w:rtl w:val="true"/>
              </w:rPr>
              <w:t>مواقیت إحرام الصبیان</w:t>
            </w:r>
            <w:r>
              <w:rPr>
                <w:rStyle w:val="IndexLink"/>
                <w:rtl w:val="true"/>
              </w:rPr>
              <w:tab/>
            </w:r>
            <w:r>
              <w:rPr>
                <w:rStyle w:val="IndexLink"/>
              </w:rPr>
              <w:t>285</w:t>
            </w:r>
          </w:hyperlink>
        </w:p>
        <w:p>
          <w:pPr>
            <w:pStyle w:val="Contents4"/>
            <w:tabs>
              <w:tab w:val="clear" w:pos="8176"/>
              <w:tab w:val="right" w:pos="9026" w:leader="dot"/>
            </w:tabs>
            <w:rPr/>
          </w:pPr>
          <w:hyperlink w:anchor="__RefHeading___Toc9643787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9643789_73709187">
            <w:r>
              <w:rPr>
                <w:webHidden/>
                <w:rStyle w:val="IndexLink"/>
                <w:rtl w:val="true"/>
              </w:rPr>
              <w:t>الأوّل</w:t>
            </w:r>
            <w:r>
              <w:rPr>
                <w:rStyle w:val="IndexLink"/>
                <w:rtl w:val="true"/>
              </w:rPr>
              <w:t xml:space="preserve">: </w:t>
            </w:r>
            <w:r>
              <w:rPr>
                <w:rStyle w:val="IndexLink"/>
                <w:rtl w:val="true"/>
              </w:rPr>
              <w:t>إحرامهم من فخّ</w:t>
            </w:r>
            <w:r>
              <w:rPr>
                <w:rStyle w:val="IndexLink"/>
                <w:rtl w:val="true"/>
              </w:rPr>
              <w:tab/>
            </w:r>
            <w:r>
              <w:rPr>
                <w:rStyle w:val="IndexLink"/>
              </w:rPr>
              <w:t>286</w:t>
            </w:r>
          </w:hyperlink>
        </w:p>
        <w:p>
          <w:pPr>
            <w:pStyle w:val="Contents5"/>
            <w:tabs>
              <w:tab w:val="clear" w:pos="7892"/>
              <w:tab w:val="right" w:pos="9026" w:leader="dot"/>
            </w:tabs>
            <w:rPr/>
          </w:pPr>
          <w:hyperlink w:anchor="__RefHeading___Toc9643791_7370918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643793_73709187">
            <w:r>
              <w:rPr>
                <w:webHidden/>
                <w:rStyle w:val="IndexLink"/>
                <w:rtl w:val="true"/>
              </w:rPr>
              <w:t>أدلّة القول بأنّ میقات الصبیان هو فخّ</w:t>
            </w:r>
            <w:r>
              <w:rPr>
                <w:rStyle w:val="IndexLink"/>
                <w:rtl w:val="true"/>
              </w:rPr>
              <w:tab/>
            </w:r>
            <w:r>
              <w:rPr>
                <w:rStyle w:val="IndexLink"/>
              </w:rPr>
              <w:t>288</w:t>
            </w:r>
          </w:hyperlink>
        </w:p>
        <w:p>
          <w:pPr>
            <w:pStyle w:val="Contents4"/>
            <w:tabs>
              <w:tab w:val="clear" w:pos="8176"/>
              <w:tab w:val="right" w:pos="9026" w:leader="dot"/>
            </w:tabs>
            <w:rPr/>
          </w:pPr>
          <w:hyperlink w:anchor="__RefHeading___Toc9643795_73709187">
            <w:r>
              <w:rPr>
                <w:webHidden/>
                <w:rStyle w:val="IndexLink"/>
                <w:rtl w:val="true"/>
              </w:rPr>
              <w:t>القول الثانی</w:t>
            </w:r>
            <w:r>
              <w:rPr>
                <w:rStyle w:val="IndexLink"/>
                <w:rtl w:val="true"/>
              </w:rPr>
              <w:t xml:space="preserve">: </w:t>
            </w:r>
            <w:r>
              <w:rPr>
                <w:rStyle w:val="IndexLink"/>
                <w:rtl w:val="true"/>
              </w:rPr>
              <w:t>میقات الأطفال میقات المکلّفین</w:t>
            </w:r>
            <w:r>
              <w:rPr>
                <w:rStyle w:val="IndexLink"/>
                <w:rtl w:val="true"/>
              </w:rPr>
              <w:tab/>
            </w:r>
            <w:r>
              <w:rPr>
                <w:rStyle w:val="IndexLink"/>
              </w:rPr>
              <w:t>289</w:t>
            </w:r>
          </w:hyperlink>
        </w:p>
        <w:p>
          <w:pPr>
            <w:pStyle w:val="Contents5"/>
            <w:tabs>
              <w:tab w:val="clear" w:pos="7892"/>
              <w:tab w:val="right" w:pos="9026" w:leader="dot"/>
            </w:tabs>
            <w:rPr/>
          </w:pPr>
          <w:hyperlink w:anchor="__RefHeading___Toc9643797_7370918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9643799_73709187">
            <w:r>
              <w:rPr>
                <w:webHidden/>
                <w:rStyle w:val="IndexLink"/>
                <w:rtl w:val="true"/>
              </w:rPr>
              <w:t>هل یکون الصبیّ ملزما بإجراء أحکام الإحرام من الأوّل</w:t>
            </w:r>
            <w:r>
              <w:rPr>
                <w:rStyle w:val="IndexLink"/>
                <w:rtl w:val="true"/>
              </w:rPr>
              <w:tab/>
            </w:r>
            <w:r>
              <w:rPr>
                <w:rStyle w:val="IndexLink"/>
              </w:rPr>
              <w:t>293</w:t>
            </w:r>
          </w:hyperlink>
        </w:p>
        <w:p>
          <w:pPr>
            <w:pStyle w:val="Contents4"/>
            <w:tabs>
              <w:tab w:val="clear" w:pos="8176"/>
              <w:tab w:val="right" w:pos="9026" w:leader="dot"/>
            </w:tabs>
            <w:rPr/>
          </w:pPr>
          <w:hyperlink w:anchor="__RefHeading___Toc9643801_73709187">
            <w:r>
              <w:rPr>
                <w:webHidden/>
                <w:rStyle w:val="IndexLink"/>
                <w:rtl w:val="true"/>
              </w:rPr>
              <w:t>رأی أهل السنّة فی میقات الصبیّ</w:t>
            </w:r>
            <w:r>
              <w:rPr>
                <w:rStyle w:val="IndexLink"/>
                <w:rtl w:val="true"/>
              </w:rPr>
              <w:tab/>
            </w:r>
            <w:r>
              <w:rPr>
                <w:rStyle w:val="IndexLink"/>
              </w:rPr>
              <w:t>295</w:t>
            </w:r>
          </w:hyperlink>
        </w:p>
        <w:p>
          <w:pPr>
            <w:pStyle w:val="Contents3"/>
            <w:tabs>
              <w:tab w:val="clear" w:pos="8459"/>
              <w:tab w:val="right" w:pos="9026" w:leader="dot"/>
            </w:tabs>
            <w:rPr/>
          </w:pPr>
          <w:hyperlink w:anchor="__RefHeading___Toc9643803_73709187">
            <w:r>
              <w:rPr>
                <w:webHidden/>
                <w:rStyle w:val="IndexLink"/>
                <w:rtl w:val="true"/>
              </w:rPr>
              <w:t>المبحث الثامن</w:t>
            </w:r>
            <w:r>
              <w:rPr>
                <w:rStyle w:val="IndexLink"/>
                <w:rtl w:val="true"/>
              </w:rPr>
              <w:t xml:space="preserve">: </w:t>
            </w:r>
            <w:r>
              <w:rPr>
                <w:rStyle w:val="IndexLink"/>
                <w:rtl w:val="true"/>
              </w:rPr>
              <w:t>محظورات الإحرام و الکفّارات للصبیّ</w:t>
            </w:r>
            <w:r>
              <w:rPr>
                <w:rStyle w:val="IndexLink"/>
                <w:rtl w:val="true"/>
              </w:rPr>
              <w:tab/>
            </w:r>
            <w:r>
              <w:rPr>
                <w:rStyle w:val="IndexLink"/>
              </w:rPr>
              <w:t>296</w:t>
            </w:r>
          </w:hyperlink>
        </w:p>
        <w:p>
          <w:pPr>
            <w:pStyle w:val="Contents4"/>
            <w:tabs>
              <w:tab w:val="clear" w:pos="8176"/>
              <w:tab w:val="right" w:pos="9026" w:leader="dot"/>
            </w:tabs>
            <w:rPr/>
          </w:pPr>
          <w:hyperlink w:anchor="__RefHeading___Toc9643805_7370918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9643807_73709187">
            <w:r>
              <w:rPr>
                <w:webHidden/>
                <w:rStyle w:val="IndexLink"/>
                <w:rtl w:val="true"/>
              </w:rPr>
              <w:t>الأوّل</w:t>
            </w:r>
            <w:r>
              <w:rPr>
                <w:rStyle w:val="IndexLink"/>
                <w:rtl w:val="true"/>
              </w:rPr>
              <w:t xml:space="preserve">: </w:t>
            </w:r>
            <w:r>
              <w:rPr>
                <w:rStyle w:val="IndexLink"/>
                <w:rtl w:val="true"/>
              </w:rPr>
              <w:t>منع الولیّ الصبیّ من ارتکاب المحظورات</w:t>
            </w:r>
            <w:r>
              <w:rPr>
                <w:rStyle w:val="IndexLink"/>
                <w:rtl w:val="true"/>
              </w:rPr>
              <w:tab/>
            </w:r>
            <w:r>
              <w:rPr>
                <w:rStyle w:val="IndexLink"/>
              </w:rPr>
              <w:t>296</w:t>
            </w:r>
          </w:hyperlink>
        </w:p>
        <w:p>
          <w:pPr>
            <w:pStyle w:val="Contents5"/>
            <w:tabs>
              <w:tab w:val="clear" w:pos="7892"/>
              <w:tab w:val="right" w:pos="9026" w:leader="dot"/>
            </w:tabs>
            <w:rPr/>
          </w:pPr>
          <w:hyperlink w:anchor="__RefHeading___Toc9643809_7370918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9643811_73709187">
            <w:r>
              <w:rPr>
                <w:webHidden/>
                <w:rStyle w:val="IndexLink"/>
                <w:rtl w:val="true"/>
              </w:rPr>
              <w:t>جواز الاستظلال للصبیّ حین الإحرام</w:t>
            </w:r>
            <w:r>
              <w:rPr>
                <w:rStyle w:val="IndexLink"/>
                <w:rtl w:val="true"/>
              </w:rPr>
              <w:tab/>
            </w:r>
            <w:r>
              <w:rPr>
                <w:rStyle w:val="IndexLink"/>
              </w:rPr>
              <w:t>298</w:t>
            </w:r>
          </w:hyperlink>
        </w:p>
        <w:p>
          <w:pPr>
            <w:pStyle w:val="Contents5"/>
            <w:tabs>
              <w:tab w:val="clear" w:pos="7892"/>
              <w:tab w:val="right" w:pos="9026" w:leader="dot"/>
            </w:tabs>
            <w:rPr/>
          </w:pPr>
          <w:hyperlink w:anchor="__RefHeading___Toc9643813_73709187">
            <w:r>
              <w:rPr>
                <w:webHidden/>
                <w:rStyle w:val="IndexLink"/>
                <w:rtl w:val="true"/>
              </w:rPr>
              <w:t>أدلّة جواز الاستظلال للصبیّ</w:t>
            </w:r>
            <w:r>
              <w:rPr>
                <w:rStyle w:val="IndexLink"/>
                <w:rtl w:val="true"/>
              </w:rPr>
              <w:tab/>
            </w:r>
            <w:r>
              <w:rPr>
                <w:rStyle w:val="IndexLink"/>
              </w:rPr>
              <w:t>299</w:t>
            </w:r>
          </w:hyperlink>
        </w:p>
        <w:p>
          <w:pPr>
            <w:pStyle w:val="Contents4"/>
            <w:tabs>
              <w:tab w:val="clear" w:pos="8176"/>
              <w:tab w:val="right" w:pos="9026" w:leader="dot"/>
            </w:tabs>
            <w:rPr/>
          </w:pPr>
          <w:hyperlink w:anchor="__RefHeading___Toc9643815_73709187">
            <w:r>
              <w:rPr>
                <w:webHidden/>
                <w:rStyle w:val="IndexLink"/>
                <w:rtl w:val="true"/>
              </w:rPr>
              <w:t>المطلب الثانی</w:t>
            </w:r>
            <w:r>
              <w:rPr>
                <w:rStyle w:val="IndexLink"/>
                <w:rtl w:val="true"/>
              </w:rPr>
              <w:t xml:space="preserve">: </w:t>
            </w:r>
            <w:r>
              <w:rPr>
                <w:rStyle w:val="IndexLink"/>
                <w:rtl w:val="true"/>
              </w:rPr>
              <w:t>حکم الکفّارة بالنسبة إلی الصبیّ</w:t>
            </w:r>
            <w:r>
              <w:rPr>
                <w:rStyle w:val="IndexLink"/>
                <w:rtl w:val="true"/>
              </w:rPr>
              <w:tab/>
            </w:r>
            <w:r>
              <w:rPr>
                <w:rStyle w:val="IndexLink"/>
              </w:rPr>
              <w:t>301</w:t>
            </w:r>
          </w:hyperlink>
        </w:p>
        <w:p>
          <w:pPr>
            <w:pStyle w:val="Contents5"/>
            <w:tabs>
              <w:tab w:val="clear" w:pos="7892"/>
              <w:tab w:val="right" w:pos="9026" w:leader="dot"/>
            </w:tabs>
            <w:rPr/>
          </w:pPr>
          <w:hyperlink w:anchor="__RefHeading___Toc9643817_7370918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9643819_73709187">
            <w:r>
              <w:rPr>
                <w:webHidden/>
                <w:rStyle w:val="IndexLink"/>
                <w:rtl w:val="true"/>
              </w:rPr>
              <w:t>الأوّل</w:t>
            </w:r>
            <w:r>
              <w:rPr>
                <w:rStyle w:val="IndexLink"/>
                <w:rtl w:val="true"/>
              </w:rPr>
              <w:t xml:space="preserve">: </w:t>
            </w:r>
            <w:r>
              <w:rPr>
                <w:rStyle w:val="IndexLink"/>
                <w:rtl w:val="true"/>
              </w:rPr>
              <w:t>کفّارة غیر الصید</w:t>
            </w:r>
            <w:r>
              <w:rPr>
                <w:rStyle w:val="IndexLink"/>
                <w:rtl w:val="true"/>
              </w:rPr>
              <w:tab/>
            </w:r>
            <w:r>
              <w:rPr>
                <w:rStyle w:val="IndexLink"/>
              </w:rPr>
              <w:t>301</w:t>
            </w:r>
          </w:hyperlink>
        </w:p>
        <w:p>
          <w:pPr>
            <w:pStyle w:val="Contents6"/>
            <w:tabs>
              <w:tab w:val="clear" w:pos="7609"/>
              <w:tab w:val="right" w:pos="9026" w:leader="dot"/>
            </w:tabs>
            <w:rPr/>
          </w:pPr>
          <w:hyperlink w:anchor="__RefHeading___Toc9643821_73709187">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9643823_73709187">
            <w:r>
              <w:rPr>
                <w:webHidden/>
                <w:rStyle w:val="IndexLink"/>
                <w:rtl w:val="true"/>
              </w:rPr>
              <w:t>الأدلّة علی عدم وجوب الکفّارة فی غیر الصید</w:t>
            </w:r>
            <w:r>
              <w:rPr>
                <w:rStyle w:val="IndexLink"/>
                <w:rtl w:val="true"/>
              </w:rPr>
              <w:tab/>
            </w:r>
            <w:r>
              <w:rPr>
                <w:rStyle w:val="IndexLink"/>
              </w:rPr>
              <w:t>302</w:t>
            </w:r>
          </w:hyperlink>
        </w:p>
        <w:p>
          <w:pPr>
            <w:pStyle w:val="Contents6"/>
            <w:tabs>
              <w:tab w:val="clear" w:pos="7609"/>
              <w:tab w:val="right" w:pos="9026" w:leader="dot"/>
            </w:tabs>
            <w:rPr/>
          </w:pPr>
          <w:hyperlink w:anchor="__RefHeading___Toc9643825_73709187">
            <w:r>
              <w:rPr>
                <w:webHidden/>
                <w:rStyle w:val="IndexLink"/>
                <w:rtl w:val="true"/>
              </w:rPr>
              <w:t>«</w:t>
            </w:r>
            <w:r>
              <w:rPr>
                <w:rStyle w:val="IndexLink"/>
                <w:rtl w:val="true"/>
              </w:rPr>
              <w:t>عمد الصبی خطأ</w:t>
            </w:r>
            <w:r>
              <w:rPr>
                <w:rStyle w:val="IndexLink"/>
                <w:rtl w:val="true"/>
              </w:rPr>
              <w:t xml:space="preserve">» </w:t>
            </w:r>
            <w:r>
              <w:rPr>
                <w:rStyle w:val="IndexLink"/>
                <w:rtl w:val="true"/>
              </w:rPr>
              <w:t>یشمل علی مورد الذی له سنخان من الحکم</w:t>
            </w:r>
            <w:r>
              <w:rPr>
                <w:rStyle w:val="IndexLink"/>
                <w:rtl w:val="true"/>
              </w:rPr>
              <w:tab/>
            </w:r>
            <w:r>
              <w:rPr>
                <w:rStyle w:val="IndexLink"/>
              </w:rPr>
              <w:t>305</w:t>
            </w:r>
          </w:hyperlink>
        </w:p>
        <w:p>
          <w:pPr>
            <w:pStyle w:val="Contents6"/>
            <w:tabs>
              <w:tab w:val="clear" w:pos="7609"/>
              <w:tab w:val="right" w:pos="9026" w:leader="dot"/>
            </w:tabs>
            <w:rPr/>
          </w:pPr>
          <w:hyperlink w:anchor="__RefHeading___Toc9643827_73709187">
            <w:r>
              <w:rPr>
                <w:webHidden/>
                <w:rStyle w:val="IndexLink"/>
                <w:rtl w:val="true"/>
              </w:rPr>
              <w:t>الکفّارة علی الولیّ</w:t>
            </w:r>
            <w:r>
              <w:rPr>
                <w:rStyle w:val="IndexLink"/>
                <w:rtl w:val="true"/>
              </w:rPr>
              <w:tab/>
            </w:r>
            <w:r>
              <w:rPr>
                <w:rStyle w:val="IndexLink"/>
              </w:rPr>
              <w:t>308</w:t>
            </w:r>
          </w:hyperlink>
        </w:p>
        <w:p>
          <w:pPr>
            <w:pStyle w:val="Contents6"/>
            <w:tabs>
              <w:tab w:val="clear" w:pos="7609"/>
              <w:tab w:val="right" w:pos="9026" w:leader="dot"/>
            </w:tabs>
            <w:rPr/>
          </w:pPr>
          <w:hyperlink w:anchor="__RefHeading___Toc9643829_73709187">
            <w:r>
              <w:rPr>
                <w:webHidden/>
                <w:rStyle w:val="IndexLink"/>
                <w:rtl w:val="true"/>
              </w:rPr>
              <w:t>أدلّة وجوب الکفّارة علی الولیّ</w:t>
            </w:r>
            <w:r>
              <w:rPr>
                <w:rStyle w:val="IndexLink"/>
                <w:rtl w:val="true"/>
              </w:rPr>
              <w:tab/>
            </w:r>
            <w:r>
              <w:rPr>
                <w:rStyle w:val="IndexLink"/>
              </w:rPr>
              <w:t>309</w:t>
            </w:r>
          </w:hyperlink>
        </w:p>
        <w:p>
          <w:pPr>
            <w:pStyle w:val="Contents6"/>
            <w:tabs>
              <w:tab w:val="clear" w:pos="7609"/>
              <w:tab w:val="right" w:pos="9026" w:leader="dot"/>
            </w:tabs>
            <w:rPr/>
          </w:pPr>
          <w:hyperlink w:anchor="__RefHeading___Toc9643831_73709187">
            <w:r>
              <w:rPr>
                <w:webHidden/>
                <w:rStyle w:val="IndexLink"/>
                <w:rtl w:val="true"/>
              </w:rPr>
              <w:t>الکفّارة علی الصبی</w:t>
            </w:r>
            <w:r>
              <w:rPr>
                <w:rStyle w:val="IndexLink"/>
                <w:rtl w:val="true"/>
              </w:rPr>
              <w:tab/>
            </w:r>
            <w:r>
              <w:rPr>
                <w:rStyle w:val="IndexLink"/>
              </w:rPr>
              <w:t>312</w:t>
            </w:r>
          </w:hyperlink>
        </w:p>
        <w:p>
          <w:pPr>
            <w:pStyle w:val="Contents5"/>
            <w:tabs>
              <w:tab w:val="clear" w:pos="7892"/>
              <w:tab w:val="right" w:pos="9026" w:leader="dot"/>
            </w:tabs>
            <w:rPr/>
          </w:pPr>
          <w:hyperlink w:anchor="__RefHeading___Toc9643833_73709187">
            <w:r>
              <w:rPr>
                <w:webHidden/>
                <w:rStyle w:val="IndexLink"/>
                <w:rtl w:val="true"/>
              </w:rPr>
              <w:t>المقام الثانی</w:t>
            </w:r>
            <w:r>
              <w:rPr>
                <w:rStyle w:val="IndexLink"/>
                <w:rtl w:val="true"/>
              </w:rPr>
              <w:t xml:space="preserve">: </w:t>
            </w:r>
            <w:r>
              <w:rPr>
                <w:rStyle w:val="IndexLink"/>
                <w:rtl w:val="true"/>
              </w:rPr>
              <w:t>کفّارة الصید</w:t>
            </w:r>
            <w:r>
              <w:rPr>
                <w:rStyle w:val="IndexLink"/>
                <w:rtl w:val="true"/>
              </w:rPr>
              <w:tab/>
            </w:r>
            <w:r>
              <w:rPr>
                <w:rStyle w:val="IndexLink"/>
              </w:rPr>
              <w:t>313</w:t>
            </w:r>
          </w:hyperlink>
        </w:p>
        <w:p>
          <w:pPr>
            <w:pStyle w:val="Contents5"/>
            <w:tabs>
              <w:tab w:val="clear" w:pos="7892"/>
              <w:tab w:val="right" w:pos="9026" w:leader="dot"/>
            </w:tabs>
            <w:rPr/>
          </w:pPr>
          <w:hyperlink w:anchor="__RefHeading___Toc9643835_73709187">
            <w:r>
              <w:rPr>
                <w:webHidden/>
                <w:rStyle w:val="IndexLink"/>
                <w:rtl w:val="true"/>
              </w:rPr>
              <w:t>محظورات الإحرام و الکفّارات فی حجّ الصبیّ عند أهل السنّة</w:t>
            </w:r>
            <w:r>
              <w:rPr>
                <w:rStyle w:val="IndexLink"/>
                <w:rtl w:val="true"/>
              </w:rPr>
              <w:tab/>
            </w:r>
            <w:r>
              <w:rPr>
                <w:rStyle w:val="IndexLink"/>
              </w:rPr>
              <w:t>316</w:t>
            </w:r>
          </w:hyperlink>
        </w:p>
        <w:p>
          <w:pPr>
            <w:pStyle w:val="Contents6"/>
            <w:tabs>
              <w:tab w:val="clear" w:pos="7609"/>
              <w:tab w:val="right" w:pos="9026" w:leader="dot"/>
            </w:tabs>
            <w:rPr/>
          </w:pPr>
          <w:hyperlink w:anchor="__RefHeading___Toc9643837_7370918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9643839_73709187">
            <w:r>
              <w:rPr>
                <w:webHidden/>
                <w:rStyle w:val="IndexLink"/>
                <w:rtl w:val="true"/>
              </w:rPr>
              <w:t>تتمیم محلّ الخلاف فی وجوب الکفّارة و عدمه فیما إذا فعله الصبیّ الممیّز</w:t>
            </w:r>
            <w:r>
              <w:rPr>
                <w:rStyle w:val="IndexLink"/>
                <w:rtl w:val="true"/>
              </w:rPr>
              <w:tab/>
            </w:r>
            <w:r>
              <w:rPr>
                <w:rStyle w:val="IndexLink"/>
              </w:rPr>
              <w:t>318</w:t>
            </w:r>
          </w:hyperlink>
        </w:p>
        <w:p>
          <w:pPr>
            <w:pStyle w:val="Contents6"/>
            <w:tabs>
              <w:tab w:val="clear" w:pos="7609"/>
              <w:tab w:val="right" w:pos="9026" w:leader="dot"/>
            </w:tabs>
            <w:rPr/>
          </w:pPr>
          <w:hyperlink w:anchor="__RefHeading___Toc9643841_73709187">
            <w:r>
              <w:rPr>
                <w:webHidden/>
                <w:rStyle w:val="IndexLink"/>
                <w:rtl w:val="true"/>
              </w:rPr>
              <w:t>فروع</w:t>
            </w:r>
            <w:r>
              <w:rPr>
                <w:rStyle w:val="IndexLink"/>
                <w:rtl w:val="true"/>
              </w:rPr>
              <w:tab/>
            </w:r>
            <w:r>
              <w:rPr>
                <w:rStyle w:val="IndexLink"/>
              </w:rPr>
              <w:t>318</w:t>
            </w:r>
          </w:hyperlink>
        </w:p>
        <w:p>
          <w:pPr>
            <w:pStyle w:val="Contents6"/>
            <w:tabs>
              <w:tab w:val="clear" w:pos="7609"/>
              <w:tab w:val="right" w:pos="9026" w:leader="dot"/>
            </w:tabs>
            <w:rPr/>
          </w:pPr>
          <w:hyperlink w:anchor="__RefHeading___Toc9643843_73709187">
            <w:r>
              <w:rPr>
                <w:webHidden/>
                <w:rStyle w:val="IndexLink"/>
                <w:rtl w:val="true"/>
              </w:rPr>
              <w:t>الفرع الأوّل فعل الولیّ فی الصبی ما یحرم علی المحرم مباشرته</w:t>
            </w:r>
            <w:r>
              <w:rPr>
                <w:rStyle w:val="IndexLink"/>
                <w:rtl w:val="true"/>
              </w:rPr>
              <w:tab/>
            </w:r>
            <w:r>
              <w:rPr>
                <w:rStyle w:val="IndexLink"/>
              </w:rPr>
              <w:t>318</w:t>
            </w:r>
          </w:hyperlink>
        </w:p>
        <w:p>
          <w:pPr>
            <w:pStyle w:val="Contents6"/>
            <w:tabs>
              <w:tab w:val="clear" w:pos="7609"/>
              <w:tab w:val="right" w:pos="9026" w:leader="dot"/>
            </w:tabs>
            <w:rPr/>
          </w:pPr>
          <w:hyperlink w:anchor="__RefHeading___Toc9643845_73709187">
            <w:r>
              <w:rPr>
                <w:webHidden/>
                <w:rStyle w:val="IndexLink"/>
                <w:rtl w:val="true"/>
              </w:rPr>
              <w:t>الفرع الثانی لو زوّج المحرم البالغ غیره أو تزوّج لنفسه فعل محرّما و کان النکاح باطلا</w:t>
            </w:r>
            <w:r>
              <w:rPr>
                <w:rStyle w:val="IndexLink"/>
                <w:rtl w:val="true"/>
              </w:rPr>
              <w:tab/>
            </w:r>
            <w:r>
              <w:rPr>
                <w:rStyle w:val="IndexLink"/>
              </w:rPr>
              <w:t>319</w:t>
            </w:r>
          </w:hyperlink>
        </w:p>
        <w:p>
          <w:pPr>
            <w:pStyle w:val="Contents3"/>
            <w:tabs>
              <w:tab w:val="clear" w:pos="8459"/>
              <w:tab w:val="right" w:pos="9026" w:leader="dot"/>
            </w:tabs>
            <w:rPr/>
          </w:pPr>
          <w:hyperlink w:anchor="__RefHeading___Toc9643847_73709187">
            <w:r>
              <w:rPr>
                <w:webHidden/>
                <w:rStyle w:val="IndexLink"/>
                <w:rtl w:val="true"/>
              </w:rPr>
              <w:t>المبحث التاسع</w:t>
            </w:r>
            <w:r>
              <w:rPr>
                <w:rStyle w:val="IndexLink"/>
                <w:rtl w:val="true"/>
              </w:rPr>
              <w:t xml:space="preserve">: </w:t>
            </w:r>
            <w:r>
              <w:rPr>
                <w:rStyle w:val="IndexLink"/>
                <w:rtl w:val="true"/>
              </w:rPr>
              <w:t>کیفیّة أفعال الحجّ للصبیّ</w:t>
            </w:r>
            <w:r>
              <w:rPr>
                <w:rStyle w:val="IndexLink"/>
                <w:rtl w:val="true"/>
              </w:rPr>
              <w:tab/>
            </w:r>
            <w:r>
              <w:rPr>
                <w:rStyle w:val="IndexLink"/>
              </w:rPr>
              <w:t>324</w:t>
            </w:r>
          </w:hyperlink>
        </w:p>
        <w:p>
          <w:pPr>
            <w:pStyle w:val="Contents4"/>
            <w:tabs>
              <w:tab w:val="clear" w:pos="8176"/>
              <w:tab w:val="right" w:pos="9026" w:leader="dot"/>
            </w:tabs>
            <w:rPr/>
          </w:pPr>
          <w:hyperlink w:anchor="__RefHeading___Toc9643849_7370918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9643851_73709187">
            <w:r>
              <w:rPr>
                <w:webHidden/>
                <w:rStyle w:val="IndexLink"/>
                <w:rtl w:val="true"/>
              </w:rPr>
              <w:t>رأی أهل السنّة فی کیفیّة أفعال حجّ الصبیّ</w:t>
            </w:r>
            <w:r>
              <w:rPr>
                <w:rStyle w:val="IndexLink"/>
                <w:rtl w:val="true"/>
              </w:rPr>
              <w:tab/>
            </w:r>
            <w:r>
              <w:rPr>
                <w:rStyle w:val="IndexLink"/>
              </w:rPr>
              <w:t>328</w:t>
            </w:r>
          </w:hyperlink>
        </w:p>
        <w:p>
          <w:pPr>
            <w:pStyle w:val="Contents3"/>
            <w:tabs>
              <w:tab w:val="clear" w:pos="8459"/>
              <w:tab w:val="right" w:pos="9026" w:leader="dot"/>
            </w:tabs>
            <w:rPr/>
          </w:pPr>
          <w:hyperlink w:anchor="__RefHeading___Toc9643853_73709187">
            <w:r>
              <w:rPr>
                <w:webHidden/>
                <w:rStyle w:val="IndexLink"/>
                <w:rtl w:val="true"/>
              </w:rPr>
              <w:t>المبحث العاشر</w:t>
            </w:r>
            <w:r>
              <w:rPr>
                <w:rStyle w:val="IndexLink"/>
                <w:rtl w:val="true"/>
              </w:rPr>
              <w:t xml:space="preserve">: </w:t>
            </w:r>
            <w:r>
              <w:rPr>
                <w:rStyle w:val="IndexLink"/>
                <w:rtl w:val="true"/>
              </w:rPr>
              <w:t>شرائط الطواف و أجزاؤه بالنسبة إلی الصبیّ</w:t>
            </w:r>
            <w:r>
              <w:rPr>
                <w:rStyle w:val="IndexLink"/>
                <w:rtl w:val="true"/>
              </w:rPr>
              <w:tab/>
            </w:r>
            <w:r>
              <w:rPr>
                <w:rStyle w:val="IndexLink"/>
              </w:rPr>
              <w:t>330</w:t>
            </w:r>
          </w:hyperlink>
        </w:p>
        <w:p>
          <w:pPr>
            <w:pStyle w:val="Contents4"/>
            <w:tabs>
              <w:tab w:val="clear" w:pos="8176"/>
              <w:tab w:val="right" w:pos="9026" w:leader="dot"/>
            </w:tabs>
            <w:rPr/>
          </w:pPr>
          <w:hyperlink w:anchor="__RefHeading___Toc9643855_7370918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9643857_73709187">
            <w:r>
              <w:rPr>
                <w:webHidden/>
                <w:rStyle w:val="IndexLink"/>
                <w:rtl w:val="true"/>
              </w:rPr>
              <w:t xml:space="preserve">الأوّل </w:t>
            </w:r>
            <w:r>
              <w:rPr>
                <w:rStyle w:val="IndexLink"/>
                <w:rtl w:val="true"/>
              </w:rPr>
              <w:t xml:space="preserve">- </w:t>
            </w:r>
            <w:r>
              <w:rPr>
                <w:rStyle w:val="IndexLink"/>
                <w:rtl w:val="true"/>
              </w:rPr>
              <w:t>حکم طهارة الصبیّ فی الطواف</w:t>
            </w:r>
            <w:r>
              <w:rPr>
                <w:rStyle w:val="IndexLink"/>
                <w:rtl w:val="true"/>
              </w:rPr>
              <w:tab/>
            </w:r>
            <w:r>
              <w:rPr>
                <w:rStyle w:val="IndexLink"/>
              </w:rPr>
              <w:t>331</w:t>
            </w:r>
          </w:hyperlink>
        </w:p>
        <w:p>
          <w:pPr>
            <w:pStyle w:val="Contents5"/>
            <w:tabs>
              <w:tab w:val="clear" w:pos="7892"/>
              <w:tab w:val="right" w:pos="9026" w:leader="dot"/>
            </w:tabs>
            <w:rPr/>
          </w:pPr>
          <w:hyperlink w:anchor="__RefHeading___Toc9643859_7370918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9643861_73709187">
            <w:r>
              <w:rPr>
                <w:webHidden/>
                <w:rStyle w:val="IndexLink"/>
                <w:rtl w:val="true"/>
              </w:rPr>
              <w:t>الأوّل</w:t>
            </w:r>
            <w:r>
              <w:rPr>
                <w:rStyle w:val="IndexLink"/>
                <w:rtl w:val="true"/>
              </w:rPr>
              <w:t xml:space="preserve">: </w:t>
            </w:r>
            <w:r>
              <w:rPr>
                <w:rStyle w:val="IndexLink"/>
                <w:rtl w:val="true"/>
              </w:rPr>
              <w:t>الصبیّ الممیّز</w:t>
            </w:r>
            <w:r>
              <w:rPr>
                <w:rStyle w:val="IndexLink"/>
                <w:rtl w:val="true"/>
              </w:rPr>
              <w:tab/>
            </w:r>
            <w:r>
              <w:rPr>
                <w:rStyle w:val="IndexLink"/>
              </w:rPr>
              <w:t>331</w:t>
            </w:r>
          </w:hyperlink>
        </w:p>
        <w:p>
          <w:pPr>
            <w:pStyle w:val="Contents5"/>
            <w:tabs>
              <w:tab w:val="clear" w:pos="7892"/>
              <w:tab w:val="right" w:pos="9026" w:leader="dot"/>
            </w:tabs>
            <w:rPr/>
          </w:pPr>
          <w:hyperlink w:anchor="__RefHeading___Toc9643863_73709187">
            <w:r>
              <w:rPr>
                <w:webHidden/>
                <w:rStyle w:val="IndexLink"/>
                <w:rtl w:val="true"/>
              </w:rPr>
              <w:t>المقام الثانی</w:t>
            </w:r>
            <w:r>
              <w:rPr>
                <w:rStyle w:val="IndexLink"/>
                <w:rtl w:val="true"/>
              </w:rPr>
              <w:t xml:space="preserve">: </w:t>
            </w:r>
            <w:r>
              <w:rPr>
                <w:rStyle w:val="IndexLink"/>
                <w:rtl w:val="true"/>
              </w:rPr>
              <w:t>الصبیّ غیر الممیّز</w:t>
            </w:r>
            <w:r>
              <w:rPr>
                <w:rStyle w:val="IndexLink"/>
                <w:rtl w:val="true"/>
              </w:rPr>
              <w:tab/>
            </w:r>
            <w:r>
              <w:rPr>
                <w:rStyle w:val="IndexLink"/>
              </w:rPr>
              <w:t>333</w:t>
            </w:r>
          </w:hyperlink>
        </w:p>
        <w:p>
          <w:pPr>
            <w:pStyle w:val="Contents6"/>
            <w:tabs>
              <w:tab w:val="clear" w:pos="7609"/>
              <w:tab w:val="right" w:pos="9026" w:leader="dot"/>
            </w:tabs>
            <w:rPr/>
          </w:pPr>
          <w:hyperlink w:anchor="__RefHeading___Toc9643865_73709187">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9643867_73709187">
            <w:r>
              <w:rPr>
                <w:webHidden/>
                <w:rStyle w:val="IndexLink"/>
                <w:rtl w:val="true"/>
              </w:rPr>
              <w:t>هل یشترط فی صحّة طواف الصبی طهارة نفسه، أو طهارة ولیّه، أو طهارتهما معا، أو لم تشترط الطهارة لا فی ولیّه و لا فی الصبیّ</w:t>
            </w:r>
            <w:r>
              <w:rPr>
                <w:rStyle w:val="IndexLink"/>
                <w:rtl w:val="true"/>
              </w:rPr>
              <w:tab/>
            </w:r>
            <w:r>
              <w:rPr>
                <w:rStyle w:val="IndexLink"/>
              </w:rPr>
              <w:t>335</w:t>
            </w:r>
          </w:hyperlink>
        </w:p>
        <w:p>
          <w:pPr>
            <w:pStyle w:val="Contents6"/>
            <w:tabs>
              <w:tab w:val="clear" w:pos="7609"/>
              <w:tab w:val="right" w:pos="9026" w:leader="dot"/>
            </w:tabs>
            <w:rPr/>
          </w:pPr>
          <w:hyperlink w:anchor="__RefHeading___Toc9643869_73709187">
            <w:r>
              <w:rPr>
                <w:webHidden/>
                <w:rStyle w:val="IndexLink"/>
                <w:rtl w:val="true"/>
              </w:rPr>
              <w:t>القول الأوّل</w:t>
            </w:r>
            <w:r>
              <w:rPr>
                <w:rStyle w:val="IndexLink"/>
                <w:rtl w:val="true"/>
              </w:rPr>
              <w:t xml:space="preserve">: </w:t>
            </w:r>
            <w:r>
              <w:rPr>
                <w:rStyle w:val="IndexLink"/>
                <w:rtl w:val="true"/>
              </w:rPr>
              <w:t>لزوم طهارتهما</w:t>
            </w:r>
            <w:r>
              <w:rPr>
                <w:rStyle w:val="IndexLink"/>
                <w:rtl w:val="true"/>
              </w:rPr>
              <w:tab/>
            </w:r>
            <w:r>
              <w:rPr>
                <w:rStyle w:val="IndexLink"/>
              </w:rPr>
              <w:t>335</w:t>
            </w:r>
          </w:hyperlink>
        </w:p>
        <w:p>
          <w:pPr>
            <w:pStyle w:val="Contents6"/>
            <w:tabs>
              <w:tab w:val="clear" w:pos="7609"/>
              <w:tab w:val="right" w:pos="9026" w:leader="dot"/>
            </w:tabs>
            <w:rPr/>
          </w:pPr>
          <w:hyperlink w:anchor="__RefHeading___Toc9643871_73709187">
            <w:r>
              <w:rPr>
                <w:webHidden/>
                <w:rStyle w:val="IndexLink"/>
                <w:rtl w:val="true"/>
              </w:rPr>
              <w:t>القول الثانی</w:t>
            </w:r>
            <w:r>
              <w:rPr>
                <w:rStyle w:val="IndexLink"/>
                <w:rtl w:val="true"/>
              </w:rPr>
              <w:t xml:space="preserve">: </w:t>
            </w:r>
            <w:r>
              <w:rPr>
                <w:rStyle w:val="IndexLink"/>
                <w:rtl w:val="true"/>
              </w:rPr>
              <w:t>الاکتفاء بطهارة الولیّ فقط</w:t>
            </w:r>
            <w:r>
              <w:rPr>
                <w:rStyle w:val="IndexLink"/>
                <w:rtl w:val="true"/>
              </w:rPr>
              <w:tab/>
            </w:r>
            <w:r>
              <w:rPr>
                <w:rStyle w:val="IndexLink"/>
              </w:rPr>
              <w:t>337</w:t>
            </w:r>
          </w:hyperlink>
        </w:p>
        <w:p>
          <w:pPr>
            <w:pStyle w:val="Contents6"/>
            <w:tabs>
              <w:tab w:val="clear" w:pos="7609"/>
              <w:tab w:val="right" w:pos="9026" w:leader="dot"/>
            </w:tabs>
            <w:rPr/>
          </w:pPr>
          <w:hyperlink w:anchor="__RefHeading___Toc9643873_73709187">
            <w:r>
              <w:rPr>
                <w:webHidden/>
                <w:rStyle w:val="IndexLink"/>
                <w:rtl w:val="true"/>
              </w:rPr>
              <w:t>القول الثالث</w:t>
            </w:r>
            <w:r>
              <w:rPr>
                <w:rStyle w:val="IndexLink"/>
                <w:rtl w:val="true"/>
              </w:rPr>
              <w:t xml:space="preserve">: </w:t>
            </w:r>
            <w:r>
              <w:rPr>
                <w:rStyle w:val="IndexLink"/>
                <w:rtl w:val="true"/>
              </w:rPr>
              <w:t>کفایة طهارة الطفل و لو صورة</w:t>
            </w:r>
            <w:r>
              <w:rPr>
                <w:rStyle w:val="IndexLink"/>
                <w:rtl w:val="true"/>
              </w:rPr>
              <w:tab/>
            </w:r>
            <w:r>
              <w:rPr>
                <w:rStyle w:val="IndexLink"/>
              </w:rPr>
              <w:t>338</w:t>
            </w:r>
          </w:hyperlink>
        </w:p>
        <w:p>
          <w:pPr>
            <w:pStyle w:val="Contents6"/>
            <w:tabs>
              <w:tab w:val="clear" w:pos="7609"/>
              <w:tab w:val="right" w:pos="9026" w:leader="dot"/>
            </w:tabs>
            <w:rPr/>
          </w:pPr>
          <w:hyperlink w:anchor="__RefHeading___Toc9643875_73709187">
            <w:r>
              <w:rPr>
                <w:webHidden/>
                <w:rStyle w:val="IndexLink"/>
                <w:rtl w:val="true"/>
              </w:rPr>
              <w:t>القول الرابع</w:t>
            </w:r>
            <w:r>
              <w:rPr>
                <w:rStyle w:val="IndexLink"/>
                <w:rtl w:val="true"/>
              </w:rPr>
              <w:t xml:space="preserve">: </w:t>
            </w:r>
            <w:r>
              <w:rPr>
                <w:rStyle w:val="IndexLink"/>
                <w:rtl w:val="true"/>
              </w:rPr>
              <w:t>عدم اشتراط طهارتهما</w:t>
            </w:r>
            <w:r>
              <w:rPr>
                <w:rStyle w:val="IndexLink"/>
                <w:rtl w:val="true"/>
              </w:rPr>
              <w:tab/>
            </w:r>
            <w:r>
              <w:rPr>
                <w:rStyle w:val="IndexLink"/>
              </w:rPr>
              <w:t>340</w:t>
            </w:r>
          </w:hyperlink>
        </w:p>
        <w:p>
          <w:pPr>
            <w:pStyle w:val="Contents6"/>
            <w:tabs>
              <w:tab w:val="clear" w:pos="7609"/>
              <w:tab w:val="right" w:pos="9026" w:leader="dot"/>
            </w:tabs>
            <w:rPr/>
          </w:pPr>
          <w:hyperlink w:anchor="__RefHeading___Toc9643877_73709187">
            <w:r>
              <w:rPr>
                <w:webHidden/>
                <w:rStyle w:val="IndexLink"/>
                <w:rtl w:val="true"/>
              </w:rPr>
              <w:t>آراء أهل السنّة فی اعتبار الطهارة فی طواف الصبیّ</w:t>
            </w:r>
            <w:r>
              <w:rPr>
                <w:rStyle w:val="IndexLink"/>
                <w:rtl w:val="true"/>
              </w:rPr>
              <w:tab/>
            </w:r>
            <w:r>
              <w:rPr>
                <w:rStyle w:val="IndexLink"/>
              </w:rPr>
              <w:t>341</w:t>
            </w:r>
          </w:hyperlink>
        </w:p>
        <w:p>
          <w:pPr>
            <w:pStyle w:val="Contents6"/>
            <w:tabs>
              <w:tab w:val="clear" w:pos="7609"/>
              <w:tab w:val="right" w:pos="9026" w:leader="dot"/>
            </w:tabs>
            <w:rPr/>
          </w:pPr>
          <w:hyperlink w:anchor="__RefHeading___Toc9643879_73709187">
            <w:r>
              <w:rPr>
                <w:webHidden/>
                <w:rStyle w:val="IndexLink"/>
                <w:rtl w:val="true"/>
              </w:rPr>
              <w:t xml:space="preserve">أ </w:t>
            </w:r>
            <w:r>
              <w:rPr>
                <w:rStyle w:val="IndexLink"/>
                <w:rtl w:val="true"/>
              </w:rPr>
              <w:t xml:space="preserve">- </w:t>
            </w:r>
            <w:r>
              <w:rPr>
                <w:rStyle w:val="IndexLink"/>
                <w:rtl w:val="true"/>
              </w:rPr>
              <w:t>الحنابلة</w:t>
            </w:r>
            <w:r>
              <w:rPr>
                <w:rStyle w:val="IndexLink"/>
                <w:rtl w:val="true"/>
              </w:rPr>
              <w:tab/>
            </w:r>
            <w:r>
              <w:rPr>
                <w:rStyle w:val="IndexLink"/>
              </w:rPr>
              <w:t>342</w:t>
            </w:r>
          </w:hyperlink>
        </w:p>
        <w:p>
          <w:pPr>
            <w:pStyle w:val="Contents6"/>
            <w:tabs>
              <w:tab w:val="clear" w:pos="7609"/>
              <w:tab w:val="right" w:pos="9026" w:leader="dot"/>
            </w:tabs>
            <w:rPr/>
          </w:pPr>
          <w:hyperlink w:anchor="__RefHeading___Toc9643881_73709187">
            <w:r>
              <w:rPr>
                <w:webHidden/>
                <w:rStyle w:val="IndexLink"/>
                <w:rtl w:val="true"/>
              </w:rPr>
              <w:t xml:space="preserve">ب </w:t>
            </w:r>
            <w:r>
              <w:rPr>
                <w:rStyle w:val="IndexLink"/>
                <w:rtl w:val="true"/>
              </w:rPr>
              <w:t xml:space="preserve">- </w:t>
            </w:r>
            <w:r>
              <w:rPr>
                <w:rStyle w:val="IndexLink"/>
                <w:rtl w:val="true"/>
              </w:rPr>
              <w:t>المالکیّة</w:t>
            </w:r>
            <w:r>
              <w:rPr>
                <w:rStyle w:val="IndexLink"/>
                <w:rtl w:val="true"/>
              </w:rPr>
              <w:tab/>
            </w:r>
            <w:r>
              <w:rPr>
                <w:rStyle w:val="IndexLink"/>
              </w:rPr>
              <w:t>342</w:t>
            </w:r>
          </w:hyperlink>
        </w:p>
        <w:p>
          <w:pPr>
            <w:pStyle w:val="Contents6"/>
            <w:tabs>
              <w:tab w:val="clear" w:pos="7609"/>
              <w:tab w:val="right" w:pos="9026" w:leader="dot"/>
            </w:tabs>
            <w:rPr/>
          </w:pPr>
          <w:hyperlink w:anchor="__RefHeading___Toc9643883_73709187">
            <w:r>
              <w:rPr>
                <w:webHidden/>
                <w:rStyle w:val="IndexLink"/>
                <w:rtl w:val="true"/>
              </w:rPr>
              <w:t xml:space="preserve">ج </w:t>
            </w:r>
            <w:r>
              <w:rPr>
                <w:rStyle w:val="IndexLink"/>
                <w:rtl w:val="true"/>
              </w:rPr>
              <w:t xml:space="preserve">- </w:t>
            </w:r>
            <w:r>
              <w:rPr>
                <w:rStyle w:val="IndexLink"/>
                <w:rtl w:val="true"/>
              </w:rPr>
              <w:t>الشافعیّة</w:t>
            </w:r>
            <w:r>
              <w:rPr>
                <w:rStyle w:val="IndexLink"/>
                <w:rtl w:val="true"/>
              </w:rPr>
              <w:tab/>
            </w:r>
            <w:r>
              <w:rPr>
                <w:rStyle w:val="IndexLink"/>
              </w:rPr>
              <w:t>342</w:t>
            </w:r>
          </w:hyperlink>
        </w:p>
        <w:p>
          <w:pPr>
            <w:pStyle w:val="Contents4"/>
            <w:tabs>
              <w:tab w:val="clear" w:pos="8176"/>
              <w:tab w:val="right" w:pos="9026" w:leader="dot"/>
            </w:tabs>
            <w:rPr/>
          </w:pPr>
          <w:hyperlink w:anchor="__RefHeading___Toc9643885_73709187">
            <w:r>
              <w:rPr>
                <w:webHidden/>
                <w:rStyle w:val="IndexLink"/>
                <w:rtl w:val="true"/>
              </w:rPr>
              <w:t>المطلب الثانی</w:t>
            </w:r>
            <w:r>
              <w:rPr>
                <w:rStyle w:val="IndexLink"/>
                <w:rtl w:val="true"/>
              </w:rPr>
              <w:t xml:space="preserve">: </w:t>
            </w:r>
            <w:r>
              <w:rPr>
                <w:rStyle w:val="IndexLink"/>
                <w:rtl w:val="true"/>
              </w:rPr>
              <w:t>شرطیّة الختان بالنسبة إلی الصبیّ</w:t>
            </w:r>
            <w:r>
              <w:rPr>
                <w:rStyle w:val="IndexLink"/>
                <w:rtl w:val="true"/>
              </w:rPr>
              <w:tab/>
            </w:r>
            <w:r>
              <w:rPr>
                <w:rStyle w:val="IndexLink"/>
              </w:rPr>
              <w:t>343</w:t>
            </w:r>
          </w:hyperlink>
        </w:p>
        <w:p>
          <w:pPr>
            <w:pStyle w:val="Contents5"/>
            <w:tabs>
              <w:tab w:val="clear" w:pos="7892"/>
              <w:tab w:val="right" w:pos="9026" w:leader="dot"/>
            </w:tabs>
            <w:rPr/>
          </w:pPr>
          <w:hyperlink w:anchor="__RefHeading___Toc9643887_7370918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643889_73709187">
            <w:r>
              <w:rPr>
                <w:webHidden/>
                <w:rStyle w:val="IndexLink"/>
                <w:rtl w:val="true"/>
              </w:rPr>
              <w:t>القول الأوّل</w:t>
            </w:r>
            <w:r>
              <w:rPr>
                <w:rStyle w:val="IndexLink"/>
                <w:rtl w:val="true"/>
              </w:rPr>
              <w:t xml:space="preserve">: </w:t>
            </w:r>
            <w:r>
              <w:rPr>
                <w:rStyle w:val="IndexLink"/>
                <w:rtl w:val="true"/>
              </w:rPr>
              <w:t>عدم اعتبار الختان مطلقا</w:t>
            </w:r>
            <w:r>
              <w:rPr>
                <w:rStyle w:val="IndexLink"/>
                <w:rtl w:val="true"/>
              </w:rPr>
              <w:tab/>
            </w:r>
            <w:r>
              <w:rPr>
                <w:rStyle w:val="IndexLink"/>
              </w:rPr>
              <w:t>344</w:t>
            </w:r>
          </w:hyperlink>
        </w:p>
        <w:p>
          <w:pPr>
            <w:pStyle w:val="Contents6"/>
            <w:tabs>
              <w:tab w:val="clear" w:pos="7609"/>
              <w:tab w:val="right" w:pos="9026" w:leader="dot"/>
            </w:tabs>
            <w:rPr/>
          </w:pPr>
          <w:hyperlink w:anchor="__RefHeading___Toc9643891_7370918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9643893_73709187">
            <w:r>
              <w:rPr>
                <w:webHidden/>
                <w:rStyle w:val="IndexLink"/>
                <w:rtl w:val="true"/>
              </w:rPr>
              <w:t>الأدلّة علی عدم اشتراط الختان فی الصبیّ</w:t>
            </w:r>
            <w:r>
              <w:rPr>
                <w:rStyle w:val="IndexLink"/>
                <w:rtl w:val="true"/>
              </w:rPr>
              <w:tab/>
            </w:r>
            <w:r>
              <w:rPr>
                <w:rStyle w:val="IndexLink"/>
              </w:rPr>
              <w:t>345</w:t>
            </w:r>
          </w:hyperlink>
        </w:p>
        <w:p>
          <w:pPr>
            <w:pStyle w:val="Contents5"/>
            <w:tabs>
              <w:tab w:val="clear" w:pos="7892"/>
              <w:tab w:val="right" w:pos="9026" w:leader="dot"/>
            </w:tabs>
            <w:rPr/>
          </w:pPr>
          <w:hyperlink w:anchor="__RefHeading___Toc9643895_73709187">
            <w:r>
              <w:rPr>
                <w:webHidden/>
                <w:rStyle w:val="IndexLink"/>
                <w:rtl w:val="true"/>
              </w:rPr>
              <w:t>القول الثانی</w:t>
            </w:r>
            <w:r>
              <w:rPr>
                <w:rStyle w:val="IndexLink"/>
                <w:rtl w:val="true"/>
              </w:rPr>
              <w:t xml:space="preserve">: </w:t>
            </w:r>
            <w:r>
              <w:rPr>
                <w:rStyle w:val="IndexLink"/>
                <w:rtl w:val="true"/>
              </w:rPr>
              <w:t>اعتبار الختان مطلقا</w:t>
            </w:r>
            <w:r>
              <w:rPr>
                <w:rStyle w:val="IndexLink"/>
                <w:rtl w:val="true"/>
              </w:rPr>
              <w:tab/>
            </w:r>
            <w:r>
              <w:rPr>
                <w:rStyle w:val="IndexLink"/>
              </w:rPr>
              <w:t>346</w:t>
            </w:r>
          </w:hyperlink>
        </w:p>
        <w:p>
          <w:pPr>
            <w:pStyle w:val="Contents6"/>
            <w:tabs>
              <w:tab w:val="clear" w:pos="7609"/>
              <w:tab w:val="right" w:pos="9026" w:leader="dot"/>
            </w:tabs>
            <w:rPr/>
          </w:pPr>
          <w:hyperlink w:anchor="__RefHeading___Toc9643897_73709187">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9643899_73709187">
            <w:r>
              <w:rPr>
                <w:webHidden/>
                <w:rStyle w:val="IndexLink"/>
                <w:rtl w:val="true"/>
              </w:rPr>
              <w:t>أدلّة اعتبار الختان فی الصبیّ</w:t>
            </w:r>
            <w:r>
              <w:rPr>
                <w:rStyle w:val="IndexLink"/>
                <w:rtl w:val="true"/>
              </w:rPr>
              <w:tab/>
            </w:r>
            <w:r>
              <w:rPr>
                <w:rStyle w:val="IndexLink"/>
              </w:rPr>
              <w:t>347</w:t>
            </w:r>
          </w:hyperlink>
        </w:p>
        <w:p>
          <w:pPr>
            <w:pStyle w:val="Contents5"/>
            <w:tabs>
              <w:tab w:val="clear" w:pos="7892"/>
              <w:tab w:val="right" w:pos="9026" w:leader="dot"/>
            </w:tabs>
            <w:rPr/>
          </w:pPr>
          <w:hyperlink w:anchor="__RefHeading___Toc9643901_73709187">
            <w:r>
              <w:rPr>
                <w:webHidden/>
                <w:rStyle w:val="IndexLink"/>
                <w:rtl w:val="true"/>
              </w:rPr>
              <w:t>القول الثالث</w:t>
            </w:r>
            <w:r>
              <w:rPr>
                <w:rStyle w:val="IndexLink"/>
                <w:rtl w:val="true"/>
              </w:rPr>
              <w:t xml:space="preserve">: </w:t>
            </w:r>
            <w:r>
              <w:rPr>
                <w:rStyle w:val="IndexLink"/>
                <w:rtl w:val="true"/>
              </w:rPr>
              <w:t>التفصیل بین الممیّز و غیره</w:t>
            </w:r>
            <w:r>
              <w:rPr>
                <w:rStyle w:val="IndexLink"/>
                <w:rtl w:val="true"/>
              </w:rPr>
              <w:tab/>
            </w:r>
            <w:r>
              <w:rPr>
                <w:rStyle w:val="IndexLink"/>
              </w:rPr>
              <w:t>349</w:t>
            </w:r>
          </w:hyperlink>
        </w:p>
        <w:p>
          <w:pPr>
            <w:pStyle w:val="Contents6"/>
            <w:tabs>
              <w:tab w:val="clear" w:pos="7609"/>
              <w:tab w:val="right" w:pos="9026" w:leader="dot"/>
            </w:tabs>
            <w:rPr/>
          </w:pPr>
          <w:hyperlink w:anchor="__RefHeading___Toc9643903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9643905_73709187">
            <w:r>
              <w:rPr>
                <w:webHidden/>
                <w:rStyle w:val="IndexLink"/>
                <w:rtl w:val="true"/>
              </w:rPr>
              <w:t>إیضاحان</w:t>
            </w:r>
            <w:r>
              <w:rPr>
                <w:rStyle w:val="IndexLink"/>
                <w:rtl w:val="true"/>
              </w:rPr>
              <w:tab/>
            </w:r>
            <w:r>
              <w:rPr>
                <w:rStyle w:val="IndexLink"/>
              </w:rPr>
              <w:t>350</w:t>
            </w:r>
          </w:hyperlink>
        </w:p>
        <w:p>
          <w:pPr>
            <w:pStyle w:val="Contents6"/>
            <w:tabs>
              <w:tab w:val="clear" w:pos="7609"/>
              <w:tab w:val="right" w:pos="9026" w:leader="dot"/>
            </w:tabs>
            <w:rPr/>
          </w:pPr>
          <w:hyperlink w:anchor="__RefHeading___Toc9643907_73709187">
            <w:r>
              <w:rPr>
                <w:webHidden/>
                <w:rStyle w:val="IndexLink"/>
                <w:rtl w:val="true"/>
              </w:rPr>
              <w:t>فروع</w:t>
            </w:r>
            <w:r>
              <w:rPr>
                <w:rStyle w:val="IndexLink"/>
                <w:rtl w:val="true"/>
              </w:rPr>
              <w:tab/>
            </w:r>
            <w:r>
              <w:rPr>
                <w:rStyle w:val="IndexLink"/>
              </w:rPr>
              <w:t>350</w:t>
            </w:r>
          </w:hyperlink>
        </w:p>
        <w:p>
          <w:pPr>
            <w:pStyle w:val="Contents6"/>
            <w:tabs>
              <w:tab w:val="clear" w:pos="7609"/>
              <w:tab w:val="right" w:pos="9026" w:leader="dot"/>
            </w:tabs>
            <w:rPr/>
          </w:pPr>
          <w:hyperlink w:anchor="__RefHeading___Toc9643909_73709187">
            <w:r>
              <w:rPr>
                <w:webHidden/>
                <w:rStyle w:val="IndexLink"/>
                <w:rtl w:val="true"/>
              </w:rPr>
              <w:t>الأوّل</w:t>
            </w:r>
            <w:r>
              <w:rPr>
                <w:rStyle w:val="IndexLink"/>
                <w:rtl w:val="true"/>
              </w:rPr>
              <w:t xml:space="preserve">: </w:t>
            </w:r>
            <w:r>
              <w:rPr>
                <w:rStyle w:val="IndexLink"/>
                <w:rtl w:val="true"/>
              </w:rPr>
              <w:t>هل یجوز للولیّ الاستنابة فی طواف الصبیّ؟</w:t>
            </w:r>
            <w:r>
              <w:rPr>
                <w:rStyle w:val="IndexLink"/>
                <w:rtl w:val="true"/>
              </w:rPr>
              <w:tab/>
            </w:r>
            <w:r>
              <w:rPr>
                <w:rStyle w:val="IndexLink"/>
              </w:rPr>
              <w:t>350</w:t>
            </w:r>
          </w:hyperlink>
        </w:p>
        <w:p>
          <w:pPr>
            <w:pStyle w:val="Contents6"/>
            <w:tabs>
              <w:tab w:val="clear" w:pos="7609"/>
              <w:tab w:val="right" w:pos="9026" w:leader="dot"/>
            </w:tabs>
            <w:rPr/>
          </w:pPr>
          <w:hyperlink w:anchor="__RefHeading___Toc9643911_73709187">
            <w:r>
              <w:rPr>
                <w:webHidden/>
                <w:rStyle w:val="IndexLink"/>
                <w:rtl w:val="true"/>
              </w:rPr>
              <w:t>الفرع الثانی</w:t>
            </w:r>
            <w:r>
              <w:rPr>
                <w:rStyle w:val="IndexLink"/>
                <w:rtl w:val="true"/>
              </w:rPr>
              <w:t xml:space="preserve">: </w:t>
            </w:r>
            <w:r>
              <w:rPr>
                <w:rStyle w:val="IndexLink"/>
                <w:rtl w:val="true"/>
              </w:rPr>
              <w:t>هل یجوز الاتکال للطفل علی عدد ولیه فی الطواف</w:t>
            </w:r>
            <w:r>
              <w:rPr>
                <w:rStyle w:val="IndexLink"/>
                <w:rtl w:val="true"/>
              </w:rPr>
              <w:tab/>
            </w:r>
            <w:r>
              <w:rPr>
                <w:rStyle w:val="IndexLink"/>
              </w:rPr>
              <w:t>352</w:t>
            </w:r>
          </w:hyperlink>
        </w:p>
        <w:p>
          <w:pPr>
            <w:pStyle w:val="Contents6"/>
            <w:tabs>
              <w:tab w:val="clear" w:pos="7609"/>
              <w:tab w:val="right" w:pos="9026" w:leader="dot"/>
            </w:tabs>
            <w:rPr/>
          </w:pPr>
          <w:hyperlink w:anchor="__RefHeading___Toc9643913_73709187">
            <w:r>
              <w:rPr>
                <w:webHidden/>
                <w:rStyle w:val="IndexLink"/>
                <w:rtl w:val="true"/>
              </w:rPr>
              <w:t>الفرع الثالث</w:t>
            </w:r>
            <w:r>
              <w:rPr>
                <w:rStyle w:val="IndexLink"/>
                <w:rtl w:val="true"/>
              </w:rPr>
              <w:t xml:space="preserve">: </w:t>
            </w:r>
            <w:r>
              <w:rPr>
                <w:rStyle w:val="IndexLink"/>
                <w:rtl w:val="true"/>
              </w:rPr>
              <w:t>لو أرکب الصبی الولیّ دابّة لیطوف به</w:t>
            </w:r>
            <w:r>
              <w:rPr>
                <w:rStyle w:val="IndexLink"/>
                <w:rtl w:val="true"/>
              </w:rPr>
              <w:tab/>
            </w:r>
            <w:r>
              <w:rPr>
                <w:rStyle w:val="IndexLink"/>
              </w:rPr>
              <w:t>353</w:t>
            </w:r>
          </w:hyperlink>
        </w:p>
        <w:p>
          <w:pPr>
            <w:pStyle w:val="Contents6"/>
            <w:tabs>
              <w:tab w:val="clear" w:pos="7609"/>
              <w:tab w:val="right" w:pos="9026" w:leader="dot"/>
            </w:tabs>
            <w:rPr/>
          </w:pPr>
          <w:hyperlink w:anchor="__RefHeading___Toc9643915_73709187">
            <w:r>
              <w:rPr>
                <w:webHidden/>
                <w:rStyle w:val="IndexLink"/>
                <w:rtl w:val="true"/>
              </w:rPr>
              <w:t>الفرع الرابع</w:t>
            </w:r>
            <w:r>
              <w:rPr>
                <w:rStyle w:val="IndexLink"/>
                <w:rtl w:val="true"/>
              </w:rPr>
              <w:t xml:space="preserve">: </w:t>
            </w:r>
            <w:r>
              <w:rPr>
                <w:rStyle w:val="IndexLink"/>
                <w:rtl w:val="true"/>
              </w:rPr>
              <w:t>من طاف به و نوی الطواف به عن نفسه اجزأ عنهما</w:t>
            </w:r>
            <w:r>
              <w:rPr>
                <w:rStyle w:val="IndexLink"/>
                <w:rtl w:val="true"/>
              </w:rPr>
              <w:tab/>
            </w:r>
            <w:r>
              <w:rPr>
                <w:rStyle w:val="IndexLink"/>
              </w:rPr>
              <w:t>353</w:t>
            </w:r>
          </w:hyperlink>
        </w:p>
        <w:p>
          <w:pPr>
            <w:pStyle w:val="Contents6"/>
            <w:tabs>
              <w:tab w:val="clear" w:pos="7609"/>
              <w:tab w:val="right" w:pos="9026" w:leader="dot"/>
            </w:tabs>
            <w:rPr/>
          </w:pPr>
          <w:hyperlink w:anchor="__RefHeading___Toc9643917_73709187">
            <w:r>
              <w:rPr>
                <w:webHidden/>
                <w:rStyle w:val="IndexLink"/>
                <w:rtl w:val="true"/>
              </w:rPr>
              <w:t>آراء بعض فقهاء أهل السنّة فی الفرع الرابع</w:t>
            </w:r>
            <w:r>
              <w:rPr>
                <w:rStyle w:val="IndexLink"/>
                <w:rtl w:val="true"/>
              </w:rPr>
              <w:tab/>
            </w:r>
            <w:r>
              <w:rPr>
                <w:rStyle w:val="IndexLink"/>
              </w:rPr>
              <w:t>355</w:t>
            </w:r>
          </w:hyperlink>
        </w:p>
        <w:p>
          <w:pPr>
            <w:pStyle w:val="Contents3"/>
            <w:tabs>
              <w:tab w:val="clear" w:pos="8459"/>
              <w:tab w:val="right" w:pos="9026" w:leader="dot"/>
            </w:tabs>
            <w:rPr/>
          </w:pPr>
          <w:hyperlink w:anchor="__RefHeading___Toc9643919_73709187">
            <w:r>
              <w:rPr>
                <w:webHidden/>
                <w:rStyle w:val="IndexLink"/>
                <w:rtl w:val="true"/>
              </w:rPr>
              <w:t>المبحث الحادی عشر</w:t>
            </w:r>
            <w:r>
              <w:rPr>
                <w:rStyle w:val="IndexLink"/>
                <w:rtl w:val="true"/>
              </w:rPr>
              <w:t xml:space="preserve">: </w:t>
            </w:r>
            <w:r>
              <w:rPr>
                <w:rStyle w:val="IndexLink"/>
                <w:rtl w:val="true"/>
              </w:rPr>
              <w:t>صلاة طواف الصبیّ</w:t>
            </w:r>
            <w:r>
              <w:rPr>
                <w:rStyle w:val="IndexLink"/>
                <w:rtl w:val="true"/>
              </w:rPr>
              <w:tab/>
            </w:r>
            <w:r>
              <w:rPr>
                <w:rStyle w:val="IndexLink"/>
              </w:rPr>
              <w:t>357</w:t>
            </w:r>
          </w:hyperlink>
        </w:p>
        <w:p>
          <w:pPr>
            <w:pStyle w:val="Contents4"/>
            <w:tabs>
              <w:tab w:val="clear" w:pos="8176"/>
              <w:tab w:val="right" w:pos="9026" w:leader="dot"/>
            </w:tabs>
            <w:rPr/>
          </w:pPr>
          <w:hyperlink w:anchor="__RefHeading___Toc9643921_7370918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9643923_73709187">
            <w:r>
              <w:rPr>
                <w:webHidden/>
                <w:rStyle w:val="IndexLink"/>
                <w:rtl w:val="true"/>
              </w:rPr>
              <w:t>مذهب أهل السنّة فی المسألة</w:t>
            </w:r>
            <w:r>
              <w:rPr>
                <w:rStyle w:val="IndexLink"/>
                <w:rtl w:val="true"/>
              </w:rPr>
              <w:tab/>
            </w:r>
            <w:r>
              <w:rPr>
                <w:rStyle w:val="IndexLink"/>
              </w:rPr>
              <w:t>358</w:t>
            </w:r>
          </w:hyperlink>
        </w:p>
        <w:p>
          <w:pPr>
            <w:pStyle w:val="Contents3"/>
            <w:tabs>
              <w:tab w:val="clear" w:pos="8459"/>
              <w:tab w:val="right" w:pos="9026" w:leader="dot"/>
            </w:tabs>
            <w:rPr/>
          </w:pPr>
          <w:hyperlink w:anchor="__RefHeading___Toc9643925_73709187">
            <w:r>
              <w:rPr>
                <w:webHidden/>
                <w:rStyle w:val="IndexLink"/>
                <w:rtl w:val="true"/>
              </w:rPr>
              <w:t>المبحث الثانی عشر</w:t>
            </w:r>
            <w:r>
              <w:rPr>
                <w:rStyle w:val="IndexLink"/>
                <w:rtl w:val="true"/>
              </w:rPr>
              <w:t xml:space="preserve">: </w:t>
            </w:r>
            <w:r>
              <w:rPr>
                <w:rStyle w:val="IndexLink"/>
                <w:rtl w:val="true"/>
              </w:rPr>
              <w:t>حکم بقیّة مناسک حجّ الصبیّ</w:t>
            </w:r>
            <w:r>
              <w:rPr>
                <w:rStyle w:val="IndexLink"/>
                <w:rtl w:val="true"/>
              </w:rPr>
              <w:tab/>
            </w:r>
            <w:r>
              <w:rPr>
                <w:rStyle w:val="IndexLink"/>
              </w:rPr>
              <w:t>360</w:t>
            </w:r>
          </w:hyperlink>
        </w:p>
        <w:p>
          <w:pPr>
            <w:pStyle w:val="Contents4"/>
            <w:tabs>
              <w:tab w:val="clear" w:pos="8176"/>
              <w:tab w:val="right" w:pos="9026" w:leader="dot"/>
            </w:tabs>
            <w:rPr/>
          </w:pPr>
          <w:hyperlink w:anchor="__RefHeading___Toc9643927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9643929_73709187">
            <w:r>
              <w:rPr>
                <w:webHidden/>
                <w:rStyle w:val="IndexLink"/>
                <w:rtl w:val="true"/>
              </w:rPr>
              <w:t>جواز خروج الصّبیان من المزدلفة قبل الفجر</w:t>
            </w:r>
            <w:r>
              <w:rPr>
                <w:rStyle w:val="IndexLink"/>
                <w:rtl w:val="true"/>
              </w:rPr>
              <w:tab/>
            </w:r>
            <w:r>
              <w:rPr>
                <w:rStyle w:val="IndexLink"/>
              </w:rPr>
              <w:t>362</w:t>
            </w:r>
          </w:hyperlink>
        </w:p>
        <w:p>
          <w:pPr>
            <w:pStyle w:val="Contents4"/>
            <w:tabs>
              <w:tab w:val="clear" w:pos="8176"/>
              <w:tab w:val="right" w:pos="9026" w:leader="dot"/>
            </w:tabs>
            <w:rPr/>
          </w:pPr>
          <w:hyperlink w:anchor="__RefHeading___Toc9643931_73709187">
            <w:r>
              <w:rPr>
                <w:webHidden/>
                <w:rStyle w:val="IndexLink"/>
                <w:rtl w:val="true"/>
              </w:rPr>
              <w:t>النّیابة عن الصبیّ فی الرمی</w:t>
            </w:r>
            <w:r>
              <w:rPr>
                <w:rStyle w:val="IndexLink"/>
                <w:rtl w:val="true"/>
              </w:rPr>
              <w:tab/>
            </w:r>
            <w:r>
              <w:rPr>
                <w:rStyle w:val="IndexLink"/>
              </w:rPr>
              <w:t>364</w:t>
            </w:r>
          </w:hyperlink>
        </w:p>
        <w:p>
          <w:pPr>
            <w:pStyle w:val="Contents4"/>
            <w:tabs>
              <w:tab w:val="clear" w:pos="8176"/>
              <w:tab w:val="right" w:pos="9026" w:leader="dot"/>
            </w:tabs>
            <w:rPr/>
          </w:pPr>
          <w:hyperlink w:anchor="__RefHeading___Toc9643933_73709187">
            <w:r>
              <w:rPr>
                <w:webHidden/>
                <w:rStyle w:val="IndexLink"/>
                <w:rtl w:val="true"/>
              </w:rPr>
              <w:t>آراء أهل السنّة فی المقام</w:t>
            </w:r>
            <w:r>
              <w:rPr>
                <w:rStyle w:val="IndexLink"/>
                <w:rtl w:val="true"/>
              </w:rPr>
              <w:tab/>
            </w:r>
            <w:r>
              <w:rPr>
                <w:rStyle w:val="IndexLink"/>
              </w:rPr>
              <w:t>366</w:t>
            </w:r>
          </w:hyperlink>
        </w:p>
        <w:p>
          <w:pPr>
            <w:pStyle w:val="Contents3"/>
            <w:tabs>
              <w:tab w:val="clear" w:pos="8459"/>
              <w:tab w:val="right" w:pos="9026" w:leader="dot"/>
            </w:tabs>
            <w:rPr/>
          </w:pPr>
          <w:hyperlink w:anchor="__RefHeading___Toc9643935_73709187">
            <w:r>
              <w:rPr>
                <w:webHidden/>
                <w:rStyle w:val="IndexLink"/>
                <w:rtl w:val="true"/>
              </w:rPr>
              <w:t>المبحث الثالث عشر</w:t>
            </w:r>
            <w:r>
              <w:rPr>
                <w:rStyle w:val="IndexLink"/>
                <w:rtl w:val="true"/>
              </w:rPr>
              <w:t xml:space="preserve">: </w:t>
            </w:r>
            <w:r>
              <w:rPr>
                <w:rStyle w:val="IndexLink"/>
                <w:rtl w:val="true"/>
              </w:rPr>
              <w:t>الهدی فی حجّ الصبیّ</w:t>
            </w:r>
            <w:r>
              <w:rPr>
                <w:rStyle w:val="IndexLink"/>
                <w:rtl w:val="true"/>
              </w:rPr>
              <w:tab/>
            </w:r>
            <w:r>
              <w:rPr>
                <w:rStyle w:val="IndexLink"/>
              </w:rPr>
              <w:t>369</w:t>
            </w:r>
          </w:hyperlink>
        </w:p>
        <w:p>
          <w:pPr>
            <w:pStyle w:val="Contents4"/>
            <w:tabs>
              <w:tab w:val="clear" w:pos="8176"/>
              <w:tab w:val="right" w:pos="9026" w:leader="dot"/>
            </w:tabs>
            <w:rPr/>
          </w:pPr>
          <w:hyperlink w:anchor="__RefHeading___Toc9643937_7370918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9643939_73709187">
            <w:r>
              <w:rPr>
                <w:webHidden/>
                <w:rStyle w:val="IndexLink"/>
                <w:rtl w:val="true"/>
              </w:rPr>
              <w:t>المقام الأوّل</w:t>
            </w:r>
            <w:r>
              <w:rPr>
                <w:rStyle w:val="IndexLink"/>
                <w:rtl w:val="true"/>
              </w:rPr>
              <w:t xml:space="preserve">: </w:t>
            </w:r>
            <w:r>
              <w:rPr>
                <w:rStyle w:val="IndexLink"/>
                <w:rtl w:val="true"/>
              </w:rPr>
              <w:t>الهدی فی حجّ الصبیّ غیر الممیّز</w:t>
            </w:r>
            <w:r>
              <w:rPr>
                <w:rStyle w:val="IndexLink"/>
                <w:rtl w:val="true"/>
              </w:rPr>
              <w:tab/>
            </w:r>
            <w:r>
              <w:rPr>
                <w:rStyle w:val="IndexLink"/>
              </w:rPr>
              <w:t>369</w:t>
            </w:r>
          </w:hyperlink>
        </w:p>
        <w:p>
          <w:pPr>
            <w:pStyle w:val="Contents5"/>
            <w:tabs>
              <w:tab w:val="clear" w:pos="7892"/>
              <w:tab w:val="right" w:pos="9026" w:leader="dot"/>
            </w:tabs>
            <w:rPr/>
          </w:pPr>
          <w:hyperlink w:anchor="__RefHeading___Toc9643941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9643943_73709187">
            <w:r>
              <w:rPr>
                <w:webHidden/>
                <w:rStyle w:val="IndexLink"/>
                <w:rtl w:val="true"/>
              </w:rPr>
              <w:t>أدلّة وجوب الهدی علی الولیّ فی حجّ الصبیّ غیر الممیّز</w:t>
            </w:r>
            <w:r>
              <w:rPr>
                <w:rStyle w:val="IndexLink"/>
                <w:rtl w:val="true"/>
              </w:rPr>
              <w:tab/>
            </w:r>
            <w:r>
              <w:rPr>
                <w:rStyle w:val="IndexLink"/>
              </w:rPr>
              <w:t>370</w:t>
            </w:r>
          </w:hyperlink>
        </w:p>
        <w:p>
          <w:pPr>
            <w:pStyle w:val="Contents6"/>
            <w:tabs>
              <w:tab w:val="clear" w:pos="7609"/>
              <w:tab w:val="right" w:pos="9026" w:leader="dot"/>
            </w:tabs>
            <w:rPr/>
          </w:pPr>
          <w:hyperlink w:anchor="__RefHeading___Toc9643945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9643947_73709187">
            <w:r>
              <w:rPr>
                <w:webHidden/>
                <w:rStyle w:val="IndexLink"/>
                <w:rtl w:val="true"/>
              </w:rPr>
              <w:t>دخول الغلمان بعمرة بغیر احرام</w:t>
            </w:r>
            <w:r>
              <w:rPr>
                <w:rStyle w:val="IndexLink"/>
                <w:rtl w:val="true"/>
              </w:rPr>
              <w:tab/>
            </w:r>
            <w:r>
              <w:rPr>
                <w:rStyle w:val="IndexLink"/>
              </w:rPr>
              <w:t>373</w:t>
            </w:r>
          </w:hyperlink>
        </w:p>
        <w:p>
          <w:pPr>
            <w:pStyle w:val="Contents5"/>
            <w:tabs>
              <w:tab w:val="clear" w:pos="7892"/>
              <w:tab w:val="right" w:pos="9026" w:leader="dot"/>
            </w:tabs>
            <w:rPr/>
          </w:pPr>
          <w:hyperlink w:anchor="__RefHeading___Toc9643949_73709187">
            <w:r>
              <w:rPr>
                <w:webHidden/>
                <w:rStyle w:val="IndexLink"/>
                <w:rtl w:val="true"/>
              </w:rPr>
              <w:t>بدل الهدی علی الولیّ</w:t>
            </w:r>
            <w:r>
              <w:rPr>
                <w:rStyle w:val="IndexLink"/>
                <w:rtl w:val="true"/>
              </w:rPr>
              <w:tab/>
            </w:r>
            <w:r>
              <w:rPr>
                <w:rStyle w:val="IndexLink"/>
              </w:rPr>
              <w:t>375</w:t>
            </w:r>
          </w:hyperlink>
        </w:p>
        <w:p>
          <w:pPr>
            <w:pStyle w:val="Contents5"/>
            <w:tabs>
              <w:tab w:val="clear" w:pos="7892"/>
              <w:tab w:val="right" w:pos="9026" w:leader="dot"/>
            </w:tabs>
            <w:rPr/>
          </w:pPr>
          <w:hyperlink w:anchor="__RefHeading___Toc9643951_73709187">
            <w:r>
              <w:rPr>
                <w:webHidden/>
                <w:rStyle w:val="IndexLink"/>
                <w:rtl w:val="true"/>
              </w:rPr>
              <w:t>أدلّة هذا الحکم</w:t>
            </w:r>
            <w:r>
              <w:rPr>
                <w:rStyle w:val="IndexLink"/>
                <w:rtl w:val="true"/>
              </w:rPr>
              <w:tab/>
            </w:r>
            <w:r>
              <w:rPr>
                <w:rStyle w:val="IndexLink"/>
              </w:rPr>
              <w:t>376</w:t>
            </w:r>
          </w:hyperlink>
        </w:p>
        <w:p>
          <w:pPr>
            <w:pStyle w:val="Contents4"/>
            <w:tabs>
              <w:tab w:val="clear" w:pos="8176"/>
              <w:tab w:val="right" w:pos="9026" w:leader="dot"/>
            </w:tabs>
            <w:rPr/>
          </w:pPr>
          <w:hyperlink w:anchor="__RefHeading___Toc9643953_73709187">
            <w:r>
              <w:rPr>
                <w:webHidden/>
                <w:rStyle w:val="IndexLink"/>
                <w:rtl w:val="true"/>
              </w:rPr>
              <w:t>المقام الثّانی</w:t>
            </w:r>
            <w:r>
              <w:rPr>
                <w:rStyle w:val="IndexLink"/>
                <w:rtl w:val="true"/>
              </w:rPr>
              <w:t xml:space="preserve">: </w:t>
            </w:r>
            <w:r>
              <w:rPr>
                <w:rStyle w:val="IndexLink"/>
                <w:rtl w:val="true"/>
              </w:rPr>
              <w:t>الهدی فی حجّ الصبیّ الممیّز</w:t>
            </w:r>
            <w:r>
              <w:rPr>
                <w:rStyle w:val="IndexLink"/>
                <w:rtl w:val="true"/>
              </w:rPr>
              <w:tab/>
            </w:r>
            <w:r>
              <w:rPr>
                <w:rStyle w:val="IndexLink"/>
              </w:rPr>
              <w:t>377</w:t>
            </w:r>
          </w:hyperlink>
        </w:p>
        <w:p>
          <w:pPr>
            <w:pStyle w:val="Contents5"/>
            <w:tabs>
              <w:tab w:val="clear" w:pos="7892"/>
              <w:tab w:val="right" w:pos="9026" w:leader="dot"/>
            </w:tabs>
            <w:rPr/>
          </w:pPr>
          <w:hyperlink w:anchor="__RefHeading___Toc9643955_7370918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9643957_73709187">
            <w:r>
              <w:rPr>
                <w:webHidden/>
                <w:rStyle w:val="IndexLink"/>
                <w:rtl w:val="true"/>
              </w:rPr>
              <w:t>أدلّة جواز أمر الولیّ الصبیّ بالصیام</w:t>
            </w:r>
            <w:r>
              <w:rPr>
                <w:rStyle w:val="IndexLink"/>
                <w:rtl w:val="true"/>
              </w:rPr>
              <w:tab/>
            </w:r>
            <w:r>
              <w:rPr>
                <w:rStyle w:val="IndexLink"/>
              </w:rPr>
              <w:t>378</w:t>
            </w:r>
          </w:hyperlink>
        </w:p>
        <w:p>
          <w:pPr>
            <w:pStyle w:val="Contents5"/>
            <w:tabs>
              <w:tab w:val="clear" w:pos="7892"/>
              <w:tab w:val="right" w:pos="9026" w:leader="dot"/>
            </w:tabs>
            <w:rPr/>
          </w:pPr>
          <w:hyperlink w:anchor="__RefHeading___Toc9643959_73709187">
            <w:r>
              <w:rPr>
                <w:webHidden/>
                <w:rStyle w:val="IndexLink"/>
                <w:rtl w:val="true"/>
              </w:rPr>
              <w:t>الهدی علی الصبیّ</w:t>
            </w:r>
            <w:r>
              <w:rPr>
                <w:rStyle w:val="IndexLink"/>
                <w:rtl w:val="true"/>
              </w:rPr>
              <w:tab/>
            </w:r>
            <w:r>
              <w:rPr>
                <w:rStyle w:val="IndexLink"/>
              </w:rPr>
              <w:t>380</w:t>
            </w:r>
          </w:hyperlink>
        </w:p>
        <w:p>
          <w:pPr>
            <w:pStyle w:val="Contents5"/>
            <w:tabs>
              <w:tab w:val="clear" w:pos="7892"/>
              <w:tab w:val="right" w:pos="9026" w:leader="dot"/>
            </w:tabs>
            <w:rPr/>
          </w:pPr>
          <w:hyperlink w:anchor="__RefHeading___Toc9643961_73709187">
            <w:r>
              <w:rPr>
                <w:webHidden/>
                <w:rStyle w:val="IndexLink"/>
                <w:rtl w:val="true"/>
              </w:rPr>
              <w:t>الهدی أو بدله علی الولیّ</w:t>
            </w:r>
            <w:r>
              <w:rPr>
                <w:rStyle w:val="IndexLink"/>
                <w:rtl w:val="true"/>
              </w:rPr>
              <w:tab/>
            </w:r>
            <w:r>
              <w:rPr>
                <w:rStyle w:val="IndexLink"/>
              </w:rPr>
              <w:t>381</w:t>
            </w:r>
          </w:hyperlink>
        </w:p>
        <w:p>
          <w:pPr>
            <w:pStyle w:val="Contents5"/>
            <w:tabs>
              <w:tab w:val="clear" w:pos="7892"/>
              <w:tab w:val="right" w:pos="9026" w:leader="dot"/>
            </w:tabs>
            <w:rPr/>
          </w:pPr>
          <w:hyperlink w:anchor="__RefHeading___Toc9643963_73709187">
            <w:r>
              <w:rPr>
                <w:webHidden/>
                <w:rStyle w:val="IndexLink"/>
                <w:rtl w:val="true"/>
              </w:rPr>
              <w:t>الأدلّة علی وجوب الهدی أو بدله علی الولیّ</w:t>
            </w:r>
            <w:r>
              <w:rPr>
                <w:rStyle w:val="IndexLink"/>
                <w:rtl w:val="true"/>
              </w:rPr>
              <w:tab/>
            </w:r>
            <w:r>
              <w:rPr>
                <w:rStyle w:val="IndexLink"/>
              </w:rPr>
              <w:t>382</w:t>
            </w:r>
          </w:hyperlink>
        </w:p>
        <w:p>
          <w:pPr>
            <w:pStyle w:val="Contents5"/>
            <w:tabs>
              <w:tab w:val="clear" w:pos="7892"/>
              <w:tab w:val="right" w:pos="9026" w:leader="dot"/>
            </w:tabs>
            <w:rPr/>
          </w:pPr>
          <w:hyperlink w:anchor="__RefHeading___Toc9643965_73709187">
            <w:r>
              <w:rPr>
                <w:webHidden/>
                <w:rStyle w:val="IndexLink"/>
                <w:rtl w:val="true"/>
              </w:rPr>
              <w:t>إیضاح</w:t>
            </w:r>
            <w:r>
              <w:rPr>
                <w:rStyle w:val="IndexLink"/>
                <w:rtl w:val="true"/>
              </w:rPr>
              <w:tab/>
            </w:r>
            <w:r>
              <w:rPr>
                <w:rStyle w:val="IndexLink"/>
              </w:rPr>
              <w:t>384</w:t>
            </w:r>
          </w:hyperlink>
        </w:p>
        <w:p>
          <w:pPr>
            <w:pStyle w:val="Contents5"/>
            <w:tabs>
              <w:tab w:val="clear" w:pos="7892"/>
              <w:tab w:val="right" w:pos="9026" w:leader="dot"/>
            </w:tabs>
            <w:rPr/>
          </w:pPr>
          <w:hyperlink w:anchor="__RefHeading___Toc9643967_73709187">
            <w:r>
              <w:rPr>
                <w:webHidden/>
                <w:rStyle w:val="IndexLink"/>
                <w:rtl w:val="true"/>
              </w:rPr>
              <w:t>ثمن هدی الصبیّ عند أهل السنّة</w:t>
            </w:r>
            <w:r>
              <w:rPr>
                <w:rStyle w:val="IndexLink"/>
                <w:rtl w:val="true"/>
              </w:rPr>
              <w:tab/>
            </w:r>
            <w:r>
              <w:rPr>
                <w:rStyle w:val="IndexLink"/>
              </w:rPr>
              <w:t>384</w:t>
            </w:r>
          </w:hyperlink>
        </w:p>
        <w:p>
          <w:pPr>
            <w:pStyle w:val="Contents3"/>
            <w:tabs>
              <w:tab w:val="clear" w:pos="8459"/>
              <w:tab w:val="right" w:pos="9026" w:leader="dot"/>
            </w:tabs>
            <w:rPr/>
          </w:pPr>
          <w:hyperlink w:anchor="__RefHeading___Toc9643969_73709187">
            <w:r>
              <w:rPr>
                <w:webHidden/>
                <w:rStyle w:val="IndexLink"/>
                <w:rtl w:val="true"/>
              </w:rPr>
              <w:t>المبحث الرابع عشر</w:t>
            </w:r>
            <w:r>
              <w:rPr>
                <w:rStyle w:val="IndexLink"/>
                <w:rtl w:val="true"/>
              </w:rPr>
              <w:t xml:space="preserve">: </w:t>
            </w:r>
            <w:r>
              <w:rPr>
                <w:rStyle w:val="IndexLink"/>
                <w:rtl w:val="true"/>
              </w:rPr>
              <w:t>حکم طواف النّساء للصبیّ</w:t>
            </w:r>
            <w:r>
              <w:rPr>
                <w:rStyle w:val="IndexLink"/>
                <w:rtl w:val="true"/>
              </w:rPr>
              <w:tab/>
            </w:r>
            <w:r>
              <w:rPr>
                <w:rStyle w:val="IndexLink"/>
              </w:rPr>
              <w:t>386</w:t>
            </w:r>
          </w:hyperlink>
        </w:p>
        <w:p>
          <w:pPr>
            <w:pStyle w:val="Contents4"/>
            <w:tabs>
              <w:tab w:val="clear" w:pos="8176"/>
              <w:tab w:val="right" w:pos="9026" w:leader="dot"/>
            </w:tabs>
            <w:rPr/>
          </w:pPr>
          <w:hyperlink w:anchor="__RefHeading___Toc9643971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9643973_73709187">
            <w:r>
              <w:rPr>
                <w:webHidden/>
                <w:rStyle w:val="IndexLink"/>
                <w:rtl w:val="true"/>
              </w:rPr>
              <w:t>المقام الأوّل</w:t>
            </w:r>
            <w:r>
              <w:rPr>
                <w:rStyle w:val="IndexLink"/>
                <w:rtl w:val="true"/>
              </w:rPr>
              <w:t xml:space="preserve">: </w:t>
            </w:r>
            <w:r>
              <w:rPr>
                <w:rStyle w:val="IndexLink"/>
                <w:rtl w:val="true"/>
              </w:rPr>
              <w:t>لزوم تحقّق طواف النّساء من الصبیّ</w:t>
            </w:r>
            <w:r>
              <w:rPr>
                <w:rStyle w:val="IndexLink"/>
                <w:rtl w:val="true"/>
              </w:rPr>
              <w:tab/>
            </w:r>
            <w:r>
              <w:rPr>
                <w:rStyle w:val="IndexLink"/>
              </w:rPr>
              <w:t>386</w:t>
            </w:r>
          </w:hyperlink>
        </w:p>
        <w:p>
          <w:pPr>
            <w:pStyle w:val="Contents5"/>
            <w:tabs>
              <w:tab w:val="clear" w:pos="7892"/>
              <w:tab w:val="right" w:pos="9026" w:leader="dot"/>
            </w:tabs>
            <w:rPr/>
          </w:pPr>
          <w:hyperlink w:anchor="__RefHeading___Toc9643975_7370918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9643977_73709187">
            <w:r>
              <w:rPr>
                <w:webHidden/>
                <w:rStyle w:val="IndexLink"/>
                <w:rtl w:val="true"/>
              </w:rPr>
              <w:t>الأدلّة علی لزوم تحقّق طواف النّساء من الصبیّ</w:t>
            </w:r>
            <w:r>
              <w:rPr>
                <w:rStyle w:val="IndexLink"/>
                <w:rtl w:val="true"/>
              </w:rPr>
              <w:tab/>
            </w:r>
            <w:r>
              <w:rPr>
                <w:rStyle w:val="IndexLink"/>
              </w:rPr>
              <w:t>388</w:t>
            </w:r>
          </w:hyperlink>
        </w:p>
        <w:p>
          <w:pPr>
            <w:pStyle w:val="Contents4"/>
            <w:tabs>
              <w:tab w:val="clear" w:pos="8176"/>
              <w:tab w:val="right" w:pos="9026" w:leader="dot"/>
            </w:tabs>
            <w:rPr/>
          </w:pPr>
          <w:hyperlink w:anchor="__RefHeading___Toc9643979_73709187">
            <w:r>
              <w:rPr>
                <w:webHidden/>
                <w:rStyle w:val="IndexLink"/>
                <w:rtl w:val="true"/>
              </w:rPr>
              <w:t xml:space="preserve">المقام الثانی </w:t>
            </w:r>
            <w:r>
              <w:rPr>
                <w:rStyle w:val="IndexLink"/>
                <w:rtl w:val="true"/>
              </w:rPr>
              <w:t xml:space="preserve">- </w:t>
            </w:r>
            <w:r>
              <w:rPr>
                <w:rStyle w:val="IndexLink"/>
                <w:rtl w:val="true"/>
              </w:rPr>
              <w:t>حرمة الاستمتاع بالنّساء للصبیّ</w:t>
            </w:r>
            <w:r>
              <w:rPr>
                <w:rStyle w:val="IndexLink"/>
                <w:rtl w:val="true"/>
              </w:rPr>
              <w:tab/>
            </w:r>
            <w:r>
              <w:rPr>
                <w:rStyle w:val="IndexLink"/>
              </w:rPr>
              <w:t>392</w:t>
            </w:r>
          </w:hyperlink>
        </w:p>
        <w:p>
          <w:pPr>
            <w:pStyle w:val="Contents5"/>
            <w:tabs>
              <w:tab w:val="clear" w:pos="7892"/>
              <w:tab w:val="right" w:pos="9026" w:leader="dot"/>
            </w:tabs>
            <w:rPr/>
          </w:pPr>
          <w:hyperlink w:anchor="__RefHeading___Toc9643981_7370918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643983_73709187">
            <w:r>
              <w:rPr>
                <w:webHidden/>
                <w:rStyle w:val="IndexLink"/>
                <w:rtl w:val="true"/>
              </w:rPr>
              <w:t>أدلّة حرمة النّساء علی الصبیّ</w:t>
            </w:r>
            <w:r>
              <w:rPr>
                <w:rStyle w:val="IndexLink"/>
                <w:rtl w:val="true"/>
              </w:rPr>
              <w:tab/>
            </w:r>
            <w:r>
              <w:rPr>
                <w:rStyle w:val="IndexLink"/>
              </w:rPr>
              <w:t>393</w:t>
            </w:r>
          </w:hyperlink>
        </w:p>
        <w:p>
          <w:pPr>
            <w:pStyle w:val="Contents5"/>
            <w:tabs>
              <w:tab w:val="clear" w:pos="7892"/>
              <w:tab w:val="right" w:pos="9026" w:leader="dot"/>
            </w:tabs>
            <w:rPr/>
          </w:pPr>
          <w:hyperlink w:anchor="__RefHeading___Toc9643985_73709187">
            <w:r>
              <w:rPr>
                <w:webHidden/>
                <w:rStyle w:val="IndexLink"/>
                <w:rtl w:val="true"/>
              </w:rPr>
              <w:t>عدم الحرمة مطلقا</w:t>
            </w:r>
            <w:r>
              <w:rPr>
                <w:rStyle w:val="IndexLink"/>
                <w:rtl w:val="true"/>
              </w:rPr>
              <w:tab/>
            </w:r>
            <w:r>
              <w:rPr>
                <w:rStyle w:val="IndexLink"/>
              </w:rPr>
              <w:t>395</w:t>
            </w:r>
          </w:hyperlink>
        </w:p>
        <w:p>
          <w:pPr>
            <w:pStyle w:val="Contents5"/>
            <w:tabs>
              <w:tab w:val="clear" w:pos="7892"/>
              <w:tab w:val="right" w:pos="9026" w:leader="dot"/>
            </w:tabs>
            <w:rPr/>
          </w:pPr>
          <w:hyperlink w:anchor="__RefHeading___Toc9643987_73709187">
            <w:r>
              <w:rPr>
                <w:webHidden/>
                <w:rStyle w:val="IndexLink"/>
                <w:rtl w:val="true"/>
              </w:rPr>
              <w:t>عدم الحرمة بالنسبة إلی غیر الممیّز</w:t>
            </w:r>
            <w:r>
              <w:rPr>
                <w:rStyle w:val="IndexLink"/>
                <w:rtl w:val="true"/>
              </w:rPr>
              <w:tab/>
            </w:r>
            <w:r>
              <w:rPr>
                <w:rStyle w:val="IndexLink"/>
              </w:rPr>
              <w:t>396</w:t>
            </w:r>
          </w:hyperlink>
        </w:p>
        <w:p>
          <w:pPr>
            <w:pStyle w:val="Contents5"/>
            <w:tabs>
              <w:tab w:val="clear" w:pos="7892"/>
              <w:tab w:val="right" w:pos="9026" w:leader="dot"/>
            </w:tabs>
            <w:rPr/>
          </w:pPr>
          <w:hyperlink w:anchor="__RefHeading___Toc9643989_73709187">
            <w:r>
              <w:rPr>
                <w:webHidden/>
                <w:rStyle w:val="IndexLink"/>
                <w:rtl w:val="true"/>
              </w:rPr>
              <w:t>حرمة النّساء علی الصبیّ بعد البلوغ</w:t>
            </w:r>
            <w:r>
              <w:rPr>
                <w:rStyle w:val="IndexLink"/>
                <w:rtl w:val="true"/>
              </w:rPr>
              <w:tab/>
            </w:r>
            <w:r>
              <w:rPr>
                <w:rStyle w:val="IndexLink"/>
              </w:rPr>
              <w:t>397</w:t>
            </w:r>
          </w:hyperlink>
        </w:p>
        <w:p>
          <w:pPr>
            <w:pStyle w:val="Contents3"/>
            <w:tabs>
              <w:tab w:val="clear" w:pos="8459"/>
              <w:tab w:val="right" w:pos="9026" w:leader="dot"/>
            </w:tabs>
            <w:rPr/>
          </w:pPr>
          <w:hyperlink w:anchor="__RefHeading___Toc9643991_73709187">
            <w:r>
              <w:rPr>
                <w:webHidden/>
                <w:rStyle w:val="IndexLink"/>
                <w:rtl w:val="true"/>
              </w:rPr>
              <w:t>المبحث الخامس عشر</w:t>
            </w:r>
            <w:r>
              <w:rPr>
                <w:rStyle w:val="IndexLink"/>
                <w:rtl w:val="true"/>
              </w:rPr>
              <w:t xml:space="preserve">: </w:t>
            </w:r>
            <w:r>
              <w:rPr>
                <w:rStyle w:val="IndexLink"/>
                <w:rtl w:val="true"/>
              </w:rPr>
              <w:t>فساد حجّ الصبیّ</w:t>
            </w:r>
            <w:r>
              <w:rPr>
                <w:rStyle w:val="IndexLink"/>
                <w:rtl w:val="true"/>
              </w:rPr>
              <w:tab/>
            </w:r>
            <w:r>
              <w:rPr>
                <w:rStyle w:val="IndexLink"/>
              </w:rPr>
              <w:t>399</w:t>
            </w:r>
          </w:hyperlink>
        </w:p>
        <w:p>
          <w:pPr>
            <w:pStyle w:val="Contents4"/>
            <w:tabs>
              <w:tab w:val="clear" w:pos="8176"/>
              <w:tab w:val="right" w:pos="9026" w:leader="dot"/>
            </w:tabs>
            <w:rPr/>
          </w:pPr>
          <w:hyperlink w:anchor="__RefHeading___Toc9643993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9643995_73709187">
            <w:r>
              <w:rPr>
                <w:webHidden/>
                <w:rStyle w:val="IndexLink"/>
                <w:rtl w:val="true"/>
              </w:rPr>
              <w:t>أدلّة عدم فساد حجّ الصبیّ و عدم القضاء علیه</w:t>
            </w:r>
            <w:r>
              <w:rPr>
                <w:rStyle w:val="IndexLink"/>
                <w:rtl w:val="true"/>
              </w:rPr>
              <w:tab/>
            </w:r>
            <w:r>
              <w:rPr>
                <w:rStyle w:val="IndexLink"/>
              </w:rPr>
              <w:t>401</w:t>
            </w:r>
          </w:hyperlink>
        </w:p>
        <w:p>
          <w:pPr>
            <w:pStyle w:val="Contents4"/>
            <w:tabs>
              <w:tab w:val="clear" w:pos="8176"/>
              <w:tab w:val="right" w:pos="9026" w:leader="dot"/>
            </w:tabs>
            <w:rPr/>
          </w:pPr>
          <w:hyperlink w:anchor="__RefHeading___Toc9643997_73709187">
            <w:r>
              <w:rPr>
                <w:webHidden/>
                <w:rStyle w:val="IndexLink"/>
                <w:rtl w:val="true"/>
              </w:rPr>
              <w:t>فساد حجّ الصبیّ و وجوب القضاء علیه</w:t>
            </w:r>
            <w:r>
              <w:rPr>
                <w:rStyle w:val="IndexLink"/>
                <w:rtl w:val="true"/>
              </w:rPr>
              <w:tab/>
            </w:r>
            <w:r>
              <w:rPr>
                <w:rStyle w:val="IndexLink"/>
              </w:rPr>
              <w:t>402</w:t>
            </w:r>
          </w:hyperlink>
        </w:p>
        <w:p>
          <w:pPr>
            <w:pStyle w:val="Contents4"/>
            <w:tabs>
              <w:tab w:val="clear" w:pos="8176"/>
              <w:tab w:val="right" w:pos="9026" w:leader="dot"/>
            </w:tabs>
            <w:rPr/>
          </w:pPr>
          <w:hyperlink w:anchor="__RefHeading___Toc9643999_73709187">
            <w:r>
              <w:rPr>
                <w:webHidden/>
                <w:rStyle w:val="IndexLink"/>
                <w:rtl w:val="true"/>
              </w:rPr>
              <w:t>أدلّة فساد حجّ الصبیّ بالجماع</w:t>
            </w:r>
            <w:r>
              <w:rPr>
                <w:rStyle w:val="IndexLink"/>
                <w:rtl w:val="true"/>
              </w:rPr>
              <w:tab/>
            </w:r>
            <w:r>
              <w:rPr>
                <w:rStyle w:val="IndexLink"/>
              </w:rPr>
              <w:t>403</w:t>
            </w:r>
          </w:hyperlink>
        </w:p>
        <w:p>
          <w:pPr>
            <w:pStyle w:val="Contents4"/>
            <w:tabs>
              <w:tab w:val="clear" w:pos="8176"/>
              <w:tab w:val="right" w:pos="9026" w:leader="dot"/>
            </w:tabs>
            <w:rPr/>
          </w:pPr>
          <w:hyperlink w:anchor="__RefHeading___Toc9644001_73709187">
            <w:r>
              <w:rPr>
                <w:webHidden/>
                <w:rStyle w:val="IndexLink"/>
                <w:rtl w:val="true"/>
              </w:rPr>
              <w:t>فساد حجّ الصبیّ و عدم وجوب القضاء علیه</w:t>
            </w:r>
            <w:r>
              <w:rPr>
                <w:rStyle w:val="IndexLink"/>
                <w:rtl w:val="true"/>
              </w:rPr>
              <w:tab/>
            </w:r>
            <w:r>
              <w:rPr>
                <w:rStyle w:val="IndexLink"/>
              </w:rPr>
              <w:t>404</w:t>
            </w:r>
          </w:hyperlink>
        </w:p>
        <w:p>
          <w:pPr>
            <w:pStyle w:val="Contents4"/>
            <w:tabs>
              <w:tab w:val="clear" w:pos="8176"/>
              <w:tab w:val="right" w:pos="9026" w:leader="dot"/>
            </w:tabs>
            <w:rPr/>
          </w:pPr>
          <w:hyperlink w:anchor="__RefHeading___Toc9644003_73709187">
            <w:r>
              <w:rPr>
                <w:webHidden/>
                <w:rStyle w:val="IndexLink"/>
                <w:rtl w:val="true"/>
              </w:rPr>
              <w:t>مئونة قضاء حجّ الصبیّ</w:t>
            </w:r>
            <w:r>
              <w:rPr>
                <w:rStyle w:val="IndexLink"/>
                <w:rtl w:val="true"/>
              </w:rPr>
              <w:tab/>
            </w:r>
            <w:r>
              <w:rPr>
                <w:rStyle w:val="IndexLink"/>
              </w:rPr>
              <w:t>406</w:t>
            </w:r>
          </w:hyperlink>
        </w:p>
        <w:p>
          <w:pPr>
            <w:pStyle w:val="Contents4"/>
            <w:tabs>
              <w:tab w:val="clear" w:pos="8176"/>
              <w:tab w:val="right" w:pos="9026" w:leader="dot"/>
            </w:tabs>
            <w:rPr/>
          </w:pPr>
          <w:hyperlink w:anchor="__RefHeading___Toc9644005_73709187">
            <w:r>
              <w:rPr>
                <w:webHidden/>
                <w:rStyle w:val="IndexLink"/>
                <w:rtl w:val="true"/>
              </w:rPr>
              <w:t>وقت قضاء الحجّ</w:t>
            </w:r>
            <w:r>
              <w:rPr>
                <w:rStyle w:val="IndexLink"/>
                <w:rtl w:val="true"/>
              </w:rPr>
              <w:tab/>
            </w:r>
            <w:r>
              <w:rPr>
                <w:rStyle w:val="IndexLink"/>
              </w:rPr>
              <w:t>407</w:t>
            </w:r>
          </w:hyperlink>
        </w:p>
        <w:p>
          <w:pPr>
            <w:pStyle w:val="Contents4"/>
            <w:tabs>
              <w:tab w:val="clear" w:pos="8176"/>
              <w:tab w:val="right" w:pos="9026" w:leader="dot"/>
            </w:tabs>
            <w:rPr/>
          </w:pPr>
          <w:hyperlink w:anchor="__RefHeading___Toc9644007_73709187">
            <w:r>
              <w:rPr>
                <w:webHidden/>
                <w:rStyle w:val="IndexLink"/>
                <w:rtl w:val="true"/>
              </w:rPr>
              <w:t>عدم کفایة القضاء عن حجّة الإسلام</w:t>
            </w:r>
            <w:r>
              <w:rPr>
                <w:rStyle w:val="IndexLink"/>
                <w:rtl w:val="true"/>
              </w:rPr>
              <w:tab/>
            </w:r>
            <w:r>
              <w:rPr>
                <w:rStyle w:val="IndexLink"/>
              </w:rPr>
              <w:t>408</w:t>
            </w:r>
          </w:hyperlink>
        </w:p>
        <w:p>
          <w:pPr>
            <w:pStyle w:val="Contents4"/>
            <w:tabs>
              <w:tab w:val="clear" w:pos="8176"/>
              <w:tab w:val="right" w:pos="9026" w:leader="dot"/>
            </w:tabs>
            <w:rPr/>
          </w:pPr>
          <w:hyperlink w:anchor="__RefHeading___Toc9644009_73709187">
            <w:r>
              <w:rPr>
                <w:webHidden/>
                <w:rStyle w:val="IndexLink"/>
                <w:rtl w:val="true"/>
              </w:rPr>
              <w:t>تقدّم حجّة الإسلام علی القضاء</w:t>
            </w:r>
            <w:r>
              <w:rPr>
                <w:rStyle w:val="IndexLink"/>
                <w:rtl w:val="true"/>
              </w:rPr>
              <w:tab/>
            </w:r>
            <w:r>
              <w:rPr>
                <w:rStyle w:val="IndexLink"/>
              </w:rPr>
              <w:t>409</w:t>
            </w:r>
          </w:hyperlink>
        </w:p>
        <w:p>
          <w:pPr>
            <w:pStyle w:val="Contents5"/>
            <w:tabs>
              <w:tab w:val="clear" w:pos="7892"/>
              <w:tab w:val="right" w:pos="9026" w:leader="dot"/>
            </w:tabs>
            <w:rPr/>
          </w:pPr>
          <w:hyperlink w:anchor="__RefHeading___Toc9644011_7370918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9644013_73709187">
            <w:r>
              <w:rPr>
                <w:webHidden/>
                <w:rStyle w:val="IndexLink"/>
                <w:rtl w:val="true"/>
              </w:rPr>
              <w:t>فرع</w:t>
            </w:r>
            <w:r>
              <w:rPr>
                <w:rStyle w:val="IndexLink"/>
                <w:rtl w:val="true"/>
              </w:rPr>
              <w:tab/>
            </w:r>
            <w:r>
              <w:rPr>
                <w:rStyle w:val="IndexLink"/>
              </w:rPr>
              <w:t>410</w:t>
            </w:r>
          </w:hyperlink>
        </w:p>
        <w:p>
          <w:pPr>
            <w:pStyle w:val="Contents4"/>
            <w:tabs>
              <w:tab w:val="clear" w:pos="8176"/>
              <w:tab w:val="right" w:pos="9026" w:leader="dot"/>
            </w:tabs>
            <w:rPr/>
          </w:pPr>
          <w:hyperlink w:anchor="__RefHeading___Toc9644015_73709187">
            <w:r>
              <w:rPr>
                <w:webHidden/>
                <w:rStyle w:val="IndexLink"/>
                <w:rtl w:val="true"/>
              </w:rPr>
              <w:t>فساد حجّ الصبیّ عند أهل السنّة</w:t>
            </w:r>
            <w:r>
              <w:rPr>
                <w:rStyle w:val="IndexLink"/>
                <w:rtl w:val="true"/>
              </w:rPr>
              <w:tab/>
            </w:r>
            <w:r>
              <w:rPr>
                <w:rStyle w:val="IndexLink"/>
              </w:rPr>
              <w:t>411</w:t>
            </w:r>
          </w:hyperlink>
        </w:p>
        <w:p>
          <w:pPr>
            <w:pStyle w:val="Contents4"/>
            <w:tabs>
              <w:tab w:val="clear" w:pos="8176"/>
              <w:tab w:val="right" w:pos="9026" w:leader="dot"/>
            </w:tabs>
            <w:rPr/>
          </w:pPr>
          <w:hyperlink w:anchor="__RefHeading___Toc9644017_73709187">
            <w:r>
              <w:rPr>
                <w:webHidden/>
                <w:rStyle w:val="IndexLink"/>
                <w:rtl w:val="true"/>
              </w:rPr>
              <w:t>إجزاء القضاء عن حجّة الإسلام</w:t>
            </w:r>
            <w:r>
              <w:rPr>
                <w:rStyle w:val="IndexLink"/>
                <w:rtl w:val="true"/>
              </w:rPr>
              <w:tab/>
            </w:r>
            <w:r>
              <w:rPr>
                <w:rStyle w:val="IndexLink"/>
              </w:rPr>
              <w:t>415</w:t>
            </w:r>
          </w:hyperlink>
        </w:p>
        <w:p>
          <w:pPr>
            <w:pStyle w:val="Contents3"/>
            <w:tabs>
              <w:tab w:val="clear" w:pos="8459"/>
              <w:tab w:val="right" w:pos="9026" w:leader="dot"/>
            </w:tabs>
            <w:rPr/>
          </w:pPr>
          <w:hyperlink w:anchor="__RefHeading___Toc9644019_73709187">
            <w:r>
              <w:rPr>
                <w:webHidden/>
                <w:rStyle w:val="IndexLink"/>
                <w:rtl w:val="true"/>
              </w:rPr>
              <w:t>المبحث السادس عشر</w:t>
            </w:r>
            <w:r>
              <w:rPr>
                <w:rStyle w:val="IndexLink"/>
                <w:rtl w:val="true"/>
              </w:rPr>
              <w:t xml:space="preserve">: </w:t>
            </w:r>
            <w:r>
              <w:rPr>
                <w:rStyle w:val="IndexLink"/>
                <w:rtl w:val="true"/>
              </w:rPr>
              <w:t>بلوغ الصبیّ أثناء النسک</w:t>
            </w:r>
            <w:r>
              <w:rPr>
                <w:rStyle w:val="IndexLink"/>
                <w:rtl w:val="true"/>
              </w:rPr>
              <w:tab/>
            </w:r>
            <w:r>
              <w:rPr>
                <w:rStyle w:val="IndexLink"/>
              </w:rPr>
              <w:t>418</w:t>
            </w:r>
          </w:hyperlink>
        </w:p>
        <w:p>
          <w:pPr>
            <w:pStyle w:val="Contents4"/>
            <w:tabs>
              <w:tab w:val="clear" w:pos="8176"/>
              <w:tab w:val="right" w:pos="9026" w:leader="dot"/>
            </w:tabs>
            <w:rPr/>
          </w:pPr>
          <w:hyperlink w:anchor="__RefHeading___Toc9644021_7370918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9644023_73709187">
            <w:r>
              <w:rPr>
                <w:webHidden/>
                <w:rStyle w:val="IndexLink"/>
                <w:rtl w:val="true"/>
              </w:rPr>
              <w:t>الاولی</w:t>
            </w:r>
            <w:r>
              <w:rPr>
                <w:rStyle w:val="IndexLink"/>
                <w:rtl w:val="true"/>
              </w:rPr>
              <w:t xml:space="preserve">: </w:t>
            </w:r>
            <w:r>
              <w:rPr>
                <w:rStyle w:val="IndexLink"/>
                <w:rtl w:val="true"/>
              </w:rPr>
              <w:t>بلوغ الصبیّ قبل المشعر</w:t>
            </w:r>
            <w:r>
              <w:rPr>
                <w:rStyle w:val="IndexLink"/>
                <w:rtl w:val="true"/>
              </w:rPr>
              <w:tab/>
            </w:r>
            <w:r>
              <w:rPr>
                <w:rStyle w:val="IndexLink"/>
              </w:rPr>
              <w:t>418</w:t>
            </w:r>
          </w:hyperlink>
        </w:p>
        <w:p>
          <w:pPr>
            <w:pStyle w:val="Contents5"/>
            <w:tabs>
              <w:tab w:val="clear" w:pos="7892"/>
              <w:tab w:val="right" w:pos="9026" w:leader="dot"/>
            </w:tabs>
            <w:rPr/>
          </w:pPr>
          <w:hyperlink w:anchor="__RefHeading___Toc9644025_7370918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9644027_73709187">
            <w:r>
              <w:rPr>
                <w:webHidden/>
                <w:rStyle w:val="IndexLink"/>
                <w:rtl w:val="true"/>
              </w:rPr>
              <w:t>أدلّة إجزاء حجّ الصبیّ عن حجّة الإسلام إذا بلغ قبل المشعر</w:t>
            </w:r>
            <w:r>
              <w:rPr>
                <w:rStyle w:val="IndexLink"/>
                <w:rtl w:val="true"/>
              </w:rPr>
              <w:tab/>
            </w:r>
            <w:r>
              <w:rPr>
                <w:rStyle w:val="IndexLink"/>
              </w:rPr>
              <w:t>420</w:t>
            </w:r>
          </w:hyperlink>
        </w:p>
        <w:p>
          <w:pPr>
            <w:pStyle w:val="Contents6"/>
            <w:tabs>
              <w:tab w:val="clear" w:pos="7609"/>
              <w:tab w:val="right" w:pos="9026" w:leader="dot"/>
            </w:tabs>
            <w:rPr/>
          </w:pPr>
          <w:hyperlink w:anchor="__RefHeading___Toc9644029_73709187">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9644031_73709187">
            <w:r>
              <w:rPr>
                <w:webHidden/>
                <w:rStyle w:val="IndexLink"/>
                <w:rtl w:val="true"/>
              </w:rPr>
              <w:t>الصبیّ الّذی لا یجب علیه الحجّ و لا یکون مکلّفا به و نسی الاحرام هل یکفی حجه</w:t>
            </w:r>
            <w:r>
              <w:rPr>
                <w:rStyle w:val="IndexLink"/>
                <w:rtl w:val="true"/>
              </w:rPr>
              <w:tab/>
            </w:r>
            <w:r>
              <w:rPr>
                <w:rStyle w:val="IndexLink"/>
              </w:rPr>
              <w:t>423</w:t>
            </w:r>
          </w:hyperlink>
        </w:p>
        <w:p>
          <w:pPr>
            <w:pStyle w:val="Contents5"/>
            <w:tabs>
              <w:tab w:val="clear" w:pos="7892"/>
              <w:tab w:val="right" w:pos="9026" w:leader="dot"/>
            </w:tabs>
            <w:rPr/>
          </w:pPr>
          <w:hyperlink w:anchor="__RefHeading___Toc9644033_73709187">
            <w:r>
              <w:rPr>
                <w:webHidden/>
                <w:rStyle w:val="IndexLink"/>
                <w:rtl w:val="true"/>
              </w:rPr>
              <w:t>عدم الإجزاء عن حجّة الإسلام</w:t>
            </w:r>
            <w:r>
              <w:rPr>
                <w:rStyle w:val="IndexLink"/>
                <w:rtl w:val="true"/>
              </w:rPr>
              <w:tab/>
            </w:r>
            <w:r>
              <w:rPr>
                <w:rStyle w:val="IndexLink"/>
              </w:rPr>
              <w:t>427</w:t>
            </w:r>
          </w:hyperlink>
        </w:p>
        <w:p>
          <w:pPr>
            <w:pStyle w:val="Contents6"/>
            <w:tabs>
              <w:tab w:val="clear" w:pos="7609"/>
              <w:tab w:val="right" w:pos="9026" w:leader="dot"/>
            </w:tabs>
            <w:rPr/>
          </w:pPr>
          <w:hyperlink w:anchor="__RefHeading___Toc9644035_73709187">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9644037_73709187">
            <w:r>
              <w:rPr>
                <w:webHidden/>
                <w:rStyle w:val="IndexLink"/>
                <w:rtl w:val="true"/>
              </w:rPr>
              <w:t>أدلّة هذا القول</w:t>
            </w:r>
            <w:r>
              <w:rPr>
                <w:rStyle w:val="IndexLink"/>
                <w:rtl w:val="true"/>
              </w:rPr>
              <w:tab/>
            </w:r>
            <w:r>
              <w:rPr>
                <w:rStyle w:val="IndexLink"/>
              </w:rPr>
              <w:t>428</w:t>
            </w:r>
          </w:hyperlink>
        </w:p>
        <w:p>
          <w:pPr>
            <w:pStyle w:val="Contents5"/>
            <w:tabs>
              <w:tab w:val="clear" w:pos="7892"/>
              <w:tab w:val="right" w:pos="9026" w:leader="dot"/>
            </w:tabs>
            <w:rPr/>
          </w:pPr>
          <w:hyperlink w:anchor="__RefHeading___Toc9644039_73709187">
            <w:r>
              <w:rPr>
                <w:webHidden/>
                <w:rStyle w:val="IndexLink"/>
                <w:rtl w:val="true"/>
              </w:rPr>
              <w:t>الامور المترتّبة علی القول بالإجزاء</w:t>
            </w:r>
            <w:r>
              <w:rPr>
                <w:rStyle w:val="IndexLink"/>
                <w:rtl w:val="true"/>
              </w:rPr>
              <w:tab/>
            </w:r>
            <w:r>
              <w:rPr>
                <w:rStyle w:val="IndexLink"/>
              </w:rPr>
              <w:t>430</w:t>
            </w:r>
          </w:hyperlink>
        </w:p>
        <w:p>
          <w:pPr>
            <w:pStyle w:val="Contents6"/>
            <w:tabs>
              <w:tab w:val="clear" w:pos="7609"/>
              <w:tab w:val="right" w:pos="9026" w:leader="dot"/>
            </w:tabs>
            <w:rPr/>
          </w:pPr>
          <w:hyperlink w:anchor="__RefHeading___Toc9644041_73709187">
            <w:r>
              <w:rPr>
                <w:webHidden/>
                <w:rStyle w:val="IndexLink"/>
                <w:rtl w:val="true"/>
              </w:rPr>
              <w:t xml:space="preserve">أ </w:t>
            </w:r>
            <w:r>
              <w:rPr>
                <w:rStyle w:val="IndexLink"/>
                <w:rtl w:val="true"/>
              </w:rPr>
              <w:t xml:space="preserve">- </w:t>
            </w:r>
            <w:r>
              <w:rPr>
                <w:rStyle w:val="IndexLink"/>
                <w:rtl w:val="true"/>
              </w:rPr>
              <w:t>تجدید النیّة</w:t>
            </w:r>
            <w:r>
              <w:rPr>
                <w:rStyle w:val="IndexLink"/>
                <w:rtl w:val="true"/>
              </w:rPr>
              <w:tab/>
            </w:r>
            <w:r>
              <w:rPr>
                <w:rStyle w:val="IndexLink"/>
              </w:rPr>
              <w:t>430</w:t>
            </w:r>
          </w:hyperlink>
        </w:p>
        <w:p>
          <w:pPr>
            <w:pStyle w:val="Contents6"/>
            <w:tabs>
              <w:tab w:val="clear" w:pos="7609"/>
              <w:tab w:val="right" w:pos="9026" w:leader="dot"/>
            </w:tabs>
            <w:rPr/>
          </w:pPr>
          <w:hyperlink w:anchor="__RefHeading___Toc9644043_73709187">
            <w:r>
              <w:rPr>
                <w:webHidden/>
                <w:rStyle w:val="IndexLink"/>
                <w:rtl w:val="true"/>
              </w:rPr>
              <w:t>وجوب تجدید النیّة</w:t>
            </w:r>
            <w:r>
              <w:rPr>
                <w:rStyle w:val="IndexLink"/>
                <w:rtl w:val="true"/>
              </w:rPr>
              <w:tab/>
            </w:r>
            <w:r>
              <w:rPr>
                <w:rStyle w:val="IndexLink"/>
              </w:rPr>
              <w:t>431</w:t>
            </w:r>
          </w:hyperlink>
        </w:p>
        <w:p>
          <w:pPr>
            <w:pStyle w:val="Contents6"/>
            <w:tabs>
              <w:tab w:val="clear" w:pos="7609"/>
              <w:tab w:val="right" w:pos="9026" w:leader="dot"/>
            </w:tabs>
            <w:rPr/>
          </w:pPr>
          <w:hyperlink w:anchor="__RefHeading___Toc9644045_73709187">
            <w:r>
              <w:rPr>
                <w:webHidden/>
                <w:rStyle w:val="IndexLink"/>
                <w:rtl w:val="true"/>
              </w:rPr>
              <w:t>أدلّة وجوب تجدید النیّة</w:t>
            </w:r>
            <w:r>
              <w:rPr>
                <w:rStyle w:val="IndexLink"/>
                <w:rtl w:val="true"/>
              </w:rPr>
              <w:tab/>
            </w:r>
            <w:r>
              <w:rPr>
                <w:rStyle w:val="IndexLink"/>
              </w:rPr>
              <w:t>432</w:t>
            </w:r>
          </w:hyperlink>
        </w:p>
        <w:p>
          <w:pPr>
            <w:pStyle w:val="Contents6"/>
            <w:tabs>
              <w:tab w:val="clear" w:pos="7609"/>
              <w:tab w:val="right" w:pos="9026" w:leader="dot"/>
            </w:tabs>
            <w:rPr/>
          </w:pPr>
          <w:hyperlink w:anchor="__RefHeading___Toc9644047_73709187">
            <w:r>
              <w:rPr>
                <w:webHidden/>
                <w:rStyle w:val="IndexLink"/>
                <w:rtl w:val="true"/>
              </w:rPr>
              <w:t>ب</w:t>
            </w:r>
            <w:r>
              <w:rPr>
                <w:rStyle w:val="IndexLink"/>
                <w:rtl w:val="true"/>
              </w:rPr>
              <w:t xml:space="preserve">: </w:t>
            </w:r>
            <w:r>
              <w:rPr>
                <w:rStyle w:val="IndexLink"/>
                <w:rtl w:val="true"/>
              </w:rPr>
              <w:t>اشتراط الاستطاعة أو عدمها</w:t>
            </w:r>
            <w:r>
              <w:rPr>
                <w:rStyle w:val="IndexLink"/>
                <w:rtl w:val="true"/>
              </w:rPr>
              <w:tab/>
            </w:r>
            <w:r>
              <w:rPr>
                <w:rStyle w:val="IndexLink"/>
              </w:rPr>
              <w:t>433</w:t>
            </w:r>
          </w:hyperlink>
        </w:p>
        <w:p>
          <w:pPr>
            <w:pStyle w:val="Contents6"/>
            <w:tabs>
              <w:tab w:val="clear" w:pos="7609"/>
              <w:tab w:val="right" w:pos="9026" w:leader="dot"/>
            </w:tabs>
            <w:rPr/>
          </w:pPr>
          <w:hyperlink w:anchor="__RefHeading___Toc9644049_73709187">
            <w:r>
              <w:rPr>
                <w:webHidden/>
                <w:rStyle w:val="IndexLink"/>
                <w:rtl w:val="true"/>
              </w:rPr>
              <w:t>عدم اعتبار الاستطاعة من حین الإحرام</w:t>
            </w:r>
            <w:r>
              <w:rPr>
                <w:rStyle w:val="IndexLink"/>
                <w:rtl w:val="true"/>
              </w:rPr>
              <w:tab/>
            </w:r>
            <w:r>
              <w:rPr>
                <w:rStyle w:val="IndexLink"/>
              </w:rPr>
              <w:t>434</w:t>
            </w:r>
          </w:hyperlink>
        </w:p>
        <w:p>
          <w:pPr>
            <w:pStyle w:val="Contents6"/>
            <w:tabs>
              <w:tab w:val="clear" w:pos="7609"/>
              <w:tab w:val="right" w:pos="9026" w:leader="dot"/>
            </w:tabs>
            <w:rPr/>
          </w:pPr>
          <w:hyperlink w:anchor="__RefHeading___Toc9644051_73709187">
            <w:r>
              <w:rPr>
                <w:webHidden/>
                <w:rStyle w:val="IndexLink"/>
                <w:rtl w:val="true"/>
              </w:rPr>
              <w:t>اشتراط تقدّم الاستطاعة</w:t>
            </w:r>
            <w:r>
              <w:rPr>
                <w:rStyle w:val="IndexLink"/>
                <w:rtl w:val="true"/>
              </w:rPr>
              <w:tab/>
            </w:r>
            <w:r>
              <w:rPr>
                <w:rStyle w:val="IndexLink"/>
              </w:rPr>
              <w:t>436</w:t>
            </w:r>
          </w:hyperlink>
        </w:p>
        <w:p>
          <w:pPr>
            <w:pStyle w:val="Contents6"/>
            <w:tabs>
              <w:tab w:val="clear" w:pos="7609"/>
              <w:tab w:val="right" w:pos="9026" w:leader="dot"/>
            </w:tabs>
            <w:rPr/>
          </w:pPr>
          <w:hyperlink w:anchor="__RefHeading___Toc9644053_73709187">
            <w:r>
              <w:rPr>
                <w:webHidden/>
                <w:rStyle w:val="IndexLink"/>
                <w:rtl w:val="true"/>
              </w:rPr>
              <w:t>اشتراط الاستطاعة من المیقات</w:t>
            </w:r>
            <w:r>
              <w:rPr>
                <w:rStyle w:val="IndexLink"/>
                <w:rtl w:val="true"/>
              </w:rPr>
              <w:tab/>
            </w:r>
            <w:r>
              <w:rPr>
                <w:rStyle w:val="IndexLink"/>
              </w:rPr>
              <w:t>438</w:t>
            </w:r>
          </w:hyperlink>
        </w:p>
        <w:p>
          <w:pPr>
            <w:pStyle w:val="Contents6"/>
            <w:tabs>
              <w:tab w:val="clear" w:pos="7609"/>
              <w:tab w:val="right" w:pos="9026" w:leader="dot"/>
            </w:tabs>
            <w:rPr/>
          </w:pPr>
          <w:hyperlink w:anchor="__RefHeading___Toc9644055_73709187">
            <w:r>
              <w:rPr>
                <w:webHidden/>
                <w:rStyle w:val="IndexLink"/>
                <w:rtl w:val="true"/>
              </w:rPr>
              <w:t>اشتراط الاستطاعة من حین البلوغ</w:t>
            </w:r>
            <w:r>
              <w:rPr>
                <w:rStyle w:val="IndexLink"/>
                <w:rtl w:val="true"/>
              </w:rPr>
              <w:tab/>
            </w:r>
            <w:r>
              <w:rPr>
                <w:rStyle w:val="IndexLink"/>
              </w:rPr>
              <w:t>438</w:t>
            </w:r>
          </w:hyperlink>
        </w:p>
        <w:p>
          <w:pPr>
            <w:pStyle w:val="Contents6"/>
            <w:tabs>
              <w:tab w:val="clear" w:pos="7609"/>
              <w:tab w:val="right" w:pos="9026" w:leader="dot"/>
            </w:tabs>
            <w:rPr/>
          </w:pPr>
          <w:hyperlink w:anchor="__RefHeading___Toc9644057_73709187">
            <w:r>
              <w:rPr>
                <w:webHidden/>
                <w:rStyle w:val="IndexLink"/>
                <w:rtl w:val="true"/>
              </w:rPr>
              <w:t>ج</w:t>
            </w:r>
            <w:r>
              <w:rPr>
                <w:rStyle w:val="IndexLink"/>
                <w:rtl w:val="true"/>
              </w:rPr>
              <w:t xml:space="preserve">: </w:t>
            </w:r>
            <w:r>
              <w:rPr>
                <w:rStyle w:val="IndexLink"/>
                <w:rtl w:val="true"/>
              </w:rPr>
              <w:t>عدم اختصاص الإجزاء بحجّ القران و الإفراد</w:t>
            </w:r>
            <w:r>
              <w:rPr>
                <w:rStyle w:val="IndexLink"/>
                <w:rtl w:val="true"/>
              </w:rPr>
              <w:tab/>
            </w:r>
            <w:r>
              <w:rPr>
                <w:rStyle w:val="IndexLink"/>
              </w:rPr>
              <w:t>440</w:t>
            </w:r>
          </w:hyperlink>
        </w:p>
        <w:p>
          <w:pPr>
            <w:pStyle w:val="Contents6"/>
            <w:tabs>
              <w:tab w:val="clear" w:pos="7609"/>
              <w:tab w:val="right" w:pos="9026" w:leader="dot"/>
            </w:tabs>
            <w:rPr/>
          </w:pPr>
          <w:hyperlink w:anchor="__RefHeading___Toc9644059_73709187">
            <w:r>
              <w:rPr>
                <w:webHidden/>
                <w:rStyle w:val="IndexLink"/>
                <w:rtl w:val="true"/>
              </w:rPr>
              <w:t>اشتراط الإجزاء بإدراک خصوص المشعر</w:t>
            </w:r>
            <w:r>
              <w:rPr>
                <w:rStyle w:val="IndexLink"/>
                <w:rtl w:val="true"/>
              </w:rPr>
              <w:tab/>
            </w:r>
            <w:r>
              <w:rPr>
                <w:rStyle w:val="IndexLink"/>
              </w:rPr>
              <w:t>444</w:t>
            </w:r>
          </w:hyperlink>
        </w:p>
        <w:p>
          <w:pPr>
            <w:pStyle w:val="Contents6"/>
            <w:tabs>
              <w:tab w:val="clear" w:pos="7609"/>
              <w:tab w:val="right" w:pos="9026" w:leader="dot"/>
            </w:tabs>
            <w:rPr/>
          </w:pPr>
          <w:hyperlink w:anchor="__RefHeading___Toc9644061_73709187">
            <w:r>
              <w:rPr>
                <w:webHidden/>
                <w:rStyle w:val="IndexLink"/>
                <w:rtl w:val="true"/>
              </w:rPr>
              <w:t>عدم الإجزاء إن أدرک الاضطراری من المشعر</w:t>
            </w:r>
            <w:r>
              <w:rPr>
                <w:rStyle w:val="IndexLink"/>
                <w:rtl w:val="true"/>
              </w:rPr>
              <w:tab/>
            </w:r>
            <w:r>
              <w:rPr>
                <w:rStyle w:val="IndexLink"/>
              </w:rPr>
              <w:t>445</w:t>
            </w:r>
          </w:hyperlink>
        </w:p>
        <w:p>
          <w:pPr>
            <w:pStyle w:val="Contents4"/>
            <w:tabs>
              <w:tab w:val="clear" w:pos="8176"/>
              <w:tab w:val="right" w:pos="9026" w:leader="dot"/>
            </w:tabs>
            <w:rPr/>
          </w:pPr>
          <w:hyperlink w:anchor="__RefHeading___Toc9644063_73709187">
            <w:r>
              <w:rPr>
                <w:webHidden/>
                <w:rStyle w:val="IndexLink"/>
                <w:rtl w:val="true"/>
              </w:rPr>
              <w:t>المسألة الثانیة</w:t>
            </w:r>
            <w:r>
              <w:rPr>
                <w:rStyle w:val="IndexLink"/>
                <w:rtl w:val="true"/>
              </w:rPr>
              <w:t xml:space="preserve">: </w:t>
            </w:r>
            <w:r>
              <w:rPr>
                <w:rStyle w:val="IndexLink"/>
                <w:rtl w:val="true"/>
              </w:rPr>
              <w:t>بلوغ الصبیّ بعد الوقوف فی عرفة</w:t>
            </w:r>
            <w:r>
              <w:rPr>
                <w:rStyle w:val="IndexLink"/>
                <w:rtl w:val="true"/>
              </w:rPr>
              <w:tab/>
            </w:r>
            <w:r>
              <w:rPr>
                <w:rStyle w:val="IndexLink"/>
              </w:rPr>
              <w:t>447</w:t>
            </w:r>
          </w:hyperlink>
        </w:p>
        <w:p>
          <w:pPr>
            <w:pStyle w:val="Contents4"/>
            <w:tabs>
              <w:tab w:val="clear" w:pos="8176"/>
              <w:tab w:val="right" w:pos="9026" w:leader="dot"/>
            </w:tabs>
            <w:rPr/>
          </w:pPr>
          <w:hyperlink w:anchor="__RefHeading___Toc9644065_73709187">
            <w:r>
              <w:rPr>
                <w:webHidden/>
                <w:rStyle w:val="IndexLink"/>
                <w:rtl w:val="true"/>
              </w:rPr>
              <w:t>المسألة الثالثة</w:t>
            </w:r>
            <w:r>
              <w:rPr>
                <w:rStyle w:val="IndexLink"/>
                <w:rtl w:val="true"/>
              </w:rPr>
              <w:t xml:space="preserve">: </w:t>
            </w:r>
            <w:r>
              <w:rPr>
                <w:rStyle w:val="IndexLink"/>
                <w:rtl w:val="true"/>
              </w:rPr>
              <w:t>بلوغ الصبیّ بعد المشعر</w:t>
            </w:r>
            <w:r>
              <w:rPr>
                <w:rStyle w:val="IndexLink"/>
                <w:rtl w:val="true"/>
              </w:rPr>
              <w:tab/>
            </w:r>
            <w:r>
              <w:rPr>
                <w:rStyle w:val="IndexLink"/>
              </w:rPr>
              <w:t>447</w:t>
            </w:r>
          </w:hyperlink>
        </w:p>
        <w:p>
          <w:pPr>
            <w:pStyle w:val="Contents4"/>
            <w:tabs>
              <w:tab w:val="clear" w:pos="8176"/>
              <w:tab w:val="right" w:pos="9026" w:leader="dot"/>
            </w:tabs>
            <w:rPr/>
          </w:pPr>
          <w:hyperlink w:anchor="__RefHeading___Toc9644067_73709187">
            <w:r>
              <w:rPr>
                <w:webHidden/>
                <w:rStyle w:val="IndexLink"/>
                <w:rtl w:val="true"/>
              </w:rPr>
              <w:t>المسألة الرابعة</w:t>
            </w:r>
            <w:r>
              <w:rPr>
                <w:rStyle w:val="IndexLink"/>
                <w:rtl w:val="true"/>
              </w:rPr>
              <w:t xml:space="preserve">: </w:t>
            </w:r>
            <w:r>
              <w:rPr>
                <w:rStyle w:val="IndexLink"/>
                <w:rtl w:val="true"/>
              </w:rPr>
              <w:t>بلوغ الصبیّ قبل أن یحرم من المیقات</w:t>
            </w:r>
            <w:r>
              <w:rPr>
                <w:rStyle w:val="IndexLink"/>
                <w:rtl w:val="true"/>
              </w:rPr>
              <w:tab/>
            </w:r>
            <w:r>
              <w:rPr>
                <w:rStyle w:val="IndexLink"/>
              </w:rPr>
              <w:t>448</w:t>
            </w:r>
          </w:hyperlink>
        </w:p>
        <w:p>
          <w:pPr>
            <w:pStyle w:val="Contents4"/>
            <w:tabs>
              <w:tab w:val="clear" w:pos="8176"/>
              <w:tab w:val="right" w:pos="9026" w:leader="dot"/>
            </w:tabs>
            <w:rPr/>
          </w:pPr>
          <w:hyperlink w:anchor="__RefHeading___Toc9644069_73709187">
            <w:r>
              <w:rPr>
                <w:webHidden/>
                <w:rStyle w:val="IndexLink"/>
                <w:rtl w:val="true"/>
              </w:rPr>
              <w:t>المسألة الخامسة</w:t>
            </w:r>
            <w:r>
              <w:rPr>
                <w:rStyle w:val="IndexLink"/>
                <w:rtl w:val="true"/>
              </w:rPr>
              <w:t xml:space="preserve">: </w:t>
            </w:r>
            <w:r>
              <w:rPr>
                <w:rStyle w:val="IndexLink"/>
                <w:rtl w:val="true"/>
              </w:rPr>
              <w:t>بلوغ الصبیّ بعد الإحرام و قبل الأعمال</w:t>
            </w:r>
            <w:r>
              <w:rPr>
                <w:rStyle w:val="IndexLink"/>
                <w:rtl w:val="true"/>
              </w:rPr>
              <w:tab/>
            </w:r>
            <w:r>
              <w:rPr>
                <w:rStyle w:val="IndexLink"/>
              </w:rPr>
              <w:t>449</w:t>
            </w:r>
          </w:hyperlink>
        </w:p>
        <w:p>
          <w:pPr>
            <w:pStyle w:val="Contents4"/>
            <w:tabs>
              <w:tab w:val="clear" w:pos="8176"/>
              <w:tab w:val="right" w:pos="9026" w:leader="dot"/>
            </w:tabs>
            <w:rPr/>
          </w:pPr>
          <w:hyperlink w:anchor="__RefHeading___Toc9644071_73709187">
            <w:r>
              <w:rPr>
                <w:webHidden/>
                <w:rStyle w:val="IndexLink"/>
                <w:rtl w:val="true"/>
              </w:rPr>
              <w:t xml:space="preserve">المسألة السادسة لو کان الصبیّ مستطیعا فی البلد و لکنّه غیر بالغ و یعلم بأنّه سیصیر بالغا قبل الإحرام و فی المدینة لتمامیّة سنّه المعتبر فی البلوغ فی ذلک الوقت، فهل یلزمه </w:t>
            </w:r>
            <w:r>
              <w:rPr>
                <w:rStyle w:val="IndexLink"/>
                <w:rtl w:val="true"/>
              </w:rPr>
              <w:t xml:space="preserve">- </w:t>
            </w:r>
            <w:r>
              <w:rPr>
                <w:rStyle w:val="IndexLink"/>
                <w:rtl w:val="true"/>
              </w:rPr>
              <w:t xml:space="preserve">و لو من ناحیة العقل </w:t>
            </w:r>
            <w:r>
              <w:rPr>
                <w:rStyle w:val="IndexLink"/>
                <w:rtl w:val="true"/>
              </w:rPr>
              <w:t xml:space="preserve">- </w:t>
            </w:r>
            <w:r>
              <w:rPr>
                <w:rStyle w:val="IndexLink"/>
                <w:rtl w:val="true"/>
              </w:rPr>
              <w:t>أن یسلک الطریق إلی المیقات للإحرام و یأتی بحجّة الإسلام</w:t>
            </w:r>
            <w:r>
              <w:rPr>
                <w:rStyle w:val="IndexLink"/>
                <w:rtl w:val="true"/>
              </w:rPr>
              <w:tab/>
            </w:r>
            <w:r>
              <w:rPr>
                <w:rStyle w:val="IndexLink"/>
              </w:rPr>
              <w:t>450</w:t>
            </w:r>
          </w:hyperlink>
        </w:p>
        <w:p>
          <w:pPr>
            <w:pStyle w:val="Contents4"/>
            <w:tabs>
              <w:tab w:val="clear" w:pos="8176"/>
              <w:tab w:val="right" w:pos="9026" w:leader="dot"/>
            </w:tabs>
            <w:rPr/>
          </w:pPr>
          <w:hyperlink w:anchor="__RefHeading___Toc9644073_73709187">
            <w:r>
              <w:rPr>
                <w:webHidden/>
                <w:rStyle w:val="IndexLink"/>
                <w:rtl w:val="true"/>
              </w:rPr>
              <w:t>فروع</w:t>
            </w:r>
            <w:r>
              <w:rPr>
                <w:rStyle w:val="IndexLink"/>
                <w:rtl w:val="true"/>
              </w:rPr>
              <w:tab/>
            </w:r>
            <w:r>
              <w:rPr>
                <w:rStyle w:val="IndexLink"/>
              </w:rPr>
              <w:t>452</w:t>
            </w:r>
          </w:hyperlink>
        </w:p>
        <w:p>
          <w:pPr>
            <w:pStyle w:val="Contents5"/>
            <w:tabs>
              <w:tab w:val="clear" w:pos="7892"/>
              <w:tab w:val="right" w:pos="9026" w:leader="dot"/>
            </w:tabs>
            <w:rPr/>
          </w:pPr>
          <w:hyperlink w:anchor="__RefHeading___Toc9644075_73709187">
            <w:r>
              <w:rPr>
                <w:webHidden/>
                <w:rStyle w:val="IndexLink"/>
                <w:rtl w:val="true"/>
              </w:rPr>
              <w:t>الفرع الأوّل إذا حجّ باعتقاد أنّه غیر بالغ ندبا فبان بعد الحجّ أنّه کان بالغا، فهل یجزی عن حجّة الإسلام أو لا؟</w:t>
            </w:r>
            <w:r>
              <w:rPr>
                <w:rStyle w:val="IndexLink"/>
                <w:rtl w:val="true"/>
              </w:rPr>
              <w:tab/>
            </w:r>
            <w:r>
              <w:rPr>
                <w:rStyle w:val="IndexLink"/>
              </w:rPr>
              <w:t>452</w:t>
            </w:r>
          </w:hyperlink>
        </w:p>
        <w:p>
          <w:pPr>
            <w:pStyle w:val="Contents5"/>
            <w:tabs>
              <w:tab w:val="clear" w:pos="7892"/>
              <w:tab w:val="right" w:pos="9026" w:leader="dot"/>
            </w:tabs>
            <w:rPr/>
          </w:pPr>
          <w:hyperlink w:anchor="__RefHeading___Toc9644077_73709187">
            <w:r>
              <w:rPr>
                <w:webHidden/>
                <w:rStyle w:val="IndexLink"/>
                <w:rtl w:val="true"/>
              </w:rPr>
              <w:t>الفرع الثانی لو اعتقد کونه بالغا أو حرّا فحجّ مع تحقّق سائر الشرائط، ثمّ تبیّن أنّه کان صغیرا أو عبدا، فهل یجزی عن حجّة الإسلام أم لا؟</w:t>
            </w:r>
            <w:r>
              <w:rPr>
                <w:rStyle w:val="IndexLink"/>
                <w:rtl w:val="true"/>
              </w:rPr>
              <w:tab/>
            </w:r>
            <w:r>
              <w:rPr>
                <w:rStyle w:val="IndexLink"/>
              </w:rPr>
              <w:t>456</w:t>
            </w:r>
          </w:hyperlink>
        </w:p>
        <w:p>
          <w:pPr>
            <w:pStyle w:val="Contents6"/>
            <w:tabs>
              <w:tab w:val="clear" w:pos="7609"/>
              <w:tab w:val="right" w:pos="9026" w:leader="dot"/>
            </w:tabs>
            <w:rPr/>
          </w:pPr>
          <w:hyperlink w:anchor="__RefHeading___Toc9644079_73709187">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9644081_73709187">
            <w:r>
              <w:rPr>
                <w:webHidden/>
                <w:rStyle w:val="IndexLink"/>
                <w:rtl w:val="true"/>
              </w:rPr>
              <w:t>وقوع الحجّ عن الصبیّ استحبابا</w:t>
            </w:r>
            <w:r>
              <w:rPr>
                <w:rStyle w:val="IndexLink"/>
                <w:rtl w:val="true"/>
              </w:rPr>
              <w:tab/>
            </w:r>
            <w:r>
              <w:rPr>
                <w:rStyle w:val="IndexLink"/>
              </w:rPr>
              <w:t>458</w:t>
            </w:r>
          </w:hyperlink>
        </w:p>
        <w:p>
          <w:pPr>
            <w:pStyle w:val="Contents5"/>
            <w:tabs>
              <w:tab w:val="clear" w:pos="7892"/>
              <w:tab w:val="right" w:pos="9026" w:leader="dot"/>
            </w:tabs>
            <w:rPr/>
          </w:pPr>
          <w:hyperlink w:anchor="__RefHeading___Toc9644083_73709187">
            <w:r>
              <w:rPr>
                <w:webHidden/>
                <w:rStyle w:val="IndexLink"/>
                <w:rtl w:val="true"/>
              </w:rPr>
              <w:t>الفرع الثالث أنّه إذا استطاع للحجّ و اعتقد أنّه غیر بالغ فترک الحجّ، ثمّ تبیّن کونه بالغا، هل یستقرّ علیه الحجّ مع بقاء سائر الشرائط أم لا؟</w:t>
            </w:r>
            <w:r>
              <w:rPr>
                <w:rStyle w:val="IndexLink"/>
                <w:rtl w:val="true"/>
              </w:rPr>
              <w:tab/>
            </w:r>
            <w:r>
              <w:rPr>
                <w:rStyle w:val="IndexLink"/>
              </w:rPr>
              <w:t>459</w:t>
            </w:r>
          </w:hyperlink>
        </w:p>
        <w:p>
          <w:pPr>
            <w:pStyle w:val="Contents6"/>
            <w:tabs>
              <w:tab w:val="clear" w:pos="7609"/>
              <w:tab w:val="right" w:pos="9026" w:leader="dot"/>
            </w:tabs>
            <w:rPr/>
          </w:pPr>
          <w:hyperlink w:anchor="__RefHeading___Toc9644085_7370918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9644087_73709187">
            <w:r>
              <w:rPr>
                <w:webHidden/>
                <w:rStyle w:val="IndexLink"/>
                <w:rtl w:val="true"/>
              </w:rPr>
              <w:t>الأوّل</w:t>
            </w:r>
            <w:r>
              <w:rPr>
                <w:rStyle w:val="IndexLink"/>
                <w:rtl w:val="true"/>
              </w:rPr>
              <w:t xml:space="preserve">: </w:t>
            </w:r>
            <w:r>
              <w:rPr>
                <w:rStyle w:val="IndexLink"/>
                <w:rtl w:val="true"/>
              </w:rPr>
              <w:t>أنّه یستقرّ علیه الحجّ و لو زالت الاستطاعة بعد ذلک</w:t>
            </w:r>
            <w:r>
              <w:rPr>
                <w:rStyle w:val="IndexLink"/>
                <w:rtl w:val="true"/>
              </w:rPr>
              <w:tab/>
            </w:r>
            <w:r>
              <w:rPr>
                <w:rStyle w:val="IndexLink"/>
              </w:rPr>
              <w:t>459</w:t>
            </w:r>
          </w:hyperlink>
        </w:p>
        <w:p>
          <w:pPr>
            <w:pStyle w:val="Contents6"/>
            <w:tabs>
              <w:tab w:val="clear" w:pos="7609"/>
              <w:tab w:val="right" w:pos="9026" w:leader="dot"/>
            </w:tabs>
            <w:rPr/>
          </w:pPr>
          <w:hyperlink w:anchor="__RefHeading___Toc9644089_73709187">
            <w:r>
              <w:rPr>
                <w:webHidden/>
                <w:rStyle w:val="IndexLink"/>
                <w:rtl w:val="true"/>
              </w:rPr>
              <w:t>أدلّة هذا القول</w:t>
            </w:r>
            <w:r>
              <w:rPr>
                <w:rStyle w:val="IndexLink"/>
                <w:rtl w:val="true"/>
              </w:rPr>
              <w:tab/>
            </w:r>
            <w:r>
              <w:rPr>
                <w:rStyle w:val="IndexLink"/>
              </w:rPr>
              <w:t>460</w:t>
            </w:r>
          </w:hyperlink>
        </w:p>
        <w:p>
          <w:pPr>
            <w:pStyle w:val="Contents6"/>
            <w:tabs>
              <w:tab w:val="clear" w:pos="7609"/>
              <w:tab w:val="right" w:pos="9026" w:leader="dot"/>
            </w:tabs>
            <w:rPr/>
          </w:pPr>
          <w:hyperlink w:anchor="__RefHeading___Toc9644091_73709187">
            <w:r>
              <w:rPr>
                <w:webHidden/>
                <w:rStyle w:val="IndexLink"/>
                <w:rtl w:val="true"/>
              </w:rPr>
              <w:t>القول الثانی</w:t>
            </w:r>
            <w:r>
              <w:rPr>
                <w:rStyle w:val="IndexLink"/>
                <w:rtl w:val="true"/>
              </w:rPr>
              <w:t xml:space="preserve">: </w:t>
            </w:r>
            <w:r>
              <w:rPr>
                <w:rStyle w:val="IndexLink"/>
                <w:rtl w:val="true"/>
              </w:rPr>
              <w:t>عدم استقرار الحجّ علیه</w:t>
            </w:r>
            <w:r>
              <w:rPr>
                <w:rStyle w:val="IndexLink"/>
                <w:rtl w:val="true"/>
              </w:rPr>
              <w:tab/>
            </w:r>
            <w:r>
              <w:rPr>
                <w:rStyle w:val="IndexLink"/>
              </w:rPr>
              <w:t>462</w:t>
            </w:r>
          </w:hyperlink>
        </w:p>
        <w:p>
          <w:pPr>
            <w:pStyle w:val="Contents6"/>
            <w:tabs>
              <w:tab w:val="clear" w:pos="7609"/>
              <w:tab w:val="right" w:pos="9026" w:leader="dot"/>
            </w:tabs>
            <w:rPr/>
          </w:pPr>
          <w:hyperlink w:anchor="__RefHeading___Toc9644093_73709187">
            <w:r>
              <w:rPr>
                <w:webHidden/>
                <w:rStyle w:val="IndexLink"/>
                <w:rtl w:val="true"/>
              </w:rPr>
              <w:t>ما تحقّق به استقرار الحجّ علی المکلّف</w:t>
            </w:r>
            <w:r>
              <w:rPr>
                <w:rStyle w:val="IndexLink"/>
                <w:rtl w:val="true"/>
              </w:rPr>
              <w:tab/>
            </w:r>
            <w:r>
              <w:rPr>
                <w:rStyle w:val="IndexLink"/>
              </w:rPr>
              <w:t>466</w:t>
            </w:r>
          </w:hyperlink>
        </w:p>
        <w:p>
          <w:pPr>
            <w:pStyle w:val="Contents4"/>
            <w:tabs>
              <w:tab w:val="clear" w:pos="8176"/>
              <w:tab w:val="right" w:pos="9026" w:leader="dot"/>
            </w:tabs>
            <w:rPr/>
          </w:pPr>
          <w:hyperlink w:anchor="__RefHeading___Toc9644095_73709187">
            <w:r>
              <w:rPr>
                <w:webHidden/>
                <w:rStyle w:val="IndexLink"/>
                <w:rtl w:val="true"/>
              </w:rPr>
              <w:t>بلوغ الصبیّ فی أثناء النسک عند أهل السنّة</w:t>
            </w:r>
            <w:r>
              <w:rPr>
                <w:rStyle w:val="IndexLink"/>
                <w:rtl w:val="true"/>
              </w:rPr>
              <w:tab/>
            </w:r>
            <w:r>
              <w:rPr>
                <w:rStyle w:val="IndexLink"/>
              </w:rPr>
              <w:t>469</w:t>
            </w:r>
          </w:hyperlink>
        </w:p>
        <w:p>
          <w:pPr>
            <w:pStyle w:val="Contents3"/>
            <w:tabs>
              <w:tab w:val="clear" w:pos="8459"/>
              <w:tab w:val="right" w:pos="9026" w:leader="dot"/>
            </w:tabs>
            <w:rPr/>
          </w:pPr>
          <w:hyperlink w:anchor="__RefHeading___Toc9644097_73709187">
            <w:r>
              <w:rPr>
                <w:webHidden/>
                <w:rStyle w:val="IndexLink"/>
                <w:rtl w:val="true"/>
              </w:rPr>
              <w:t>المبحث السابع عشر</w:t>
            </w:r>
            <w:r>
              <w:rPr>
                <w:rStyle w:val="IndexLink"/>
                <w:rtl w:val="true"/>
              </w:rPr>
              <w:t xml:space="preserve">: </w:t>
            </w:r>
            <w:r>
              <w:rPr>
                <w:rStyle w:val="IndexLink"/>
                <w:rtl w:val="true"/>
              </w:rPr>
              <w:t>نیابة الصبیّ فی الحجّ و النیابة عنه</w:t>
            </w:r>
            <w:r>
              <w:rPr>
                <w:rStyle w:val="IndexLink"/>
                <w:rtl w:val="true"/>
              </w:rPr>
              <w:tab/>
            </w:r>
            <w:r>
              <w:rPr>
                <w:rStyle w:val="IndexLink"/>
              </w:rPr>
              <w:t>471</w:t>
            </w:r>
          </w:hyperlink>
        </w:p>
        <w:p>
          <w:pPr>
            <w:pStyle w:val="Contents4"/>
            <w:tabs>
              <w:tab w:val="clear" w:pos="8176"/>
              <w:tab w:val="right" w:pos="9026" w:leader="dot"/>
            </w:tabs>
            <w:rPr/>
          </w:pPr>
          <w:hyperlink w:anchor="__RefHeading___Toc9644099_7370918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9644101_73709187">
            <w:r>
              <w:rPr>
                <w:webHidden/>
                <w:rStyle w:val="IndexLink"/>
                <w:rtl w:val="true"/>
              </w:rPr>
              <w:t>الأوّل</w:t>
            </w:r>
            <w:r>
              <w:rPr>
                <w:rStyle w:val="IndexLink"/>
                <w:rtl w:val="true"/>
              </w:rPr>
              <w:t xml:space="preserve">: </w:t>
            </w:r>
            <w:r>
              <w:rPr>
                <w:rStyle w:val="IndexLink"/>
                <w:rtl w:val="true"/>
              </w:rPr>
              <w:t>نیابة الصبیّ غیر الممیّز</w:t>
            </w:r>
            <w:r>
              <w:rPr>
                <w:rStyle w:val="IndexLink"/>
                <w:rtl w:val="true"/>
              </w:rPr>
              <w:tab/>
            </w:r>
            <w:r>
              <w:rPr>
                <w:rStyle w:val="IndexLink"/>
              </w:rPr>
              <w:t>471</w:t>
            </w:r>
          </w:hyperlink>
        </w:p>
        <w:p>
          <w:pPr>
            <w:pStyle w:val="Contents4"/>
            <w:tabs>
              <w:tab w:val="clear" w:pos="8176"/>
              <w:tab w:val="right" w:pos="9026" w:leader="dot"/>
            </w:tabs>
            <w:rPr/>
          </w:pPr>
          <w:hyperlink w:anchor="__RefHeading___Toc9644103_73709187">
            <w:r>
              <w:rPr>
                <w:webHidden/>
                <w:rStyle w:val="IndexLink"/>
                <w:rtl w:val="true"/>
              </w:rPr>
              <w:t>المقام الثانی</w:t>
            </w:r>
            <w:r>
              <w:rPr>
                <w:rStyle w:val="IndexLink"/>
                <w:rtl w:val="true"/>
              </w:rPr>
              <w:t xml:space="preserve">: </w:t>
            </w:r>
            <w:r>
              <w:rPr>
                <w:rStyle w:val="IndexLink"/>
                <w:rtl w:val="true"/>
              </w:rPr>
              <w:t>نیابة الصبیّ الممیّز</w:t>
            </w:r>
            <w:r>
              <w:rPr>
                <w:rStyle w:val="IndexLink"/>
                <w:rtl w:val="true"/>
              </w:rPr>
              <w:tab/>
            </w:r>
            <w:r>
              <w:rPr>
                <w:rStyle w:val="IndexLink"/>
              </w:rPr>
              <w:t>473</w:t>
            </w:r>
          </w:hyperlink>
        </w:p>
        <w:p>
          <w:pPr>
            <w:pStyle w:val="Contents5"/>
            <w:tabs>
              <w:tab w:val="clear" w:pos="7892"/>
              <w:tab w:val="right" w:pos="9026" w:leader="dot"/>
            </w:tabs>
            <w:rPr/>
          </w:pPr>
          <w:hyperlink w:anchor="__RefHeading___Toc9644105_7370918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9644107_73709187">
            <w:r>
              <w:rPr>
                <w:webHidden/>
                <w:rStyle w:val="IndexLink"/>
                <w:rtl w:val="true"/>
              </w:rPr>
              <w:t>الاولی</w:t>
            </w:r>
            <w:r>
              <w:rPr>
                <w:rStyle w:val="IndexLink"/>
                <w:rtl w:val="true"/>
              </w:rPr>
              <w:t xml:space="preserve">: </w:t>
            </w:r>
            <w:r>
              <w:rPr>
                <w:rStyle w:val="IndexLink"/>
                <w:rtl w:val="true"/>
              </w:rPr>
              <w:t>نیابته علی فرض عدم مشروعیّة عباداته</w:t>
            </w:r>
            <w:r>
              <w:rPr>
                <w:rStyle w:val="IndexLink"/>
                <w:rtl w:val="true"/>
              </w:rPr>
              <w:tab/>
            </w:r>
            <w:r>
              <w:rPr>
                <w:rStyle w:val="IndexLink"/>
              </w:rPr>
              <w:t>473</w:t>
            </w:r>
          </w:hyperlink>
        </w:p>
        <w:p>
          <w:pPr>
            <w:pStyle w:val="Contents5"/>
            <w:tabs>
              <w:tab w:val="clear" w:pos="7892"/>
              <w:tab w:val="right" w:pos="9026" w:leader="dot"/>
            </w:tabs>
            <w:rPr/>
          </w:pPr>
          <w:hyperlink w:anchor="__RefHeading___Toc9644109_73709187">
            <w:r>
              <w:rPr>
                <w:webHidden/>
                <w:rStyle w:val="IndexLink"/>
                <w:rtl w:val="true"/>
              </w:rPr>
              <w:t>الجهة الثانیة</w:t>
            </w:r>
            <w:r>
              <w:rPr>
                <w:rStyle w:val="IndexLink"/>
                <w:rtl w:val="true"/>
              </w:rPr>
              <w:t xml:space="preserve">: </w:t>
            </w:r>
            <w:r>
              <w:rPr>
                <w:rStyle w:val="IndexLink"/>
                <w:rtl w:val="true"/>
              </w:rPr>
              <w:t>نیابة الصبیّ علی تقدیر مشروعیّة عباداته</w:t>
            </w:r>
            <w:r>
              <w:rPr>
                <w:rStyle w:val="IndexLink"/>
                <w:rtl w:val="true"/>
              </w:rPr>
              <w:tab/>
            </w:r>
            <w:r>
              <w:rPr>
                <w:rStyle w:val="IndexLink"/>
              </w:rPr>
              <w:t>475</w:t>
            </w:r>
          </w:hyperlink>
        </w:p>
        <w:p>
          <w:pPr>
            <w:pStyle w:val="Contents6"/>
            <w:tabs>
              <w:tab w:val="clear" w:pos="7609"/>
              <w:tab w:val="right" w:pos="9026" w:leader="dot"/>
            </w:tabs>
            <w:rPr/>
          </w:pPr>
          <w:hyperlink w:anchor="__RefHeading___Toc9644111_73709187">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9644113_73709187">
            <w:r>
              <w:rPr>
                <w:webHidden/>
                <w:rStyle w:val="IndexLink"/>
                <w:rtl w:val="true"/>
              </w:rPr>
              <w:t>الأدلّة علی عدم صحّة نیابة الصبیّ</w:t>
            </w:r>
            <w:r>
              <w:rPr>
                <w:rStyle w:val="IndexLink"/>
                <w:rtl w:val="true"/>
              </w:rPr>
              <w:tab/>
            </w:r>
            <w:r>
              <w:rPr>
                <w:rStyle w:val="IndexLink"/>
              </w:rPr>
              <w:t>476</w:t>
            </w:r>
          </w:hyperlink>
        </w:p>
        <w:p>
          <w:pPr>
            <w:pStyle w:val="Contents6"/>
            <w:tabs>
              <w:tab w:val="clear" w:pos="7609"/>
              <w:tab w:val="right" w:pos="9026" w:leader="dot"/>
            </w:tabs>
            <w:rPr/>
          </w:pPr>
          <w:hyperlink w:anchor="__RefHeading___Toc9644115_73709187">
            <w:r>
              <w:rPr>
                <w:webHidden/>
                <w:rStyle w:val="IndexLink"/>
                <w:rtl w:val="true"/>
              </w:rPr>
              <w:t>جواز نیابة الصبیّ</w:t>
            </w:r>
            <w:r>
              <w:rPr>
                <w:rStyle w:val="IndexLink"/>
                <w:rtl w:val="true"/>
              </w:rPr>
              <w:tab/>
            </w:r>
            <w:r>
              <w:rPr>
                <w:rStyle w:val="IndexLink"/>
              </w:rPr>
              <w:t>482</w:t>
            </w:r>
          </w:hyperlink>
        </w:p>
        <w:p>
          <w:pPr>
            <w:pStyle w:val="Contents6"/>
            <w:tabs>
              <w:tab w:val="clear" w:pos="7609"/>
              <w:tab w:val="right" w:pos="9026" w:leader="dot"/>
            </w:tabs>
            <w:rPr/>
          </w:pPr>
          <w:hyperlink w:anchor="__RefHeading___Toc9644117_73709187">
            <w:r>
              <w:rPr>
                <w:webHidden/>
                <w:rStyle w:val="IndexLink"/>
                <w:rtl w:val="true"/>
              </w:rPr>
              <w:t>جواز نیابة الصبیّ عن المیّت</w:t>
            </w:r>
            <w:r>
              <w:rPr>
                <w:rStyle w:val="IndexLink"/>
                <w:rtl w:val="true"/>
              </w:rPr>
              <w:tab/>
            </w:r>
            <w:r>
              <w:rPr>
                <w:rStyle w:val="IndexLink"/>
              </w:rPr>
              <w:t>485</w:t>
            </w:r>
          </w:hyperlink>
        </w:p>
        <w:p>
          <w:pPr>
            <w:pStyle w:val="Contents6"/>
            <w:tabs>
              <w:tab w:val="clear" w:pos="7609"/>
              <w:tab w:val="right" w:pos="9026" w:leader="dot"/>
            </w:tabs>
            <w:rPr/>
          </w:pPr>
          <w:hyperlink w:anchor="__RefHeading___Toc9644119_73709187">
            <w:r>
              <w:rPr>
                <w:webHidden/>
                <w:rStyle w:val="IndexLink"/>
                <w:rtl w:val="true"/>
              </w:rPr>
              <w:t>جواز نیابة الصّبیّ فی المندوب</w:t>
            </w:r>
            <w:r>
              <w:rPr>
                <w:rStyle w:val="IndexLink"/>
                <w:rtl w:val="true"/>
              </w:rPr>
              <w:tab/>
            </w:r>
            <w:r>
              <w:rPr>
                <w:rStyle w:val="IndexLink"/>
              </w:rPr>
              <w:t>487</w:t>
            </w:r>
          </w:hyperlink>
        </w:p>
        <w:p>
          <w:pPr>
            <w:pStyle w:val="Contents6"/>
            <w:tabs>
              <w:tab w:val="clear" w:pos="7609"/>
              <w:tab w:val="right" w:pos="9026" w:leader="dot"/>
            </w:tabs>
            <w:rPr/>
          </w:pPr>
          <w:hyperlink w:anchor="__RefHeading___Toc9644121_73709187">
            <w:r>
              <w:rPr>
                <w:webHidden/>
                <w:rStyle w:val="IndexLink"/>
                <w:rtl w:val="true"/>
              </w:rPr>
              <w:t>فرعان ینبغی ذکرهما</w:t>
            </w:r>
            <w:r>
              <w:rPr>
                <w:rStyle w:val="IndexLink"/>
                <w:rtl w:val="true"/>
              </w:rPr>
              <w:tab/>
            </w:r>
            <w:r>
              <w:rPr>
                <w:rStyle w:val="IndexLink"/>
              </w:rPr>
              <w:t>491</w:t>
            </w:r>
          </w:hyperlink>
        </w:p>
        <w:p>
          <w:pPr>
            <w:pStyle w:val="Contents6"/>
            <w:tabs>
              <w:tab w:val="clear" w:pos="7609"/>
              <w:tab w:val="right" w:pos="9026" w:leader="dot"/>
            </w:tabs>
            <w:rPr/>
          </w:pPr>
          <w:hyperlink w:anchor="__RefHeading___Toc9644123_73709187">
            <w:r>
              <w:rPr>
                <w:webHidden/>
                <w:rStyle w:val="IndexLink"/>
                <w:rtl w:val="true"/>
              </w:rPr>
              <w:t>الفرع الأوّل علی تقدیر صحّة نیابة الصّبیّ فی الحجّ لو کانت بالإجارة</w:t>
            </w:r>
            <w:r>
              <w:rPr>
                <w:rStyle w:val="IndexLink"/>
                <w:rtl w:val="true"/>
              </w:rPr>
              <w:tab/>
            </w:r>
            <w:r>
              <w:rPr>
                <w:rStyle w:val="IndexLink"/>
              </w:rPr>
              <w:t>491</w:t>
            </w:r>
          </w:hyperlink>
        </w:p>
        <w:p>
          <w:pPr>
            <w:pStyle w:val="Contents6"/>
            <w:tabs>
              <w:tab w:val="clear" w:pos="7609"/>
              <w:tab w:val="right" w:pos="9026" w:leader="dot"/>
            </w:tabs>
            <w:rPr/>
          </w:pPr>
          <w:hyperlink w:anchor="__RefHeading___Toc9644125_73709187">
            <w:r>
              <w:rPr>
                <w:webHidden/>
                <w:rStyle w:val="IndexLink"/>
                <w:rtl w:val="true"/>
              </w:rPr>
              <w:t>الفرع الثانی إذا حجّ الصّبیّ جاز إهداء ثواب حجّه إلی الغیر</w:t>
            </w:r>
            <w:r>
              <w:rPr>
                <w:rStyle w:val="IndexLink"/>
                <w:rtl w:val="true"/>
              </w:rPr>
              <w:tab/>
            </w:r>
            <w:r>
              <w:rPr>
                <w:rStyle w:val="IndexLink"/>
              </w:rPr>
              <w:t>491</w:t>
            </w:r>
          </w:hyperlink>
        </w:p>
        <w:p>
          <w:pPr>
            <w:pStyle w:val="Contents4"/>
            <w:tabs>
              <w:tab w:val="clear" w:pos="8176"/>
              <w:tab w:val="right" w:pos="9026" w:leader="dot"/>
            </w:tabs>
            <w:rPr/>
          </w:pPr>
          <w:hyperlink w:anchor="__RefHeading___Toc9644127_73709187">
            <w:r>
              <w:rPr>
                <w:webHidden/>
                <w:rStyle w:val="IndexLink"/>
                <w:rtl w:val="true"/>
              </w:rPr>
              <w:t>المقام الثالث</w:t>
            </w:r>
            <w:r>
              <w:rPr>
                <w:rStyle w:val="IndexLink"/>
                <w:rtl w:val="true"/>
              </w:rPr>
              <w:t xml:space="preserve">: </w:t>
            </w:r>
            <w:r>
              <w:rPr>
                <w:rStyle w:val="IndexLink"/>
                <w:rtl w:val="true"/>
              </w:rPr>
              <w:t>النّیابة عن الصّبیّ</w:t>
            </w:r>
            <w:r>
              <w:rPr>
                <w:rStyle w:val="IndexLink"/>
                <w:rtl w:val="true"/>
              </w:rPr>
              <w:tab/>
            </w:r>
            <w:r>
              <w:rPr>
                <w:rStyle w:val="IndexLink"/>
              </w:rPr>
              <w:t>496</w:t>
            </w:r>
          </w:hyperlink>
        </w:p>
        <w:p>
          <w:pPr>
            <w:pStyle w:val="Contents5"/>
            <w:tabs>
              <w:tab w:val="clear" w:pos="7892"/>
              <w:tab w:val="right" w:pos="9026" w:leader="dot"/>
            </w:tabs>
            <w:rPr/>
          </w:pPr>
          <w:hyperlink w:anchor="__RefHeading___Toc9644129_7370918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9644131_73709187">
            <w:r>
              <w:rPr>
                <w:webHidden/>
                <w:rStyle w:val="IndexLink"/>
                <w:rtl w:val="true"/>
              </w:rPr>
              <w:t>الأدلّة علی صحّة النّیابة عن الصّبیّ</w:t>
            </w:r>
            <w:r>
              <w:rPr>
                <w:rStyle w:val="IndexLink"/>
                <w:rtl w:val="true"/>
              </w:rPr>
              <w:tab/>
            </w:r>
            <w:r>
              <w:rPr>
                <w:rStyle w:val="IndexLink"/>
              </w:rPr>
              <w:t>497</w:t>
            </w:r>
          </w:hyperlink>
        </w:p>
        <w:p>
          <w:pPr>
            <w:pStyle w:val="Contents5"/>
            <w:tabs>
              <w:tab w:val="clear" w:pos="7892"/>
              <w:tab w:val="right" w:pos="9026" w:leader="dot"/>
            </w:tabs>
            <w:rPr/>
          </w:pPr>
          <w:hyperlink w:anchor="__RefHeading___Toc9644133_73709187">
            <w:r>
              <w:rPr>
                <w:webHidden/>
                <w:rStyle w:val="IndexLink"/>
                <w:rtl w:val="true"/>
              </w:rPr>
              <w:t>نیابة الصّبیّ فی الحجّ عند أهل السّنة</w:t>
            </w:r>
            <w:r>
              <w:rPr>
                <w:rStyle w:val="IndexLink"/>
                <w:rtl w:val="true"/>
              </w:rPr>
              <w:tab/>
            </w:r>
            <w:r>
              <w:rPr>
                <w:rStyle w:val="IndexLink"/>
              </w:rPr>
              <w:t>499</w:t>
            </w:r>
          </w:hyperlink>
        </w:p>
        <w:p>
          <w:pPr>
            <w:pStyle w:val="Contents5"/>
            <w:tabs>
              <w:tab w:val="clear" w:pos="7892"/>
              <w:tab w:val="right" w:pos="9026" w:leader="dot"/>
            </w:tabs>
            <w:rPr/>
          </w:pPr>
          <w:hyperlink w:anchor="__RefHeading___Toc9644135_73709187">
            <w:r>
              <w:rPr>
                <w:webHidden/>
                <w:rStyle w:val="IndexLink"/>
                <w:rtl w:val="true"/>
              </w:rPr>
              <w:t>النیابة عن الصّبیّ فی الحجّ عند أهل السنّة</w:t>
            </w:r>
            <w:r>
              <w:rPr>
                <w:rStyle w:val="IndexLink"/>
                <w:rtl w:val="true"/>
              </w:rPr>
              <w:tab/>
            </w:r>
            <w:r>
              <w:rPr>
                <w:rStyle w:val="IndexLink"/>
              </w:rPr>
              <w:t>501</w:t>
            </w:r>
          </w:hyperlink>
        </w:p>
        <w:p>
          <w:pPr>
            <w:pStyle w:val="Contents2"/>
            <w:tabs>
              <w:tab w:val="clear" w:pos="8743"/>
              <w:tab w:val="right" w:pos="9026" w:leader="dot"/>
            </w:tabs>
            <w:rPr/>
          </w:pPr>
          <w:hyperlink w:anchor="__RefHeading___Toc9644137_73709187">
            <w:r>
              <w:rPr>
                <w:webHidden/>
                <w:rStyle w:val="IndexLink"/>
                <w:rtl w:val="true"/>
              </w:rPr>
              <w:t>الفصل السادس</w:t>
            </w:r>
            <w:r>
              <w:rPr>
                <w:rStyle w:val="IndexLink"/>
                <w:rtl w:val="true"/>
              </w:rPr>
              <w:t xml:space="preserve">: </w:t>
            </w:r>
            <w:r>
              <w:rPr>
                <w:rStyle w:val="IndexLink"/>
                <w:rtl w:val="true"/>
              </w:rPr>
              <w:t>جهاد الصبیّ و فیه مباحث</w:t>
            </w:r>
            <w:r>
              <w:rPr>
                <w:rStyle w:val="IndexLink"/>
                <w:rtl w:val="true"/>
              </w:rPr>
              <w:tab/>
            </w:r>
            <w:r>
              <w:rPr>
                <w:rStyle w:val="IndexLink"/>
              </w:rPr>
              <w:t>502</w:t>
            </w:r>
          </w:hyperlink>
        </w:p>
        <w:p>
          <w:pPr>
            <w:pStyle w:val="Contents3"/>
            <w:tabs>
              <w:tab w:val="clear" w:pos="8459"/>
              <w:tab w:val="right" w:pos="9026" w:leader="dot"/>
            </w:tabs>
            <w:rPr/>
          </w:pPr>
          <w:hyperlink w:anchor="__RefHeading___Toc9644139_73709187">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9644141_73709187">
            <w:r>
              <w:rPr>
                <w:webHidden/>
                <w:rStyle w:val="IndexLink"/>
                <w:rtl w:val="true"/>
              </w:rPr>
              <w:t>المبحث الأوّل</w:t>
            </w:r>
            <w:r>
              <w:rPr>
                <w:rStyle w:val="IndexLink"/>
                <w:rtl w:val="true"/>
              </w:rPr>
              <w:t xml:space="preserve">: </w:t>
            </w:r>
            <w:r>
              <w:rPr>
                <w:rStyle w:val="IndexLink"/>
                <w:rtl w:val="true"/>
              </w:rPr>
              <w:t>فی أهمّیّته و أنّه لا یجب علی الصّبیّ</w:t>
            </w:r>
            <w:r>
              <w:rPr>
                <w:rStyle w:val="IndexLink"/>
                <w:rtl w:val="true"/>
              </w:rPr>
              <w:tab/>
            </w:r>
            <w:r>
              <w:rPr>
                <w:rStyle w:val="IndexLink"/>
              </w:rPr>
              <w:t>503</w:t>
            </w:r>
          </w:hyperlink>
        </w:p>
        <w:p>
          <w:pPr>
            <w:pStyle w:val="Contents4"/>
            <w:tabs>
              <w:tab w:val="clear" w:pos="8176"/>
              <w:tab w:val="right" w:pos="9026" w:leader="dot"/>
            </w:tabs>
            <w:rPr/>
          </w:pPr>
          <w:hyperlink w:anchor="__RefHeading___Toc9644143_7370918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9644145_73709187">
            <w:r>
              <w:rPr>
                <w:webHidden/>
                <w:rStyle w:val="IndexLink"/>
                <w:rtl w:val="true"/>
              </w:rPr>
              <w:t>عدم وجوب الجهاد علی الصّبیّ</w:t>
            </w:r>
            <w:r>
              <w:rPr>
                <w:rStyle w:val="IndexLink"/>
                <w:rtl w:val="true"/>
              </w:rPr>
              <w:tab/>
            </w:r>
            <w:r>
              <w:rPr>
                <w:rStyle w:val="IndexLink"/>
              </w:rPr>
              <w:t>505</w:t>
            </w:r>
          </w:hyperlink>
        </w:p>
        <w:p>
          <w:pPr>
            <w:pStyle w:val="Contents3"/>
            <w:tabs>
              <w:tab w:val="clear" w:pos="8459"/>
              <w:tab w:val="right" w:pos="9026" w:leader="dot"/>
            </w:tabs>
            <w:rPr/>
          </w:pPr>
          <w:hyperlink w:anchor="__RefHeading___Toc9644147_73709187">
            <w:r>
              <w:rPr>
                <w:webHidden/>
                <w:rStyle w:val="IndexLink"/>
                <w:rtl w:val="true"/>
              </w:rPr>
              <w:t>المبحث الثانی</w:t>
            </w:r>
            <w:r>
              <w:rPr>
                <w:rStyle w:val="IndexLink"/>
                <w:rtl w:val="true"/>
              </w:rPr>
              <w:t xml:space="preserve">: </w:t>
            </w:r>
            <w:r>
              <w:rPr>
                <w:rStyle w:val="IndexLink"/>
                <w:rtl w:val="true"/>
              </w:rPr>
              <w:t>مشروعیّة جهاد الصبیّ</w:t>
            </w:r>
            <w:r>
              <w:rPr>
                <w:rStyle w:val="IndexLink"/>
                <w:rtl w:val="true"/>
              </w:rPr>
              <w:tab/>
            </w:r>
            <w:r>
              <w:rPr>
                <w:rStyle w:val="IndexLink"/>
              </w:rPr>
              <w:t>506</w:t>
            </w:r>
          </w:hyperlink>
        </w:p>
        <w:p>
          <w:pPr>
            <w:pStyle w:val="Contents4"/>
            <w:tabs>
              <w:tab w:val="clear" w:pos="8176"/>
              <w:tab w:val="right" w:pos="9026" w:leader="dot"/>
            </w:tabs>
            <w:rPr/>
          </w:pPr>
          <w:hyperlink w:anchor="__RefHeading___Toc9644149_73709187">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9644151_73709187">
            <w:r>
              <w:rPr>
                <w:webHidden/>
                <w:rStyle w:val="IndexLink"/>
                <w:rtl w:val="true"/>
              </w:rPr>
              <w:t>ما تدلّ علی جواز خروج الأطفال مع الجیش للخدمة</w:t>
            </w:r>
            <w:r>
              <w:rPr>
                <w:rStyle w:val="IndexLink"/>
                <w:rtl w:val="true"/>
              </w:rPr>
              <w:t>:</w:t>
              <w:tab/>
            </w:r>
            <w:r>
              <w:rPr>
                <w:rStyle w:val="IndexLink"/>
              </w:rPr>
              <w:t>510</w:t>
            </w:r>
          </w:hyperlink>
        </w:p>
        <w:p>
          <w:pPr>
            <w:pStyle w:val="Contents4"/>
            <w:tabs>
              <w:tab w:val="clear" w:pos="8176"/>
              <w:tab w:val="right" w:pos="9026" w:leader="dot"/>
            </w:tabs>
            <w:rPr/>
          </w:pPr>
          <w:hyperlink w:anchor="__RefHeading___Toc9644153_73709187">
            <w:r>
              <w:rPr>
                <w:webHidden/>
                <w:rStyle w:val="IndexLink"/>
                <w:rtl w:val="true"/>
              </w:rPr>
              <w:t>آراء أهل السنّة فی جهاد الصبیّ</w:t>
            </w:r>
            <w:r>
              <w:rPr>
                <w:rStyle w:val="IndexLink"/>
                <w:rtl w:val="true"/>
              </w:rPr>
              <w:tab/>
            </w:r>
            <w:r>
              <w:rPr>
                <w:rStyle w:val="IndexLink"/>
              </w:rPr>
              <w:t>514</w:t>
            </w:r>
          </w:hyperlink>
        </w:p>
        <w:p>
          <w:pPr>
            <w:pStyle w:val="Contents5"/>
            <w:tabs>
              <w:tab w:val="clear" w:pos="7892"/>
              <w:tab w:val="right" w:pos="9026" w:leader="dot"/>
            </w:tabs>
            <w:rPr/>
          </w:pPr>
          <w:hyperlink w:anchor="__RefHeading___Toc9644155_7370918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9644157_73709187">
            <w:r>
              <w:rPr>
                <w:webHidden/>
                <w:rStyle w:val="IndexLink"/>
                <w:rtl w:val="true"/>
              </w:rPr>
              <w:t xml:space="preserve">أ </w:t>
            </w:r>
            <w:r>
              <w:rPr>
                <w:rStyle w:val="IndexLink"/>
                <w:rtl w:val="true"/>
              </w:rPr>
              <w:t xml:space="preserve">- </w:t>
            </w:r>
            <w:r>
              <w:rPr>
                <w:rStyle w:val="IndexLink"/>
                <w:rtl w:val="true"/>
              </w:rPr>
              <w:t>الحنفیّة</w:t>
            </w:r>
            <w:r>
              <w:rPr>
                <w:rStyle w:val="IndexLink"/>
                <w:rtl w:val="true"/>
              </w:rPr>
              <w:tab/>
            </w:r>
            <w:r>
              <w:rPr>
                <w:rStyle w:val="IndexLink"/>
              </w:rPr>
              <w:t>514</w:t>
            </w:r>
          </w:hyperlink>
        </w:p>
        <w:p>
          <w:pPr>
            <w:pStyle w:val="Contents5"/>
            <w:tabs>
              <w:tab w:val="clear" w:pos="7892"/>
              <w:tab w:val="right" w:pos="9026" w:leader="dot"/>
            </w:tabs>
            <w:rPr/>
          </w:pPr>
          <w:hyperlink w:anchor="__RefHeading___Toc9644159_73709187">
            <w:r>
              <w:rPr>
                <w:webHidden/>
                <w:rStyle w:val="IndexLink"/>
                <w:rtl w:val="true"/>
              </w:rPr>
              <w:t xml:space="preserve">ب </w:t>
            </w:r>
            <w:r>
              <w:rPr>
                <w:rStyle w:val="IndexLink"/>
                <w:rtl w:val="true"/>
              </w:rPr>
              <w:t xml:space="preserve">- </w:t>
            </w:r>
            <w:r>
              <w:rPr>
                <w:rStyle w:val="IndexLink"/>
                <w:rtl w:val="true"/>
              </w:rPr>
              <w:t>المالکیّة</w:t>
            </w:r>
            <w:r>
              <w:rPr>
                <w:rStyle w:val="IndexLink"/>
                <w:rtl w:val="true"/>
              </w:rPr>
              <w:tab/>
            </w:r>
            <w:r>
              <w:rPr>
                <w:rStyle w:val="IndexLink"/>
              </w:rPr>
              <w:t>515</w:t>
            </w:r>
          </w:hyperlink>
        </w:p>
        <w:p>
          <w:pPr>
            <w:pStyle w:val="Contents5"/>
            <w:tabs>
              <w:tab w:val="clear" w:pos="7892"/>
              <w:tab w:val="right" w:pos="9026" w:leader="dot"/>
            </w:tabs>
            <w:rPr/>
          </w:pPr>
          <w:hyperlink w:anchor="__RefHeading___Toc9644161_73709187">
            <w:r>
              <w:rPr>
                <w:webHidden/>
                <w:rStyle w:val="IndexLink"/>
                <w:rtl w:val="true"/>
              </w:rPr>
              <w:t xml:space="preserve">ج </w:t>
            </w:r>
            <w:r>
              <w:rPr>
                <w:rStyle w:val="IndexLink"/>
                <w:rtl w:val="true"/>
              </w:rPr>
              <w:t xml:space="preserve">- </w:t>
            </w:r>
            <w:r>
              <w:rPr>
                <w:rStyle w:val="IndexLink"/>
                <w:rtl w:val="true"/>
              </w:rPr>
              <w:t>الشافعیّة</w:t>
            </w:r>
            <w:r>
              <w:rPr>
                <w:rStyle w:val="IndexLink"/>
                <w:rtl w:val="true"/>
              </w:rPr>
              <w:tab/>
            </w:r>
            <w:r>
              <w:rPr>
                <w:rStyle w:val="IndexLink"/>
              </w:rPr>
              <w:t>516</w:t>
            </w:r>
          </w:hyperlink>
        </w:p>
        <w:p>
          <w:pPr>
            <w:pStyle w:val="Contents5"/>
            <w:tabs>
              <w:tab w:val="clear" w:pos="7892"/>
              <w:tab w:val="right" w:pos="9026" w:leader="dot"/>
            </w:tabs>
            <w:rPr/>
          </w:pPr>
          <w:hyperlink w:anchor="__RefHeading___Toc9644163_73709187">
            <w:r>
              <w:rPr>
                <w:webHidden/>
                <w:rStyle w:val="IndexLink"/>
                <w:rtl w:val="true"/>
              </w:rPr>
              <w:t xml:space="preserve">د </w:t>
            </w:r>
            <w:r>
              <w:rPr>
                <w:rStyle w:val="IndexLink"/>
                <w:rtl w:val="true"/>
              </w:rPr>
              <w:t xml:space="preserve">- </w:t>
            </w:r>
            <w:r>
              <w:rPr>
                <w:rStyle w:val="IndexLink"/>
                <w:rtl w:val="true"/>
              </w:rPr>
              <w:t>الحنابلة</w:t>
            </w:r>
            <w:r>
              <w:rPr>
                <w:rStyle w:val="IndexLink"/>
                <w:rtl w:val="true"/>
              </w:rPr>
              <w:tab/>
            </w:r>
            <w:r>
              <w:rPr>
                <w:rStyle w:val="IndexLink"/>
              </w:rPr>
              <w:t>517</w:t>
            </w:r>
          </w:hyperlink>
        </w:p>
        <w:p>
          <w:pPr>
            <w:pStyle w:val="Contents3"/>
            <w:tabs>
              <w:tab w:val="clear" w:pos="8459"/>
              <w:tab w:val="right" w:pos="9026" w:leader="dot"/>
            </w:tabs>
            <w:rPr/>
          </w:pPr>
          <w:hyperlink w:anchor="__RefHeading___Toc9644165_73709187">
            <w:r>
              <w:rPr>
                <w:webHidden/>
                <w:rStyle w:val="IndexLink"/>
                <w:rtl w:val="true"/>
              </w:rPr>
              <w:t>المبحث الثالث</w:t>
            </w:r>
            <w:r>
              <w:rPr>
                <w:rStyle w:val="IndexLink"/>
                <w:rtl w:val="true"/>
              </w:rPr>
              <w:t xml:space="preserve">: </w:t>
            </w:r>
            <w:r>
              <w:rPr>
                <w:rStyle w:val="IndexLink"/>
                <w:rtl w:val="true"/>
              </w:rPr>
              <w:t>فروع تناسب باب الجهاد</w:t>
            </w:r>
            <w:r>
              <w:rPr>
                <w:rStyle w:val="IndexLink"/>
                <w:rtl w:val="true"/>
              </w:rPr>
              <w:tab/>
            </w:r>
            <w:r>
              <w:rPr>
                <w:rStyle w:val="IndexLink"/>
              </w:rPr>
              <w:t>519</w:t>
            </w:r>
          </w:hyperlink>
        </w:p>
        <w:p>
          <w:pPr>
            <w:pStyle w:val="Contents4"/>
            <w:tabs>
              <w:tab w:val="clear" w:pos="8176"/>
              <w:tab w:val="right" w:pos="9026" w:leader="dot"/>
            </w:tabs>
            <w:rPr/>
          </w:pPr>
          <w:hyperlink w:anchor="__RefHeading___Toc9644167_73709187">
            <w:r>
              <w:rPr>
                <w:webHidden/>
                <w:rStyle w:val="IndexLink"/>
                <w:rtl w:val="true"/>
              </w:rPr>
              <w:t>الفرع الأوّل</w:t>
            </w:r>
            <w:r>
              <w:rPr>
                <w:rStyle w:val="IndexLink"/>
                <w:rtl w:val="true"/>
              </w:rPr>
              <w:t xml:space="preserve">: </w:t>
            </w:r>
            <w:r>
              <w:rPr>
                <w:rStyle w:val="IndexLink"/>
                <w:rtl w:val="true"/>
              </w:rPr>
              <w:t>إنّه یسهم للصبیّ إذا حضر الحرب،</w:t>
            </w:r>
            <w:r>
              <w:rPr>
                <w:rStyle w:val="IndexLink"/>
                <w:rtl w:val="true"/>
              </w:rPr>
              <w:tab/>
            </w:r>
            <w:r>
              <w:rPr>
                <w:rStyle w:val="IndexLink"/>
              </w:rPr>
              <w:t>519</w:t>
            </w:r>
          </w:hyperlink>
        </w:p>
        <w:p>
          <w:pPr>
            <w:pStyle w:val="Contents5"/>
            <w:tabs>
              <w:tab w:val="clear" w:pos="7892"/>
              <w:tab w:val="right" w:pos="9026" w:leader="dot"/>
            </w:tabs>
            <w:rPr/>
          </w:pPr>
          <w:hyperlink w:anchor="__RefHeading___Toc9644169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644171_73709187">
            <w:r>
              <w:rPr>
                <w:webHidden/>
                <w:rStyle w:val="IndexLink"/>
                <w:rtl w:val="true"/>
              </w:rPr>
              <w:t>أدلّة الإسهام للصبیّ</w:t>
            </w:r>
            <w:r>
              <w:rPr>
                <w:rStyle w:val="IndexLink"/>
                <w:rtl w:val="true"/>
              </w:rPr>
              <w:tab/>
            </w:r>
            <w:r>
              <w:rPr>
                <w:rStyle w:val="IndexLink"/>
              </w:rPr>
              <w:t>520</w:t>
            </w:r>
          </w:hyperlink>
        </w:p>
        <w:p>
          <w:pPr>
            <w:pStyle w:val="Contents5"/>
            <w:tabs>
              <w:tab w:val="clear" w:pos="7892"/>
              <w:tab w:val="right" w:pos="9026" w:leader="dot"/>
            </w:tabs>
            <w:rPr/>
          </w:pPr>
          <w:hyperlink w:anchor="__RefHeading___Toc9644173_73709187">
            <w:r>
              <w:rPr>
                <w:webHidden/>
                <w:rStyle w:val="IndexLink"/>
                <w:rtl w:val="true"/>
              </w:rPr>
              <w:t>آراء أهل السنّة فی المسألة</w:t>
            </w:r>
            <w:r>
              <w:rPr>
                <w:rStyle w:val="IndexLink"/>
                <w:rtl w:val="true"/>
              </w:rPr>
              <w:tab/>
            </w:r>
            <w:r>
              <w:rPr>
                <w:rStyle w:val="IndexLink"/>
              </w:rPr>
              <w:t>521</w:t>
            </w:r>
          </w:hyperlink>
        </w:p>
        <w:p>
          <w:pPr>
            <w:pStyle w:val="Contents4"/>
            <w:tabs>
              <w:tab w:val="clear" w:pos="8176"/>
              <w:tab w:val="right" w:pos="9026" w:leader="dot"/>
            </w:tabs>
            <w:rPr/>
          </w:pPr>
          <w:hyperlink w:anchor="__RefHeading___Toc9644175_73709187">
            <w:r>
              <w:rPr>
                <w:webHidden/>
                <w:rStyle w:val="IndexLink"/>
                <w:rtl w:val="true"/>
              </w:rPr>
              <w:t>الفرع الثانی</w:t>
            </w:r>
            <w:r>
              <w:rPr>
                <w:rStyle w:val="IndexLink"/>
                <w:rtl w:val="true"/>
              </w:rPr>
              <w:t xml:space="preserve">: </w:t>
            </w:r>
            <w:r>
              <w:rPr>
                <w:rStyle w:val="IndexLink"/>
                <w:rtl w:val="true"/>
              </w:rPr>
              <w:t>استحقاق الصبیّ للسّلب</w:t>
            </w:r>
            <w:r>
              <w:rPr>
                <w:rStyle w:val="IndexLink"/>
                <w:rtl w:val="true"/>
              </w:rPr>
              <w:tab/>
            </w:r>
            <w:r>
              <w:rPr>
                <w:rStyle w:val="IndexLink"/>
              </w:rPr>
              <w:t>523</w:t>
            </w:r>
          </w:hyperlink>
        </w:p>
        <w:p>
          <w:pPr>
            <w:pStyle w:val="Contents5"/>
            <w:tabs>
              <w:tab w:val="clear" w:pos="7892"/>
              <w:tab w:val="right" w:pos="9026" w:leader="dot"/>
            </w:tabs>
            <w:rPr/>
          </w:pPr>
          <w:hyperlink w:anchor="__RefHeading___Toc9644177_7370918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9644179_73709187">
            <w:r>
              <w:rPr>
                <w:webHidden/>
                <w:rStyle w:val="IndexLink"/>
                <w:rtl w:val="true"/>
              </w:rPr>
              <w:t>أدلّة هذا الحکم</w:t>
            </w:r>
            <w:r>
              <w:rPr>
                <w:rStyle w:val="IndexLink"/>
                <w:rtl w:val="true"/>
              </w:rPr>
              <w:tab/>
            </w:r>
            <w:r>
              <w:rPr>
                <w:rStyle w:val="IndexLink"/>
              </w:rPr>
              <w:t>524</w:t>
            </w:r>
          </w:hyperlink>
        </w:p>
        <w:p>
          <w:pPr>
            <w:pStyle w:val="Contents5"/>
            <w:tabs>
              <w:tab w:val="clear" w:pos="7892"/>
              <w:tab w:val="right" w:pos="9026" w:leader="dot"/>
            </w:tabs>
            <w:rPr/>
          </w:pPr>
          <w:hyperlink w:anchor="__RefHeading___Toc9644181_73709187">
            <w:r>
              <w:rPr>
                <w:webHidden/>
                <w:rStyle w:val="IndexLink"/>
                <w:rtl w:val="true"/>
              </w:rPr>
              <w:t>آراء أهل السنّة فی المسألة</w:t>
            </w:r>
            <w:r>
              <w:rPr>
                <w:rStyle w:val="IndexLink"/>
                <w:rtl w:val="true"/>
              </w:rPr>
              <w:tab/>
            </w:r>
            <w:r>
              <w:rPr>
                <w:rStyle w:val="IndexLink"/>
              </w:rPr>
              <w:t>525</w:t>
            </w:r>
          </w:hyperlink>
        </w:p>
        <w:p>
          <w:pPr>
            <w:pStyle w:val="Contents4"/>
            <w:tabs>
              <w:tab w:val="clear" w:pos="8176"/>
              <w:tab w:val="right" w:pos="9026" w:leader="dot"/>
            </w:tabs>
            <w:rPr/>
          </w:pPr>
          <w:hyperlink w:anchor="__RefHeading___Toc9644183_73709187">
            <w:r>
              <w:rPr>
                <w:webHidden/>
                <w:rStyle w:val="IndexLink"/>
                <w:rtl w:val="true"/>
              </w:rPr>
              <w:t>الفرع الثالث</w:t>
            </w:r>
            <w:r>
              <w:rPr>
                <w:rStyle w:val="IndexLink"/>
                <w:rtl w:val="true"/>
              </w:rPr>
              <w:t xml:space="preserve">: </w:t>
            </w:r>
            <w:r>
              <w:rPr>
                <w:rStyle w:val="IndexLink"/>
                <w:rtl w:val="true"/>
              </w:rPr>
              <w:t>أمان الصبیّ</w:t>
            </w:r>
            <w:r>
              <w:rPr>
                <w:rStyle w:val="IndexLink"/>
                <w:rtl w:val="true"/>
              </w:rPr>
              <w:tab/>
            </w:r>
            <w:r>
              <w:rPr>
                <w:rStyle w:val="IndexLink"/>
              </w:rPr>
              <w:t>527</w:t>
            </w:r>
          </w:hyperlink>
        </w:p>
        <w:p>
          <w:pPr>
            <w:pStyle w:val="Contents5"/>
            <w:tabs>
              <w:tab w:val="clear" w:pos="7892"/>
              <w:tab w:val="right" w:pos="9026" w:leader="dot"/>
            </w:tabs>
            <w:rPr/>
          </w:pPr>
          <w:hyperlink w:anchor="__RefHeading___Toc9644185_7370918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9644187_73709187">
            <w:r>
              <w:rPr>
                <w:webHidden/>
                <w:rStyle w:val="IndexLink"/>
                <w:rtl w:val="true"/>
              </w:rPr>
              <w:t>أمان الصبیّ عند أهل السنّة</w:t>
            </w:r>
            <w:r>
              <w:rPr>
                <w:rStyle w:val="IndexLink"/>
                <w:rtl w:val="true"/>
              </w:rPr>
              <w:tab/>
            </w:r>
            <w:r>
              <w:rPr>
                <w:rStyle w:val="IndexLink"/>
              </w:rPr>
              <w:t>529</w:t>
            </w:r>
          </w:hyperlink>
        </w:p>
        <w:p>
          <w:pPr>
            <w:pStyle w:val="Contents4"/>
            <w:tabs>
              <w:tab w:val="clear" w:pos="8176"/>
              <w:tab w:val="right" w:pos="9026" w:leader="dot"/>
            </w:tabs>
            <w:rPr/>
          </w:pPr>
          <w:hyperlink w:anchor="__RefHeading___Toc9644189_73709187">
            <w:r>
              <w:rPr>
                <w:webHidden/>
                <w:rStyle w:val="IndexLink"/>
                <w:rtl w:val="true"/>
              </w:rPr>
              <w:t>الفرع الرابع</w:t>
            </w:r>
            <w:r>
              <w:rPr>
                <w:rStyle w:val="IndexLink"/>
                <w:rtl w:val="true"/>
              </w:rPr>
              <w:t xml:space="preserve">: </w:t>
            </w:r>
            <w:r>
              <w:rPr>
                <w:rStyle w:val="IndexLink"/>
                <w:rtl w:val="true"/>
              </w:rPr>
              <w:t>عدم جواز قتل صبیان الکفّار</w:t>
            </w:r>
            <w:r>
              <w:rPr>
                <w:rStyle w:val="IndexLink"/>
                <w:rtl w:val="true"/>
              </w:rPr>
              <w:tab/>
            </w:r>
            <w:r>
              <w:rPr>
                <w:rStyle w:val="IndexLink"/>
              </w:rPr>
              <w:t>530</w:t>
            </w:r>
          </w:hyperlink>
        </w:p>
        <w:p>
          <w:pPr>
            <w:pStyle w:val="Contents5"/>
            <w:tabs>
              <w:tab w:val="clear" w:pos="7892"/>
              <w:tab w:val="right" w:pos="9026" w:leader="dot"/>
            </w:tabs>
            <w:rPr/>
          </w:pPr>
          <w:hyperlink w:anchor="__RefHeading___Toc9644191_7370918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9644193_73709187">
            <w:r>
              <w:rPr>
                <w:webHidden/>
                <w:rStyle w:val="IndexLink"/>
                <w:rtl w:val="true"/>
              </w:rPr>
              <w:t>الأدلّة علی عدم جواز قتل صبیان الکفّار</w:t>
            </w:r>
            <w:r>
              <w:rPr>
                <w:rStyle w:val="IndexLink"/>
                <w:rtl w:val="true"/>
              </w:rPr>
              <w:tab/>
            </w:r>
            <w:r>
              <w:rPr>
                <w:rStyle w:val="IndexLink"/>
              </w:rPr>
              <w:t>531</w:t>
            </w:r>
          </w:hyperlink>
        </w:p>
        <w:p>
          <w:pPr>
            <w:pStyle w:val="Contents5"/>
            <w:tabs>
              <w:tab w:val="clear" w:pos="7892"/>
              <w:tab w:val="right" w:pos="9026" w:leader="dot"/>
            </w:tabs>
            <w:rPr/>
          </w:pPr>
          <w:hyperlink w:anchor="__RefHeading___Toc9644195_73709187">
            <w:r>
              <w:rPr>
                <w:webHidden/>
                <w:rStyle w:val="IndexLink"/>
                <w:rtl w:val="true"/>
              </w:rPr>
              <w:t>رأی أهل السنّة فی المسألة</w:t>
            </w:r>
            <w:r>
              <w:rPr>
                <w:rStyle w:val="IndexLink"/>
                <w:rtl w:val="true"/>
              </w:rPr>
              <w:tab/>
            </w:r>
            <w:r>
              <w:rPr>
                <w:rStyle w:val="IndexLink"/>
              </w:rPr>
              <w:t>533</w:t>
            </w:r>
          </w:hyperlink>
        </w:p>
        <w:p>
          <w:pPr>
            <w:pStyle w:val="Contents5"/>
            <w:tabs>
              <w:tab w:val="clear" w:pos="7892"/>
              <w:tab w:val="right" w:pos="9026" w:leader="dot"/>
            </w:tabs>
            <w:rPr/>
          </w:pPr>
          <w:hyperlink w:anchor="__RefHeading___Toc9644197_73709187">
            <w:r>
              <w:rPr>
                <w:webHidden/>
                <w:rStyle w:val="IndexLink"/>
                <w:rtl w:val="true"/>
              </w:rPr>
              <w:t>التترّس بالأطفال</w:t>
            </w:r>
            <w:r>
              <w:rPr>
                <w:rStyle w:val="IndexLink"/>
                <w:rtl w:val="true"/>
              </w:rPr>
              <w:tab/>
            </w:r>
            <w:r>
              <w:rPr>
                <w:rStyle w:val="IndexLink"/>
              </w:rPr>
              <w:t>534</w:t>
            </w:r>
          </w:hyperlink>
        </w:p>
        <w:p>
          <w:pPr>
            <w:pStyle w:val="Contents6"/>
            <w:tabs>
              <w:tab w:val="clear" w:pos="7609"/>
              <w:tab w:val="right" w:pos="9026" w:leader="dot"/>
            </w:tabs>
            <w:rPr/>
          </w:pPr>
          <w:hyperlink w:anchor="__RefHeading___Toc9644199_73709187">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9644201_73709187">
            <w:r>
              <w:rPr>
                <w:webHidden/>
                <w:rStyle w:val="IndexLink"/>
                <w:rtl w:val="true"/>
              </w:rPr>
              <w:t>الأوّل</w:t>
            </w:r>
            <w:r>
              <w:rPr>
                <w:rStyle w:val="IndexLink"/>
                <w:rtl w:val="true"/>
              </w:rPr>
              <w:t xml:space="preserve">: </w:t>
            </w:r>
            <w:r>
              <w:rPr>
                <w:rStyle w:val="IndexLink"/>
                <w:rtl w:val="true"/>
              </w:rPr>
              <w:t>التترّس بأطفال الکفّار و نسائهم</w:t>
            </w:r>
            <w:r>
              <w:rPr>
                <w:rStyle w:val="IndexLink"/>
                <w:rtl w:val="true"/>
              </w:rPr>
              <w:tab/>
            </w:r>
            <w:r>
              <w:rPr>
                <w:rStyle w:val="IndexLink"/>
              </w:rPr>
              <w:t>534</w:t>
            </w:r>
          </w:hyperlink>
        </w:p>
        <w:p>
          <w:pPr>
            <w:pStyle w:val="Contents6"/>
            <w:tabs>
              <w:tab w:val="clear" w:pos="7609"/>
              <w:tab w:val="right" w:pos="9026" w:leader="dot"/>
            </w:tabs>
            <w:rPr/>
          </w:pPr>
          <w:hyperlink w:anchor="__RefHeading___Toc9644203_73709187">
            <w:r>
              <w:rPr>
                <w:webHidden/>
                <w:rStyle w:val="IndexLink"/>
                <w:rtl w:val="true"/>
              </w:rPr>
              <w:t>المقام الثانی</w:t>
            </w:r>
            <w:r>
              <w:rPr>
                <w:rStyle w:val="IndexLink"/>
                <w:rtl w:val="true"/>
              </w:rPr>
              <w:t xml:space="preserve">: </w:t>
            </w:r>
            <w:r>
              <w:rPr>
                <w:rStyle w:val="IndexLink"/>
                <w:rtl w:val="true"/>
              </w:rPr>
              <w:t>التترّس بأطفال المسلمین و نسائهم</w:t>
            </w:r>
            <w:r>
              <w:rPr>
                <w:rStyle w:val="IndexLink"/>
                <w:rtl w:val="true"/>
              </w:rPr>
              <w:tab/>
            </w:r>
            <w:r>
              <w:rPr>
                <w:rStyle w:val="IndexLink"/>
              </w:rPr>
              <w:t>536</w:t>
            </w:r>
          </w:hyperlink>
        </w:p>
        <w:p>
          <w:pPr>
            <w:pStyle w:val="Contents5"/>
            <w:tabs>
              <w:tab w:val="clear" w:pos="7892"/>
              <w:tab w:val="right" w:pos="9026" w:leader="dot"/>
            </w:tabs>
            <w:rPr/>
          </w:pPr>
          <w:hyperlink w:anchor="__RefHeading___Toc9644205_73709187">
            <w:r>
              <w:rPr>
                <w:webHidden/>
                <w:rStyle w:val="IndexLink"/>
                <w:rtl w:val="true"/>
              </w:rPr>
              <w:t>وجوب الکفّارة فی قتل صبیان المسلمین</w:t>
            </w:r>
            <w:r>
              <w:rPr>
                <w:rStyle w:val="IndexLink"/>
                <w:rtl w:val="true"/>
              </w:rPr>
              <w:tab/>
            </w:r>
            <w:r>
              <w:rPr>
                <w:rStyle w:val="IndexLink"/>
              </w:rPr>
              <w:t>538</w:t>
            </w:r>
          </w:hyperlink>
        </w:p>
        <w:p>
          <w:pPr>
            <w:pStyle w:val="Contents6"/>
            <w:tabs>
              <w:tab w:val="clear" w:pos="7609"/>
              <w:tab w:val="right" w:pos="9026" w:leader="dot"/>
            </w:tabs>
            <w:rPr/>
          </w:pPr>
          <w:hyperlink w:anchor="__RefHeading___Toc9644207_73709187">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9644209_73709187">
            <w:r>
              <w:rPr>
                <w:webHidden/>
                <w:rStyle w:val="IndexLink"/>
                <w:rtl w:val="true"/>
              </w:rPr>
              <w:t>الأوّل</w:t>
            </w:r>
            <w:r>
              <w:rPr>
                <w:rStyle w:val="IndexLink"/>
                <w:rtl w:val="true"/>
              </w:rPr>
              <w:t xml:space="preserve">: </w:t>
            </w:r>
            <w:r>
              <w:rPr>
                <w:rStyle w:val="IndexLink"/>
                <w:rtl w:val="true"/>
              </w:rPr>
              <w:t>ما هو المشهور بین الأصحاب من أنّه تجب الکفّارة</w:t>
            </w:r>
            <w:r>
              <w:rPr>
                <w:rStyle w:val="IndexLink"/>
                <w:rtl w:val="true"/>
              </w:rPr>
              <w:tab/>
            </w:r>
            <w:r>
              <w:rPr>
                <w:rStyle w:val="IndexLink"/>
              </w:rPr>
              <w:t>538</w:t>
            </w:r>
          </w:hyperlink>
        </w:p>
        <w:p>
          <w:pPr>
            <w:pStyle w:val="Contents6"/>
            <w:tabs>
              <w:tab w:val="clear" w:pos="7609"/>
              <w:tab w:val="right" w:pos="9026" w:leader="dot"/>
            </w:tabs>
            <w:rPr/>
          </w:pPr>
          <w:hyperlink w:anchor="__RefHeading___Toc9644211_73709187">
            <w:r>
              <w:rPr>
                <w:webHidden/>
                <w:rStyle w:val="IndexLink"/>
                <w:rtl w:val="true"/>
              </w:rPr>
              <w:t>القول الثانی</w:t>
            </w:r>
            <w:r>
              <w:rPr>
                <w:rStyle w:val="IndexLink"/>
                <w:rtl w:val="true"/>
              </w:rPr>
              <w:t xml:space="preserve">: </w:t>
            </w:r>
            <w:r>
              <w:rPr>
                <w:rStyle w:val="IndexLink"/>
                <w:rtl w:val="true"/>
              </w:rPr>
              <w:t>أنّه لا تجب الکفّارة</w:t>
            </w:r>
            <w:r>
              <w:rPr>
                <w:rStyle w:val="IndexLink"/>
                <w:rtl w:val="true"/>
              </w:rPr>
              <w:tab/>
            </w:r>
            <w:r>
              <w:rPr>
                <w:rStyle w:val="IndexLink"/>
              </w:rPr>
              <w:t>541</w:t>
            </w:r>
          </w:hyperlink>
        </w:p>
        <w:p>
          <w:pPr>
            <w:pStyle w:val="Contents6"/>
            <w:tabs>
              <w:tab w:val="clear" w:pos="7609"/>
              <w:tab w:val="right" w:pos="9026" w:leader="dot"/>
            </w:tabs>
            <w:rPr/>
          </w:pPr>
          <w:hyperlink w:anchor="__RefHeading___Toc9644213_73709187">
            <w:r>
              <w:rPr>
                <w:webHidden/>
                <w:rStyle w:val="IndexLink"/>
                <w:rtl w:val="true"/>
              </w:rPr>
              <w:t>أدلّة القول الثانی</w:t>
            </w:r>
            <w:r>
              <w:rPr>
                <w:rStyle w:val="IndexLink"/>
                <w:rtl w:val="true"/>
              </w:rPr>
              <w:tab/>
            </w:r>
            <w:r>
              <w:rPr>
                <w:rStyle w:val="IndexLink"/>
              </w:rPr>
              <w:t>542</w:t>
            </w:r>
          </w:hyperlink>
        </w:p>
        <w:p>
          <w:pPr>
            <w:pStyle w:val="Contents5"/>
            <w:tabs>
              <w:tab w:val="clear" w:pos="7892"/>
              <w:tab w:val="right" w:pos="9026" w:leader="dot"/>
            </w:tabs>
            <w:rPr/>
          </w:pPr>
          <w:hyperlink w:anchor="__RefHeading___Toc9644215_73709187">
            <w:r>
              <w:rPr>
                <w:webHidden/>
                <w:rStyle w:val="IndexLink"/>
                <w:rtl w:val="true"/>
              </w:rPr>
              <w:t>عدم القود فی قتل الترس المسلم</w:t>
            </w:r>
            <w:r>
              <w:rPr>
                <w:rStyle w:val="IndexLink"/>
                <w:rtl w:val="true"/>
              </w:rPr>
              <w:tab/>
            </w:r>
            <w:r>
              <w:rPr>
                <w:rStyle w:val="IndexLink"/>
              </w:rPr>
              <w:t>544</w:t>
            </w:r>
          </w:hyperlink>
        </w:p>
        <w:p>
          <w:pPr>
            <w:pStyle w:val="Contents5"/>
            <w:tabs>
              <w:tab w:val="clear" w:pos="7892"/>
              <w:tab w:val="right" w:pos="9026" w:leader="dot"/>
            </w:tabs>
            <w:rPr/>
          </w:pPr>
          <w:hyperlink w:anchor="__RefHeading___Toc9644217_73709187">
            <w:r>
              <w:rPr>
                <w:webHidden/>
                <w:rStyle w:val="IndexLink"/>
                <w:rtl w:val="true"/>
              </w:rPr>
              <w:t>أحکام التترّس عند فقهاء أهل السنّة</w:t>
            </w:r>
            <w:r>
              <w:rPr>
                <w:rStyle w:val="IndexLink"/>
                <w:rtl w:val="true"/>
              </w:rPr>
              <w:tab/>
            </w:r>
            <w:r>
              <w:rPr>
                <w:rStyle w:val="IndexLink"/>
              </w:rPr>
              <w:t>545</w:t>
            </w:r>
          </w:hyperlink>
        </w:p>
        <w:p>
          <w:pPr>
            <w:pStyle w:val="Contents6"/>
            <w:tabs>
              <w:tab w:val="clear" w:pos="7609"/>
              <w:tab w:val="right" w:pos="9026" w:leader="dot"/>
            </w:tabs>
            <w:rPr/>
          </w:pPr>
          <w:hyperlink w:anchor="__RefHeading___Toc9644219_73709187">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9644221_73709187">
            <w:r>
              <w:rPr>
                <w:webHidden/>
                <w:rStyle w:val="IndexLink"/>
                <w:rtl w:val="true"/>
              </w:rPr>
              <w:t>الأوّل</w:t>
            </w:r>
            <w:r>
              <w:rPr>
                <w:rStyle w:val="IndexLink"/>
                <w:rtl w:val="true"/>
              </w:rPr>
              <w:t xml:space="preserve">: </w:t>
            </w:r>
            <w:r>
              <w:rPr>
                <w:rStyle w:val="IndexLink"/>
                <w:rtl w:val="true"/>
              </w:rPr>
              <w:t>التترّس بأطفال الکفّار و نسائهم</w:t>
            </w:r>
            <w:r>
              <w:rPr>
                <w:rStyle w:val="IndexLink"/>
                <w:rtl w:val="true"/>
              </w:rPr>
              <w:tab/>
            </w:r>
            <w:r>
              <w:rPr>
                <w:rStyle w:val="IndexLink"/>
              </w:rPr>
              <w:t>545</w:t>
            </w:r>
          </w:hyperlink>
        </w:p>
        <w:p>
          <w:pPr>
            <w:pStyle w:val="Contents6"/>
            <w:tabs>
              <w:tab w:val="clear" w:pos="7609"/>
              <w:tab w:val="right" w:pos="9026" w:leader="dot"/>
            </w:tabs>
            <w:rPr/>
          </w:pPr>
          <w:hyperlink w:anchor="__RefHeading___Toc9644223_73709187">
            <w:r>
              <w:rPr>
                <w:webHidden/>
                <w:rStyle w:val="IndexLink"/>
                <w:rtl w:val="true"/>
              </w:rPr>
              <w:t>المقام الثانی</w:t>
            </w:r>
            <w:r>
              <w:rPr>
                <w:rStyle w:val="IndexLink"/>
                <w:rtl w:val="true"/>
              </w:rPr>
              <w:t xml:space="preserve">: </w:t>
            </w:r>
            <w:r>
              <w:rPr>
                <w:rStyle w:val="IndexLink"/>
                <w:rtl w:val="true"/>
              </w:rPr>
              <w:t>التترّس بأطفال المسلمین و أساراهم</w:t>
            </w:r>
            <w:r>
              <w:rPr>
                <w:rStyle w:val="IndexLink"/>
                <w:rtl w:val="true"/>
              </w:rPr>
              <w:tab/>
            </w:r>
            <w:r>
              <w:rPr>
                <w:rStyle w:val="IndexLink"/>
              </w:rPr>
              <w:t>547</w:t>
            </w:r>
          </w:hyperlink>
        </w:p>
        <w:p>
          <w:pPr>
            <w:pStyle w:val="Contents4"/>
            <w:tabs>
              <w:tab w:val="clear" w:pos="8176"/>
              <w:tab w:val="right" w:pos="9026" w:leader="dot"/>
            </w:tabs>
            <w:rPr/>
          </w:pPr>
          <w:hyperlink w:anchor="__RefHeading___Toc9644225_73709187">
            <w:r>
              <w:rPr>
                <w:webHidden/>
                <w:rStyle w:val="IndexLink"/>
                <w:rtl w:val="true"/>
              </w:rPr>
              <w:t>الفرع الخامس</w:t>
            </w:r>
            <w:r>
              <w:rPr>
                <w:rStyle w:val="IndexLink"/>
                <w:rtl w:val="true"/>
              </w:rPr>
              <w:t xml:space="preserve">: </w:t>
            </w:r>
            <w:r>
              <w:rPr>
                <w:rStyle w:val="IndexLink"/>
                <w:rtl w:val="true"/>
              </w:rPr>
              <w:t>لا جزیة علی الأطفال</w:t>
            </w:r>
            <w:r>
              <w:rPr>
                <w:rStyle w:val="IndexLink"/>
                <w:rtl w:val="true"/>
              </w:rPr>
              <w:tab/>
            </w:r>
            <w:r>
              <w:rPr>
                <w:rStyle w:val="IndexLink"/>
              </w:rPr>
              <w:t>549</w:t>
            </w:r>
          </w:hyperlink>
        </w:p>
        <w:p>
          <w:pPr>
            <w:pStyle w:val="Contents5"/>
            <w:tabs>
              <w:tab w:val="clear" w:pos="7892"/>
              <w:tab w:val="right" w:pos="9026" w:leader="dot"/>
            </w:tabs>
            <w:rPr/>
          </w:pPr>
          <w:hyperlink w:anchor="__RefHeading___Toc9644227_7370918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9644229_73709187">
            <w:r>
              <w:rPr>
                <w:webHidden/>
                <w:rStyle w:val="IndexLink"/>
                <w:rtl w:val="true"/>
              </w:rPr>
              <w:t>الدلیل علی عدم الجزیة علی الأطفال</w:t>
            </w:r>
            <w:r>
              <w:rPr>
                <w:rStyle w:val="IndexLink"/>
                <w:rtl w:val="true"/>
              </w:rPr>
              <w:tab/>
            </w:r>
            <w:r>
              <w:rPr>
                <w:rStyle w:val="IndexLink"/>
              </w:rPr>
              <w:t>550</w:t>
            </w:r>
          </w:hyperlink>
        </w:p>
        <w:p>
          <w:pPr>
            <w:pStyle w:val="Contents5"/>
            <w:tabs>
              <w:tab w:val="clear" w:pos="7892"/>
              <w:tab w:val="right" w:pos="9026" w:leader="dot"/>
            </w:tabs>
            <w:rPr/>
          </w:pPr>
          <w:hyperlink w:anchor="__RefHeading___Toc9644231_73709187">
            <w:r>
              <w:rPr>
                <w:webHidden/>
                <w:rStyle w:val="IndexLink"/>
                <w:rtl w:val="true"/>
              </w:rPr>
              <w:t>حکم الجزیة علی الأطفال عند أهل السنّة</w:t>
            </w:r>
            <w:r>
              <w:rPr>
                <w:rStyle w:val="IndexLink"/>
                <w:rtl w:val="true"/>
              </w:rPr>
              <w:tab/>
            </w:r>
            <w:r>
              <w:rPr>
                <w:rStyle w:val="IndexLink"/>
              </w:rPr>
              <w:t>552</w:t>
            </w:r>
          </w:hyperlink>
        </w:p>
        <w:p>
          <w:pPr>
            <w:pStyle w:val="Contents4"/>
            <w:tabs>
              <w:tab w:val="clear" w:pos="8176"/>
              <w:tab w:val="right" w:pos="9026" w:leader="dot"/>
            </w:tabs>
            <w:rPr/>
          </w:pPr>
          <w:hyperlink w:anchor="__RefHeading___Toc9644233_73709187">
            <w:r>
              <w:rPr>
                <w:webHidden/>
                <w:rStyle w:val="IndexLink"/>
                <w:rtl w:val="true"/>
              </w:rPr>
              <w:t>الفرع السادس</w:t>
            </w:r>
            <w:r>
              <w:rPr>
                <w:rStyle w:val="IndexLink"/>
                <w:rtl w:val="true"/>
              </w:rPr>
              <w:t xml:space="preserve">: </w:t>
            </w:r>
            <w:r>
              <w:rPr>
                <w:rStyle w:val="IndexLink"/>
                <w:rtl w:val="true"/>
              </w:rPr>
              <w:t>سبی النساء و الصبیان و أحکامه</w:t>
            </w:r>
            <w:r>
              <w:rPr>
                <w:rStyle w:val="IndexLink"/>
                <w:rtl w:val="true"/>
              </w:rPr>
              <w:tab/>
            </w:r>
            <w:r>
              <w:rPr>
                <w:rStyle w:val="IndexLink"/>
              </w:rPr>
              <w:t>553</w:t>
            </w:r>
          </w:hyperlink>
        </w:p>
        <w:p>
          <w:pPr>
            <w:pStyle w:val="Contents5"/>
            <w:tabs>
              <w:tab w:val="clear" w:pos="7892"/>
              <w:tab w:val="right" w:pos="9026" w:leader="dot"/>
            </w:tabs>
            <w:rPr/>
          </w:pPr>
          <w:hyperlink w:anchor="__RefHeading___Toc9644235_7370918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9644237_73709187">
            <w:r>
              <w:rPr>
                <w:webHidden/>
                <w:rStyle w:val="IndexLink"/>
                <w:rtl w:val="true"/>
              </w:rPr>
              <w:t>یترتّب علی سبیّ الصبیان آثار</w:t>
            </w:r>
            <w:r>
              <w:rPr>
                <w:rStyle w:val="IndexLink"/>
                <w:rtl w:val="true"/>
              </w:rPr>
              <w:t>:</w:t>
              <w:tab/>
            </w:r>
            <w:r>
              <w:rPr>
                <w:rStyle w:val="IndexLink"/>
              </w:rPr>
              <w:t>554</w:t>
            </w:r>
          </w:hyperlink>
        </w:p>
        <w:p>
          <w:pPr>
            <w:pStyle w:val="Contents6"/>
            <w:tabs>
              <w:tab w:val="clear" w:pos="7609"/>
              <w:tab w:val="right" w:pos="9026" w:leader="dot"/>
            </w:tabs>
            <w:rPr/>
          </w:pPr>
          <w:hyperlink w:anchor="__RefHeading___Toc9644239_73709187">
            <w:r>
              <w:rPr>
                <w:webHidden/>
                <w:rStyle w:val="IndexLink"/>
                <w:rtl w:val="true"/>
              </w:rPr>
              <w:t>الأثر الأوّل</w:t>
            </w:r>
            <w:r>
              <w:rPr>
                <w:rStyle w:val="IndexLink"/>
                <w:rtl w:val="true"/>
              </w:rPr>
              <w:t xml:space="preserve">: </w:t>
            </w:r>
            <w:r>
              <w:rPr>
                <w:rStyle w:val="IndexLink"/>
                <w:rtl w:val="true"/>
              </w:rPr>
              <w:t>إنّ النساء و الصبیان من الکفّار الأصلیّین الحربیّین غیر معتصمین، یصیرون رقیقا بمجرّد سبیهم</w:t>
            </w:r>
            <w:r>
              <w:rPr>
                <w:rStyle w:val="IndexLink"/>
                <w:rtl w:val="true"/>
              </w:rPr>
              <w:tab/>
            </w:r>
            <w:r>
              <w:rPr>
                <w:rStyle w:val="IndexLink"/>
              </w:rPr>
              <w:t>554</w:t>
            </w:r>
          </w:hyperlink>
        </w:p>
        <w:p>
          <w:pPr>
            <w:pStyle w:val="Contents6"/>
            <w:tabs>
              <w:tab w:val="clear" w:pos="7609"/>
              <w:tab w:val="right" w:pos="9026" w:leader="dot"/>
            </w:tabs>
            <w:rPr/>
          </w:pPr>
          <w:hyperlink w:anchor="__RefHeading___Toc9644241_73709187">
            <w:r>
              <w:rPr>
                <w:webHidden/>
                <w:rStyle w:val="IndexLink"/>
                <w:rtl w:val="true"/>
              </w:rPr>
              <w:t>الأدلّة علی استرقاق الصبیّ</w:t>
            </w:r>
            <w:r>
              <w:rPr>
                <w:rStyle w:val="IndexLink"/>
                <w:rtl w:val="true"/>
              </w:rPr>
              <w:tab/>
            </w:r>
            <w:r>
              <w:rPr>
                <w:rStyle w:val="IndexLink"/>
              </w:rPr>
              <w:t>555</w:t>
            </w:r>
          </w:hyperlink>
        </w:p>
        <w:p>
          <w:pPr>
            <w:pStyle w:val="Contents6"/>
            <w:tabs>
              <w:tab w:val="clear" w:pos="7609"/>
              <w:tab w:val="right" w:pos="9026" w:leader="dot"/>
            </w:tabs>
            <w:rPr/>
          </w:pPr>
          <w:hyperlink w:anchor="__RefHeading___Toc9644243_73709187">
            <w:r>
              <w:rPr>
                <w:webHidden/>
                <w:rStyle w:val="IndexLink"/>
                <w:rtl w:val="true"/>
              </w:rPr>
              <w:t>آراء أهل السنّة فی استرقاق الصبیّ</w:t>
            </w:r>
            <w:r>
              <w:rPr>
                <w:rStyle w:val="IndexLink"/>
                <w:rtl w:val="true"/>
              </w:rPr>
              <w:tab/>
            </w:r>
            <w:r>
              <w:rPr>
                <w:rStyle w:val="IndexLink"/>
              </w:rPr>
              <w:t>556</w:t>
            </w:r>
          </w:hyperlink>
        </w:p>
        <w:p>
          <w:pPr>
            <w:pStyle w:val="Contents6"/>
            <w:tabs>
              <w:tab w:val="clear" w:pos="7609"/>
              <w:tab w:val="right" w:pos="9026" w:leader="dot"/>
            </w:tabs>
            <w:rPr/>
          </w:pPr>
          <w:hyperlink w:anchor="__RefHeading___Toc9644245_73709187">
            <w:r>
              <w:rPr>
                <w:webHidden/>
                <w:rStyle w:val="IndexLink"/>
                <w:rtl w:val="true"/>
              </w:rPr>
              <w:t>الأثر الثانی</w:t>
            </w:r>
            <w:r>
              <w:rPr>
                <w:rStyle w:val="IndexLink"/>
                <w:rtl w:val="true"/>
              </w:rPr>
              <w:t xml:space="preserve">: </w:t>
            </w:r>
            <w:r>
              <w:rPr>
                <w:rStyle w:val="IndexLink"/>
                <w:rtl w:val="true"/>
              </w:rPr>
              <w:t>عدم جواز التفریق بین الامّ و ولیدها</w:t>
            </w:r>
            <w:r>
              <w:rPr>
                <w:rStyle w:val="IndexLink"/>
                <w:rtl w:val="true"/>
              </w:rPr>
              <w:tab/>
            </w:r>
            <w:r>
              <w:rPr>
                <w:rStyle w:val="IndexLink"/>
              </w:rPr>
              <w:t>557</w:t>
            </w:r>
          </w:hyperlink>
        </w:p>
        <w:p>
          <w:pPr>
            <w:pStyle w:val="Contents6"/>
            <w:tabs>
              <w:tab w:val="clear" w:pos="7609"/>
              <w:tab w:val="right" w:pos="9026" w:leader="dot"/>
            </w:tabs>
            <w:rPr/>
          </w:pPr>
          <w:hyperlink w:anchor="__RefHeading___Toc9644247_73709187">
            <w:r>
              <w:rPr>
                <w:webHidden/>
                <w:rStyle w:val="IndexLink"/>
                <w:rtl w:val="true"/>
              </w:rPr>
              <w:t>رأی أهل السنّة فی المسألة</w:t>
            </w:r>
            <w:r>
              <w:rPr>
                <w:rStyle w:val="IndexLink"/>
                <w:rtl w:val="true"/>
              </w:rPr>
              <w:tab/>
            </w:r>
            <w:r>
              <w:rPr>
                <w:rStyle w:val="IndexLink"/>
              </w:rPr>
              <w:t>559</w:t>
            </w:r>
          </w:hyperlink>
        </w:p>
        <w:p>
          <w:pPr>
            <w:pStyle w:val="Contents5"/>
            <w:tabs>
              <w:tab w:val="clear" w:pos="7892"/>
              <w:tab w:val="right" w:pos="9026" w:leader="dot"/>
            </w:tabs>
            <w:rPr/>
          </w:pPr>
          <w:hyperlink w:anchor="__RefHeading___Toc9644249_73709187">
            <w:r>
              <w:rPr>
                <w:webHidden/>
                <w:rStyle w:val="IndexLink"/>
                <w:rtl w:val="true"/>
              </w:rPr>
              <w:t>تتمّة</w:t>
            </w:r>
            <w:r>
              <w:rPr>
                <w:rStyle w:val="IndexLink"/>
                <w:rtl w:val="true"/>
              </w:rPr>
              <w:t>:</w:t>
              <w:tab/>
            </w:r>
            <w:r>
              <w:rPr>
                <w:rStyle w:val="IndexLink"/>
              </w:rPr>
              <w:t>560</w:t>
            </w:r>
          </w:hyperlink>
        </w:p>
        <w:p>
          <w:pPr>
            <w:pStyle w:val="Contents5"/>
            <w:tabs>
              <w:tab w:val="clear" w:pos="7892"/>
              <w:tab w:val="right" w:pos="9026" w:leader="dot"/>
            </w:tabs>
            <w:rPr/>
          </w:pPr>
          <w:hyperlink w:anchor="__RefHeading___Toc9644251_73709187">
            <w:r>
              <w:rPr>
                <w:webHidden/>
                <w:rStyle w:val="IndexLink"/>
                <w:rtl w:val="true"/>
              </w:rPr>
              <w:t>التفرقة بین الصبیّ و غیر الامّ</w:t>
            </w:r>
            <w:r>
              <w:rPr>
                <w:rStyle w:val="IndexLink"/>
                <w:rtl w:val="true"/>
              </w:rPr>
              <w:tab/>
            </w:r>
            <w:r>
              <w:rPr>
                <w:rStyle w:val="IndexLink"/>
              </w:rPr>
              <w:t>561</w:t>
            </w:r>
          </w:hyperlink>
        </w:p>
        <w:p>
          <w:pPr>
            <w:pStyle w:val="Contents2"/>
            <w:tabs>
              <w:tab w:val="clear" w:pos="8743"/>
              <w:tab w:val="right" w:pos="9026" w:leader="dot"/>
            </w:tabs>
            <w:rPr/>
          </w:pPr>
          <w:hyperlink w:anchor="__RefHeading___Toc9644253_73709187">
            <w:r>
              <w:rPr>
                <w:webHidden/>
                <w:rStyle w:val="IndexLink"/>
                <w:rtl w:val="true"/>
              </w:rPr>
              <w:t>الفصل السابع</w:t>
            </w:r>
            <w:r>
              <w:rPr>
                <w:rStyle w:val="IndexLink"/>
                <w:rtl w:val="true"/>
              </w:rPr>
              <w:t xml:space="preserve">: </w:t>
            </w:r>
            <w:r>
              <w:rPr>
                <w:rStyle w:val="IndexLink"/>
                <w:rtl w:val="true"/>
              </w:rPr>
              <w:t>الأمر بالمعروف و النهی عن المنکر</w:t>
            </w:r>
            <w:r>
              <w:rPr>
                <w:rStyle w:val="IndexLink"/>
                <w:rtl w:val="true"/>
              </w:rPr>
              <w:tab/>
            </w:r>
            <w:r>
              <w:rPr>
                <w:rStyle w:val="IndexLink"/>
              </w:rPr>
              <w:t>562</w:t>
            </w:r>
          </w:hyperlink>
        </w:p>
        <w:p>
          <w:pPr>
            <w:pStyle w:val="Contents3"/>
            <w:tabs>
              <w:tab w:val="clear" w:pos="8459"/>
              <w:tab w:val="right" w:pos="9026" w:leader="dot"/>
            </w:tabs>
            <w:rPr/>
          </w:pPr>
          <w:hyperlink w:anchor="__RefHeading___Toc9644255_73709187">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9644257_73709187">
            <w:r>
              <w:rPr>
                <w:webHidden/>
                <w:rStyle w:val="IndexLink"/>
                <w:rtl w:val="true"/>
              </w:rPr>
              <w:t>تمهید</w:t>
            </w:r>
            <w:r>
              <w:rPr>
                <w:rStyle w:val="IndexLink"/>
                <w:rtl w:val="true"/>
              </w:rPr>
              <w:tab/>
            </w:r>
            <w:r>
              <w:rPr>
                <w:rStyle w:val="IndexLink"/>
              </w:rPr>
              <w:t>563</w:t>
            </w:r>
          </w:hyperlink>
        </w:p>
        <w:p>
          <w:pPr>
            <w:pStyle w:val="Contents3"/>
            <w:tabs>
              <w:tab w:val="clear" w:pos="8459"/>
              <w:tab w:val="right" w:pos="9026" w:leader="dot"/>
            </w:tabs>
            <w:rPr/>
          </w:pPr>
          <w:hyperlink w:anchor="__RefHeading___Toc9644259_73709187">
            <w:r>
              <w:rPr>
                <w:webHidden/>
                <w:rStyle w:val="IndexLink"/>
                <w:rtl w:val="true"/>
              </w:rPr>
              <w:t>المقام الأوّل</w:t>
            </w:r>
            <w:r>
              <w:rPr>
                <w:rStyle w:val="IndexLink"/>
                <w:rtl w:val="true"/>
              </w:rPr>
              <w:t xml:space="preserve">: </w:t>
            </w:r>
            <w:r>
              <w:rPr>
                <w:rStyle w:val="IndexLink"/>
                <w:rtl w:val="true"/>
              </w:rPr>
              <w:t>هل هما واجبان کفایة أو عینا؟</w:t>
            </w:r>
            <w:r>
              <w:rPr>
                <w:rStyle w:val="IndexLink"/>
                <w:rtl w:val="true"/>
              </w:rPr>
              <w:tab/>
            </w:r>
            <w:r>
              <w:rPr>
                <w:rStyle w:val="IndexLink"/>
              </w:rPr>
              <w:t>564</w:t>
            </w:r>
          </w:hyperlink>
        </w:p>
        <w:p>
          <w:pPr>
            <w:pStyle w:val="Contents3"/>
            <w:tabs>
              <w:tab w:val="clear" w:pos="8459"/>
              <w:tab w:val="right" w:pos="9026" w:leader="dot"/>
            </w:tabs>
            <w:rPr/>
          </w:pPr>
          <w:hyperlink w:anchor="__RefHeading___Toc9644261_73709187">
            <w:r>
              <w:rPr>
                <w:webHidden/>
                <w:rStyle w:val="IndexLink"/>
                <w:rtl w:val="true"/>
              </w:rPr>
              <w:t>المقام الثانی</w:t>
            </w:r>
            <w:r>
              <w:rPr>
                <w:rStyle w:val="IndexLink"/>
                <w:rtl w:val="true"/>
              </w:rPr>
              <w:t xml:space="preserve">: </w:t>
            </w:r>
            <w:r>
              <w:rPr>
                <w:rStyle w:val="IndexLink"/>
                <w:rtl w:val="true"/>
              </w:rPr>
              <w:t>هل هما واجبان عقلا أو شرعا؟</w:t>
            </w:r>
            <w:r>
              <w:rPr>
                <w:rStyle w:val="IndexLink"/>
                <w:rtl w:val="true"/>
              </w:rPr>
              <w:tab/>
            </w:r>
            <w:r>
              <w:rPr>
                <w:rStyle w:val="IndexLink"/>
              </w:rPr>
              <w:t>565</w:t>
            </w:r>
          </w:hyperlink>
        </w:p>
        <w:p>
          <w:pPr>
            <w:pStyle w:val="Contents3"/>
            <w:tabs>
              <w:tab w:val="clear" w:pos="8459"/>
              <w:tab w:val="right" w:pos="9026" w:leader="dot"/>
            </w:tabs>
            <w:rPr/>
          </w:pPr>
          <w:hyperlink w:anchor="__RefHeading___Toc9644263_73709187">
            <w:r>
              <w:rPr>
                <w:webHidden/>
                <w:rStyle w:val="IndexLink"/>
                <w:rtl w:val="true"/>
              </w:rPr>
              <w:t>سقوطهما عن البالغین بفعل الصبیّ</w:t>
            </w:r>
            <w:r>
              <w:rPr>
                <w:rStyle w:val="IndexLink"/>
                <w:rtl w:val="true"/>
              </w:rPr>
              <w:tab/>
            </w:r>
            <w:r>
              <w:rPr>
                <w:rStyle w:val="IndexLink"/>
              </w:rPr>
              <w:t>567</w:t>
            </w:r>
          </w:hyperlink>
        </w:p>
        <w:p>
          <w:pPr>
            <w:pStyle w:val="Contents3"/>
            <w:tabs>
              <w:tab w:val="clear" w:pos="8459"/>
              <w:tab w:val="right" w:pos="9026" w:leader="dot"/>
            </w:tabs>
            <w:rPr/>
          </w:pPr>
          <w:hyperlink w:anchor="__RefHeading___Toc9644265_73709187">
            <w:r>
              <w:rPr>
                <w:webHidden/>
                <w:rStyle w:val="IndexLink"/>
                <w:rtl w:val="true"/>
              </w:rPr>
              <w:t>رأی أهل السنّة فی المسألة</w:t>
            </w:r>
            <w:r>
              <w:rPr>
                <w:rStyle w:val="IndexLink"/>
                <w:rtl w:val="true"/>
              </w:rPr>
              <w:tab/>
            </w:r>
            <w:r>
              <w:rPr>
                <w:rStyle w:val="IndexLink"/>
              </w:rPr>
              <w:t>568</w:t>
            </w:r>
          </w:hyperlink>
        </w:p>
        <w:p>
          <w:pPr>
            <w:pStyle w:val="Contents2"/>
            <w:tabs>
              <w:tab w:val="clear" w:pos="8743"/>
              <w:tab w:val="right" w:pos="9026" w:leader="dot"/>
            </w:tabs>
            <w:rPr/>
          </w:pPr>
          <w:hyperlink w:anchor="__RefHeading___Toc9644267_73709187">
            <w:r>
              <w:rPr>
                <w:webHidden/>
                <w:rStyle w:val="IndexLink"/>
                <w:rtl w:val="true"/>
              </w:rPr>
              <w:t>الفصل الثامن استحباب التسلیم علی الصبیّ و فیه مباحث</w:t>
            </w:r>
            <w:r>
              <w:rPr>
                <w:rStyle w:val="IndexLink"/>
                <w:rtl w:val="true"/>
              </w:rPr>
              <w:t>:</w:t>
              <w:tab/>
            </w:r>
            <w:r>
              <w:rPr>
                <w:rStyle w:val="IndexLink"/>
              </w:rPr>
              <w:t>570</w:t>
            </w:r>
          </w:hyperlink>
        </w:p>
        <w:p>
          <w:pPr>
            <w:pStyle w:val="Contents3"/>
            <w:tabs>
              <w:tab w:val="clear" w:pos="8459"/>
              <w:tab w:val="right" w:pos="9026" w:leader="dot"/>
            </w:tabs>
            <w:rPr/>
          </w:pPr>
          <w:hyperlink w:anchor="__RefHeading___Toc9644269_73709187">
            <w:r>
              <w:rPr>
                <w:webHidden/>
                <w:rStyle w:val="IndexLink"/>
                <w:rtl w:val="true"/>
              </w:rPr>
              <w:t>اشارة</w:t>
            </w:r>
            <w:r>
              <w:rPr>
                <w:rStyle w:val="IndexLink"/>
                <w:rtl w:val="true"/>
              </w:rPr>
              <w:tab/>
            </w:r>
            <w:r>
              <w:rPr>
                <w:rStyle w:val="IndexLink"/>
              </w:rPr>
              <w:t>570</w:t>
            </w:r>
          </w:hyperlink>
        </w:p>
        <w:p>
          <w:pPr>
            <w:pStyle w:val="Contents3"/>
            <w:tabs>
              <w:tab w:val="clear" w:pos="8459"/>
              <w:tab w:val="right" w:pos="9026" w:leader="dot"/>
            </w:tabs>
            <w:rPr/>
          </w:pPr>
          <w:hyperlink w:anchor="__RefHeading___Toc9644271_73709187">
            <w:r>
              <w:rPr>
                <w:webHidden/>
                <w:rStyle w:val="IndexLink"/>
                <w:rtl w:val="true"/>
              </w:rPr>
              <w:t>المبحث الأوّل</w:t>
            </w:r>
            <w:r>
              <w:rPr>
                <w:rStyle w:val="IndexLink"/>
                <w:rtl w:val="true"/>
              </w:rPr>
              <w:t xml:space="preserve">: </w:t>
            </w:r>
            <w:r>
              <w:rPr>
                <w:rStyle w:val="IndexLink"/>
                <w:rtl w:val="true"/>
              </w:rPr>
              <w:t>معنی السلام و صیغته و حکم ردّه</w:t>
            </w:r>
            <w:r>
              <w:rPr>
                <w:rStyle w:val="IndexLink"/>
                <w:rtl w:val="true"/>
              </w:rPr>
              <w:tab/>
            </w:r>
            <w:r>
              <w:rPr>
                <w:rStyle w:val="IndexLink"/>
              </w:rPr>
              <w:t>571</w:t>
            </w:r>
          </w:hyperlink>
        </w:p>
        <w:p>
          <w:pPr>
            <w:pStyle w:val="Contents4"/>
            <w:tabs>
              <w:tab w:val="clear" w:pos="8176"/>
              <w:tab w:val="right" w:pos="9026" w:leader="dot"/>
            </w:tabs>
            <w:rPr/>
          </w:pPr>
          <w:hyperlink w:anchor="__RefHeading___Toc9644273_73709187">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9644275_73709187">
            <w:r>
              <w:rPr>
                <w:webHidden/>
                <w:rStyle w:val="IndexLink"/>
                <w:rtl w:val="true"/>
              </w:rPr>
              <w:t>صیغة السلام و صیغة الردّ</w:t>
            </w:r>
            <w:r>
              <w:rPr>
                <w:rStyle w:val="IndexLink"/>
                <w:rtl w:val="true"/>
              </w:rPr>
              <w:tab/>
            </w:r>
            <w:r>
              <w:rPr>
                <w:rStyle w:val="IndexLink"/>
              </w:rPr>
              <w:t>572</w:t>
            </w:r>
          </w:hyperlink>
        </w:p>
        <w:p>
          <w:pPr>
            <w:pStyle w:val="Contents3"/>
            <w:tabs>
              <w:tab w:val="clear" w:pos="8459"/>
              <w:tab w:val="right" w:pos="9026" w:leader="dot"/>
            </w:tabs>
            <w:rPr/>
          </w:pPr>
          <w:hyperlink w:anchor="__RefHeading___Toc9644277_73709187">
            <w:r>
              <w:rPr>
                <w:webHidden/>
                <w:rStyle w:val="IndexLink"/>
                <w:rtl w:val="true"/>
              </w:rPr>
              <w:t>المبحث الثانی</w:t>
            </w:r>
            <w:r>
              <w:rPr>
                <w:rStyle w:val="IndexLink"/>
                <w:rtl w:val="true"/>
              </w:rPr>
              <w:t xml:space="preserve">: </w:t>
            </w:r>
            <w:r>
              <w:rPr>
                <w:rStyle w:val="IndexLink"/>
                <w:rtl w:val="true"/>
              </w:rPr>
              <w:t>استحباب السلام للصبیّ، و ما یترتّب علیه</w:t>
            </w:r>
            <w:r>
              <w:rPr>
                <w:rStyle w:val="IndexLink"/>
                <w:rtl w:val="true"/>
              </w:rPr>
              <w:tab/>
            </w:r>
            <w:r>
              <w:rPr>
                <w:rStyle w:val="IndexLink"/>
              </w:rPr>
              <w:t>575</w:t>
            </w:r>
          </w:hyperlink>
        </w:p>
        <w:p>
          <w:pPr>
            <w:pStyle w:val="Contents4"/>
            <w:tabs>
              <w:tab w:val="clear" w:pos="8176"/>
              <w:tab w:val="right" w:pos="9026" w:leader="dot"/>
            </w:tabs>
            <w:rPr/>
          </w:pPr>
          <w:hyperlink w:anchor="__RefHeading___Toc9644279_73709187">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9644281_73709187">
            <w:r>
              <w:rPr>
                <w:webHidden/>
                <w:rStyle w:val="IndexLink"/>
                <w:rtl w:val="true"/>
              </w:rPr>
              <w:t>المطلب الأوّل</w:t>
            </w:r>
            <w:r>
              <w:rPr>
                <w:rStyle w:val="IndexLink"/>
                <w:rtl w:val="true"/>
              </w:rPr>
              <w:t xml:space="preserve">: </w:t>
            </w:r>
            <w:r>
              <w:rPr>
                <w:rStyle w:val="IndexLink"/>
                <w:rtl w:val="true"/>
              </w:rPr>
              <w:t>استحباب السلام للصبیّ</w:t>
            </w:r>
            <w:r>
              <w:rPr>
                <w:rStyle w:val="IndexLink"/>
                <w:rtl w:val="true"/>
              </w:rPr>
              <w:tab/>
            </w:r>
            <w:r>
              <w:rPr>
                <w:rStyle w:val="IndexLink"/>
              </w:rPr>
              <w:t>575</w:t>
            </w:r>
          </w:hyperlink>
        </w:p>
        <w:p>
          <w:pPr>
            <w:pStyle w:val="Contents4"/>
            <w:tabs>
              <w:tab w:val="clear" w:pos="8176"/>
              <w:tab w:val="right" w:pos="9026" w:leader="dot"/>
            </w:tabs>
            <w:rPr/>
          </w:pPr>
          <w:hyperlink w:anchor="__RefHeading___Toc9644283_73709187">
            <w:r>
              <w:rPr>
                <w:webHidden/>
                <w:rStyle w:val="IndexLink"/>
                <w:rtl w:val="true"/>
              </w:rPr>
              <w:t>المطلب الثانی</w:t>
            </w:r>
            <w:r>
              <w:rPr>
                <w:rStyle w:val="IndexLink"/>
                <w:rtl w:val="true"/>
              </w:rPr>
              <w:t xml:space="preserve">: </w:t>
            </w:r>
            <w:r>
              <w:rPr>
                <w:rStyle w:val="IndexLink"/>
                <w:rtl w:val="true"/>
              </w:rPr>
              <w:t>وجوب ردّ سلام الصبیّ</w:t>
            </w:r>
            <w:r>
              <w:rPr>
                <w:rStyle w:val="IndexLink"/>
                <w:rtl w:val="true"/>
              </w:rPr>
              <w:tab/>
            </w:r>
            <w:r>
              <w:rPr>
                <w:rStyle w:val="IndexLink"/>
              </w:rPr>
              <w:t>576</w:t>
            </w:r>
          </w:hyperlink>
        </w:p>
        <w:p>
          <w:pPr>
            <w:pStyle w:val="Contents4"/>
            <w:tabs>
              <w:tab w:val="clear" w:pos="8176"/>
              <w:tab w:val="right" w:pos="9026" w:leader="dot"/>
            </w:tabs>
            <w:rPr/>
          </w:pPr>
          <w:hyperlink w:anchor="__RefHeading___Toc9644285_73709187">
            <w:r>
              <w:rPr>
                <w:webHidden/>
                <w:rStyle w:val="IndexLink"/>
                <w:rtl w:val="true"/>
              </w:rPr>
              <w:t>المطلب الثالث</w:t>
            </w:r>
            <w:r>
              <w:rPr>
                <w:rStyle w:val="IndexLink"/>
                <w:rtl w:val="true"/>
              </w:rPr>
              <w:t xml:space="preserve">: </w:t>
            </w:r>
            <w:r>
              <w:rPr>
                <w:rStyle w:val="IndexLink"/>
                <w:rtl w:val="true"/>
              </w:rPr>
              <w:t>حکم ردّ الصبیّ السّلام</w:t>
            </w:r>
            <w:r>
              <w:rPr>
                <w:rStyle w:val="IndexLink"/>
                <w:rtl w:val="true"/>
              </w:rPr>
              <w:tab/>
            </w:r>
            <w:r>
              <w:rPr>
                <w:rStyle w:val="IndexLink"/>
              </w:rPr>
              <w:t>580</w:t>
            </w:r>
          </w:hyperlink>
        </w:p>
        <w:p>
          <w:pPr>
            <w:pStyle w:val="Contents5"/>
            <w:tabs>
              <w:tab w:val="clear" w:pos="7892"/>
              <w:tab w:val="right" w:pos="9026" w:leader="dot"/>
            </w:tabs>
            <w:rPr/>
          </w:pPr>
          <w:hyperlink w:anchor="__RefHeading___Toc9644287_73709187">
            <w:r>
              <w:rPr>
                <w:webHidden/>
                <w:rStyle w:val="IndexLink"/>
                <w:rtl w:val="true"/>
              </w:rPr>
              <w:t>هل یکتفی بردّه أم لا؟</w:t>
            </w:r>
            <w:r>
              <w:rPr>
                <w:rStyle w:val="IndexLink"/>
                <w:rtl w:val="true"/>
              </w:rPr>
              <w:tab/>
            </w:r>
            <w:r>
              <w:rPr>
                <w:rStyle w:val="IndexLink"/>
              </w:rPr>
              <w:t>580</w:t>
            </w:r>
          </w:hyperlink>
        </w:p>
        <w:p>
          <w:pPr>
            <w:pStyle w:val="Contents6"/>
            <w:tabs>
              <w:tab w:val="clear" w:pos="7609"/>
              <w:tab w:val="right" w:pos="9026" w:leader="dot"/>
            </w:tabs>
            <w:rPr/>
          </w:pPr>
          <w:hyperlink w:anchor="__RefHeading___Toc9644289_73709187">
            <w:r>
              <w:rPr>
                <w:webHidden/>
                <w:rStyle w:val="IndexLink"/>
                <w:rtl w:val="true"/>
              </w:rPr>
              <w:t>اشارة</w:t>
            </w:r>
            <w:r>
              <w:rPr>
                <w:rStyle w:val="IndexLink"/>
                <w:rtl w:val="true"/>
              </w:rPr>
              <w:tab/>
            </w:r>
            <w:r>
              <w:rPr>
                <w:rStyle w:val="IndexLink"/>
              </w:rPr>
              <w:t>580</w:t>
            </w:r>
          </w:hyperlink>
        </w:p>
        <w:p>
          <w:pPr>
            <w:pStyle w:val="Contents6"/>
            <w:tabs>
              <w:tab w:val="clear" w:pos="7609"/>
              <w:tab w:val="right" w:pos="9026" w:leader="dot"/>
            </w:tabs>
            <w:rPr/>
          </w:pPr>
          <w:hyperlink w:anchor="__RefHeading___Toc9644291_73709187">
            <w:r>
              <w:rPr>
                <w:webHidden/>
                <w:rStyle w:val="IndexLink"/>
                <w:rtl w:val="true"/>
              </w:rPr>
              <w:t>الأوّل</w:t>
            </w:r>
            <w:r>
              <w:rPr>
                <w:rStyle w:val="IndexLink"/>
                <w:rtl w:val="true"/>
              </w:rPr>
              <w:t xml:space="preserve">: </w:t>
            </w:r>
            <w:r>
              <w:rPr>
                <w:rStyle w:val="IndexLink"/>
                <w:rtl w:val="true"/>
              </w:rPr>
              <w:t>عدم الاکتفاء بردّه</w:t>
            </w:r>
            <w:r>
              <w:rPr>
                <w:rStyle w:val="IndexLink"/>
                <w:rtl w:val="true"/>
              </w:rPr>
              <w:tab/>
            </w:r>
            <w:r>
              <w:rPr>
                <w:rStyle w:val="IndexLink"/>
              </w:rPr>
              <w:t>581</w:t>
            </w:r>
          </w:hyperlink>
        </w:p>
        <w:p>
          <w:pPr>
            <w:pStyle w:val="Contents6"/>
            <w:tabs>
              <w:tab w:val="clear" w:pos="7609"/>
              <w:tab w:val="right" w:pos="9026" w:leader="dot"/>
            </w:tabs>
            <w:rPr/>
          </w:pPr>
          <w:hyperlink w:anchor="__RefHeading___Toc9644293_73709187">
            <w:r>
              <w:rPr>
                <w:webHidden/>
                <w:rStyle w:val="IndexLink"/>
                <w:rtl w:val="true"/>
              </w:rPr>
              <w:t>الأدلّة علی عدم الاکتفاء بردّ الصبیّ</w:t>
            </w:r>
            <w:r>
              <w:rPr>
                <w:rStyle w:val="IndexLink"/>
                <w:rtl w:val="true"/>
              </w:rPr>
              <w:tab/>
            </w:r>
            <w:r>
              <w:rPr>
                <w:rStyle w:val="IndexLink"/>
              </w:rPr>
              <w:t>581</w:t>
            </w:r>
          </w:hyperlink>
        </w:p>
        <w:p>
          <w:pPr>
            <w:pStyle w:val="Contents6"/>
            <w:tabs>
              <w:tab w:val="clear" w:pos="7609"/>
              <w:tab w:val="right" w:pos="9026" w:leader="dot"/>
            </w:tabs>
            <w:rPr/>
          </w:pPr>
          <w:hyperlink w:anchor="__RefHeading___Toc9644295_73709187">
            <w:r>
              <w:rPr>
                <w:webHidden/>
                <w:rStyle w:val="IndexLink"/>
                <w:rtl w:val="true"/>
              </w:rPr>
              <w:t>البناء علی شرعیّة أفعال الصبیّ</w:t>
            </w:r>
            <w:r>
              <w:rPr>
                <w:rStyle w:val="IndexLink"/>
                <w:rtl w:val="true"/>
              </w:rPr>
              <w:tab/>
            </w:r>
            <w:r>
              <w:rPr>
                <w:rStyle w:val="IndexLink"/>
              </w:rPr>
              <w:t>584</w:t>
            </w:r>
          </w:hyperlink>
        </w:p>
        <w:p>
          <w:pPr>
            <w:pStyle w:val="Contents6"/>
            <w:tabs>
              <w:tab w:val="clear" w:pos="7609"/>
              <w:tab w:val="right" w:pos="9026" w:leader="dot"/>
            </w:tabs>
            <w:rPr/>
          </w:pPr>
          <w:hyperlink w:anchor="__RefHeading___Toc9644297_73709187">
            <w:r>
              <w:rPr>
                <w:webHidden/>
                <w:rStyle w:val="IndexLink"/>
                <w:rtl w:val="true"/>
              </w:rPr>
              <w:t>الاکتفاء بردّ الصبیّ</w:t>
            </w:r>
            <w:r>
              <w:rPr>
                <w:rStyle w:val="IndexLink"/>
                <w:rtl w:val="true"/>
              </w:rPr>
              <w:tab/>
            </w:r>
            <w:r>
              <w:rPr>
                <w:rStyle w:val="IndexLink"/>
              </w:rPr>
              <w:t>585</w:t>
            </w:r>
          </w:hyperlink>
        </w:p>
        <w:p>
          <w:pPr>
            <w:pStyle w:val="Contents6"/>
            <w:tabs>
              <w:tab w:val="clear" w:pos="7609"/>
              <w:tab w:val="right" w:pos="9026" w:leader="dot"/>
            </w:tabs>
            <w:rPr/>
          </w:pPr>
          <w:hyperlink w:anchor="__RefHeading___Toc9644299_73709187">
            <w:r>
              <w:rPr>
                <w:webHidden/>
                <w:rStyle w:val="IndexLink"/>
                <w:rtl w:val="true"/>
              </w:rPr>
              <w:t>ینبغی التنبیه علی امور</w:t>
            </w:r>
            <w:r>
              <w:rPr>
                <w:rStyle w:val="IndexLink"/>
                <w:rtl w:val="true"/>
              </w:rPr>
              <w:t>:</w:t>
              <w:tab/>
            </w:r>
            <w:r>
              <w:rPr>
                <w:rStyle w:val="IndexLink"/>
              </w:rPr>
              <w:t>588</w:t>
            </w:r>
          </w:hyperlink>
        </w:p>
        <w:p>
          <w:pPr>
            <w:pStyle w:val="Contents6"/>
            <w:tabs>
              <w:tab w:val="clear" w:pos="7609"/>
              <w:tab w:val="right" w:pos="9026" w:leader="dot"/>
            </w:tabs>
            <w:rPr/>
          </w:pPr>
          <w:hyperlink w:anchor="__RefHeading___Toc9644301_73709187">
            <w:r>
              <w:rPr>
                <w:webHidden/>
                <w:rStyle w:val="IndexLink"/>
                <w:rtl w:val="true"/>
              </w:rPr>
              <w:t>الأمر الأوّل لا یجب الردّ فی سلام غیر الممیّز</w:t>
            </w:r>
            <w:r>
              <w:rPr>
                <w:rStyle w:val="IndexLink"/>
                <w:rtl w:val="true"/>
              </w:rPr>
              <w:tab/>
            </w:r>
            <w:r>
              <w:rPr>
                <w:rStyle w:val="IndexLink"/>
              </w:rPr>
              <w:t>588</w:t>
            </w:r>
          </w:hyperlink>
        </w:p>
        <w:p>
          <w:pPr>
            <w:pStyle w:val="Contents6"/>
            <w:tabs>
              <w:tab w:val="clear" w:pos="7609"/>
              <w:tab w:val="right" w:pos="9026" w:leader="dot"/>
            </w:tabs>
            <w:rPr/>
          </w:pPr>
          <w:hyperlink w:anchor="__RefHeading___Toc9644303_73709187">
            <w:r>
              <w:rPr>
                <w:webHidden/>
                <w:rStyle w:val="IndexLink"/>
                <w:rtl w:val="true"/>
              </w:rPr>
              <w:t>الأمر الثانی الأحوط وجوب الردّ و عدم الاکتفاء بردّ الصبیّ</w:t>
            </w:r>
            <w:r>
              <w:rPr>
                <w:rStyle w:val="IndexLink"/>
                <w:rtl w:val="true"/>
              </w:rPr>
              <w:tab/>
            </w:r>
            <w:r>
              <w:rPr>
                <w:rStyle w:val="IndexLink"/>
              </w:rPr>
              <w:t>589</w:t>
            </w:r>
          </w:hyperlink>
        </w:p>
        <w:p>
          <w:pPr>
            <w:pStyle w:val="Contents6"/>
            <w:tabs>
              <w:tab w:val="clear" w:pos="7609"/>
              <w:tab w:val="right" w:pos="9026" w:leader="dot"/>
            </w:tabs>
            <w:rPr/>
          </w:pPr>
          <w:hyperlink w:anchor="__RefHeading___Toc9644305_73709187">
            <w:r>
              <w:rPr>
                <w:webHidden/>
                <w:rStyle w:val="IndexLink"/>
                <w:rtl w:val="true"/>
              </w:rPr>
              <w:t>الأمر الثالث یستحبّ تسلیم البالغین علی الصبیّ</w:t>
            </w:r>
            <w:r>
              <w:rPr>
                <w:rStyle w:val="IndexLink"/>
                <w:rtl w:val="true"/>
              </w:rPr>
              <w:tab/>
            </w:r>
            <w:r>
              <w:rPr>
                <w:rStyle w:val="IndexLink"/>
              </w:rPr>
              <w:t>590</w:t>
            </w:r>
          </w:hyperlink>
        </w:p>
        <w:p>
          <w:pPr>
            <w:pStyle w:val="Contents6"/>
            <w:tabs>
              <w:tab w:val="clear" w:pos="7609"/>
              <w:tab w:val="right" w:pos="9026" w:leader="dot"/>
            </w:tabs>
            <w:rPr/>
          </w:pPr>
          <w:hyperlink w:anchor="__RefHeading___Toc9644307_73709187">
            <w:r>
              <w:rPr>
                <w:webHidden/>
                <w:rStyle w:val="IndexLink"/>
                <w:rtl w:val="true"/>
              </w:rPr>
              <w:t>آراء أهل السنّة فی مسائل هذا الفصل</w:t>
            </w:r>
            <w:r>
              <w:rPr>
                <w:rStyle w:val="IndexLink"/>
                <w:rtl w:val="true"/>
              </w:rPr>
              <w:tab/>
            </w:r>
            <w:r>
              <w:rPr>
                <w:rStyle w:val="IndexLink"/>
              </w:rPr>
              <w:t>591</w:t>
            </w:r>
          </w:hyperlink>
        </w:p>
        <w:p>
          <w:pPr>
            <w:pStyle w:val="Contents6"/>
            <w:tabs>
              <w:tab w:val="clear" w:pos="7609"/>
              <w:tab w:val="right" w:pos="9026" w:leader="dot"/>
            </w:tabs>
            <w:rPr/>
          </w:pPr>
          <w:hyperlink w:anchor="__RefHeading___Toc9644309_73709187">
            <w:r>
              <w:rPr>
                <w:webHidden/>
                <w:rStyle w:val="IndexLink"/>
                <w:rtl w:val="true"/>
              </w:rPr>
              <w:t>الاولی</w:t>
            </w:r>
            <w:r>
              <w:rPr>
                <w:rStyle w:val="IndexLink"/>
                <w:rtl w:val="true"/>
              </w:rPr>
              <w:t xml:space="preserve">: </w:t>
            </w:r>
            <w:r>
              <w:rPr>
                <w:rStyle w:val="IndexLink"/>
                <w:rtl w:val="true"/>
              </w:rPr>
              <w:t>استحباب السلام علی الصبیّ</w:t>
            </w:r>
            <w:r>
              <w:rPr>
                <w:rStyle w:val="IndexLink"/>
                <w:rtl w:val="true"/>
              </w:rPr>
              <w:tab/>
            </w:r>
            <w:r>
              <w:rPr>
                <w:rStyle w:val="IndexLink"/>
              </w:rPr>
              <w:t>592</w:t>
            </w:r>
          </w:hyperlink>
        </w:p>
        <w:p>
          <w:pPr>
            <w:pStyle w:val="Contents6"/>
            <w:tabs>
              <w:tab w:val="clear" w:pos="7609"/>
              <w:tab w:val="right" w:pos="9026" w:leader="dot"/>
            </w:tabs>
            <w:rPr/>
          </w:pPr>
          <w:hyperlink w:anchor="__RefHeading___Toc9644311_73709187">
            <w:r>
              <w:rPr>
                <w:webHidden/>
                <w:rStyle w:val="IndexLink"/>
                <w:rtl w:val="true"/>
              </w:rPr>
              <w:t>الثانیة</w:t>
            </w:r>
            <w:r>
              <w:rPr>
                <w:rStyle w:val="IndexLink"/>
                <w:rtl w:val="true"/>
              </w:rPr>
              <w:t xml:space="preserve">: </w:t>
            </w:r>
            <w:r>
              <w:rPr>
                <w:rStyle w:val="IndexLink"/>
                <w:rtl w:val="true"/>
              </w:rPr>
              <w:t>استحباب السلام للصبیّ</w:t>
            </w:r>
            <w:r>
              <w:rPr>
                <w:rStyle w:val="IndexLink"/>
                <w:rtl w:val="true"/>
              </w:rPr>
              <w:tab/>
            </w:r>
            <w:r>
              <w:rPr>
                <w:rStyle w:val="IndexLink"/>
              </w:rPr>
              <w:t>592</w:t>
            </w:r>
          </w:hyperlink>
        </w:p>
        <w:p>
          <w:pPr>
            <w:pStyle w:val="Contents6"/>
            <w:tabs>
              <w:tab w:val="clear" w:pos="7609"/>
              <w:tab w:val="right" w:pos="9026" w:leader="dot"/>
            </w:tabs>
            <w:rPr/>
          </w:pPr>
          <w:hyperlink w:anchor="__RefHeading___Toc9644313_73709187">
            <w:r>
              <w:rPr>
                <w:webHidden/>
                <w:rStyle w:val="IndexLink"/>
                <w:rtl w:val="true"/>
              </w:rPr>
              <w:t>الثالثة</w:t>
            </w:r>
            <w:r>
              <w:rPr>
                <w:rStyle w:val="IndexLink"/>
                <w:rtl w:val="true"/>
              </w:rPr>
              <w:t xml:space="preserve">: </w:t>
            </w:r>
            <w:r>
              <w:rPr>
                <w:rStyle w:val="IndexLink"/>
                <w:rtl w:val="true"/>
              </w:rPr>
              <w:t>جواب سلام الصبیّ الممیّز</w:t>
            </w:r>
            <w:r>
              <w:rPr>
                <w:rStyle w:val="IndexLink"/>
                <w:rtl w:val="true"/>
              </w:rPr>
              <w:tab/>
            </w:r>
            <w:r>
              <w:rPr>
                <w:rStyle w:val="IndexLink"/>
              </w:rPr>
              <w:t>593</w:t>
            </w:r>
          </w:hyperlink>
        </w:p>
        <w:p>
          <w:pPr>
            <w:pStyle w:val="Contents6"/>
            <w:tabs>
              <w:tab w:val="clear" w:pos="7609"/>
              <w:tab w:val="right" w:pos="9026" w:leader="dot"/>
            </w:tabs>
            <w:rPr/>
          </w:pPr>
          <w:hyperlink w:anchor="__RefHeading___Toc9644315_73709187">
            <w:r>
              <w:rPr>
                <w:webHidden/>
                <w:rStyle w:val="IndexLink"/>
                <w:rtl w:val="true"/>
              </w:rPr>
              <w:t>الرابعة</w:t>
            </w:r>
            <w:r>
              <w:rPr>
                <w:rStyle w:val="IndexLink"/>
                <w:rtl w:val="true"/>
              </w:rPr>
              <w:t xml:space="preserve">: </w:t>
            </w:r>
            <w:r>
              <w:rPr>
                <w:rStyle w:val="IndexLink"/>
                <w:rtl w:val="true"/>
              </w:rPr>
              <w:t>حکم ردّ السلام علی الصبیّ</w:t>
            </w:r>
            <w:r>
              <w:rPr>
                <w:rStyle w:val="IndexLink"/>
                <w:rtl w:val="true"/>
              </w:rPr>
              <w:tab/>
            </w:r>
            <w:r>
              <w:rPr>
                <w:rStyle w:val="IndexLink"/>
              </w:rPr>
              <w:t>593</w:t>
            </w:r>
          </w:hyperlink>
        </w:p>
        <w:p>
          <w:pPr>
            <w:pStyle w:val="Contents6"/>
            <w:tabs>
              <w:tab w:val="clear" w:pos="7609"/>
              <w:tab w:val="right" w:pos="9026" w:leader="dot"/>
            </w:tabs>
            <w:rPr/>
          </w:pPr>
          <w:hyperlink w:anchor="__RefHeading___Toc9644317_73709187">
            <w:r>
              <w:rPr>
                <w:webHidden/>
                <w:rStyle w:val="IndexLink"/>
                <w:rtl w:val="true"/>
              </w:rPr>
              <w:t>الخامسة</w:t>
            </w:r>
            <w:r>
              <w:rPr>
                <w:rStyle w:val="IndexLink"/>
                <w:rtl w:val="true"/>
              </w:rPr>
              <w:t xml:space="preserve">: </w:t>
            </w:r>
            <w:r>
              <w:rPr>
                <w:rStyle w:val="IndexLink"/>
                <w:rtl w:val="true"/>
              </w:rPr>
              <w:t>ردّ السلام فی الصلاة</w:t>
            </w:r>
            <w:r>
              <w:rPr>
                <w:rStyle w:val="IndexLink"/>
                <w:rtl w:val="true"/>
              </w:rPr>
              <w:tab/>
            </w:r>
            <w:r>
              <w:rPr>
                <w:rStyle w:val="IndexLink"/>
              </w:rPr>
              <w:t>594</w:t>
            </w:r>
          </w:hyperlink>
        </w:p>
        <w:p>
          <w:pPr>
            <w:pStyle w:val="Contents2"/>
            <w:tabs>
              <w:tab w:val="clear" w:pos="8743"/>
              <w:tab w:val="right" w:pos="9026" w:leader="dot"/>
            </w:tabs>
            <w:rPr/>
          </w:pPr>
          <w:hyperlink w:anchor="__RefHeading___Toc9644319_73709187">
            <w:r>
              <w:rPr>
                <w:webHidden/>
                <w:rStyle w:val="IndexLink"/>
                <w:rtl w:val="true"/>
              </w:rPr>
              <w:t>فهرس المطالب</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6_103794"/>
      <w:bookmarkStart w:id="1" w:name="pg11756_103794"/>
      <w:bookmarkEnd w:id="1"/>
    </w:p>
    <w:p>
      <w:pPr>
        <w:pStyle w:val="Heading2"/>
        <w:numPr>
          <w:ilvl w:val="1"/>
          <w:numId w:val="1"/>
        </w:numPr>
        <w:rPr/>
      </w:pPr>
      <w:bookmarkStart w:id="2" w:name="pg11756_103794"/>
      <w:bookmarkStart w:id="3" w:name="__RefHeading___Toc964341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4341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الخامس</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p>
    <w:p>
      <w:pPr>
        <w:pStyle w:val="BookText"/>
        <w:rPr/>
      </w:pPr>
      <w:r>
        <w:rPr>
          <w:rFonts w:ascii="IRNazanin" w:hAnsi="IRNazanin" w:eastAsia="IRNazanin"/>
          <w:color w:val="111111"/>
          <w:sz w:val="28"/>
          <w:sz w:val="28"/>
          <w:szCs w:val="28"/>
          <w:rtl w:val="true"/>
          <w:lang w:bidi="fa-IR"/>
        </w:rPr>
        <w:t>تألیف جمع من المحقّقین فی مرکز الفقه الأئمّة الأطهار علیهم السّلام</w:t>
      </w:r>
    </w:p>
    <w:p>
      <w:pPr>
        <w:pStyle w:val="BookText"/>
        <w:rPr/>
      </w:pPr>
      <w:r>
        <w:rPr>
          <w:rFonts w:ascii="IRNazanin" w:hAnsi="IRNazanin" w:eastAsia="IRNazanin"/>
          <w:color w:val="111111"/>
          <w:sz w:val="28"/>
          <w:sz w:val="28"/>
          <w:szCs w:val="28"/>
          <w:rtl w:val="true"/>
          <w:lang w:bidi="fa-IR"/>
        </w:rPr>
        <w:t>رئیس اللجنة و المدوّن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قدرت اللّه الأنصاری</w:t>
      </w:r>
    </w:p>
    <w:p>
      <w:pPr>
        <w:pStyle w:val="BookText"/>
        <w:rPr/>
      </w:pPr>
      <w:r>
        <w:rPr>
          <w:rFonts w:ascii="IRNazanin" w:hAnsi="IRNazanin" w:eastAsia="IRNazanin"/>
          <w:color w:val="111111"/>
          <w:sz w:val="28"/>
          <w:sz w:val="28"/>
          <w:szCs w:val="28"/>
          <w:rtl w:val="true"/>
          <w:lang w:bidi="fa-IR"/>
        </w:rPr>
        <w:t>و المساعدون فی التألیف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جواد الأنصاری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البهشتی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عباس علی بیوندی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الحسین الجمالی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السعیدی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أکبر الطباطبائی</w:t>
      </w:r>
    </w:p>
    <w:p>
      <w:pPr>
        <w:pStyle w:val="BookText"/>
        <w:rPr/>
      </w:pPr>
      <w:r>
        <w:rPr>
          <w:rFonts w:ascii="IRNazanin" w:hAnsi="IRNazanin" w:eastAsia="IRNazanin"/>
          <w:color w:val="111111"/>
          <w:sz w:val="28"/>
          <w:sz w:val="28"/>
          <w:szCs w:val="28"/>
          <w:rtl w:val="true"/>
          <w:lang w:bidi="fa-IR"/>
        </w:rPr>
        <w:t>مع تعلیقات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المحقّق الشیخ محمّد جواد الفاضل اللنکرانی التی رمزناها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w:t>
      </w:r>
      <w:bookmarkStart w:id="7" w:name="pg11756_103798"/>
    </w:p>
    <w:p>
      <w:pPr>
        <w:pStyle w:val="Heading2"/>
        <w:numPr>
          <w:ilvl w:val="1"/>
          <w:numId w:val="1"/>
        </w:numPr>
        <w:rPr/>
      </w:pPr>
      <w:bookmarkStart w:id="8" w:name="__RefHeading___Toc9643417_73709187"/>
      <w:bookmarkStart w:id="9" w:name="_Toc3"/>
      <w:bookmarkEnd w:id="7"/>
      <w:bookmarkEnd w:id="8"/>
      <w:r>
        <w:rPr>
          <w:rtl w:val="true"/>
        </w:rPr>
        <w:t>شکر و ثناء</w:t>
      </w:r>
      <w:bookmarkEnd w:id="9"/>
    </w:p>
    <w:p>
      <w:pPr>
        <w:pStyle w:val="BookText"/>
        <w:rPr/>
      </w:pPr>
      <w:r>
        <w:rPr>
          <w:rFonts w:ascii="IRNazanin" w:hAnsi="IRNazanin" w:eastAsia="IRNazanin"/>
          <w:color w:val="111111"/>
          <w:sz w:val="28"/>
          <w:sz w:val="28"/>
          <w:szCs w:val="28"/>
          <w:rtl w:val="true"/>
          <w:lang w:bidi="fa-IR"/>
        </w:rPr>
        <w:t xml:space="preserve">بین أیدی فضلاء الحوزة و اساتذتها المجلّد الخامس من الموسوعة الفقهیة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أحکام الأطفال و أدلّتها مقارنة تفصیلة بین مذهب الامامیة و المذاهب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مرکز فقه الأئمّة الأطهار علیهم السّلام الّذی کان من خدمات المرجع الدینی الأعلی آیة اللّه العظمی الشیخ محمّد الفاضل اللنکرانی رحمه اللّه و حشره اللّه تعالی مع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نتقدّم بالشکر الجزیل و الثناء الجمیل إلی الأستاذ المحقّق الشیخ محمّد جواد الفاضل دام ظلّه، رئیس المرکز الفقهی و الّذی أمدّنا بالعون و النصح و الارشاد طوال فترة العمل مع بذله لقصاری جهده بکتابة تعلیقات علمیّة دقیقة علی الموسوعة، و إن لم یکن بنائه علی التعلیق و التحقیق فی جمیع المسائل و المطالب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نغتنم الفرصة لنقدّم الشکر و الثناء إلی کلّ من ساعدنا و بذل جهدا فی انجاز هذا المشروع العلمی القیّم المبارک، و ندعوا اللّه عزّ و جلّ لهم بالتوفیق، انّه نعم المولی و نعم النصیر، و هم حجج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رضا الفاضل الکاشانی مدیر مرکز فقه الأئمّة الأطهار علیهم السّلام الاشراف المباشر و متابعة مراحل 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سیف اللّه الصرّامی، و الشیخ أبو القاسم علی دوست، الإرشاد إلی تصحیح موارد الاشتباه المحتملة فی الاستدلالات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الأنصاری الحمیداوی المراجعة النهائیة و التهذیب و تقویم النص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الرضا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و مراجعة المصادر و تخریجها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نسأل اللّه تعالی سبحانه أن یجعل عملنا فی هذا المشروع صالحا خالصا لوجهه مقرّبا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قدرت اللّه الأنصاری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1429</w:t>
      </w:r>
      <w:bookmarkStart w:id="10" w:name="pg11756_103800"/>
    </w:p>
    <w:p>
      <w:pPr>
        <w:pStyle w:val="Heading2"/>
        <w:numPr>
          <w:ilvl w:val="1"/>
          <w:numId w:val="1"/>
        </w:numPr>
        <w:rPr/>
      </w:pPr>
      <w:bookmarkStart w:id="11" w:name="__RefHeading___Toc9643419_73709187"/>
      <w:bookmarkStart w:id="12" w:name="_Toc4"/>
      <w:bookmarkEnd w:id="10"/>
      <w:bookmarkEnd w:id="11"/>
      <w:r>
        <w:rPr>
          <w:rtl w:val="true"/>
        </w:rPr>
        <w:t>الفصل الثانی</w:t>
      </w:r>
      <w:r>
        <w:rPr>
          <w:rtl w:val="true"/>
        </w:rPr>
        <w:t xml:space="preserve">: </w:t>
      </w:r>
      <w:r>
        <w:rPr>
          <w:rtl w:val="true"/>
        </w:rPr>
        <w:t>صوم الصبیّ و فیه مباحث</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643421_73709187"/>
      <w:bookmarkStart w:id="14" w:name="_Toc5"/>
      <w:bookmarkEnd w:id="13"/>
      <w:r>
        <w:rPr>
          <w:rtl w:val="true"/>
        </w:rPr>
        <w:t>اشارة</w:t>
      </w:r>
      <w:bookmarkStart w:id="15" w:name="pg11756_103802"/>
      <w:bookmarkEnd w:id="14"/>
    </w:p>
    <w:p>
      <w:pPr>
        <w:pStyle w:val="Heading3"/>
        <w:numPr>
          <w:ilvl w:val="2"/>
          <w:numId w:val="1"/>
        </w:numPr>
        <w:rPr/>
      </w:pPr>
      <w:bookmarkStart w:id="16" w:name="__RefHeading___Toc9643423_73709187"/>
      <w:bookmarkStart w:id="17" w:name="_Toc6"/>
      <w:bookmarkEnd w:id="15"/>
      <w:bookmarkEnd w:id="16"/>
      <w:r>
        <w:rPr>
          <w:rtl w:val="true"/>
        </w:rPr>
        <w:t>المبحث الأوّل</w:t>
      </w:r>
      <w:r>
        <w:rPr>
          <w:rtl w:val="true"/>
        </w:rPr>
        <w:t xml:space="preserve">: </w:t>
      </w:r>
      <w:r>
        <w:rPr>
          <w:rtl w:val="true"/>
        </w:rPr>
        <w:t>مشروعیّة صوم الصبیّ</w:t>
      </w:r>
      <w:bookmarkEnd w:id="17"/>
    </w:p>
    <w:p>
      <w:pPr>
        <w:pStyle w:val="Heading4"/>
        <w:numPr>
          <w:ilvl w:val="3"/>
          <w:numId w:val="1"/>
        </w:numPr>
        <w:rPr/>
      </w:pPr>
      <w:bookmarkStart w:id="18" w:name="__RefHeading___Toc9643425_73709187"/>
      <w:bookmarkStart w:id="19" w:name="_Toc7"/>
      <w:bookmarkEnd w:id="18"/>
      <w:r>
        <w:rPr>
          <w:rtl w:val="true"/>
        </w:rPr>
        <w:t>تمهید</w:t>
      </w:r>
      <w:bookmarkEnd w:id="19"/>
    </w:p>
    <w:p>
      <w:pPr>
        <w:pStyle w:val="BookText"/>
        <w:rPr/>
      </w:pPr>
      <w:r>
        <w:rPr>
          <w:rFonts w:ascii="IRNazanin" w:hAnsi="IRNazanin" w:eastAsia="IRNazanin"/>
          <w:color w:val="111111"/>
          <w:sz w:val="28"/>
          <w:sz w:val="28"/>
          <w:szCs w:val="28"/>
          <w:rtl w:val="true"/>
          <w:lang w:bidi="fa-IR"/>
        </w:rPr>
        <w:t>الوجه فی مشروعیّة صوم الصبیّ ما تقدّم</w:t>
      </w:r>
      <w:r>
        <w:rPr>
          <w:rStyle w:val="FootnoteAnchor"/>
          <w:rtl w:val="true"/>
        </w:rPr>
        <w:footnoteReference w:id="2"/>
      </w:r>
      <w:r>
        <w:rPr>
          <w:rFonts w:ascii="IRNazanin" w:hAnsi="IRNazanin" w:eastAsia="IRNazanin"/>
          <w:color w:val="111111"/>
          <w:sz w:val="28"/>
          <w:sz w:val="28"/>
          <w:szCs w:val="28"/>
          <w:rtl w:val="true"/>
          <w:lang w:bidi="fa-IR"/>
        </w:rPr>
        <w:t xml:space="preserve">فی مشروعیّة عباداته؛ إذ المقام من صغریات تلک المسألة، فیجری فیه ما یجری فیها من النقض و الإبرام، إنّما عنی البحث فی خصوص صومه؛ لأهمّیّته، و للتأکید علیه فی روایات کثیرة، مضافا إلی أنّه محلّ بحث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 الماضین منهم و حفظ الموجودین و أطال فی أعمارهم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صوم الصبیّ الممیّز مشروع، بمعنی أنّه مندوب له بحیث یستحقّ علیه الأجر و الثواب؟ فیه قولان،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من أنّ صومه صحیح و مشروع، و هو الأقوی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إذا نوی صحّ ذلک منه، و کان صومه شرعیّا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0" w:name="pg11756_103803"/>
    </w:p>
    <w:p>
      <w:pPr>
        <w:pStyle w:val="BookText"/>
        <w:rPr/>
      </w:pPr>
      <w:bookmarkEnd w:id="20"/>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صوم الصبیّ الممیّز و النائم إذا سبقت منه النیّة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الأقرب أنّ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شرعیّ، و نیّته صحیحة، و ینوی الندب؛ لأنّه الوجه الذی یقع علیه فعله، فلا ینوی غیره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المنتهی</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جماعة من المتأخّرین و تابعیهم</w:t>
      </w:r>
      <w:r>
        <w:rPr>
          <w:rStyle w:val="FootnoteAnchor"/>
          <w:rtl w:val="true"/>
        </w:rPr>
        <w:footnoteReference w:id="8"/>
      </w:r>
      <w:r>
        <w:rPr>
          <w:rFonts w:ascii="IRNazanin" w:hAnsi="IRNazanin" w:eastAsia="IRNazanin"/>
          <w:color w:val="111111"/>
          <w:sz w:val="28"/>
          <w:sz w:val="28"/>
          <w:szCs w:val="28"/>
          <w:rtl w:val="true"/>
          <w:lang w:bidi="fa-IR"/>
        </w:rPr>
        <w:t>و أعلام العصر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شرطیّة البلوغ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للصحّة؛ فلأنّ عبادات الصبیّ شرعیّة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9643427_73709187"/>
      <w:bookmarkStart w:id="22" w:name="_Toc8"/>
      <w:bookmarkEnd w:id="21"/>
      <w:r>
        <w:rPr>
          <w:rtl w:val="true"/>
        </w:rPr>
        <w:t>أدلّة مشروعیّة صوم الصبیّ</w:t>
      </w:r>
      <w:bookmarkEnd w:id="22"/>
    </w:p>
    <w:p>
      <w:pPr>
        <w:pStyle w:val="Heading5"/>
        <w:numPr>
          <w:ilvl w:val="4"/>
          <w:numId w:val="1"/>
        </w:numPr>
        <w:rPr/>
      </w:pPr>
      <w:bookmarkStart w:id="23" w:name="__RefHeading___Toc9643429_73709187"/>
      <w:bookmarkStart w:id="24" w:name="_Toc9"/>
      <w:bookmarkEnd w:id="23"/>
      <w:r>
        <w:rPr>
          <w:rtl w:val="true"/>
        </w:rPr>
        <w:t>اشارة</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علی صحّة صوم الصبیّ و مشروعیّته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تقدّم من الأدلّة التی دلّت علی مشروعیّة عباداته بنحو عامّ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خاصّة وردت فی باب الصوم، و هی علی طوائف</w:t>
      </w:r>
      <w:r>
        <w:rPr>
          <w:rFonts w:eastAsia="IRNazanin" w:cs="IRNazanin"/>
          <w:color w:val="111111"/>
          <w:sz w:val="28"/>
          <w:szCs w:val="28"/>
          <w:rtl w:val="true"/>
          <w:lang w:bidi="fa-IR"/>
        </w:rPr>
        <w:t>:</w:t>
      </w:r>
      <w:bookmarkStart w:id="25" w:name="pg11756_103804"/>
    </w:p>
    <w:p>
      <w:pPr>
        <w:pStyle w:val="Heading5"/>
        <w:numPr>
          <w:ilvl w:val="4"/>
          <w:numId w:val="1"/>
        </w:numPr>
        <w:rPr/>
      </w:pPr>
      <w:bookmarkStart w:id="26" w:name="__RefHeading___Toc9643431_73709187"/>
      <w:bookmarkStart w:id="27" w:name="_Toc10"/>
      <w:bookmarkEnd w:id="25"/>
      <w:bookmarkEnd w:id="26"/>
      <w:r>
        <w:rPr>
          <w:rtl w:val="true"/>
        </w:rPr>
        <w:t>الاولی</w:t>
      </w:r>
      <w:r>
        <w:rPr>
          <w:rtl w:val="true"/>
        </w:rPr>
        <w:t xml:space="preserve">: </w:t>
      </w:r>
      <w:r>
        <w:rPr>
          <w:rtl w:val="true"/>
        </w:rPr>
        <w:t>ما تدلّ علی استحباب الصوم للصبیّ</w:t>
      </w:r>
      <w:bookmarkEnd w:id="2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الصبیّ ستّ سنین وجب علیه الصلاة، و إذا أطاق الصوم وجب علیه الصیام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الروایة أنّ المراد من الصوم هو صوم شهر رمضان، 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بمعنی الثبوت و لکن من أجل أنّ الصبیّ غیر مکلّف، فیثبت فی حقّه الاستحباب، فالروایة تدلّ علی استحباب صوم شهر رمضان للصبیّ إذا أطاق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متی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علی الصیام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 مثلها روایة اخری 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 الغلام صوم ثلاثة أیّام متتابعة فقد وجب علیه صوم شهر رمضان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أو صحیحة محمّد بن مسلم عن أبی جعفر علیه السّلام أنّه سئل عن الصبیّ متی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Style w:val="FootnoteAnchor"/>
          <w:rtl w:val="true"/>
        </w:rPr>
        <w:footnoteReference w:id="17"/>
      </w:r>
      <w:r>
        <w:rPr>
          <w:rFonts w:ascii="IRNazanin" w:hAnsi="IRNazanin" w:eastAsia="IRNazanin"/>
          <w:color w:val="111111"/>
          <w:sz w:val="28"/>
          <w:sz w:val="28"/>
          <w:szCs w:val="28"/>
          <w:rtl w:val="true"/>
          <w:lang w:bidi="fa-IR"/>
        </w:rPr>
        <w:t>الشیخ هذه الأحادیث علی</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تدلّ علی ثبوت التکلیف الاستحبابی بالصوم للصبیّ، و قد صرّح فی بعضها بصوم شهر رمضان، و هو الظاهر من بعضها الآخر، و نرفع الید عن ظهور بعضها فی الوجوب؛ لحدیث الرفع، و الإجماع القطعی علی عدم وجوب الصیام علی غیر البالغ، فیبقی الاستحباب و الرجحان، فنحکم باستحباب الصوم للصبیّ إذا أطاق، سواء کان صوم شهر رمضان أو غیره،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مقتض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 أدلّة الاستحباب عن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المتبادر منه لیس إلاّ القلم الذی یصحّ بالنسبة إلیه إطلاق اسم الرفع، و هو لیس إلاّ القلم الذی یوقعه فی الکلفة، لا القلم الذی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یظهر أنّه لا حکومة لمثل هذا الحدیث علی أدلّة المستحبّات أصلا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 فی البحث عن شرائط صحّة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الصبیّ شرعیّة، و القلم المرفوع إنّما هو قلم التکالیف الإلزامیّة التی توجب مخالفتها</w:t>
      </w:r>
      <w:bookmarkStart w:id="28" w:name="pg11756_103806"/>
    </w:p>
    <w:p>
      <w:pPr>
        <w:pStyle w:val="BookText"/>
        <w:rPr/>
      </w:pPr>
      <w:bookmarkEnd w:id="28"/>
      <w:r>
        <w:rPr>
          <w:rFonts w:ascii="Amiri" w:hAnsi="Amiri" w:eastAsia="Amiri" w:cs="Amiri"/>
          <w:color w:val="111111"/>
          <w:sz w:val="28"/>
          <w:sz w:val="28"/>
          <w:szCs w:val="28"/>
          <w:rtl w:val="true"/>
          <w:lang w:bidi="ar-SA"/>
        </w:rPr>
        <w:t>استحقاق العقوبة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9643433_73709187"/>
      <w:bookmarkStart w:id="30" w:name="_Toc11"/>
      <w:bookmarkEnd w:id="29"/>
      <w:r>
        <w:rPr>
          <w:rtl w:val="true"/>
        </w:rPr>
        <w:t>الطائفة الثانیة</w:t>
      </w:r>
      <w:r>
        <w:rPr>
          <w:rtl w:val="true"/>
        </w:rPr>
        <w:t xml:space="preserve">: </w:t>
      </w:r>
      <w:r>
        <w:rPr>
          <w:rtl w:val="true"/>
        </w:rPr>
        <w:t>ما تدلّ علی جواز أخذ الصبیّ بالصّوم</w:t>
      </w:r>
      <w:bookmarkEnd w:id="3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 بین خمس عشرة سنة و أربع عشرة سنة، فإن هو صام قبل ذلک فدعه، و لقد صام ابنی فلان قبل ذلک فترکته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الزهری عن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صوم التأدیب فأن یؤخذ الصبیّ إذا راهق بالصوم تأدیبا و لیس بفرض</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w:t>
      </w:r>
      <w:r>
        <w:rPr>
          <w:rStyle w:val="FootnoteAnchor"/>
          <w:rtl w:val="true"/>
        </w:rPr>
        <w:footnoteReference w:id="23"/>
      </w:r>
      <w:r>
        <w:rPr>
          <w:rFonts w:ascii="IRNazanin" w:hAnsi="IRNazanin" w:eastAsia="IRNazanin"/>
          <w:color w:val="111111"/>
          <w:sz w:val="28"/>
          <w:sz w:val="28"/>
          <w:szCs w:val="28"/>
          <w:rtl w:val="true"/>
          <w:lang w:bidi="fa-IR"/>
        </w:rPr>
        <w:t>فی المطلوبیّة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یؤخذ بالصیام إذا بلغ تسع سنین علی قدر ما یطیقه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فی المقنع،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الغلام</w:t>
      </w:r>
      <w:r>
        <w:rPr>
          <w:rStyle w:val="FootnoteAnchor"/>
          <w:rtl w:val="true"/>
        </w:rPr>
        <w:footnoteReference w:id="25"/>
      </w:r>
      <w:r>
        <w:rPr>
          <w:rFonts w:ascii="IRNazanin" w:hAnsi="IRNazanin" w:eastAsia="IRNazanin"/>
          <w:color w:val="111111"/>
          <w:sz w:val="28"/>
          <w:sz w:val="28"/>
          <w:szCs w:val="28"/>
          <w:rtl w:val="true"/>
          <w:lang w:bidi="fa-IR"/>
        </w:rPr>
        <w:t>یؤخذ بالصیام ما بین أربعة عشر سنة، إلاّ أن یقوی قبل ذلک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تدلّ علی صحّة مؤاخذة الصبیّ و تأدیبه علی ترک الصوم،</w:t>
      </w:r>
      <w:bookmarkStart w:id="31" w:name="pg11756_103807"/>
    </w:p>
    <w:p>
      <w:pPr>
        <w:pStyle w:val="BookText"/>
        <w:rPr/>
      </w:pPr>
      <w:bookmarkEnd w:id="31"/>
      <w:r>
        <w:rPr>
          <w:rFonts w:ascii="IRNazanin" w:hAnsi="IRNazanin" w:eastAsia="IRNazanin"/>
          <w:color w:val="111111"/>
          <w:sz w:val="28"/>
          <w:sz w:val="28"/>
          <w:szCs w:val="28"/>
          <w:rtl w:val="true"/>
          <w:lang w:bidi="fa-IR"/>
        </w:rPr>
        <w:t>و المؤاخذة إنّما تکون بترک المطلوب، و إلاّ فلا وجه للمؤاخذة، و حیث إنّ الصبیّ الممیّز لا یجب علیه الصوم قطعا، فیستفاد منها المطلوبیّة</w:t>
      </w:r>
      <w:r>
        <w:rPr>
          <w:rStyle w:val="FootnoteAnchor"/>
          <w:rtl w:val="true"/>
        </w:rPr>
        <w:footnoteReference w:id="27"/>
      </w:r>
      <w:r>
        <w:rPr>
          <w:rFonts w:ascii="IRNazanin" w:hAnsi="IRNazanin" w:eastAsia="IRNazanin"/>
          <w:color w:val="111111"/>
          <w:sz w:val="28"/>
          <w:sz w:val="28"/>
          <w:szCs w:val="28"/>
          <w:rtl w:val="true"/>
          <w:lang w:bidi="fa-IR"/>
        </w:rPr>
        <w:t>بنحو الاستحباب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أنّ الشارع أراد تحقّق الصوم الاستحبابی من الصبیّ إذا أدرک و عرف الصوم و أطاقه، و هو المطلوب</w:t>
      </w:r>
      <w:r>
        <w:rPr>
          <w:rFonts w:eastAsia="IRNazanin" w:cs="IRNazanin"/>
          <w:color w:val="111111"/>
          <w:sz w:val="28"/>
          <w:szCs w:val="28"/>
          <w:rtl w:val="true"/>
          <w:lang w:bidi="fa-IR"/>
        </w:rPr>
        <w:t>.</w:t>
      </w:r>
    </w:p>
    <w:p>
      <w:pPr>
        <w:pStyle w:val="Heading5"/>
        <w:numPr>
          <w:ilvl w:val="4"/>
          <w:numId w:val="1"/>
        </w:numPr>
        <w:rPr/>
      </w:pPr>
      <w:bookmarkStart w:id="32" w:name="__RefHeading___Toc9643435_73709187"/>
      <w:bookmarkStart w:id="33" w:name="_Toc12"/>
      <w:bookmarkEnd w:id="32"/>
      <w:r>
        <w:rPr>
          <w:rtl w:val="true"/>
        </w:rPr>
        <w:t>الطائفة الثالثة</w:t>
      </w:r>
      <w:r>
        <w:rPr>
          <w:rtl w:val="true"/>
        </w:rPr>
        <w:t xml:space="preserve">: </w:t>
      </w:r>
      <w:r>
        <w:rPr>
          <w:rtl w:val="true"/>
        </w:rPr>
        <w:t>ما تدلّ علی أمر الولیّ الصبیّ بالصوم</w:t>
      </w:r>
      <w:bookmarkEnd w:id="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 إذا کانوا بنی سبع سنین بما أطاقوا</w:t>
      </w:r>
      <w:r>
        <w:rPr>
          <w:rStyle w:val="FootnoteAnchor"/>
          <w:rtl w:val="true"/>
        </w:rPr>
        <w:footnoteReference w:id="28"/>
      </w:r>
      <w:r>
        <w:rPr>
          <w:rFonts w:ascii="IRNazanin" w:hAnsi="IRNazanin" w:eastAsia="IRNazanin"/>
          <w:color w:val="111111"/>
          <w:sz w:val="28"/>
          <w:sz w:val="28"/>
          <w:szCs w:val="28"/>
          <w:rtl w:val="true"/>
          <w:lang w:bidi="fa-IR"/>
        </w:rPr>
        <w:t xml:space="preserve">من صیام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صبیانکم إذا کانوا بنی تسع سنین بالصوم ما أطاقوا من صیام، فإذا غلبهم العطش أفطروا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0"/>
      </w:r>
      <w:r>
        <w:rPr>
          <w:rFonts w:ascii="Amiri" w:hAnsi="Amiri" w:eastAsia="Amiri" w:cs="Amiri"/>
          <w:color w:val="111111"/>
          <w:sz w:val="28"/>
          <w:sz w:val="28"/>
          <w:szCs w:val="28"/>
          <w:rtl w:val="true"/>
          <w:lang w:bidi="ar-SA"/>
        </w:rPr>
        <w:t>أنّ الأمر</w:t>
      </w:r>
      <w:r>
        <w:rPr>
          <w:rStyle w:val="FootnoteAnchor"/>
          <w:rtl w:val="true"/>
        </w:rPr>
        <w:footnoteReference w:id="31"/>
      </w:r>
      <w:r>
        <w:rPr>
          <w:rFonts w:ascii="IRNazanin" w:hAnsi="IRNazanin" w:eastAsia="IRNazanin"/>
          <w:color w:val="111111"/>
          <w:sz w:val="28"/>
          <w:sz w:val="28"/>
          <w:szCs w:val="28"/>
          <w:rtl w:val="true"/>
          <w:lang w:bidi="fa-IR"/>
        </w:rPr>
        <w:t>بالأمر بالشیء أمر بذلک الشیء بحسب المتفاهم العرفی، بمعنی أنّ الظاهر من حال الآمر کونه مریدا لذلک الشیء، کما</w:t>
      </w:r>
      <w:bookmarkStart w:id="34" w:name="pg11756_103808"/>
    </w:p>
    <w:p>
      <w:pPr>
        <w:pStyle w:val="BookText"/>
        <w:rPr/>
      </w:pPr>
      <w:bookmarkEnd w:id="34"/>
      <w:r>
        <w:rPr>
          <w:rFonts w:ascii="IRNazanin" w:hAnsi="IRNazanin" w:eastAsia="IRNazanin"/>
          <w:color w:val="111111"/>
          <w:sz w:val="28"/>
          <w:sz w:val="28"/>
          <w:szCs w:val="28"/>
          <w:rtl w:val="true"/>
          <w:lang w:bidi="fa-IR"/>
        </w:rPr>
        <w:t>فی الحدائق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 شرعیّة عبادات الصبیّ ما ورد من أمر الأولیاء بأمر صبیانهم بالصلاة و الصیام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9643437_73709187"/>
      <w:bookmarkStart w:id="36" w:name="_Toc13"/>
      <w:bookmarkEnd w:id="35"/>
      <w:r>
        <w:rPr>
          <w:rtl w:val="true"/>
        </w:rPr>
        <w:t>الطائفة الرابعة</w:t>
      </w:r>
      <w:r>
        <w:rPr>
          <w:rtl w:val="true"/>
        </w:rPr>
        <w:t xml:space="preserve">: </w:t>
      </w:r>
      <w:r>
        <w:rPr>
          <w:rtl w:val="true"/>
        </w:rPr>
        <w:t>ما تدلّ علی مطلوبیّة الصوم مطلقا</w:t>
      </w:r>
      <w:bookmarkEnd w:id="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السکونی</w:t>
      </w:r>
      <w:r>
        <w:rPr>
          <w:rStyle w:val="FootnoteAnchor"/>
          <w:rtl w:val="true"/>
        </w:rPr>
        <w:footnoteReference w:id="35"/>
      </w:r>
      <w:r>
        <w:rPr>
          <w:rFonts w:ascii="IRNazanin" w:hAnsi="IRNazanin" w:eastAsia="IRNazanin"/>
          <w:color w:val="111111"/>
          <w:sz w:val="28"/>
          <w:sz w:val="28"/>
          <w:szCs w:val="28"/>
          <w:rtl w:val="true"/>
          <w:lang w:bidi="fa-IR"/>
        </w:rPr>
        <w:t>عن أبی عبد اللّه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بشیء إن أنتم فعلتموه تباعد الشیطان عنکم کما یتباعد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تکسر ظهره، و الحبّ فی اللّه و المؤازرة علی العمل الصالح یقطع دابره، و الاستغفار یقطع وتینه، و لکلّ شیء زکاة و زکاة الأبدان الصیام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لخلوف فم الصّائم أطیب عندی من ریح المسک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37" w:name="pg11756_103809"/>
    </w:p>
    <w:p>
      <w:pPr>
        <w:pStyle w:val="BookText"/>
        <w:rPr/>
      </w:pPr>
      <w:bookmarkEnd w:id="37"/>
      <w:r>
        <w:rPr>
          <w:rFonts w:ascii="IRNazanin" w:hAnsi="IRNazanin" w:eastAsia="IRNazanin"/>
          <w:color w:val="111111"/>
          <w:sz w:val="28"/>
          <w:sz w:val="28"/>
          <w:szCs w:val="28"/>
          <w:rtl w:val="true"/>
          <w:lang w:bidi="fa-IR"/>
        </w:rPr>
        <w:t>و مثله ما رواه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عند إفطاره، و فرحة عند لقاء ربّه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أنا أجزی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w:t>
      </w:r>
      <w:r>
        <w:rPr>
          <w:rStyle w:val="FootnoteAnchor"/>
          <w:rtl w:val="true"/>
        </w:rPr>
        <w:footnoteReference w:id="40"/>
      </w:r>
      <w:r>
        <w:rPr>
          <w:rFonts w:ascii="IRNazanin" w:hAnsi="IRNazanin" w:eastAsia="IRNazanin"/>
          <w:color w:val="111111"/>
          <w:sz w:val="28"/>
          <w:sz w:val="28"/>
          <w:szCs w:val="28"/>
          <w:rtl w:val="true"/>
          <w:lang w:bidi="fa-IR"/>
        </w:rPr>
        <w:t>من هذه الروایات الطلب و مطلق الرجحان، و أنّ الصوم مطلوب للشارع، و یتوجّه هذا الخطاب إلی کلّ من یکون قابلا للخطاب، و المفروض أنّ الصبیّ الممیّز قابل لذلک، و الفهم الّذی هو شرط التکلیف حاصل، فیستحبّ له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تدلّ علی مطلوبیّة الصوم مطلقا، سواء کان فی شهر رمضان أو غیره، و لکن بالنسبة إلی البالغین ثبت وجوب الصوم فی شهر رمضان بدلیل آخر، کما أنّ بالنذر یجب صوم المستحبّ، فتبقی مطلوبیّته المطلقة للصبیّ، و هو المطلوب</w:t>
      </w:r>
      <w:r>
        <w:rPr>
          <w:rFonts w:eastAsia="IRNazanin" w:cs="IRNazanin"/>
          <w:color w:val="111111"/>
          <w:sz w:val="28"/>
          <w:szCs w:val="28"/>
          <w:rtl w:val="true"/>
          <w:lang w:bidi="fa-IR"/>
        </w:rPr>
        <w:t>.</w:t>
      </w:r>
    </w:p>
    <w:p>
      <w:pPr>
        <w:pStyle w:val="Heading5"/>
        <w:numPr>
          <w:ilvl w:val="4"/>
          <w:numId w:val="1"/>
        </w:numPr>
        <w:rPr/>
      </w:pPr>
      <w:bookmarkStart w:id="38" w:name="__RefHeading___Toc9643439_73709187"/>
      <w:bookmarkStart w:id="39" w:name="_Toc14"/>
      <w:bookmarkEnd w:id="38"/>
      <w:r>
        <w:rPr>
          <w:rtl w:val="true"/>
        </w:rPr>
        <w:t>الطائفة الخامسة</w:t>
      </w:r>
      <w:r>
        <w:rPr>
          <w:rtl w:val="true"/>
        </w:rPr>
        <w:t xml:space="preserve">: </w:t>
      </w:r>
      <w:r>
        <w:rPr>
          <w:rtl w:val="true"/>
        </w:rPr>
        <w:t>ما ورد فی بیان علّة الصوم</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فی الفقیه عن محمّد بن سنان</w:t>
      </w:r>
      <w:r>
        <w:rPr>
          <w:rStyle w:val="FootnoteAnchor"/>
          <w:rtl w:val="true"/>
        </w:rPr>
        <w:footnoteReference w:id="42"/>
      </w:r>
      <w:r>
        <w:rPr>
          <w:rFonts w:ascii="IRNazanin" w:hAnsi="IRNazanin" w:eastAsia="IRNazanin"/>
          <w:color w:val="111111"/>
          <w:sz w:val="28"/>
          <w:sz w:val="28"/>
          <w:szCs w:val="28"/>
          <w:rtl w:val="true"/>
          <w:lang w:bidi="fa-IR"/>
        </w:rPr>
        <w:t>عن أبی الحسن الرضا علیه السّلام فیما</w:t>
      </w:r>
      <w:bookmarkStart w:id="40" w:name="pg11756_103810"/>
    </w:p>
    <w:p>
      <w:pPr>
        <w:pStyle w:val="BookText"/>
        <w:rPr/>
      </w:pPr>
      <w:bookmarkEnd w:id="40"/>
      <w:r>
        <w:rPr>
          <w:rFonts w:ascii="IRNazanin" w:hAnsi="IRNazanin" w:eastAsia="IRNazanin"/>
          <w:color w:val="111111"/>
          <w:sz w:val="28"/>
          <w:sz w:val="28"/>
          <w:szCs w:val="28"/>
          <w:rtl w:val="true"/>
          <w:lang w:bidi="fa-IR"/>
        </w:rPr>
        <w:t>کتب إلیه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الصوم لعرفان مسّ الجوع و العطش؛ لیکون العبد ذلیلا مستکینا مأجورا محتسبا صابرا، و یکون ذلک دلیلا له علی شدائد الآخرة، مع ما فیه من الانکسار له عن الشهوات، واعظا له فی العاجل، دلیلا علی الآجل؛ لیعلم شدّة مبلغ ذلک من أهل الفقر و المسکنة فی الدنیا و الآخرة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العلل عنه علیه السّلام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علیه السّلام علّة للصوم یوجب حسنه للبالغ و الصبیّ، فیستفاد منه استحباب الصوم للصبیّ أیضا من جهة الملاک و العلّة له</w:t>
      </w:r>
      <w:r>
        <w:rPr>
          <w:rFonts w:eastAsia="IRNazanin" w:cs="IRNazanin"/>
          <w:color w:val="111111"/>
          <w:sz w:val="28"/>
          <w:szCs w:val="28"/>
          <w:rtl w:val="true"/>
          <w:lang w:bidi="fa-IR"/>
        </w:rPr>
        <w:t>.</w:t>
      </w:r>
    </w:p>
    <w:p>
      <w:pPr>
        <w:pStyle w:val="Heading4"/>
        <w:numPr>
          <w:ilvl w:val="3"/>
          <w:numId w:val="1"/>
        </w:numPr>
        <w:rPr/>
      </w:pPr>
      <w:bookmarkStart w:id="41" w:name="__RefHeading___Toc9643441_73709187"/>
      <w:bookmarkStart w:id="42" w:name="_Toc15"/>
      <w:bookmarkEnd w:id="41"/>
      <w:r>
        <w:rPr>
          <w:rtl w:val="true"/>
        </w:rPr>
        <w:t>صوم الصبیّ للتمرین فقط</w:t>
      </w:r>
      <w:bookmarkEnd w:id="4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مشروعیّة صوم الصبیّ، بل هو للتمرین فقط،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سبیل التمرین، و أمّا أنّه تکلیف مندوب إلیه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الإیضاح</w:t>
      </w:r>
      <w:r>
        <w:rPr>
          <w:rStyle w:val="FootnoteAnchor"/>
          <w:rtl w:val="true"/>
        </w:rPr>
        <w:footnoteReference w:id="46"/>
      </w:r>
      <w:r>
        <w:rPr>
          <w:rFonts w:ascii="IRNazanin" w:hAnsi="IRNazanin" w:eastAsia="IRNazanin"/>
          <w:color w:val="111111"/>
          <w:sz w:val="28"/>
          <w:sz w:val="28"/>
          <w:szCs w:val="28"/>
          <w:rtl w:val="true"/>
          <w:lang w:bidi="fa-IR"/>
        </w:rPr>
        <w:t>، و اختاره فی جامع المقاصد</w:t>
      </w:r>
      <w:r>
        <w:rPr>
          <w:rStyle w:val="FootnoteAnchor"/>
          <w:rtl w:val="true"/>
        </w:rPr>
        <w:footnoteReference w:id="47"/>
      </w:r>
      <w:r>
        <w:rPr>
          <w:rFonts w:ascii="IRNazanin" w:hAnsi="IRNazanin" w:eastAsia="IRNazanin"/>
          <w:color w:val="111111"/>
          <w:sz w:val="28"/>
          <w:sz w:val="28"/>
          <w:szCs w:val="28"/>
          <w:rtl w:val="true"/>
          <w:lang w:bidi="fa-IR"/>
        </w:rPr>
        <w:t>و المسالک</w:t>
      </w:r>
      <w:r>
        <w:rPr>
          <w:rStyle w:val="FootnoteAnchor"/>
          <w:rtl w:val="true"/>
        </w:rPr>
        <w:footnoteReference w:id="48"/>
      </w:r>
      <w:r>
        <w:rPr>
          <w:rFonts w:ascii="IRNazanin" w:hAnsi="IRNazanin" w:eastAsia="IRNazanin"/>
          <w:color w:val="111111"/>
          <w:sz w:val="28"/>
          <w:sz w:val="28"/>
          <w:szCs w:val="28"/>
          <w:rtl w:val="true"/>
          <w:lang w:bidi="fa-IR"/>
        </w:rPr>
        <w:t>، و نفی عنه البعد فی الریاض</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مشروط بالبلوغ، و مع انتفاء الشرط ینتفی المشروط</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43" w:name="pg11756_103811"/>
    </w:p>
    <w:p>
      <w:pPr>
        <w:pStyle w:val="BookText"/>
        <w:rPr/>
      </w:pPr>
      <w:bookmarkEnd w:id="43"/>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النراقی، من أنّ الحقّ شرعیّة صومه المستحبّ مطلقا، و تمرینیّة الواجب لا شرعیّته و صحّته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الإیجابیّة مخصوصة بالمکلّفین؛ إذ لا وجوب علی الصبیّ لحدیث الرفع، فلا یبقی الأمر الندبی له، فیکون صوم الصبیّ فی شهر رمضان تمرینیّا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الخطاب الندبی فیشمل</w:t>
      </w:r>
      <w:r>
        <w:rPr>
          <w:rStyle w:val="FootnoteAnchor"/>
          <w:rtl w:val="true"/>
        </w:rPr>
        <w:footnoteReference w:id="52"/>
      </w:r>
      <w:r>
        <w:rPr>
          <w:rFonts w:ascii="IRNazanin" w:hAnsi="IRNazanin" w:eastAsia="IRNazanin"/>
          <w:color w:val="111111"/>
          <w:sz w:val="28"/>
          <w:sz w:val="28"/>
          <w:szCs w:val="28"/>
          <w:rtl w:val="true"/>
          <w:lang w:bidi="fa-IR"/>
        </w:rPr>
        <w:t>الصبیّ أیضا، فیحکم بمشروعیّة صومه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الجواب</w:t>
      </w:r>
      <w:r>
        <w:rPr>
          <w:rStyle w:val="FootnoteAnchor"/>
          <w:rtl w:val="true"/>
        </w:rPr>
        <w:footnoteReference w:id="53"/>
      </w:r>
      <w:r>
        <w:rPr>
          <w:rFonts w:ascii="IRNazanin" w:hAnsi="IRNazanin" w:eastAsia="IRNazanin"/>
          <w:color w:val="111111"/>
          <w:sz w:val="28"/>
          <w:sz w:val="28"/>
          <w:szCs w:val="28"/>
          <w:rtl w:val="true"/>
          <w:lang w:bidi="fa-IR"/>
        </w:rPr>
        <w:t>عن هذا الاستدلال أیضا فی بحث مشروعیّة عبادات الصبیّ، مضافا إلی أنّ الروایات التی استندنا إلیها فی المقام و ما ذکرنا فی تقریرها للحکم باستحباب صوم الصبیّ خاصّة یکفی فی جوابه أیضا، فلاحظ</w:t>
      </w:r>
      <w:r>
        <w:rPr>
          <w:rFonts w:eastAsia="IRNazanin" w:cs="IRNazanin"/>
          <w:color w:val="111111"/>
          <w:sz w:val="28"/>
          <w:szCs w:val="28"/>
          <w:rtl w:val="true"/>
          <w:lang w:bidi="fa-IR"/>
        </w:rPr>
        <w:t>.</w:t>
      </w:r>
    </w:p>
    <w:p>
      <w:pPr>
        <w:pStyle w:val="Heading4"/>
        <w:numPr>
          <w:ilvl w:val="3"/>
          <w:numId w:val="1"/>
        </w:numPr>
        <w:rPr/>
      </w:pPr>
      <w:bookmarkStart w:id="44" w:name="__RefHeading___Toc9643443_73709187"/>
      <w:bookmarkStart w:id="45" w:name="_Toc16"/>
      <w:bookmarkEnd w:id="44"/>
      <w:r>
        <w:rPr>
          <w:rtl w:val="true"/>
        </w:rPr>
        <w:t>أحکام صوم الصبیّ</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للصوم أحکاما،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 الصوم، و ما یجب الإمساک عنه، و ما یعتبر فی صحّة الصوم، و ما یکره للصائم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تعتبر هذه الأحکام فی صوم الصبیّ کما تعتبر فی صوم البالغ؟ الظاهر أنّه یعتبر ذلک؛ لأنّ الشرائط قد تعلّقت بطبیعة الصوم، کما یستفاد ذلک من الروایات، ففی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 الشراب، و النساء، و الارتماس فی الماء</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الکذب علی اللّه و علی رسوله و علی الأئمّة علیهم السّلام یفطر الصائم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 غیرهما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هو الموضوع للاجتناب عمّا ذکر فی الروایتین و غیرهما هو الصائم، و الظاهر أنّه لا فرق بین الصبیّ و البالغ فی ذلک، و ما ورد فی بعضها من أن الرجل یکون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سؤال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ابتلی بذلک، و لا خصوصیّة له، فیکون الموضوع فی الحقیقة هو الصائم، و الصبیّ أحد مصادیقه کالمرأة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جزئیّة شیء لعبادة البالغ أو شرطیّته أو مانعیّته بدلیل عامّ یشمل الصبیّ أیضا کما فی غالب الأحکام؛ لأنّ الموضوع فی عبادة الصبیّ هو عبادة البالغ،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الصبیّ صلاة البالغ، فیعتبر فیه ما یعتبر فی عبادة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ثبت حکم لخصوص عنوان الرجل فلا وجه للتعدّی عنه إلی غیره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المفروض أنّ المقام لیس کذلک، فما یکون شرطا أو مانعا لصوم المکلّف یکون کذلک بالنسبة إلی الصبیّ، إلاّ البلوغ فإنّه خارج عن موضوع بحث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یستظهر هذا الحکم من صحیحة الحلبیّ المتقدّمة، حیث قال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غلبهم العطش و الغرث</w:t>
      </w:r>
      <w:r>
        <w:rPr>
          <w:rStyle w:val="FootnoteAnchor"/>
          <w:rtl w:val="true"/>
        </w:rPr>
        <w:footnoteReference w:id="58"/>
      </w:r>
      <w:r>
        <w:rPr>
          <w:rFonts w:ascii="IRNazanin" w:hAnsi="IRNazanin" w:eastAsia="IRNazanin"/>
          <w:color w:val="111111"/>
          <w:sz w:val="28"/>
          <w:sz w:val="28"/>
          <w:szCs w:val="28"/>
          <w:rtl w:val="true"/>
          <w:lang w:bidi="fa-IR"/>
        </w:rPr>
        <w:t>أفطروا حتّی یتعوّدوا الصوم و یطیقوه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w:t>
      </w:r>
      <w:bookmarkStart w:id="46" w:name="pg11756_103813"/>
    </w:p>
    <w:p>
      <w:pPr>
        <w:pStyle w:val="BookText"/>
        <w:rPr/>
      </w:pPr>
      <w:bookmarkEnd w:id="46"/>
      <w:r>
        <w:rPr>
          <w:rFonts w:ascii="IRNazanin" w:hAnsi="IRNazanin" w:eastAsia="IRNazanin"/>
          <w:color w:val="111111"/>
          <w:sz w:val="28"/>
          <w:sz w:val="28"/>
          <w:szCs w:val="28"/>
          <w:rtl w:val="true"/>
          <w:lang w:bidi="fa-IR"/>
        </w:rPr>
        <w:t xml:space="preserve">فیستفاد منها أنّ الصبی کالبالغ فی أنّه یعتبر فی صومه الإمساک عن الأکل و الشرب، فإذا غلبه العطش فشرب أو أکل بطل صومه،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الصوم المندوب فی حقّ الصبیّ ما هو المعهود فی حقّ المکلّفین من حیث اشتراطه بالإمساک عن الشرب و الأکل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منها أنّ الإمساک إلی نصف النهار أو أکثر یکون للتعوّد و التمرین، و لا یکون فی نفسه مستحبّا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یصحّ صوم الصبیّ الممیّز مع جمعه لما عدا البلوغ من الشرائط، صحّة شرعیّة، کما فی الجواهر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643445_73709187"/>
      <w:bookmarkStart w:id="48" w:name="_Toc17"/>
      <w:bookmarkEnd w:id="47"/>
      <w:r>
        <w:rPr>
          <w:rtl w:val="true"/>
        </w:rPr>
        <w:t>نیّة صوم الصبیّ</w:t>
      </w:r>
      <w:bookmarkEnd w:id="48"/>
    </w:p>
    <w:p>
      <w:pPr>
        <w:pStyle w:val="Heading5"/>
        <w:numPr>
          <w:ilvl w:val="4"/>
          <w:numId w:val="1"/>
        </w:numPr>
        <w:rPr/>
      </w:pPr>
      <w:bookmarkStart w:id="49" w:name="__RefHeading___Toc9643447_73709187"/>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إذا صام الصبیّ فی شهر رمضان أو غیره من أیّام السنة، فهل ینوی الوجوب أو الندب؟ فیه قولان،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ینوی الندب لأنّه الوجه الذی یقع علیه فعله، فلا ینوی غیره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62"/>
      </w:r>
      <w:r>
        <w:rPr>
          <w:rFonts w:ascii="IRNazanin" w:hAnsi="IRNazanin" w:eastAsia="IRNazanin"/>
          <w:color w:val="111111"/>
          <w:sz w:val="28"/>
          <w:sz w:val="28"/>
          <w:szCs w:val="28"/>
          <w:rtl w:val="true"/>
          <w:lang w:bidi="fa-IR"/>
        </w:rPr>
        <w:t>و المستند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ینوی الوجوب أو الندب؟ الأجود الأوّل؛ لیقع التمرین موقعه، و یکون المراد بالوجوب فی حقّه ما لا بدّ منه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الروضة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 بین نیّة الوجوب و الندب؛ لأنّ</w:t>
      </w:r>
    </w:p>
    <w:p>
      <w:pPr>
        <w:pStyle w:val="BookText"/>
        <w:rPr/>
      </w:pPr>
      <w:r>
        <w:rPr>
          <w:rFonts w:ascii="IRNazanin" w:hAnsi="IRNazanin" w:eastAsia="IRNazanin"/>
          <w:color w:val="111111"/>
          <w:sz w:val="28"/>
          <w:sz w:val="28"/>
          <w:szCs w:val="28"/>
          <w:rtl w:val="true"/>
          <w:lang w:bidi="fa-IR"/>
        </w:rPr>
        <w:t>الغرض التمرین علی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الندب أولی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الأولی أن لا ینوی إلاّ القربة، فإنّ الندب أیضا لا معنی له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التمرینیّة قد یتّجه ذلک؛ لکون الأتمّ فیه نیّة الوجوب فی الواجب و الندب فی المندوب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الاختلاف فی هذه المسألة ما تقدّم من أنّ صوم الصبیّ صحیح و مشروع، أو یکون تمرینا فقط حتّی یتعوّد علی فعل الواجب بعد بلوغه، فمن قال بالأوّل قال بأنّه ینوی الندب؛ لعدم 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بالثانی قال ینوی الوجوب؛ لأنّ الغرض التمرین علی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الغرض من التمرین تسهیل التکلیف علیه؛ لتعوّده به و لا صعوبة فی النیّة لیمرّن علیها، کما فی الجواهر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الوجه للقول بالتخییر بین نیّة الواجب أو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أنّ التمرین علی الواجب مقدّمة للواجب، فیمکنه قصد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أنّ نفس التمرین مستحبّ، فینوی الندب، کما فی الروضة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بیّنا من أنّ صوم الصبیّ صحیح و مشروع یلزم أن ینوی الندب فقط، و الأولی أن لا ینوی الوجوب و لا الندب، بل یأتی به بقصد القربة المطلقة</w:t>
      </w:r>
      <w:r>
        <w:rPr>
          <w:rFonts w:eastAsia="IRNazanin" w:cs="IRNazanin"/>
          <w:color w:val="111111"/>
          <w:sz w:val="28"/>
          <w:szCs w:val="28"/>
          <w:rtl w:val="true"/>
          <w:lang w:bidi="fa-IR"/>
        </w:rPr>
        <w:t>.</w:t>
      </w:r>
      <w:bookmarkStart w:id="51" w:name="pg11756_103815"/>
    </w:p>
    <w:p>
      <w:pPr>
        <w:pStyle w:val="Heading5"/>
        <w:numPr>
          <w:ilvl w:val="4"/>
          <w:numId w:val="1"/>
        </w:numPr>
        <w:rPr/>
      </w:pPr>
      <w:bookmarkStart w:id="52" w:name="__RefHeading___Toc9643449_73709187"/>
      <w:bookmarkStart w:id="53" w:name="_Toc19"/>
      <w:bookmarkEnd w:id="51"/>
      <w:bookmarkEnd w:id="52"/>
      <w:r>
        <w:rPr>
          <w:rtl w:val="true"/>
        </w:rPr>
        <w:t>فرع</w:t>
      </w:r>
      <w:bookmarkEnd w:id="53"/>
    </w:p>
    <w:p>
      <w:pPr>
        <w:pStyle w:val="BookText"/>
        <w:rPr/>
      </w:pPr>
      <w:r>
        <w:rPr>
          <w:rFonts w:ascii="IRNazanin" w:hAnsi="IRNazanin" w:eastAsia="IRNazanin"/>
          <w:color w:val="111111"/>
          <w:sz w:val="28"/>
          <w:sz w:val="28"/>
          <w:szCs w:val="28"/>
          <w:rtl w:val="true"/>
          <w:lang w:bidi="fa-IR"/>
        </w:rPr>
        <w:t xml:space="preserve">لا خلاف بین الفقهاء فی أنّ ما فات من الصبیّ من صوم شهر رمضان فی أیّام صباوته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 کان أو غیر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قضاؤه بعد البلوغ</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التذکرة إجماع العلماء علیه، و علّله بأنّ الصبیّ لیس محلّ الخطاب بالأداء، فلا یجب علیه القضاء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بقسمیه علیه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بضرورة المذهب و الدّین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من القطعیّات، بل الضروریّات الغنیّة عن تجشّم الاستدلال؛ بداهة أنّ القضاء لو کان واجبا علی الصبیان بعد بلوغهم لاستقرّ علیه عمل المتشرّعة و کان من الواضحات الأوّلیّة، و لأمر به الأولیاء و الأئمّة علیهم السّلام صبیانهم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أنّه بناء علی ما قلنا من مشروعیّة عبادات الصبیّ، هل یستحبّ له القضاء أم لا؟ و أمّا علی القول بالتمرینیّة و عدم قابلیّة الصبیّ للخطاب فلا معنی للاستحباب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نعثر علی من تعرّض لهذا الفرع صریحا من الفقهاء، و لکن یستفاد من کلمات بعضهم عدم استحبابه، فقد صرّح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عدم</w:t>
      </w:r>
    </w:p>
    <w:p>
      <w:pPr>
        <w:pStyle w:val="BookText"/>
        <w:rPr/>
      </w:pPr>
      <w:r>
        <w:rPr>
          <w:rFonts w:ascii="IRNazanin" w:hAnsi="IRNazanin" w:eastAsia="IRNazanin"/>
          <w:color w:val="111111"/>
          <w:sz w:val="28"/>
          <w:sz w:val="28"/>
          <w:szCs w:val="28"/>
          <w:rtl w:val="true"/>
          <w:lang w:bidi="fa-IR"/>
        </w:rPr>
        <w:t xml:space="preserve">قضاء الیوم الذی بلغ فیه الصبیّ إلاّ أن یبلغ قبل الفجر ثمّ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الصبیّ لیس من أهل التکلیف فی ابتداء الیوم، و بعض الیوم لا یصحّ صومه، فسقط التکلیف بصوم ذلک الیوم وجوبا و ندبا، فالقضاء ساقط؛ لأنّه یستتبع وجوب الأداء أو وجود سببه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ترتّب القضاء علی مجرّد فوات الأداء، بل لا بدّ له من أمر جدید علی الأشهر الأظهر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یرد أیّ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بالنسبة لقضاء صوم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سبیل الاستحباب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کما أنّ الأداء یحتاج إلی أمر لأنّه عبادة و لا تثبت إلاّ بالأمر کذلک القضاء، و المفروض عدم ورود أیّ أمر، و ما ورد فی قضاء الصوم</w:t>
      </w:r>
      <w:r>
        <w:rPr>
          <w:rStyle w:val="FootnoteAnchor"/>
          <w:rtl w:val="true"/>
        </w:rPr>
        <w:footnoteReference w:id="78"/>
      </w:r>
      <w:r>
        <w:rPr>
          <w:rFonts w:ascii="IRNazanin" w:hAnsi="IRNazanin" w:eastAsia="IRNazanin"/>
          <w:color w:val="111111"/>
          <w:sz w:val="28"/>
          <w:sz w:val="28"/>
          <w:szCs w:val="28"/>
          <w:rtl w:val="true"/>
          <w:lang w:bidi="fa-IR"/>
        </w:rPr>
        <w:t>یکون بالنسبة إلی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الحکم بوجوب القضاء فی بعض النصوص علی نحو الإطلاق، مثل ما ورد فی روایة معتبرة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أفطر شیئا من شهر رمضان فی عذر، فإن قضاه متتابعا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 إن قضاه متفرّقا فحسن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الموضوع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یشمل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یجب علیه القضاء قطعا فیستحبّ له، و لکن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لانصرافه إلی</w:t>
      </w:r>
      <w:bookmarkStart w:id="54" w:name="pg11756_103817"/>
    </w:p>
    <w:p>
      <w:pPr>
        <w:pStyle w:val="BookText"/>
        <w:rPr/>
      </w:pPr>
      <w:bookmarkEnd w:id="54"/>
      <w:r>
        <w:rPr>
          <w:rFonts w:ascii="IRNazanin" w:hAnsi="IRNazanin" w:eastAsia="IRNazanin"/>
          <w:color w:val="111111"/>
          <w:sz w:val="28"/>
          <w:sz w:val="28"/>
          <w:szCs w:val="28"/>
          <w:rtl w:val="true"/>
          <w:lang w:bidi="fa-IR"/>
        </w:rPr>
        <w:t>البالغ، فالحقّ أنّه لا یستحبّ للبالغ أن یصوم ما فاته من الصیام فی شهر رمضان فی أیّام صباوته؛ لعدم الأمر به</w:t>
      </w:r>
      <w:r>
        <w:rPr>
          <w:rFonts w:eastAsia="IRNazanin" w:cs="IRNazanin"/>
          <w:color w:val="111111"/>
          <w:sz w:val="28"/>
          <w:szCs w:val="28"/>
          <w:rtl w:val="true"/>
          <w:lang w:bidi="fa-IR"/>
        </w:rPr>
        <w:t>.</w:t>
      </w:r>
    </w:p>
    <w:p>
      <w:pPr>
        <w:pStyle w:val="Heading4"/>
        <w:numPr>
          <w:ilvl w:val="3"/>
          <w:numId w:val="1"/>
        </w:numPr>
        <w:rPr/>
      </w:pPr>
      <w:bookmarkStart w:id="55" w:name="__RefHeading___Toc9643451_73709187"/>
      <w:bookmarkStart w:id="56" w:name="_Toc20"/>
      <w:bookmarkEnd w:id="55"/>
      <w:r>
        <w:rPr>
          <w:rtl w:val="true"/>
        </w:rPr>
        <w:t>آراء أهل السنّة فی مشروعیّة صوم الصبیّ</w:t>
      </w:r>
      <w:bookmarkEnd w:id="56"/>
    </w:p>
    <w:p>
      <w:pPr>
        <w:pStyle w:val="BookText"/>
        <w:rPr/>
      </w:pPr>
      <w:r>
        <w:rPr>
          <w:rFonts w:ascii="IRNazanin" w:hAnsi="IRNazanin" w:eastAsia="IRNazanin"/>
          <w:color w:val="111111"/>
          <w:sz w:val="28"/>
          <w:sz w:val="28"/>
          <w:szCs w:val="28"/>
          <w:rtl w:val="true"/>
          <w:lang w:bidi="fa-IR"/>
        </w:rPr>
        <w:t>اتّفقت المذاهب الأربعة علی أنّ صوم الصبیّ الممیّز صحیح و مشروع، إلاّ أنّ الشافعیّة و الحنفیّة و الحنابلة قالوا بصحّته و استحبابه، فی حین ذهبت المالکیّة إلی صحّته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المذاهب الأربعة أیضا علی أنّ من شرائط وجوب الصوم البلوغ، فلا یجب علی الصبیّ قبل البلوغ و إن أطاقه؛ لعدم توجّه الخطاب إلیه، و لقول النبیّ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علی المکلّف قضاء ما فات منه فی أیّام صباوته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البلوغ فلیس من شرائط صحّة الأداء، فیصحّ أداء الصوم من الصبیّ العاقل و یثاب علیه، لکنّه من شرائط الوجوب</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تحفة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البلوغ فشرط الوجوب و لیس شرط الأداء، و علی هذا لا یجب الصوم علی الصبیّ؛ لأنّ فی وجوب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مدّة الصبا مدّة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فی الحرج</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فی نهایة المحتاج بأنّه یعتبر فی صحّة الصوم النقاء من الحیض</w:t>
      </w:r>
    </w:p>
    <w:p>
      <w:pPr>
        <w:pStyle w:val="BookText"/>
        <w:rPr/>
      </w:pPr>
      <w:r>
        <w:rPr>
          <w:rFonts w:ascii="IRNazanin" w:hAnsi="IRNazanin" w:eastAsia="IRNazanin"/>
          <w:color w:val="111111"/>
          <w:sz w:val="28"/>
          <w:sz w:val="28"/>
          <w:szCs w:val="28"/>
          <w:rtl w:val="true"/>
          <w:lang w:bidi="fa-IR"/>
        </w:rPr>
        <w:t>و النفاس و الجنون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الصبا فغیر مانع من الصحّة، بل من الوجوب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أیضا من البیان</w:t>
      </w:r>
      <w:r>
        <w:rPr>
          <w:rStyle w:val="FootnoteAnchor"/>
          <w:rtl w:val="true"/>
        </w:rPr>
        <w:footnoteReference w:id="85"/>
      </w:r>
      <w:r>
        <w:rPr>
          <w:rFonts w:ascii="IRNazanin" w:hAnsi="IRNazanin" w:eastAsia="IRNazanin"/>
          <w:color w:val="111111"/>
          <w:sz w:val="28"/>
          <w:sz w:val="28"/>
          <w:szCs w:val="28"/>
          <w:rtl w:val="true"/>
          <w:lang w:bidi="fa-IR"/>
        </w:rPr>
        <w:t>و مغنی المحتاج</w:t>
      </w:r>
      <w:r>
        <w:rPr>
          <w:rStyle w:val="FootnoteAnchor"/>
          <w:rtl w:val="true"/>
        </w:rPr>
        <w:footnoteReference w:id="86"/>
      </w:r>
      <w:r>
        <w:rPr>
          <w:rFonts w:ascii="IRNazanin" w:hAnsi="IRNazanin" w:eastAsia="IRNazanin"/>
          <w:color w:val="111111"/>
          <w:sz w:val="28"/>
          <w:sz w:val="28"/>
          <w:szCs w:val="28"/>
          <w:rtl w:val="true"/>
          <w:lang w:bidi="fa-IR"/>
        </w:rPr>
        <w:t>و المجموع شرح المهذّب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صغیر و لو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من ممیّز کصلاته، و یجب علی ولیّه أی الممیّز أمره به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الروایات التی دلّت بظاهرها علی وجوب الصوم إن بلغ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عبادة بدنیّة فلم تجب علی الصبیّ کالحجّ، و حدیثهم مرسل، ثمّ نحمله علی الاستحباب، و سمّاه واجبا تأکیدا لاستحبابه</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بلغة السالک فی 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شروط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القدرة و الحضور و الخلوّ من الحیض و النفاس، و یصحّ ممّا عدا المجنون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لا تنافی الکراهة کما فی صوم الصبیّ، أو الحرمة کما فی صوم المریض إن أضرّ به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57" w:name="pg11756_103819"/>
    </w:p>
    <w:p>
      <w:pPr>
        <w:pStyle w:val="Heading3"/>
        <w:numPr>
          <w:ilvl w:val="2"/>
          <w:numId w:val="1"/>
        </w:numPr>
        <w:rPr/>
      </w:pPr>
      <w:bookmarkStart w:id="58" w:name="__RefHeading___Toc9643453_73709187"/>
      <w:bookmarkStart w:id="59" w:name="_Toc21"/>
      <w:bookmarkEnd w:id="57"/>
      <w:bookmarkEnd w:id="58"/>
      <w:r>
        <w:rPr>
          <w:rtl w:val="true"/>
        </w:rPr>
        <w:t>المبحث الثانی</w:t>
      </w:r>
      <w:r>
        <w:rPr>
          <w:rtl w:val="true"/>
        </w:rPr>
        <w:t xml:space="preserve">: </w:t>
      </w:r>
      <w:r>
        <w:rPr>
          <w:rtl w:val="true"/>
        </w:rPr>
        <w:t>تمرین الصبیّ علی الصیام و مؤاخذته علیه</w:t>
      </w:r>
      <w:bookmarkEnd w:id="59"/>
    </w:p>
    <w:p>
      <w:pPr>
        <w:pStyle w:val="Heading4"/>
        <w:numPr>
          <w:ilvl w:val="3"/>
          <w:numId w:val="1"/>
        </w:numPr>
        <w:rPr/>
      </w:pPr>
      <w:bookmarkStart w:id="60" w:name="__RefHeading___Toc9643455_73709187"/>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لا خلاف بین الأصحاب فی أنّه یستحبّ للولیّ تمرین الصبیّ الممیّز علی الصیام قبل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 الولی الصبیّ و الصبیّة علی الصیام لیعتاده، فلا یجد له مشقّة بعد البلوغ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بمشروعیّة عباداته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یمرّن الصبیّ و الصبیّة علی الصوم قبل البلوغ</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تمرین الصبیّ بالصوم إذا أطاقه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96"/>
      </w:r>
      <w:r>
        <w:rPr>
          <w:rFonts w:ascii="IRNazanin" w:hAnsi="IRNazanin" w:eastAsia="IRNazanin"/>
          <w:color w:val="111111"/>
          <w:sz w:val="28"/>
          <w:sz w:val="28"/>
          <w:szCs w:val="28"/>
          <w:rtl w:val="true"/>
          <w:lang w:bidi="fa-IR"/>
        </w:rPr>
        <w:t>و جامع المقاصد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للولیّ أن یمرّن الصبیّ و الصبیّة علی الصوم و غیره من العبادات قبل البلوغ و یعوّدا علیه، سواء قلنا بشرعیّة عبادتهما أو لا، عند تمییزهما علی وجه یمکن حصول الصورة منهما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قطعیّة المسألة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المتقدّمة،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فمروا صبیانکم إذا کانوا بنی تسع سنین بالصوم ما أطاقوا من صیام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 غیرها</w:t>
      </w:r>
      <w:r>
        <w:rPr>
          <w:rStyle w:val="FootnoteAnchor"/>
          <w:rtl w:val="true"/>
        </w:rPr>
        <w:footnoteReference w:id="103"/>
      </w:r>
      <w:r>
        <w:rPr>
          <w:rFonts w:ascii="IRNazanin" w:hAnsi="IRNazanin" w:eastAsia="IRNazanin"/>
          <w:color w:val="111111"/>
          <w:sz w:val="28"/>
          <w:sz w:val="28"/>
          <w:szCs w:val="28"/>
          <w:rtl w:val="true"/>
          <w:lang w:bidi="fa-IR"/>
        </w:rPr>
        <w:t>من النصوص التی تدلّ علی أمر الوالدین أطفالهم بالصلاة و الصوم و الخیرات، و سنذکرها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تدلّ</w:t>
      </w:r>
      <w:r>
        <w:rPr>
          <w:rStyle w:val="FootnoteAnchor"/>
          <w:rtl w:val="true"/>
        </w:rPr>
        <w:footnoteReference w:id="104"/>
      </w:r>
      <w:r>
        <w:rPr>
          <w:rFonts w:ascii="Amiri" w:hAnsi="Amiri" w:eastAsia="Amiri" w:cs="Amiri"/>
          <w:color w:val="111111"/>
          <w:sz w:val="28"/>
          <w:sz w:val="28"/>
          <w:szCs w:val="28"/>
          <w:rtl w:val="true"/>
          <w:lang w:bidi="ar-SA"/>
        </w:rPr>
        <w:t>علیه إطلاقات الأدلّة التی وردت فی مندوبیّة التعاون علی البرّ و الدعوة إلیه،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w:t>
      </w:r>
      <w:r>
        <w:rPr>
          <w:rStyle w:val="FootnoteAnchor"/>
          <w:rtl w:val="true"/>
        </w:rPr>
        <w:footnoteReference w:id="105"/>
      </w:r>
      <w:r>
        <w:rPr>
          <w:rFonts w:ascii="IRNazanin" w:hAnsi="IRNazanin" w:eastAsia="IRNazanin"/>
          <w:color w:val="111111"/>
          <w:sz w:val="28"/>
          <w:sz w:val="28"/>
          <w:szCs w:val="28"/>
          <w:rtl w:val="true"/>
          <w:lang w:bidi="fa-IR"/>
        </w:rPr>
        <w:t>؛ إذ لا شکّ فی أنّ تمرین الصبیّ علی الصیام إذا أطاق أحد مصادیق البرّ؛ لیتعوّد به و یسهل التکلیف علیه بعد بلوغه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خَیْراً فَهُوَ خَیْرٌ 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62" w:name="pg11756_103821"/>
    </w:p>
    <w:p>
      <w:pPr>
        <w:pStyle w:val="BookText"/>
        <w:rPr/>
      </w:pPr>
      <w:bookmarkEnd w:id="62"/>
      <w:r>
        <w:rPr>
          <w:rFonts w:ascii="IRNazanin" w:hAnsi="IRNazanin" w:eastAsia="IRNazanin"/>
          <w:color w:val="111111"/>
          <w:sz w:val="28"/>
          <w:sz w:val="28"/>
          <w:szCs w:val="28"/>
          <w:rtl w:val="true"/>
          <w:lang w:bidi="fa-IR"/>
        </w:rPr>
        <w:t xml:space="preserve">قال فی زبدة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تطوّع فی البرّ فی جمیع الامور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هکذا یدلّ علیه إطلاق أدلّة الأمر بالمعروف؛ لأنّ صوم الصبیّ إذا أطاقه مستحبّ، فالأمر به أیضا مستحبّ،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643457_73709187"/>
      <w:bookmarkStart w:id="64" w:name="_Toc23"/>
      <w:bookmarkEnd w:id="63"/>
      <w:r>
        <w:rPr>
          <w:rtl w:val="true"/>
        </w:rPr>
        <w:t>مبدأ التمرین و المؤاخذة</w:t>
      </w:r>
      <w:bookmarkEnd w:id="64"/>
    </w:p>
    <w:p>
      <w:pPr>
        <w:pStyle w:val="Heading5"/>
        <w:numPr>
          <w:ilvl w:val="4"/>
          <w:numId w:val="1"/>
        </w:numPr>
        <w:rPr/>
      </w:pPr>
      <w:bookmarkStart w:id="65" w:name="__RefHeading___Toc9643459_73709187"/>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اختلف الفقهاء فی مبدأ استحباب تمرین الصبیّ بالصوم، و کذا فی جواز مؤاخذته علی ترک التمرین للصوم،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الصبیّ بالصیام إذا بلغ الحلم أو قدر</w:t>
      </w:r>
      <w:r>
        <w:rPr>
          <w:rStyle w:val="FootnoteAnchor"/>
          <w:rtl w:val="true"/>
        </w:rPr>
        <w:footnoteReference w:id="109"/>
      </w:r>
      <w:r>
        <w:rPr>
          <w:rFonts w:ascii="IRNazanin" w:hAnsi="IRNazanin" w:eastAsia="IRNazanin"/>
          <w:color w:val="111111"/>
          <w:sz w:val="28"/>
          <w:sz w:val="28"/>
          <w:szCs w:val="28"/>
          <w:rtl w:val="true"/>
          <w:lang w:bidi="fa-IR"/>
        </w:rPr>
        <w:t>علی صیام ثلاثة أیّام متتابعات قبل أن یبلغ الحلم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تشهد له موثّقة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 الغلام صوم ثلاثة أیّام متتابعة فقد وجب علیه شهر رمضان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الصبیّ بالصوم إذا بلغ ستّ سنین و أطاق الصوم استحبابا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دلیل ظاهر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سنذکر قریبا فی بیان القول الرابع أنّ بعض النصوص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و جماعة ممّن تبعه، 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یؤخذ الصبیان بالصیام إذا أطاقوه و بلغوا تسع سنین و إن لم یکن ذلک واجبا علیهم</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مدارک الأحکام بعد نقل ما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یتعرّض لما قبل التسع، و ظاهره أنّهم لا یؤمرون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المعتمد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الروایات الواردة فی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الأخبار کلّها متّفقة المعانی علی أنّه یؤخذ الصبیّ بالصیام إذا بلغ تسع سنین إلی أربع عشرة أو خمس عشرة سنة، و إلی الاحتلام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المقنع</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یشدّد للتسع</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 نسبه فی المستند إلی کثیر من الأصحاب</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المحقّق العاملیّ لهذا القول بصحیحة الحلبیّ المتقدّمة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صبیانکم إذا کانوا</w:t>
      </w:r>
    </w:p>
    <w:p>
      <w:pPr>
        <w:pStyle w:val="BookText"/>
        <w:rPr/>
      </w:pPr>
      <w:r>
        <w:rPr>
          <w:rFonts w:ascii="IRNazanin" w:hAnsi="IRNazanin" w:eastAsia="IRNazanin"/>
          <w:color w:val="111111"/>
          <w:sz w:val="28"/>
          <w:sz w:val="28"/>
          <w:szCs w:val="28"/>
          <w:rtl w:val="true"/>
          <w:lang w:bidi="fa-IR"/>
        </w:rPr>
        <w:t>بنی تسع سنین بالصوم، ما أطاقوا من صیام، فإذا غلبهم العطش أفطروا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ابن بابویه مرسلا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یؤخذ بالصیام إذا بلغ تسع سنین علی قدر ما یطیقه، فإن أطاق إلی الظهر أو بعده صام إلی ذلک الوقت، فإذا غلب علیه الجوع و العطش أفطر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الصحیحة فتدلّ علی الأمر بالصیام لا المؤاخذة،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یلازم المؤاخذة، و المرسلة ضعیفة،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الصدوق إلی الإمام علیه السّلام یدلّ علی حجّیّته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رحمه اللّه و جماعة ممّن تبعه، 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یمرّن الصبیّ و الصبیّة علی الصوم قبل البلوغ، و یشدّد علیهما لسبع مع الطاقة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25"/>
      </w:r>
      <w:r>
        <w:rPr>
          <w:rFonts w:ascii="IRNazanin" w:hAnsi="IRNazanin" w:eastAsia="IRNazanin"/>
          <w:color w:val="111111"/>
          <w:sz w:val="28"/>
          <w:sz w:val="28"/>
          <w:szCs w:val="28"/>
          <w:rtl w:val="true"/>
          <w:lang w:bidi="fa-IR"/>
        </w:rPr>
        <w:t>و المختلف</w:t>
      </w:r>
      <w:r>
        <w:rPr>
          <w:rStyle w:val="FootnoteAnchor"/>
          <w:rtl w:val="true"/>
        </w:rPr>
        <w:footnoteReference w:id="126"/>
      </w:r>
      <w:r>
        <w:rPr>
          <w:rFonts w:ascii="IRNazanin" w:hAnsi="IRNazanin" w:eastAsia="IRNazanin"/>
          <w:color w:val="111111"/>
          <w:sz w:val="28"/>
          <w:sz w:val="28"/>
          <w:szCs w:val="28"/>
          <w:rtl w:val="true"/>
          <w:lang w:bidi="fa-IR"/>
        </w:rPr>
        <w:t>و القواعد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یمرّن الصبیّ و کذا الصبیّة علی الصوم لسبع؛ لیعتاده فلا یثقل علیه عند البلوغ</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جامع المقاصد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یؤمران به قبل السبع من غیر تشدید مع الطاقة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کلام المحقّق فی الشرائع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مقتضاه حصول التمرین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 إذا فرض حصول التمیّز و الطاقة قبلها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العروة، و اختاره بعض أعلام العصر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یستدلّ لهذا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فی الفقیه عن زرارة فی الصحیح عن أبی عبد اللّه علیه السّلام أنّه سئل عن الصلاة علی الصبیّ متی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الصلاة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ابن ستّ سنین، و الصیام إذا أطاقه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متی یصوم؟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علی الصیام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الوجوب هنا یراد به شدّة الاستحباب؛ لأنّ مناط الوجوب البلوغ</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نقف لما ذکره المصنّف من استحباب أمره قبل السبع و التشدید علیه للسبع علی مستند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فی تعلیقته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علیه 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 لا یبعد استحباب التشدید علیه إذا أطاق علی صوم ثلاثة أیّام متتابعة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67" w:name="pg11756_103825"/>
    </w:p>
    <w:p>
      <w:pPr>
        <w:pStyle w:val="BookText"/>
        <w:rPr/>
      </w:pPr>
      <w:bookmarkEnd w:id="6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التحدید بسنّ خاصّ،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دالّة علی عدم التحدید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الصبیّ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 بین خمس عشرة سنة و أربع عشرة سنة، فإن هو صام قبل ذلک فدعه، و لقد صام ابنی فلان قبل ذلک فترکته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یظهر من الجواهر</w:t>
      </w:r>
      <w:r>
        <w:rPr>
          <w:rStyle w:val="FootnoteAnchor"/>
          <w:rtl w:val="true"/>
        </w:rPr>
        <w:footnoteReference w:id="141"/>
      </w:r>
      <w:r>
        <w:rPr>
          <w:rFonts w:ascii="IRNazanin" w:hAnsi="IRNazanin" w:eastAsia="IRNazanin"/>
          <w:color w:val="111111"/>
          <w:sz w:val="28"/>
          <w:sz w:val="28"/>
          <w:szCs w:val="28"/>
          <w:rtl w:val="true"/>
          <w:lang w:bidi="fa-IR"/>
        </w:rPr>
        <w:t>و المستند</w:t>
      </w:r>
      <w:r>
        <w:rPr>
          <w:rStyle w:val="FootnoteAnchor"/>
          <w:rtl w:val="true"/>
        </w:rPr>
        <w:footnoteReference w:id="142"/>
      </w:r>
      <w:r>
        <w:rPr>
          <w:rFonts w:ascii="IRNazanin" w:hAnsi="IRNazanin" w:eastAsia="IRNazanin"/>
          <w:color w:val="111111"/>
          <w:sz w:val="28"/>
          <w:sz w:val="28"/>
          <w:szCs w:val="28"/>
          <w:rtl w:val="true"/>
          <w:lang w:bidi="fa-IR"/>
        </w:rPr>
        <w:t>و المستمسک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9643461_73709187"/>
      <w:bookmarkStart w:id="69" w:name="_Toc25"/>
      <w:bookmarkEnd w:id="68"/>
      <w:r>
        <w:rPr>
          <w:rtl w:val="true"/>
        </w:rPr>
        <w:t>التحقیق فی المسألة</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منشأ اختلاف الأقوال فی هذه المسألة هو اختلاف الأخبار الواردة فیها، و لعلّ الأجود من الجمیع هو القول الأخیر، أی عدم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حمل الولیّ للصبیّ و الصبیّة علی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خاصّ، بل الملاک تمییزها علی وجه یمکن الصوم منهما؛ لما تقدّم من أنّ ظاهر النصوص و کذا إطلاقات الأدلّة یدلّ علی استحباب تمرین الولیّ للصبیّ و الصبیّة علی الصیام، و یشدّد ذلک علیهما، و یجوز مؤاخذتهما بحسب مراتب سنّهما و طاقتهما فی القوّة و الضعف علی الصیام؛ جمعا</w:t>
      </w:r>
      <w:r>
        <w:rPr>
          <w:rStyle w:val="FootnoteAnchor"/>
          <w:rtl w:val="true"/>
        </w:rPr>
        <w:footnoteReference w:id="145"/>
      </w:r>
      <w:r>
        <w:rPr>
          <w:rFonts w:ascii="IRNazanin" w:hAnsi="IRNazanin" w:eastAsia="IRNazanin"/>
          <w:color w:val="111111"/>
          <w:sz w:val="28"/>
          <w:sz w:val="28"/>
          <w:szCs w:val="28"/>
          <w:rtl w:val="true"/>
          <w:lang w:bidi="fa-IR"/>
        </w:rPr>
        <w:t>بین النصوص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یتلخّص من الجمع بین الأخبار بعد ضمّ بعضها إلی بعض، هو أنّ مراتب الأطفال فی القوّة و الضعف و الإطاقة و عدمها متفاوتة، و بلوغ التسع أعلی المراتب، بمعنی إمکان ذلک و تیسّره من الجمیع، و أمّا ما قبلها فالمراتب فیه متفاوتة، فبعض یکلّف قبل السبع؛ لإطاقته ذلک، و بعض بوصولها، و بعض بعدها، و هو قریب من الصواب، و مرجعه إلی العمل بالموثّقة</w:t>
      </w:r>
      <w:r>
        <w:rPr>
          <w:rStyle w:val="FootnoteAnchor"/>
          <w:rtl w:val="true"/>
        </w:rPr>
        <w:footnoteReference w:id="146"/>
      </w:r>
      <w:r>
        <w:rPr>
          <w:rFonts w:ascii="IRNazanin" w:hAnsi="IRNazanin" w:eastAsia="IRNazanin"/>
          <w:color w:val="111111"/>
          <w:sz w:val="28"/>
          <w:sz w:val="28"/>
          <w:szCs w:val="28"/>
          <w:rtl w:val="true"/>
          <w:lang w:bidi="fa-IR"/>
        </w:rPr>
        <w:t>، و ما فی معناها من تحدید وقت الأخذ بالطاقة، و إرجاع ما تضمّن التحدید بسبع أو تسع إلیها بحملها علی الغالب من حصول الطاقة بهما، لا أنّهما حدّان لا یستحبّ التمرین قبلهما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 بعد ذکر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فمقتضی الجمع بین هذه النصوص و غیرها من المطلقات البناء علی اختلاف مراتب التأکید باختلاف مراتب العمر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المهذّب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مراتب طاقة الصبیان أو اختلاف الأزمنة</w:t>
      </w:r>
      <w:bookmarkStart w:id="70" w:name="pg11756_103827"/>
    </w:p>
    <w:p>
      <w:pPr>
        <w:pStyle w:val="BookText"/>
        <w:rPr/>
      </w:pPr>
      <w:bookmarkEnd w:id="70"/>
      <w:r>
        <w:rPr>
          <w:rFonts w:ascii="IRNazanin" w:hAnsi="IRNazanin" w:eastAsia="IRNazanin"/>
          <w:color w:val="111111"/>
          <w:sz w:val="28"/>
          <w:sz w:val="28"/>
          <w:szCs w:val="28"/>
          <w:rtl w:val="true"/>
          <w:lang w:bidi="fa-IR"/>
        </w:rPr>
        <w:t>التی تقصر و تطول فیها الأیّام</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مصباح الهدی</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هو القول الأخیر کما اختاره السیّدان الفقیهان الخمینی</w:t>
      </w:r>
      <w:r>
        <w:rPr>
          <w:rStyle w:val="FootnoteAnchor"/>
          <w:rtl w:val="true"/>
        </w:rPr>
        <w:footnoteReference w:id="151"/>
      </w:r>
      <w:r>
        <w:rPr>
          <w:rFonts w:ascii="IRNazanin" w:hAnsi="IRNazanin" w:eastAsia="IRNazanin"/>
          <w:color w:val="111111"/>
          <w:sz w:val="28"/>
          <w:sz w:val="28"/>
          <w:szCs w:val="28"/>
          <w:rtl w:val="true"/>
          <w:lang w:bidi="fa-IR"/>
        </w:rPr>
        <w:t>و الخوئی</w:t>
      </w:r>
      <w:r>
        <w:rPr>
          <w:rStyle w:val="FootnoteAnchor"/>
          <w:rtl w:val="true"/>
        </w:rPr>
        <w:footnoteReference w:id="152"/>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643463_73709187"/>
      <w:bookmarkStart w:id="72" w:name="_Toc26"/>
      <w:bookmarkEnd w:id="71"/>
      <w:r>
        <w:rPr>
          <w:rtl w:val="true"/>
        </w:rPr>
        <w:t>اشتراک الصبیّ و الصبیّة فی الحکم</w:t>
      </w:r>
      <w:bookmarkEnd w:id="72"/>
    </w:p>
    <w:p>
      <w:pPr>
        <w:pStyle w:val="BookText"/>
        <w:rPr/>
      </w:pPr>
      <w:r>
        <w:rPr>
          <w:rFonts w:ascii="IRNazanin" w:hAnsi="IRNazanin" w:eastAsia="IRNazanin"/>
          <w:color w:val="111111"/>
          <w:sz w:val="28"/>
          <w:sz w:val="28"/>
          <w:szCs w:val="28"/>
          <w:rtl w:val="true"/>
          <w:lang w:bidi="fa-IR"/>
        </w:rPr>
        <w:t>الظاهر أنّه لا فرق بین الصبیّ و الصبیّة فی هذه المسألة، فتمرّن الصبیّة کالصبیّ علی الصوم قبل البلوغ، و یشدّ علیها، و یجوز مؤاخذتها علی ذلک، علی اختلاف مراتب سنّها و طاقتها علی الصیام، کما صرّح به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یمرّن الصبیّ و الصبیّة علی الصوم</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54"/>
      </w:r>
      <w:r>
        <w:rPr>
          <w:rFonts w:ascii="IRNazanin" w:hAnsi="IRNazanin" w:eastAsia="IRNazanin"/>
          <w:color w:val="111111"/>
          <w:sz w:val="28"/>
          <w:sz w:val="28"/>
          <w:szCs w:val="28"/>
          <w:rtl w:val="true"/>
          <w:lang w:bidi="fa-IR"/>
        </w:rPr>
        <w:t>و القواعد</w:t>
      </w:r>
      <w:r>
        <w:rPr>
          <w:rStyle w:val="FootnoteAnchor"/>
          <w:rtl w:val="true"/>
        </w:rPr>
        <w:footnoteReference w:id="155"/>
      </w:r>
      <w:r>
        <w:rPr>
          <w:rFonts w:ascii="IRNazanin" w:hAnsi="IRNazanin" w:eastAsia="IRNazanin"/>
          <w:color w:val="111111"/>
          <w:sz w:val="28"/>
          <w:sz w:val="28"/>
          <w:szCs w:val="28"/>
          <w:rtl w:val="true"/>
          <w:lang w:bidi="fa-IR"/>
        </w:rPr>
        <w:t>و المنتهی</w:t>
      </w:r>
      <w:r>
        <w:rPr>
          <w:rStyle w:val="FootnoteAnchor"/>
          <w:rtl w:val="true"/>
        </w:rPr>
        <w:footnoteReference w:id="156"/>
      </w:r>
      <w:r>
        <w:rPr>
          <w:rFonts w:ascii="IRNazanin" w:hAnsi="IRNazanin" w:eastAsia="IRNazanin"/>
          <w:color w:val="111111"/>
          <w:sz w:val="28"/>
          <w:sz w:val="28"/>
          <w:szCs w:val="28"/>
          <w:rtl w:val="true"/>
          <w:lang w:bidi="fa-IR"/>
        </w:rPr>
        <w:t>و غیرها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وقفت علیه من الروایات فی هذه المسألة مختصّ بصوم الصبیّ، و قد قطع الأصحاب باستحباب تمرین الصبیّة قبل البلوغ و التشدید علیها للسبع، و لا ریب فی استحباب التمرین، إلاّ أنّ تعیین مبدأه یتوقّف علی ورود النقل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73" w:name="pg11756_103828"/>
    </w:p>
    <w:p>
      <w:pPr>
        <w:pStyle w:val="BookText"/>
        <w:rPr/>
      </w:pPr>
      <w:bookmarkEnd w:id="73"/>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الأصحاب قد عمّموا الحکم فی الصبیّ و الصبیّة، فذکروهما معا، و علّلوه بأنّ المقتضی فی الصبیّ موجود فی الصبیّة، و لا یخلو من توقّف؛ إذ من الجائز اختصاص الحکم بالصبیّ خاصّة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التعدّی إلی الانثی محتاج إلی قرینة مفقودة، و لا سیّما بملاحظة اختلافهما فی 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الاشتراک لا مجال لها؛ لعدم الدلیل علیها فیه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جوابهم المحقّق النجفی،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استحباب التمرین بین الصبی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اشتراکهما فی حکمته</w:t>
      </w:r>
      <w:r>
        <w:rPr>
          <w:rStyle w:val="FootnoteAnchor"/>
          <w:rtl w:val="true"/>
        </w:rPr>
        <w:footnoteReference w:id="161"/>
      </w:r>
      <w:r>
        <w:rPr>
          <w:rFonts w:ascii="IRNazanin" w:hAnsi="IRNazanin" w:eastAsia="IRNazanin"/>
          <w:color w:val="111111"/>
          <w:sz w:val="28"/>
          <w:sz w:val="28"/>
          <w:szCs w:val="28"/>
          <w:rtl w:val="true"/>
          <w:lang w:bidi="fa-IR"/>
        </w:rPr>
        <w:t>التی أومأ إلیها حسن الحلبیّ المتقدّم</w:t>
      </w:r>
      <w:r>
        <w:rPr>
          <w:rStyle w:val="FootnoteAnchor"/>
          <w:rtl w:val="true"/>
        </w:rPr>
        <w:footnoteReference w:id="162"/>
      </w:r>
      <w:r>
        <w:rPr>
          <w:rFonts w:ascii="IRNazanin" w:hAnsi="IRNazanin" w:eastAsia="IRNazanin"/>
          <w:color w:val="111111"/>
          <w:sz w:val="28"/>
          <w:sz w:val="28"/>
          <w:szCs w:val="28"/>
          <w:rtl w:val="true"/>
          <w:lang w:bidi="fa-IR"/>
        </w:rPr>
        <w:t xml:space="preserve">، ثمّ ذکر کلام المدارک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یعرف الحال فیها ممّا سمعته فی الصبیّ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استحبابه فی الصبیّة اشتراکها مع الصبیّ فی ملاک استحبابه، و هو تعوّده بالصیام و تسهیله علیه بعد بلوغه، کما نطق به فی خبر الحلبیّ</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9643465_73709187"/>
      <w:bookmarkStart w:id="75" w:name="_Toc27"/>
      <w:bookmarkEnd w:id="74"/>
      <w:r>
        <w:rPr>
          <w:rtl w:val="true"/>
        </w:rPr>
        <w:t>آراء أهل السنّة فی تمرین الصبیّ علی الصیام و مؤاخذته علیه</w:t>
      </w:r>
      <w:bookmarkEnd w:id="75"/>
    </w:p>
    <w:p>
      <w:pPr>
        <w:pStyle w:val="Heading5"/>
        <w:numPr>
          <w:ilvl w:val="4"/>
          <w:numId w:val="1"/>
        </w:numPr>
        <w:rPr/>
      </w:pPr>
      <w:bookmarkStart w:id="76" w:name="__RefHeading___Toc9643467_73709187"/>
      <w:bookmarkStart w:id="77" w:name="_Toc28"/>
      <w:bookmarkEnd w:id="76"/>
      <w:r>
        <w:rPr>
          <w:rtl w:val="true"/>
        </w:rPr>
        <w:t>اشارة</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الجمهور من الشافعیّة و الحنابلة و الحنفیّة علی أنّ للولیّ أن یأمر الصبیّ و الصبیّة علی الصیام، بل صرّح بعضهم بأنّه یجب علیه أن یؤدّبهما</w:t>
      </w:r>
      <w:bookmarkStart w:id="78" w:name="pg11756_103829"/>
    </w:p>
    <w:p>
      <w:pPr>
        <w:pStyle w:val="BookText"/>
        <w:rPr/>
      </w:pPr>
      <w:bookmarkEnd w:id="78"/>
      <w:r>
        <w:rPr>
          <w:rFonts w:ascii="IRNazanin" w:hAnsi="IRNazanin" w:eastAsia="IRNazanin"/>
          <w:color w:val="111111"/>
          <w:sz w:val="28"/>
          <w:sz w:val="28"/>
          <w:szCs w:val="28"/>
          <w:rtl w:val="true"/>
          <w:lang w:bidi="fa-IR"/>
        </w:rPr>
        <w:t>و یضربهما علی ترک الصیام، و لکن اختلفوا فی مبدأ المؤاخذة و التأدیب، فقال بعضهم بأنّه إذا بلغ الصبیّ حدّ التمییز و یطیق الصوم کان علی الولیّ ذلک، و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أطاق صوم ثلاثة أیّام، و ثالث أطلق الإطاقة، و قیّد الآخرون بأن یکون للصبیّ عشر سنین أو سبع، فنوجز کلماتهم علی الترتیب التالی</w:t>
      </w:r>
      <w:r>
        <w:rPr>
          <w:rFonts w:eastAsia="IRNazanin" w:cs="IRNazanin"/>
          <w:color w:val="111111"/>
          <w:sz w:val="28"/>
          <w:szCs w:val="28"/>
          <w:rtl w:val="true"/>
          <w:lang w:bidi="fa-IR"/>
        </w:rPr>
        <w:t>:</w:t>
      </w:r>
    </w:p>
    <w:p>
      <w:pPr>
        <w:pStyle w:val="Heading5"/>
        <w:numPr>
          <w:ilvl w:val="4"/>
          <w:numId w:val="1"/>
        </w:numPr>
        <w:rPr/>
      </w:pPr>
      <w:bookmarkStart w:id="79" w:name="__RefHeading___Toc9643469_73709187"/>
      <w:bookmarkStart w:id="80" w:name="_Toc29"/>
      <w:bookmarkEnd w:id="79"/>
      <w:r>
        <w:rPr>
          <w:rtl w:val="true"/>
        </w:rPr>
        <w:t xml:space="preserve">أ </w:t>
      </w:r>
      <w:r>
        <w:rPr>
          <w:rtl w:val="true"/>
        </w:rPr>
        <w:t xml:space="preserve">- </w:t>
      </w:r>
      <w:r>
        <w:rPr>
          <w:rtl w:val="true"/>
        </w:rPr>
        <w:t>الشافعیّة</w:t>
      </w:r>
      <w:bookmarkEnd w:id="80"/>
    </w:p>
    <w:p>
      <w:p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 الصبیّ حدّ التمییز و کان یطیق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الولیّ أن یأمره بفعله، فإذا قارب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أن یضربه إذا لم یصم کما قلنا فی الصلاة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لسبع إذا أطاق و میّز، و یضرب علی ترکه لعشر؛ لیتمرّن علیه و الصبیّة کالصبیّ، و الأمر و الضرب واجبان علی الولیّ کما مرّ فی الصلاة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المجموع بأنّ دلیل هذا الحکم قیاس،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قیاسا علی الصلاة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9643471_73709187"/>
      <w:bookmarkStart w:id="82" w:name="_Toc30"/>
      <w:bookmarkEnd w:id="81"/>
      <w:r>
        <w:rPr>
          <w:rtl w:val="true"/>
        </w:rPr>
        <w:t xml:space="preserve">ب </w:t>
      </w:r>
      <w:r>
        <w:rPr>
          <w:rtl w:val="true"/>
        </w:rPr>
        <w:t xml:space="preserve">- </w:t>
      </w:r>
      <w:r>
        <w:rPr>
          <w:rtl w:val="true"/>
        </w:rPr>
        <w:t>الحنابلة</w:t>
      </w:r>
      <w:bookmarkEnd w:id="82"/>
    </w:p>
    <w:p>
      <w:pPr>
        <w:pStyle w:val="BookText"/>
        <w:rPr/>
      </w:pPr>
      <w:r>
        <w:rPr>
          <w:rFonts w:ascii="IRNazanin" w:hAnsi="IRNazanin" w:eastAsia="IRNazanin"/>
          <w:color w:val="111111"/>
          <w:sz w:val="28"/>
          <w:sz w:val="28"/>
          <w:szCs w:val="28"/>
          <w:rtl w:val="true"/>
          <w:lang w:bidi="fa-IR"/>
        </w:rPr>
        <w:t>جاء فی الکافی فی فقه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بالصوم إذا أطاقه، و یضرب علیه لیعتاده کالصلاة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منتهی الإرادات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ولیّ صغیر مطیق أمره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w:t>
      </w:r>
      <w:bookmarkStart w:id="83" w:name="pg11756_103830"/>
    </w:p>
    <w:p>
      <w:pPr>
        <w:pStyle w:val="BookText"/>
        <w:rPr/>
      </w:pPr>
      <w:bookmarkEnd w:id="83"/>
      <w:r>
        <w:rPr>
          <w:rFonts w:ascii="IRNazanin" w:hAnsi="IRNazanin" w:eastAsia="IRNazanin"/>
          <w:color w:val="111111"/>
          <w:sz w:val="28"/>
          <w:sz w:val="28"/>
          <w:szCs w:val="28"/>
          <w:rtl w:val="true"/>
          <w:lang w:bidi="fa-IR"/>
        </w:rPr>
        <w:t>علیه لیعتاده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الإنصاف، و زاد بأنّ اعتبار الضرب بالعشر أولی؛ لأمره علیه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علی الصلاة عندها، و ذکر قولا آخر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به و یضرب علیه فیما دون العشر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ذلک علی الولیّ، صرّح به جماعة من الأصحاب</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شرح الزرکشی</w:t>
      </w:r>
      <w:r>
        <w:rPr>
          <w:rStyle w:val="FootnoteAnchor"/>
          <w:rtl w:val="true"/>
        </w:rPr>
        <w:footnoteReference w:id="172"/>
      </w:r>
      <w:r>
        <w:rPr>
          <w:rFonts w:ascii="IRNazanin" w:hAnsi="IRNazanin" w:eastAsia="IRNazanin"/>
          <w:color w:val="111111"/>
          <w:sz w:val="28"/>
          <w:sz w:val="28"/>
          <w:szCs w:val="28"/>
          <w:rtl w:val="true"/>
          <w:lang w:bidi="fa-IR"/>
        </w:rPr>
        <w:t>، و کشّاف القناع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للغلام عشر سنین و أطاق الصیام 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یلزم الصیام، یؤمر به و یضرب علی ترکه؛ لیتمرّن علیه و یتعوّده کما یلزم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أطاق 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اثنتی عشر أحبّ أن یکلّف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اعتباره بالعشر أولی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9643473_73709187"/>
      <w:bookmarkStart w:id="85" w:name="_Toc31"/>
      <w:bookmarkEnd w:id="84"/>
      <w:r>
        <w:rPr>
          <w:rtl w:val="true"/>
        </w:rPr>
        <w:t xml:space="preserve">ج </w:t>
      </w:r>
      <w:r>
        <w:rPr>
          <w:rtl w:val="true"/>
        </w:rPr>
        <w:t xml:space="preserve">- </w:t>
      </w:r>
      <w:r>
        <w:rPr>
          <w:rtl w:val="true"/>
        </w:rPr>
        <w:t>الحنفیّة</w:t>
      </w:r>
      <w:bookmarkEnd w:id="85"/>
    </w:p>
    <w:p>
      <w:pPr>
        <w:pStyle w:val="BookText"/>
        <w:rPr/>
      </w:pPr>
      <w:r>
        <w:rPr>
          <w:rFonts w:ascii="IRNazanin" w:hAnsi="IRNazanin" w:eastAsia="IRNazanin"/>
          <w:color w:val="111111"/>
          <w:sz w:val="28"/>
          <w:sz w:val="28"/>
          <w:szCs w:val="28"/>
          <w:rtl w:val="true"/>
          <w:lang w:bidi="fa-IR"/>
        </w:rPr>
        <w:t>جاء فی الدرّ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یؤمر الصبیّ بالصوم إذا أطاقه، و یضرب علیه ابن عشر کالصلاة فی الأصحّ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عابدین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یأمره ولیّه أو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الوجوب، و کذا ینهی عن المنکرات لیألف الخیر و یترک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أطاقه،</w:t>
      </w:r>
    </w:p>
    <w:p>
      <w:pPr>
        <w:pStyle w:val="BookText"/>
        <w:rPr/>
      </w:pPr>
      <w:r>
        <w:rPr>
          <w:rFonts w:ascii="IRNazanin" w:hAnsi="IRNazanin" w:eastAsia="IRNazanin"/>
          <w:color w:val="111111"/>
          <w:sz w:val="28"/>
          <w:sz w:val="28"/>
          <w:szCs w:val="28"/>
          <w:rtl w:val="true"/>
          <w:lang w:bidi="fa-IR"/>
        </w:rPr>
        <w:t xml:space="preserve">أی قدر علیه، و قدّر بسبع، و المشاهد فی زماننا عدم إطاقتهم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یختلف ذلک باختلاف الجسم و اختلاف الوقت صیفا و شتاء</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لا یؤمر بالصیام و لا یقاس الصوم بالصلاة، بل إذا بلغ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 مالکا عن الصبیان متی یؤمرون بالصیام؟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الجاریة و احتلم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یشبه الصیام فی هذا الصلاة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مشهور مذهبنا أنّ الصبیّ لا یؤمر بالصیام إذا أطاقه؛ لأنّه مرّة فی السنة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بلغة السالک</w:t>
      </w:r>
      <w:r>
        <w:rPr>
          <w:rStyle w:val="FootnoteAnchor"/>
          <w:rtl w:val="true"/>
        </w:rPr>
        <w:footnoteReference w:id="178"/>
      </w:r>
      <w:r>
        <w:rPr>
          <w:rFonts w:ascii="Amiri" w:hAnsi="Amiri" w:eastAsia="Amiri" w:cs="Amiri"/>
          <w:color w:val="111111"/>
          <w:sz w:val="28"/>
          <w:sz w:val="28"/>
          <w:szCs w:val="28"/>
          <w:rtl w:val="true"/>
          <w:lang w:bidi="ar-SA"/>
        </w:rPr>
        <w:t>و الکواکب الدرّیّة</w:t>
      </w:r>
      <w:r>
        <w:rPr>
          <w:rStyle w:val="FootnoteAnchor"/>
          <w:rtl w:val="true"/>
        </w:rPr>
        <w:footnoteReference w:id="179"/>
      </w:r>
      <w:r>
        <w:rPr>
          <w:rFonts w:ascii="IRNazanin" w:hAnsi="IRNazanin" w:eastAsia="IRNazanin"/>
          <w:color w:val="111111"/>
          <w:sz w:val="28"/>
          <w:sz w:val="28"/>
          <w:szCs w:val="28"/>
          <w:rtl w:val="true"/>
          <w:lang w:bidi="fa-IR"/>
        </w:rPr>
        <w:t>و الذخیرة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86" w:name="pg11756_103832"/>
    </w:p>
    <w:p>
      <w:pPr>
        <w:pStyle w:val="Heading3"/>
        <w:numPr>
          <w:ilvl w:val="2"/>
          <w:numId w:val="1"/>
        </w:numPr>
        <w:rPr/>
      </w:pPr>
      <w:bookmarkStart w:id="87" w:name="__RefHeading___Toc9643475_73709187"/>
      <w:bookmarkStart w:id="88" w:name="_Toc32"/>
      <w:bookmarkEnd w:id="86"/>
      <w:bookmarkEnd w:id="87"/>
      <w:r>
        <w:rPr>
          <w:rtl w:val="true"/>
        </w:rPr>
        <w:t>المبحث الثالث</w:t>
      </w:r>
      <w:r>
        <w:rPr>
          <w:rtl w:val="true"/>
        </w:rPr>
        <w:t xml:space="preserve">: </w:t>
      </w:r>
      <w:r>
        <w:rPr>
          <w:rtl w:val="true"/>
        </w:rPr>
        <w:t>بلوغ الصبیّ فی شهر رمضان</w:t>
      </w:r>
      <w:bookmarkEnd w:id="88"/>
    </w:p>
    <w:p>
      <w:pPr>
        <w:pStyle w:val="Heading4"/>
        <w:numPr>
          <w:ilvl w:val="3"/>
          <w:numId w:val="1"/>
        </w:numPr>
        <w:rPr/>
      </w:pPr>
      <w:bookmarkStart w:id="89" w:name="__RefHeading___Toc9643477_73709187"/>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لو بلغ الصبیّ أو الصبیّة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 له خمس عشرة سنة أو لها التسع أو احتلم فی النهار، فهل یجب علیهما صوم الیوم الذی بلغا فیه، أو القضاء إن أفطرا؟ للمسألة صور نذکرها فیما یلی</w:t>
      </w:r>
      <w:r>
        <w:rPr>
          <w:rFonts w:eastAsia="IRNazanin" w:cs="IRNazanin"/>
          <w:color w:val="111111"/>
          <w:sz w:val="28"/>
          <w:szCs w:val="28"/>
          <w:rtl w:val="true"/>
          <w:lang w:bidi="fa-IR"/>
        </w:rPr>
        <w:t>:</w:t>
      </w:r>
    </w:p>
    <w:p>
      <w:pPr>
        <w:pStyle w:val="Heading4"/>
        <w:numPr>
          <w:ilvl w:val="3"/>
          <w:numId w:val="1"/>
        </w:numPr>
        <w:rPr/>
      </w:pPr>
      <w:bookmarkStart w:id="91" w:name="__RefHeading___Toc9643479_73709187"/>
      <w:bookmarkStart w:id="92" w:name="_Toc34"/>
      <w:bookmarkEnd w:id="91"/>
      <w:r>
        <w:rPr>
          <w:rtl w:val="true"/>
        </w:rPr>
        <w:t>الاولی</w:t>
      </w:r>
      <w:r>
        <w:rPr>
          <w:rtl w:val="true"/>
        </w:rPr>
        <w:t xml:space="preserve">: </w:t>
      </w:r>
      <w:r>
        <w:rPr>
          <w:rtl w:val="true"/>
        </w:rPr>
        <w:t>بلوغ الصبیّ قبل الفجر مع التمکّن من الطهارة</w:t>
      </w:r>
      <w:bookmarkEnd w:id="92"/>
    </w:p>
    <w:p>
      <w:pPr>
        <w:pStyle w:val="BookText"/>
        <w:rPr/>
      </w:pPr>
      <w:r>
        <w:rPr>
          <w:rFonts w:ascii="IRNazanin" w:hAnsi="IRNazanin" w:eastAsia="IRNazanin"/>
          <w:color w:val="111111"/>
          <w:sz w:val="28"/>
          <w:sz w:val="28"/>
          <w:szCs w:val="28"/>
          <w:rtl w:val="true"/>
          <w:lang w:bidi="fa-IR"/>
        </w:rPr>
        <w:t>ما لو بلغ قبل الفجر مع تمکّنه من تحصیل الطهارة، فالظاهر أنّه لا خلاف بین الفقهاء من أنّه یجب علیه صوم ذلک الیوم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الغلام قبل الفجر وجب علیه الصوم إجماعا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و به قال الشیخ</w:t>
      </w:r>
      <w:r>
        <w:rPr>
          <w:rStyle w:val="FootnoteAnchor"/>
          <w:rtl w:val="true"/>
        </w:rPr>
        <w:footnoteReference w:id="182"/>
      </w:r>
      <w:r>
        <w:rPr>
          <w:rFonts w:ascii="Amiri" w:hAnsi="Amiri" w:eastAsia="Amiri" w:cs="Amiri"/>
          <w:color w:val="111111"/>
          <w:sz w:val="28"/>
          <w:sz w:val="28"/>
          <w:szCs w:val="28"/>
          <w:rtl w:val="true"/>
          <w:lang w:bidi="ar-SA"/>
        </w:rPr>
        <w:t>و العلاّمة</w:t>
      </w:r>
      <w:r>
        <w:rPr>
          <w:rStyle w:val="FootnoteAnchor"/>
          <w:rtl w:val="true"/>
        </w:rPr>
        <w:footnoteReference w:id="183"/>
      </w:r>
      <w:r>
        <w:rPr>
          <w:rFonts w:ascii="IRNazanin" w:hAnsi="IRNazanin" w:eastAsia="IRNazanin"/>
          <w:color w:val="111111"/>
          <w:sz w:val="28"/>
          <w:sz w:val="28"/>
          <w:szCs w:val="28"/>
          <w:rtl w:val="true"/>
          <w:lang w:bidi="fa-IR"/>
        </w:rPr>
        <w:t>و غیرهم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93" w:name="pg11756_103833"/>
    </w:p>
    <w:p>
      <w:pPr>
        <w:pStyle w:val="BookText"/>
        <w:rPr/>
      </w:pPr>
      <w:bookmarkEnd w:id="93"/>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کمل قبل الفجر بحیث طلع علیه الفجر کاملا فإنّه یجب علیه بلا إشکال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إطلاقات أدلّة وجوب الصوم علی البالغ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إذا احتلم الصیام، و علی المرأة إذا حاضت الصیام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یجب علی الصبیّ فی مفروض المسألة الصوم؛ لوجود المقتضی و فقد المانع</w:t>
      </w:r>
      <w:r>
        <w:rPr>
          <w:rFonts w:eastAsia="IRNazanin" w:cs="IRNazanin"/>
          <w:color w:val="111111"/>
          <w:sz w:val="28"/>
          <w:szCs w:val="28"/>
          <w:rtl w:val="true"/>
          <w:lang w:bidi="fa-IR"/>
        </w:rPr>
        <w:t>.</w:t>
      </w:r>
    </w:p>
    <w:p>
      <w:pPr>
        <w:pStyle w:val="Heading4"/>
        <w:numPr>
          <w:ilvl w:val="3"/>
          <w:numId w:val="1"/>
        </w:numPr>
        <w:rPr/>
      </w:pPr>
      <w:bookmarkStart w:id="94" w:name="__RefHeading___Toc9643481_73709187"/>
      <w:bookmarkStart w:id="95" w:name="_Toc35"/>
      <w:bookmarkEnd w:id="94"/>
      <w:r>
        <w:rPr>
          <w:rtl w:val="true"/>
        </w:rPr>
        <w:t>الصورة الثانیة</w:t>
      </w:r>
      <w:r>
        <w:rPr>
          <w:rtl w:val="true"/>
        </w:rPr>
        <w:t xml:space="preserve">: </w:t>
      </w:r>
      <w:r>
        <w:rPr>
          <w:rtl w:val="true"/>
        </w:rPr>
        <w:t>الصورة نفسها مع عدم التمکّن من الطهارة</w:t>
      </w:r>
      <w:bookmarkEnd w:id="95"/>
    </w:p>
    <w:p>
      <w:pPr>
        <w:pStyle w:val="BookText"/>
        <w:rPr/>
      </w:pPr>
      <w:r>
        <w:rPr>
          <w:rFonts w:ascii="IRNazanin" w:hAnsi="IRNazanin" w:eastAsia="IRNazanin"/>
          <w:color w:val="111111"/>
          <w:sz w:val="28"/>
          <w:sz w:val="28"/>
          <w:szCs w:val="28"/>
          <w:rtl w:val="true"/>
          <w:lang w:bidi="fa-IR"/>
        </w:rPr>
        <w:t>لو بلغ قبل الفجر و لم یتمکّن من الطهارة فیحتمل أن لا یجب علیه الصوم؛ لأنّ من شرائط صحّة الصوم خلوّ الصائم من الجنابة قبل الفجر، و حیث لم یتحقّق الشرط فلا یجب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هو مخلّ بالصیام بقاء المکلّف جنبا إلی الفجر متعمّدا، لا أنّ الطهارة شرط لصحّة الصوم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قبل الفجر شرط اختیاری عند القدرة و التمکّن، و لذا قالوا فی البحث عمّا یجب الإمساک عنه فی الصوم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البقاء علی الجنابة عمدا إلی الفجر الصادق فی صوم شهر رمضان أو قضائه موجب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الإصباح جنبا من غیر تعمّد فلا، إلاّ فی قضاء شهر رمضان علی قول بعضهم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تستفاد الشرطیّة الاختیاریّة من صحیح ابن مسلم عن أحدهما علیهما السّلام فی حدیث أنّه سئل عن الرجل تصیبه الجنابة فی رمضان، ثمّ ینام،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استیقظ قبل أن یطلع الفجر، فإن انتظر ماء یسخن أو یستقی فطلع الفجر فلا یقضی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 خ 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إسماعیل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الرضا علیه السّلام عن رجل أصابته جنابة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رجل أصابته جنابة فی آخر اللیل، فقام لیغتسل و لم یصب ماء، فذهب یطلبه أو بعث من یأتیه بالماء، فعسر علیه حتّی أصبح،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إذا جاءه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تسالم الفقهاء</w:t>
      </w:r>
      <w:r>
        <w:rPr>
          <w:rStyle w:val="FootnoteAnchor"/>
          <w:rtl w:val="true"/>
        </w:rPr>
        <w:footnoteReference w:id="190"/>
      </w:r>
      <w:r>
        <w:rPr>
          <w:rFonts w:ascii="IRNazanin" w:hAnsi="IRNazanin" w:eastAsia="IRNazanin"/>
          <w:color w:val="111111"/>
          <w:sz w:val="28"/>
          <w:sz w:val="28"/>
          <w:szCs w:val="28"/>
          <w:rtl w:val="true"/>
          <w:lang w:bidi="fa-IR"/>
        </w:rPr>
        <w:t>علی أنّ شرطیّة رفع الحدث تختصّ بصورة التمکّن و القدرة من رفع الحدث، فالعاجز لا یکون متعمّدا فی البقاء علی الجنابة، فیکون الشرط المزبور فی مفروض البحث ساقطا عن الصبیّ</w:t>
      </w:r>
      <w:r>
        <w:rPr>
          <w:rStyle w:val="FootnoteAnchor"/>
          <w:rtl w:val="true"/>
        </w:rPr>
        <w:footnoteReference w:id="191"/>
      </w:r>
      <w:r>
        <w:rPr>
          <w:rFonts w:ascii="IRNazanin" w:hAnsi="IRNazanin" w:eastAsia="IRNazanin"/>
          <w:color w:val="111111"/>
          <w:sz w:val="28"/>
          <w:sz w:val="28"/>
          <w:szCs w:val="28"/>
          <w:rtl w:val="true"/>
          <w:lang w:bidi="fa-IR"/>
        </w:rPr>
        <w:t>؛ ضرورة کونه حینئذ معذورا، نظیر فاقد الطهورین الذی قالوا فیه بأنّه یصحّ صومه مع البقاء علی الجنابة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 فاقد الطهورین لا یسقط عنه وجوب الصوم، بل یصحّ صومه و إن کان متعمّدا فی الإجناب، و کذا فی حدوث حدث الحیض أو النفاس؛ لأنّه یستحیل له رفع الحدث فی مفروض المسألة،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بسقوط الوجوب و لا سبیل إلیه، أو بصحّته مع</w:t>
      </w:r>
      <w:bookmarkStart w:id="96" w:name="pg11756_103835"/>
    </w:p>
    <w:p>
      <w:pPr>
        <w:pStyle w:val="BookText"/>
        <w:rPr/>
      </w:pPr>
      <w:bookmarkEnd w:id="96"/>
      <w:r>
        <w:rPr>
          <w:rFonts w:ascii="IRNazanin" w:hAnsi="IRNazanin" w:eastAsia="IRNazanin"/>
          <w:color w:val="111111"/>
          <w:sz w:val="28"/>
          <w:sz w:val="28"/>
          <w:szCs w:val="28"/>
          <w:rtl w:val="true"/>
          <w:lang w:bidi="fa-IR"/>
        </w:rPr>
        <w:t>شیء من الأحداث المذکورة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ممّا ذکرنا أنّه لو قارن بلوغه طلوع الفجر فیجب علیه الصوم؛ لشمول الأدلّة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تقدّمه أو تأخّره عن الفجر فالمتّجه الرجوع إلی أصل البراءة؛ لأنّ الشکّ فیه یرجع إلی الشکّ فی المشروط، کما فی الجواهر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9643483_73709187"/>
      <w:bookmarkStart w:id="98" w:name="_Toc36"/>
      <w:bookmarkEnd w:id="97"/>
      <w:r>
        <w:rPr>
          <w:rtl w:val="true"/>
        </w:rPr>
        <w:t>الصورة الثالثة</w:t>
      </w:r>
      <w:r>
        <w:rPr>
          <w:rtl w:val="true"/>
        </w:rPr>
        <w:t xml:space="preserve">: </w:t>
      </w:r>
      <w:r>
        <w:rPr>
          <w:rtl w:val="true"/>
        </w:rPr>
        <w:t>بلوغ الصبیّ بعد الزوال</w:t>
      </w:r>
      <w:bookmarkEnd w:id="98"/>
    </w:p>
    <w:p>
      <w:pPr>
        <w:pStyle w:val="BookText"/>
        <w:rPr/>
      </w:pPr>
      <w:r>
        <w:rPr>
          <w:rFonts w:ascii="IRNazanin" w:hAnsi="IRNazanin" w:eastAsia="IRNazanin"/>
          <w:color w:val="111111"/>
          <w:sz w:val="28"/>
          <w:sz w:val="28"/>
          <w:szCs w:val="28"/>
          <w:rtl w:val="true"/>
          <w:lang w:bidi="fa-IR"/>
        </w:rPr>
        <w:t>أن یتناول الصبیّ شیئا، ثم بلغ أثناء النهار، فالظاهر أنّه لا خلاف فی عدم وجوب الصوم علیه، کما صرّح به بعضهم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 فی أثناء النهار، فإن کان بعد الزوال فلا خلاف ظاهرا فی عدم وجوب الصوم و لا قضائه علیه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إذ الوجوب قد تعلّق بمن استجمع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الفجر، و المفروض أنّه لم یکن کاملا من حینه، فلم یتعلّق به الوجوب، و إن شککنا فیه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أتی بالمفطر لم یکن صائما، و لم یجب علیه بعد بلوغه صوم ذلک الیوم؛ لأنّه لا یشرع صوم بعض الیوم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یجب علیه صوم الیوم الذی بلغ فیه بعد الزوال لو لم یتناول شیئا إلی حین البلوغ؛ لفوات المحلّ بحلول الزوال و عدم تمکّن تجدید النیّة حینئذ،</w:t>
      </w:r>
      <w:bookmarkStart w:id="99" w:name="pg11756_103836"/>
    </w:p>
    <w:p>
      <w:pPr>
        <w:pStyle w:val="BookText"/>
        <w:rPr/>
      </w:pPr>
      <w:bookmarkEnd w:id="99"/>
      <w:r>
        <w:rPr>
          <w:rFonts w:ascii="IRNazanin" w:hAnsi="IRNazanin" w:eastAsia="IRNazanin"/>
          <w:color w:val="111111"/>
          <w:sz w:val="28"/>
          <w:sz w:val="28"/>
          <w:szCs w:val="28"/>
          <w:rtl w:val="true"/>
          <w:lang w:bidi="fa-IR"/>
        </w:rPr>
        <w:t>و لا دلیل علی قیام الباقی من الیوم مقام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إذا تناول شیئا مطلقا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النهار لم یکن مکلّفا فتجب علیه العبادة، و بقیّة النهار لا 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الإعادة یحتاج إلی دلیل، و الأصل براءة الذمّة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9643485_73709187"/>
      <w:bookmarkStart w:id="101" w:name="_Toc37"/>
      <w:bookmarkEnd w:id="100"/>
      <w:r>
        <w:rPr>
          <w:rtl w:val="true"/>
        </w:rPr>
        <w:t>الصورة الرابعة</w:t>
      </w:r>
      <w:r>
        <w:rPr>
          <w:rtl w:val="true"/>
        </w:rPr>
        <w:t xml:space="preserve">: </w:t>
      </w:r>
      <w:r>
        <w:rPr>
          <w:rtl w:val="true"/>
        </w:rPr>
        <w:t>بلوغ الصبیّ قبل الزوال</w:t>
      </w:r>
      <w:bookmarkEnd w:id="101"/>
    </w:p>
    <w:p>
      <w:pPr>
        <w:pStyle w:val="BookText"/>
        <w:rPr/>
      </w:pPr>
      <w:r>
        <w:rPr>
          <w:rFonts w:ascii="IRNazanin" w:hAnsi="IRNazanin" w:eastAsia="IRNazanin"/>
          <w:color w:val="111111"/>
          <w:sz w:val="28"/>
          <w:sz w:val="28"/>
          <w:szCs w:val="28"/>
          <w:rtl w:val="true"/>
          <w:lang w:bidi="fa-IR"/>
        </w:rPr>
        <w:t>و هی العمدة، و هی ما لو نوی الصبیّ الصوم، ثمّ بلغ قبل الزوال، فهل یجب علیه صوم ذلک الیوم و تجدید النیّة؟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الصبیّ نوی الصوم من أوّله وجب علیه الإمساک</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المدارک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یتمّه وجوبا، و کذا فی الصلاة ثمّ یأتی بهما بعد ذلک أیضا أداء أو قضاء</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فی الریاض</w:t>
      </w:r>
      <w:r>
        <w:rPr>
          <w:rStyle w:val="FootnoteAnchor"/>
          <w:rtl w:val="true"/>
        </w:rPr>
        <w:footnoteReference w:id="205"/>
      </w:r>
      <w:r>
        <w:rPr>
          <w:rFonts w:ascii="IRNazanin" w:hAnsi="IRNazanin" w:eastAsia="IRNazanin"/>
          <w:color w:val="111111"/>
          <w:sz w:val="28"/>
          <w:sz w:val="28"/>
          <w:szCs w:val="28"/>
          <w:rtl w:val="true"/>
          <w:lang w:bidi="fa-IR"/>
        </w:rPr>
        <w:t>و الغنائم</w:t>
      </w:r>
      <w:r>
        <w:rPr>
          <w:rStyle w:val="FootnoteAnchor"/>
          <w:rtl w:val="true"/>
        </w:rPr>
        <w:footnoteReference w:id="206"/>
      </w:r>
      <w:r>
        <w:rPr>
          <w:rFonts w:ascii="IRNazanin" w:hAnsi="IRNazanin" w:eastAsia="IRNazanin"/>
          <w:color w:val="111111"/>
          <w:sz w:val="28"/>
          <w:sz w:val="28"/>
          <w:szCs w:val="28"/>
          <w:rtl w:val="true"/>
          <w:lang w:bidi="fa-IR"/>
        </w:rPr>
        <w:t>و المستمسک</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بعض المعلّقین</w:t>
      </w:r>
    </w:p>
    <w:p>
      <w:pPr>
        <w:pStyle w:val="BookText"/>
        <w:rPr/>
      </w:pPr>
      <w:r>
        <w:rPr>
          <w:rFonts w:ascii="IRNazanin" w:hAnsi="IRNazanin" w:eastAsia="IRNazanin"/>
          <w:color w:val="111111"/>
          <w:sz w:val="28"/>
          <w:sz w:val="28"/>
          <w:szCs w:val="28"/>
          <w:rtl w:val="true"/>
          <w:lang w:bidi="fa-IR"/>
        </w:rPr>
        <w:t>علی العروة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لمن نوی التطوّع الإتمام لو کمل فی أثناء النهار، بل إن کمل قبل الزوال و لم یتناول شیئا فالأحوط الأولی نیّة الصوم و إتمامه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کما فی الخلاف</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مخدوش، لأنّ کثیرا من الفقهاء علی خلافه، بل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أصحابنا علی خلافه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ممکن فی حقّه، و وقت النیّة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الصبیّ مخاطبا،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صار الآن مخاطبا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صوم بعض الیوم،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إذا تمکّن من نیّة یسری</w:t>
      </w:r>
      <w:r>
        <w:rPr>
          <w:rStyle w:val="FootnoteAnchor"/>
          <w:rtl w:val="true"/>
        </w:rPr>
        <w:footnoteReference w:id="212"/>
      </w:r>
      <w:r>
        <w:rPr>
          <w:rFonts w:ascii="IRNazanin" w:hAnsi="IRNazanin" w:eastAsia="IRNazanin"/>
          <w:color w:val="111111"/>
          <w:sz w:val="28"/>
          <w:sz w:val="28"/>
          <w:szCs w:val="28"/>
          <w:rtl w:val="true"/>
          <w:lang w:bidi="fa-IR"/>
        </w:rPr>
        <w:t>حکمها إلی أوّله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الکثیرة</w:t>
      </w:r>
      <w:r>
        <w:rPr>
          <w:rStyle w:val="FootnoteAnchor"/>
          <w:rtl w:val="true"/>
        </w:rPr>
        <w:footnoteReference w:id="214"/>
      </w:r>
      <w:r>
        <w:rPr>
          <w:rFonts w:ascii="IRNazanin" w:hAnsi="IRNazanin" w:eastAsia="IRNazanin"/>
          <w:color w:val="111111"/>
          <w:sz w:val="28"/>
          <w:sz w:val="28"/>
          <w:szCs w:val="28"/>
          <w:rtl w:val="true"/>
          <w:lang w:bidi="fa-IR"/>
        </w:rPr>
        <w:t>دلّت علی جواز تجدید نیّة الصوم الغیر</w:t>
      </w:r>
    </w:p>
    <w:p>
      <w:pPr>
        <w:pStyle w:val="BookText"/>
        <w:rPr/>
      </w:pPr>
      <w:r>
        <w:rPr>
          <w:rFonts w:ascii="IRNazanin" w:hAnsi="IRNazanin" w:eastAsia="IRNazanin"/>
          <w:color w:val="111111"/>
          <w:sz w:val="28"/>
          <w:sz w:val="28"/>
          <w:szCs w:val="28"/>
          <w:rtl w:val="true"/>
          <w:lang w:bidi="fa-IR"/>
        </w:rPr>
        <w:t>المعیّن إلی الزوال مطلقا، و فی المعیّن للناسی، و لا ریب فی تحقّق حقیقة الصوم مع ذلک، و یمکن أن یتحقّق</w:t>
      </w:r>
      <w:r>
        <w:rPr>
          <w:rStyle w:val="FootnoteAnchor"/>
          <w:rtl w:val="true"/>
        </w:rPr>
        <w:footnoteReference w:id="215"/>
      </w:r>
      <w:r>
        <w:rPr>
          <w:rFonts w:ascii="IRNazanin" w:hAnsi="IRNazanin" w:eastAsia="IRNazanin"/>
          <w:color w:val="111111"/>
          <w:sz w:val="28"/>
          <w:sz w:val="28"/>
          <w:szCs w:val="28"/>
          <w:rtl w:val="true"/>
          <w:lang w:bidi="fa-IR"/>
        </w:rPr>
        <w:t>هذا المعنی من الصبیّ إذا بلغ فی أثناء النهار و لم یتناول شیئا، فیجوز</w:t>
      </w:r>
      <w:r>
        <w:rPr>
          <w:rStyle w:val="FootnoteAnchor"/>
          <w:rtl w:val="true"/>
        </w:rPr>
        <w:footnoteReference w:id="216"/>
      </w:r>
      <w:r>
        <w:rPr>
          <w:rFonts w:ascii="IRNazanin" w:hAnsi="IRNazanin" w:eastAsia="IRNazanin"/>
          <w:color w:val="111111"/>
          <w:sz w:val="28"/>
          <w:sz w:val="28"/>
          <w:szCs w:val="28"/>
          <w:rtl w:val="true"/>
          <w:lang w:bidi="fa-IR"/>
        </w:rPr>
        <w:t xml:space="preserve">أن یکلّف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الإمساک المذکور مع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جزء من الإمساک و إن تحقّق قبل البلوغ، إلاّ أنّ أدلّة</w:t>
      </w:r>
      <w:r>
        <w:rPr>
          <w:rStyle w:val="FootnoteAnchor"/>
          <w:rtl w:val="true"/>
        </w:rPr>
        <w:footnoteReference w:id="217"/>
      </w:r>
      <w:r>
        <w:rPr>
          <w:rFonts w:ascii="IRNazanin" w:hAnsi="IRNazanin" w:eastAsia="IRNazanin"/>
          <w:color w:val="111111"/>
          <w:sz w:val="28"/>
          <w:sz w:val="28"/>
          <w:szCs w:val="28"/>
          <w:rtl w:val="true"/>
          <w:lang w:bidi="fa-IR"/>
        </w:rPr>
        <w:t>وجوب الصوم تدلّ علی وجوب جعله مع الإمساک فی باقی النهار، صوما بأن ینوی الصوم و یمسک إلی اللیل، و لا استبعاد فی عدم اتّصاف الجزء السابق بالوجوب، کما فی الصوم الموسّع و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الصوم یوجد من الممسک أوّل النهار بأن یجدّد النیّة قبل الزوال، و لهذا یمتثل بذلک أوامر الصوم الإیجابیّة و الندبیّة، و أوضح من ذلک لو قلنا بامتداد وقت النیّة فی المندوب إلی الغروب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مع قطع النظر عمّا دلّ علی جواز تجدید النیّة قبل الزوال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 صوم مجموع النهار بالوجوب؛</w:t>
      </w:r>
    </w:p>
    <w:p>
      <w:pPr>
        <w:pStyle w:val="BookText"/>
        <w:rPr/>
      </w:pPr>
      <w:r>
        <w:rPr>
          <w:rFonts w:ascii="IRNazanin" w:hAnsi="IRNazanin" w:eastAsia="IRNazanin"/>
          <w:color w:val="111111"/>
          <w:sz w:val="28"/>
          <w:sz w:val="28"/>
          <w:szCs w:val="28"/>
          <w:rtl w:val="true"/>
          <w:lang w:bidi="fa-IR"/>
        </w:rPr>
        <w:t>إذ لا یعقل اتّصاف الشیء بعد الوقوع و الانقضاء بصفة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تلک الأخبار فإنّما دلّت علی أنّ الإمساک فی أوّل النهار إن کان قابلا للاتّصاف بالوجوب یمکن أن یقع واجبا؛ لسرایة النیّة اللاحقة، و إن کان قابلا للاتّصاف بالاستحباب یمکن أن یقع مستحبّا، و الإمساک المتحقّق من الصبیّ قبل البلوغ لا یقبل الاتّصاف بالوجوب، فلا یصیر جزء واجب، فلا یتّصف الباقی بالوجوب؛ لأنّ الصوم لا یتبعّض</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الصبیّ و إن کان مشروعا و مأمورا به حسب الفرض، إلاّ أنّه کان علی صفة الندب؛ إذ المأمور بالصوم الواجب هو من کان بالغا وقت تعلّق الخطاب، أعنی من لدن طلوع الفجر، و من البیّن أنّ الالتزام بانقلاب الأمر الندبی إلی الوجوبی فی مرحلة البقاء یحتاج إلی دلیل، و لا دلیل علیه فی المقام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شرعیّة عبادات الصبیّ، عباداته کالبالغ، غیر أنّها قد رفع الإلزام بها لمصلحة اقتضت ذلک، فإذا نوی الصبیّ الصوم قبل الفجر فصام و فی أثناء النهار بلغ اختصّ رفع الإلزام بما قبل البلوغ، و أمّا بعده فدلیل اللزوم بحاله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سیأتی قریبا فی الوجه الثانی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الفقهاء من أنّه لا یجب علی الصبیّ إمساک الیوم الذی بلغ فیه قبل الزوال و إن نوی الصوم ندبا، و هو قول آخر</w:t>
      </w:r>
    </w:p>
    <w:p>
      <w:pPr>
        <w:pStyle w:val="BookText"/>
        <w:rPr/>
      </w:pPr>
      <w:r>
        <w:rPr>
          <w:rFonts w:ascii="IRNazanin" w:hAnsi="IRNazanin" w:eastAsia="IRNazanin"/>
          <w:color w:val="111111"/>
          <w:sz w:val="28"/>
          <w:sz w:val="28"/>
          <w:szCs w:val="28"/>
          <w:rtl w:val="true"/>
          <w:lang w:bidi="fa-IR"/>
        </w:rPr>
        <w:t>للشیخ فی النهایة</w:t>
      </w:r>
      <w:r>
        <w:rPr>
          <w:rStyle w:val="FootnoteAnchor"/>
          <w:rtl w:val="true"/>
        </w:rPr>
        <w:footnoteReference w:id="222"/>
      </w:r>
      <w:r>
        <w:rPr>
          <w:rFonts w:ascii="IRNazanin" w:hAnsi="IRNazanin" w:eastAsia="IRNazanin"/>
          <w:color w:val="111111"/>
          <w:sz w:val="28"/>
          <w:sz w:val="28"/>
          <w:szCs w:val="28"/>
          <w:rtl w:val="true"/>
          <w:lang w:bidi="fa-IR"/>
        </w:rPr>
        <w:t>،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کمل بعد طلوعه لم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بنو جنید</w:t>
      </w:r>
      <w:r>
        <w:rPr>
          <w:rStyle w:val="FootnoteAnchor"/>
          <w:rtl w:val="true"/>
        </w:rPr>
        <w:footnoteReference w:id="224"/>
      </w:r>
      <w:r>
        <w:rPr>
          <w:rFonts w:ascii="IRNazanin" w:hAnsi="IRNazanin" w:eastAsia="IRNazanin"/>
          <w:color w:val="111111"/>
          <w:sz w:val="28"/>
          <w:sz w:val="28"/>
          <w:szCs w:val="28"/>
          <w:rtl w:val="true"/>
          <w:lang w:bidi="fa-IR"/>
        </w:rPr>
        <w:t>و إدریس</w:t>
      </w:r>
      <w:r>
        <w:rPr>
          <w:rStyle w:val="FootnoteAnchor"/>
          <w:rtl w:val="true"/>
        </w:rPr>
        <w:footnoteReference w:id="225"/>
      </w:r>
      <w:r>
        <w:rPr>
          <w:rFonts w:ascii="Amiri" w:hAnsi="Amiri" w:eastAsia="Amiri" w:cs="Amiri"/>
          <w:color w:val="111111"/>
          <w:sz w:val="28"/>
          <w:sz w:val="28"/>
          <w:szCs w:val="28"/>
          <w:rtl w:val="true"/>
          <w:lang w:bidi="ar-SA"/>
        </w:rPr>
        <w:t>و البرّاج</w:t>
      </w:r>
      <w:r>
        <w:rPr>
          <w:rStyle w:val="FootnoteAnchor"/>
          <w:rtl w:val="true"/>
        </w:rPr>
        <w:footnoteReference w:id="226"/>
      </w:r>
      <w:r>
        <w:rPr>
          <w:rFonts w:ascii="IRNazanin" w:hAnsi="IRNazanin" w:eastAsia="IRNazanin"/>
          <w:color w:val="111111"/>
          <w:sz w:val="28"/>
          <w:sz w:val="28"/>
          <w:szCs w:val="28"/>
          <w:rtl w:val="true"/>
          <w:lang w:bidi="fa-IR"/>
        </w:rPr>
        <w:t>و سعید الحلّی</w:t>
      </w:r>
      <w:r>
        <w:rPr>
          <w:rStyle w:val="FootnoteAnchor"/>
          <w:rtl w:val="true"/>
        </w:rPr>
        <w:footnoteReference w:id="227"/>
      </w:r>
      <w:r>
        <w:rPr>
          <w:rFonts w:ascii="IRNazanin" w:hAnsi="IRNazanin" w:eastAsia="IRNazanin"/>
          <w:color w:val="111111"/>
          <w:sz w:val="28"/>
          <w:sz w:val="28"/>
          <w:szCs w:val="28"/>
          <w:rtl w:val="true"/>
          <w:lang w:bidi="fa-IR"/>
        </w:rPr>
        <w:t>، و العلاّمة فی جملة من کتبه</w:t>
      </w:r>
      <w:r>
        <w:rPr>
          <w:rStyle w:val="FootnoteAnchor"/>
          <w:rtl w:val="true"/>
        </w:rPr>
        <w:footnoteReference w:id="228"/>
      </w:r>
      <w:r>
        <w:rPr>
          <w:rFonts w:ascii="IRNazanin" w:hAnsi="IRNazanin" w:eastAsia="IRNazanin"/>
          <w:color w:val="111111"/>
          <w:sz w:val="28"/>
          <w:sz w:val="28"/>
          <w:szCs w:val="28"/>
          <w:rtl w:val="true"/>
          <w:lang w:bidi="fa-IR"/>
        </w:rPr>
        <w:t>، و الشهیدان</w:t>
      </w:r>
      <w:r>
        <w:rPr>
          <w:rStyle w:val="FootnoteAnchor"/>
          <w:rtl w:val="true"/>
        </w:rPr>
        <w:footnoteReference w:id="229"/>
      </w:r>
      <w:r>
        <w:rPr>
          <w:rFonts w:ascii="IRNazanin" w:hAnsi="IRNazanin" w:eastAsia="IRNazanin"/>
          <w:color w:val="111111"/>
          <w:sz w:val="28"/>
          <w:sz w:val="28"/>
          <w:szCs w:val="28"/>
          <w:rtl w:val="true"/>
          <w:lang w:bidi="fa-IR"/>
        </w:rPr>
        <w:t>و المحقّق الأردبیلی</w:t>
      </w:r>
      <w:r>
        <w:rPr>
          <w:rStyle w:val="FootnoteAnchor"/>
          <w:rtl w:val="true"/>
        </w:rPr>
        <w:footnoteReference w:id="230"/>
      </w:r>
      <w:r>
        <w:rPr>
          <w:rFonts w:ascii="IRNazanin" w:hAnsi="IRNazanin" w:eastAsia="IRNazanin"/>
          <w:color w:val="111111"/>
          <w:sz w:val="28"/>
          <w:sz w:val="28"/>
          <w:szCs w:val="28"/>
          <w:rtl w:val="true"/>
          <w:lang w:bidi="fa-IR"/>
        </w:rPr>
        <w:t>و فخر المحقّقین</w:t>
      </w:r>
      <w:r>
        <w:rPr>
          <w:rStyle w:val="FootnoteAnchor"/>
          <w:rtl w:val="true"/>
        </w:rPr>
        <w:footnoteReference w:id="231"/>
      </w:r>
      <w:r>
        <w:rPr>
          <w:rFonts w:ascii="IRNazanin" w:hAnsi="IRNazanin" w:eastAsia="IRNazanin"/>
          <w:color w:val="111111"/>
          <w:sz w:val="28"/>
          <w:sz w:val="28"/>
          <w:szCs w:val="28"/>
          <w:rtl w:val="true"/>
          <w:lang w:bidi="fa-IR"/>
        </w:rPr>
        <w:t>، و کذا فی الجواهر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بلغ الصبیّ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 کذلک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أی عدم وجوب الصوم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جماعة من أعلام العصر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عبادة لا تقبل التجزئة، و هو فی أوّل النهار لم یکن مکلّفا به فلا یقع التکلیف به فی باقیه، کما فی المختلف</w:t>
      </w:r>
      <w:r>
        <w:rPr>
          <w:rStyle w:val="FootnoteAnchor"/>
          <w:rtl w:val="true"/>
        </w:rPr>
        <w:footnoteReference w:id="235"/>
      </w:r>
      <w:r>
        <w:rPr>
          <w:rFonts w:ascii="IRNazanin" w:hAnsi="IRNazanin" w:eastAsia="IRNazanin"/>
          <w:color w:val="111111"/>
          <w:sz w:val="28"/>
          <w:sz w:val="28"/>
          <w:szCs w:val="28"/>
          <w:rtl w:val="true"/>
          <w:lang w:bidi="fa-IR"/>
        </w:rPr>
        <w:t>، و قریب من هذا فی</w:t>
      </w:r>
      <w:bookmarkStart w:id="102" w:name="pg11756_103841"/>
    </w:p>
    <w:p>
      <w:pPr>
        <w:pStyle w:val="BookText"/>
        <w:rPr/>
      </w:pPr>
      <w:bookmarkEnd w:id="102"/>
      <w:r>
        <w:rPr>
          <w:rFonts w:ascii="IRNazanin" w:hAnsi="IRNazanin" w:eastAsia="IRNazanin"/>
          <w:color w:val="111111"/>
          <w:sz w:val="28"/>
          <w:sz w:val="28"/>
          <w:szCs w:val="28"/>
          <w:rtl w:val="true"/>
          <w:lang w:bidi="fa-IR"/>
        </w:rPr>
        <w:t>الجواهر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وجوب الصوم إنّما تدلّ علی وجوب إمساک مجموع النهار، و إمساک مجموع النهار لا یتّصف فی حقّ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و سرایة نیّة الوجوب بعد البلوغ إلی الإمساک السابق بحیث یخرجه عن الاستحباب إلی الوجوب غیر معلوم، فتعلّق الوجوب به یحتاج إلی دلیل یوجب علیه إمساک الباقی، أو یجعل السابق جزء للواجب، و المفروض عدمهما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تکلیف وحدانی لا تبعّض فیه، متعلّق بالإمساک من الطلوع إلی الغروب علی صفة الوجوب أو الاستحباب، و الذی کان ثابتا سابقا هو الأمر الاستحبابی، و لم یتعلّق الوجوبی من الأوّل، و أمّا تعلّقه بالإمساک فی جزء من النهار و الاجتزاء به عن الکلّ، فهو إنّما ثبت فی موارد خاصّة، کالمسافر الذی یقدم أهله قبل الزوال، و لیس المقام منها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شرطیّة البلوغ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للصحّة؛ لأنّ عبادات الصبیّ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الشرطیة کسائر الشروط إنّما یراعی بالإضافة إلی جمیع أجزاء النهار و لحظات الیوم، فإن کمل فی أثناء النهار و قد نوی الصوم تطوّعا لا یصیر واجبا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9643487_73709187"/>
      <w:bookmarkStart w:id="104" w:name="_Toc38"/>
      <w:bookmarkEnd w:id="103"/>
      <w:r>
        <w:rPr>
          <w:rtl w:val="true"/>
        </w:rPr>
        <w:t>الصورة الخامسة</w:t>
      </w:r>
      <w:r>
        <w:rPr>
          <w:rtl w:val="true"/>
        </w:rPr>
        <w:t xml:space="preserve">: </w:t>
      </w:r>
      <w:r>
        <w:rPr>
          <w:rtl w:val="true"/>
        </w:rPr>
        <w:t>ما إذا لم یتناول شیئا و لم یکن ناویا للصوم أیضا</w:t>
      </w:r>
      <w:bookmarkEnd w:id="104"/>
    </w:p>
    <w:p>
      <w:pPr>
        <w:pStyle w:val="Heading5"/>
        <w:numPr>
          <w:ilvl w:val="4"/>
          <w:numId w:val="1"/>
        </w:numPr>
        <w:rPr/>
      </w:pPr>
      <w:bookmarkStart w:id="105" w:name="__RefHeading___Toc9643489_73709187"/>
      <w:bookmarkStart w:id="106" w:name="_Toc39"/>
      <w:bookmarkEnd w:id="105"/>
      <w:r>
        <w:rPr>
          <w:rtl w:val="true"/>
        </w:rPr>
        <w:t>اشارة</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یجب علیه الصوم؛ لعدم عدّ إمساک السابق من الصوم، بعد</w:t>
      </w:r>
      <w:bookmarkStart w:id="107" w:name="pg11756_103842"/>
    </w:p>
    <w:p>
      <w:pPr>
        <w:pStyle w:val="BookText"/>
        <w:rPr/>
      </w:pPr>
      <w:bookmarkEnd w:id="107"/>
      <w:r>
        <w:rPr>
          <w:rFonts w:ascii="IRNazanin" w:hAnsi="IRNazanin" w:eastAsia="IRNazanin"/>
          <w:color w:val="111111"/>
          <w:sz w:val="28"/>
          <w:sz w:val="28"/>
          <w:szCs w:val="28"/>
          <w:rtl w:val="true"/>
          <w:lang w:bidi="fa-IR"/>
        </w:rPr>
        <w:t>عدم کونه مأمورا به حسب الفرض، و الاجتزاء بالإمساک بقیّة النهار بتنزیل الباقی منزلة المجموع، نظیر ما ورد فی المسافر الذی یقدم أهله قبل الزوال من تجدید النیّة فی هذا الحال بدلا عن طلوع الفجر، یحتاج إلی الدلیل بعد کون الاجتزاء المزبور علی خلاف القاعدة و لم یرد فیه دلیل فی المقام</w:t>
      </w:r>
      <w:r>
        <w:rPr>
          <w:rFonts w:eastAsia="IRNazanin" w:cs="IRNazanin"/>
          <w:color w:val="111111"/>
          <w:sz w:val="28"/>
          <w:szCs w:val="28"/>
          <w:rtl w:val="true"/>
          <w:lang w:bidi="fa-IR"/>
        </w:rPr>
        <w:t>.</w:t>
      </w:r>
    </w:p>
    <w:p>
      <w:pPr>
        <w:pStyle w:val="Heading5"/>
        <w:numPr>
          <w:ilvl w:val="4"/>
          <w:numId w:val="1"/>
        </w:numPr>
        <w:rPr/>
      </w:pPr>
      <w:bookmarkStart w:id="108" w:name="__RefHeading___Toc9643491_73709187"/>
      <w:bookmarkStart w:id="109" w:name="_Toc40"/>
      <w:bookmarkEnd w:id="108"/>
      <w:r>
        <w:rPr>
          <w:rtl w:val="true"/>
        </w:rPr>
        <w:t>تتمیم</w:t>
      </w:r>
      <w:r>
        <w:rPr>
          <w:rtl w:val="true"/>
        </w:rPr>
        <w:t xml:space="preserve">: </w:t>
      </w:r>
      <w:r>
        <w:rPr>
          <w:rtl w:val="true"/>
        </w:rPr>
        <w:t>لو بلغ الصبیّ بعد الفجر</w:t>
      </w:r>
      <w:bookmarkEnd w:id="109"/>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الصبیّ بعد الفجر لم یجب علیه الصوم، و استحبّ له</w:t>
      </w:r>
      <w:r>
        <w:rPr>
          <w:rStyle w:val="FootnoteAnchor"/>
          <w:rtl w:val="true"/>
        </w:rPr>
        <w:footnoteReference w:id="240"/>
      </w:r>
      <w:r>
        <w:rPr>
          <w:rFonts w:ascii="IRNazanin" w:hAnsi="IRNazanin" w:eastAsia="IRNazanin"/>
          <w:color w:val="111111"/>
          <w:sz w:val="28"/>
          <w:sz w:val="28"/>
          <w:szCs w:val="28"/>
          <w:rtl w:val="true"/>
          <w:lang w:bidi="fa-IR"/>
        </w:rPr>
        <w:t>الإمساک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مع عدم إتیان المفطر الإتمام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بعض المعلّقین علیها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مصباح الهدی</w:t>
      </w:r>
      <w:r>
        <w:rPr>
          <w:rStyle w:val="FootnoteAnchor"/>
          <w:rtl w:val="true"/>
        </w:rPr>
        <w:footnoteReference w:id="243"/>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کلام الشیخ الأعظم بعد الردّ علی القائلین بوجوب الإمساک علی الصبیّ،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یدّعی أنّ الإمساک مطلوب منه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643493_73709187"/>
      <w:bookmarkStart w:id="111" w:name="_Toc41"/>
      <w:bookmarkEnd w:id="110"/>
      <w:r>
        <w:rPr>
          <w:rtl w:val="true"/>
        </w:rPr>
        <w:t>حکم بلوغ الصبیّ أثناء النهار عند أهل السنّة</w:t>
      </w:r>
      <w:bookmarkEnd w:id="111"/>
    </w:p>
    <w:p>
      <w:pPr>
        <w:pStyle w:val="Heading5"/>
        <w:numPr>
          <w:ilvl w:val="4"/>
          <w:numId w:val="1"/>
        </w:numPr>
        <w:rPr/>
      </w:pPr>
      <w:bookmarkStart w:id="112" w:name="__RefHeading___Toc9643495_73709187"/>
      <w:bookmarkStart w:id="113" w:name="_Toc42"/>
      <w:bookmarkEnd w:id="112"/>
      <w:r>
        <w:rPr>
          <w:rtl w:val="true"/>
        </w:rPr>
        <w:t>اشارة</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بلغ الصبیّ أثناء نهار شهر رمضان، فهل یجب علیه الإمساک فی بقیّة</w:t>
      </w:r>
    </w:p>
    <w:p>
      <w:pPr>
        <w:pStyle w:val="BookText"/>
        <w:rPr/>
      </w:pPr>
      <w:r>
        <w:rPr>
          <w:rFonts w:ascii="IRNazanin" w:hAnsi="IRNazanin" w:eastAsia="IRNazanin"/>
          <w:color w:val="111111"/>
          <w:sz w:val="28"/>
          <w:sz w:val="28"/>
          <w:szCs w:val="28"/>
          <w:rtl w:val="true"/>
          <w:lang w:bidi="fa-IR"/>
        </w:rPr>
        <w:t>الیوم أم لا؟ اختلفوا فی ذلک، و للمسألة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نوی الصوم من أوّل الفجر و أمسک عن المفطرات، فقد صرّح الحنابلة بوجوب الإمساک فی بقیّة الیوم و إتمام الصوم، و 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بلغ الصبیّ صائما أتمّ صومه بغیر خلاف و لا قضاء علیه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نوی الصبیّ الصوم من اللیل فبلغ فی أثناء النهار بالاحتلام أو السنّ تمّ صومه و لا قضاء علیه؛ لأنّه نوی الصوم من اللیل فأجزأته کالبالغ، و لا یمتنع أن یکون أوّل الصوم نفلا و باقیه فرضا، کما لو شرع فی صوم تطوّعا ثمّ نذر إتمامه</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أفتی بعضهم بوجوب القضاء أیضا؛ لأنّ الصوم عبادة بدنیّة و بلغ الصبیّ فی أثنائها بعد مضیّ بعض أرکانها، فلزمته إعادتها کالصلاة و الحجّ إذا بلغ بعد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یحقّق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ببلوغه یلزمه صوم جمیعه، و الماضی قبل بلوغه نفل فلم یجز عن الفرض، و لهذا لو نذر صوم یوم یقدم فلان فقدم و الناذر صائم لزمه القضاء</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الشافعیّة بوجوب إمساک بقیّة الیوم و إتمام الصوم و عدم وجوب القضاء، ففی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الصبیّ إذا بلغ فی أیّام من شهر رمضان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بلوغه لیلا استأنف الصیام من الغد، و إن کان بلوغه نهارا فله 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صائما فمذهب الشافعی و ما علیه جمهور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یتمّم</w:t>
      </w:r>
    </w:p>
    <w:p>
      <w:pPr>
        <w:pStyle w:val="BookText"/>
        <w:rPr/>
      </w:pPr>
      <w:r>
        <w:rPr>
          <w:rFonts w:ascii="IRNazanin" w:hAnsi="IRNazanin" w:eastAsia="IRNazanin"/>
          <w:color w:val="111111"/>
          <w:sz w:val="28"/>
          <w:sz w:val="28"/>
          <w:szCs w:val="28"/>
          <w:rtl w:val="true"/>
          <w:lang w:bidi="fa-IR"/>
        </w:rPr>
        <w:t>صومه واجبا، و لا إعادة علیه، و لا یمتنع أن یکون متنفّلا بالصیام فی أوّله مفترضا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کالصائم المتطوّع إذا نذر إتمام صومه إن قدم زید، فإذا قدم زید لزمه إتمامه، و إن کان متطوّعا فی ابتدائه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250"/>
      </w:r>
      <w:r>
        <w:rPr>
          <w:rFonts w:ascii="IRNazanin" w:hAnsi="IRNazanin" w:eastAsia="IRNazanin"/>
          <w:color w:val="111111"/>
          <w:sz w:val="28"/>
          <w:sz w:val="28"/>
          <w:szCs w:val="28"/>
          <w:rtl w:val="true"/>
          <w:lang w:bidi="fa-IR"/>
        </w:rPr>
        <w:t>و المجموع، و ذکر فی الأخیر قولا بأنّه یندب إتمامه و یجب القضاء</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البیان</w:t>
      </w:r>
      <w:r>
        <w:rPr>
          <w:rStyle w:val="FootnoteAnchor"/>
          <w:rtl w:val="true"/>
        </w:rPr>
        <w:footnoteReference w:id="252"/>
      </w:r>
      <w:r>
        <w:rPr>
          <w:rFonts w:ascii="IRNazanin" w:hAnsi="IRNazanin" w:eastAsia="IRNazanin"/>
          <w:color w:val="111111"/>
          <w:sz w:val="28"/>
          <w:sz w:val="28"/>
          <w:szCs w:val="28"/>
          <w:rtl w:val="true"/>
          <w:lang w:bidi="fa-IR"/>
        </w:rPr>
        <w:t>و غیره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الحنفیّة بعدم وجوب القضاء و عدم إجزاء ذلک الیوم عن صوم رمضان و إن نوی الصوم؛ إذ لم یجب علیه فی أوّل الیوم، لعدم أهلیّة الوجوب فیه، و الصوم لا یتجزّأ وجوبا و جوازا، فإذا لم یجب البعض لم یجب الباقی، کما فی المبسوط</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یجب إتمام الصوم إن لم یفطر قبله؟ أطلق الحنفیّة الإمساک و لم یبیّن وجوبه أو ندبه، و ظاهره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المالکیّة باستحباب الإمساک فی بقیّة الیوم إن لم یفطر من قبل و لا یجب علیه قضاؤه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أسهل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یندب للصبیّ إن بلغ نهارا فی رمضان أن یمسک بقیّة یومه عن المفطرات؛ لحرمة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بیّت الصوم، و إلاّ فلا یستحبّ له ذلک، أی و إن کان مفطرا، فهو کالحائض فلا یستحبّ له الإمساک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فی أثناء النهار بعد أن أفطر قبله، فاختلف الجمهور فی استحباب إمساک بقیّة الیوم، و کذا فی وجوب قضاء هذا الیوم علی الصبیّ، فذهب المالکیّة إلی عدم استحباب الإمساک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الشافعیّة فقالوا باستحباب الإمساک، کما فی البیان</w:t>
      </w:r>
      <w:r>
        <w:rPr>
          <w:rStyle w:val="FootnoteAnchor"/>
          <w:rtl w:val="true"/>
        </w:rPr>
        <w:footnoteReference w:id="256"/>
      </w:r>
      <w:r>
        <w:rPr>
          <w:rFonts w:ascii="IRNazanin" w:hAnsi="IRNazanin" w:eastAsia="IRNazanin"/>
          <w:color w:val="111111"/>
          <w:sz w:val="28"/>
          <w:sz w:val="28"/>
          <w:szCs w:val="28"/>
          <w:rtl w:val="true"/>
          <w:lang w:bidi="fa-IR"/>
        </w:rPr>
        <w:t>و المجموع</w:t>
      </w:r>
      <w:r>
        <w:rPr>
          <w:rStyle w:val="FootnoteAnchor"/>
          <w:rtl w:val="true"/>
        </w:rPr>
        <w:footnoteReference w:id="257"/>
      </w:r>
      <w:r>
        <w:rPr>
          <w:rFonts w:ascii="IRNazanin" w:hAnsi="IRNazanin" w:eastAsia="IRNazanin"/>
          <w:color w:val="111111"/>
          <w:sz w:val="28"/>
          <w:sz w:val="28"/>
          <w:szCs w:val="28"/>
          <w:rtl w:val="true"/>
          <w:lang w:bidi="fa-IR"/>
        </w:rPr>
        <w:t>و نهایة المحتاج</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نجد للحنابلة و الحنفیّة نصّا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قضاء ذلک الیوم فللشافعیّة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القضاء علیه؛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و لأنّه لم یدرک من الوقت ما یتمکّن من فعل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بعضهم یلزمه قضاؤه؛ لأنّه أدرک جزءا من الوقت، و لا یمکن فعل ذلک الجزء من الصوم إلاّ بصوم یوم، فوجب أن یقضیه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بلغ الصبیّ فی أثناء نهار شهر رمضان و هو صائم ففیه أیضا عندهم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یلزمه الإتمام و لا یجب علیه القضاء؛ لأنّه صار من أهل الوجوب فی أثنائه، فلزمه إتمامه، کما لو دخل فی صوم تطوّع، ثمّ نذر إتمامه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 الإتمام، و یجب علیه القضاء؛ لأنّه لم ینو صوم الفرض من</w:t>
      </w:r>
    </w:p>
    <w:p>
      <w:pPr>
        <w:pStyle w:val="BookText"/>
        <w:rPr/>
      </w:pPr>
      <w:r>
        <w:rPr>
          <w:rFonts w:ascii="Amiri" w:hAnsi="Amiri" w:eastAsia="Amiri" w:cs="Amiri"/>
          <w:color w:val="111111"/>
          <w:sz w:val="28"/>
          <w:sz w:val="28"/>
          <w:szCs w:val="28"/>
          <w:rtl w:val="true"/>
          <w:lang w:bidi="ar-SA"/>
        </w:rPr>
        <w:t>أوّله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الحنفیّة و الحنابلة و المالکیّة فقد صرّحوا بعدم وجوب القضاء علیه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قضاؤه؛ إذ لم یجب علیه فی أوّل الیوم؛ لعدم أهلیّة الوجوب فیه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الصبیّ أو أسلم الکافر فی رمضان أمسکا بقیّة یومهما، و لو أفطرا فیه لا قضاء علیهما؛ لأنّ الصوم غیر واجب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یقضیا یومهما و لا ما مضی؛ لعدم الخطاب، و هذا بخلاف الصلاة؛ لأنّ السبب فیها الجزء المتّصل بالأداء، فوجدت الأهلیّة عنده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فی الفقه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فی أثناء النهار و هو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القضاء؟ فیه روایتان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المذهب؛ لأنّه لم یدرک وقتا یمکنه التلبّس بالعبادة فیه، أشبه ما لو زال عذره بعد خروج الوقت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أسهل المدارک فی 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قضاء ما مضی من رمضان، و لا قضاء الیوم الذی بلغ فیه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14" w:name="pg11756_103847"/>
    </w:p>
    <w:p>
      <w:pPr>
        <w:pStyle w:val="Heading5"/>
        <w:numPr>
          <w:ilvl w:val="4"/>
          <w:numId w:val="1"/>
        </w:numPr>
        <w:rPr/>
      </w:pPr>
      <w:bookmarkStart w:id="115" w:name="__RefHeading___Toc9643497_73709187"/>
      <w:bookmarkStart w:id="116" w:name="_Toc43"/>
      <w:bookmarkEnd w:id="114"/>
      <w:bookmarkEnd w:id="115"/>
      <w:r>
        <w:rPr>
          <w:rtl w:val="true"/>
        </w:rPr>
        <w:t>إیضاح</w:t>
      </w:r>
      <w:bookmarkEnd w:id="116"/>
    </w:p>
    <w:p>
      <w:pPr>
        <w:pStyle w:val="BookText"/>
        <w:rPr/>
      </w:pPr>
      <w:r>
        <w:rPr>
          <w:rFonts w:ascii="IRNazanin" w:hAnsi="IRNazanin" w:eastAsia="IRNazanin"/>
          <w:color w:val="111111"/>
          <w:sz w:val="28"/>
          <w:sz w:val="28"/>
          <w:szCs w:val="28"/>
          <w:rtl w:val="true"/>
          <w:lang w:bidi="fa-IR"/>
        </w:rPr>
        <w:t xml:space="preserve">لم نجد فی کلمات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التی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عن حکم بلوغ الصبیّ إذا بلغ قبل الفجر، و هکذا التفصیل بین بلوغه قبل الزوال أو بعده، کما جاء فی کلمات فقهاء الشیعة</w:t>
      </w:r>
      <w:r>
        <w:rPr>
          <w:rFonts w:eastAsia="IRNazanin" w:cs="IRNazanin"/>
          <w:color w:val="111111"/>
          <w:sz w:val="28"/>
          <w:szCs w:val="28"/>
          <w:rtl w:val="true"/>
          <w:lang w:bidi="fa-IR"/>
        </w:rPr>
        <w:t>.</w:t>
      </w:r>
    </w:p>
    <w:p>
      <w:pPr>
        <w:pStyle w:val="Heading5"/>
        <w:numPr>
          <w:ilvl w:val="4"/>
          <w:numId w:val="1"/>
        </w:numPr>
        <w:rPr/>
      </w:pPr>
      <w:bookmarkStart w:id="117" w:name="__RefHeading___Toc9643499_73709187"/>
      <w:bookmarkStart w:id="118" w:name="_Toc44"/>
      <w:bookmarkEnd w:id="117"/>
      <w:r>
        <w:rPr>
          <w:rtl w:val="true"/>
        </w:rPr>
        <w:t>فرعان</w:t>
      </w:r>
      <w:bookmarkEnd w:id="1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أنّه یبلغ فی أثناء الیوم بالسنّ لم یلزمه الصوم قبل زوال عذره؛ لوجود المبیح</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یلزمه الصوم؛ لعدم تکلیفه قبل دخول الغد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صام الصبیّ فی شهر رمضان و جامع فیه جماعا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کفّارة الوطء فی الصوم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کما تلزمه البدنة بإفساد الصوم،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9643501_73709187"/>
      <w:bookmarkStart w:id="120" w:name="_Toc45"/>
      <w:bookmarkEnd w:id="119"/>
      <w:r>
        <w:rPr>
          <w:rtl w:val="true"/>
        </w:rPr>
        <w:t>إیضاح</w:t>
      </w:r>
      <w:bookmarkEnd w:id="120"/>
    </w:p>
    <w:p>
      <w:pPr>
        <w:pStyle w:val="BookText"/>
        <w:rPr/>
      </w:pPr>
      <w:r>
        <w:rPr>
          <w:rFonts w:ascii="IRNazanin" w:hAnsi="IRNazanin" w:eastAsia="IRNazanin"/>
          <w:color w:val="111111"/>
          <w:sz w:val="28"/>
          <w:sz w:val="28"/>
          <w:szCs w:val="28"/>
          <w:rtl w:val="true"/>
          <w:lang w:bidi="fa-IR"/>
        </w:rPr>
        <w:t>من المسائل التی تختصّ بالصبیّ و یلیق التطرّق إلیها فی مباحث صومه 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نیابته عن الغیر فی الصوم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صوم المیّت إذا کان أکبر ولده الذکور حین موته صغیرا، و لکن حیث قد بحثنا هاتین المسألتین فی صلاة الصبیّ مفصّلا فلا نعیدهما فی المقام؛ خوف الإطالة، فلیراجع هناک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21" w:name="pg11756_103848"/>
    </w:p>
    <w:p>
      <w:pPr>
        <w:pStyle w:val="Heading3"/>
        <w:numPr>
          <w:ilvl w:val="2"/>
          <w:numId w:val="1"/>
        </w:numPr>
        <w:rPr/>
      </w:pPr>
      <w:bookmarkStart w:id="122" w:name="__RefHeading___Toc9643503_73709187"/>
      <w:bookmarkStart w:id="123" w:name="_Toc46"/>
      <w:bookmarkEnd w:id="121"/>
      <w:bookmarkEnd w:id="122"/>
      <w:r>
        <w:rPr>
          <w:rtl w:val="true"/>
        </w:rPr>
        <w:t>المبحث الرابع</w:t>
      </w:r>
      <w:r>
        <w:rPr>
          <w:rtl w:val="true"/>
        </w:rPr>
        <w:t xml:space="preserve">: </w:t>
      </w:r>
      <w:r>
        <w:rPr>
          <w:rtl w:val="true"/>
        </w:rPr>
        <w:t>اعتکاف الصبیّ</w:t>
      </w:r>
      <w:bookmarkEnd w:id="123"/>
    </w:p>
    <w:p>
      <w:pPr>
        <w:pStyle w:val="Heading4"/>
        <w:numPr>
          <w:ilvl w:val="3"/>
          <w:numId w:val="1"/>
        </w:numPr>
        <w:rPr/>
      </w:pPr>
      <w:bookmarkStart w:id="124" w:name="__RefHeading___Toc9643505_73709187"/>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الاعتکاف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الإحتباس، و منه اللبث الطویل الذی هو أحد أفراد لزوم الشیء و حبس النفس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فی المسجد،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عاکِفُونَ فِی الْمَساجِدِ </w:t>
      </w:r>
      <w:r>
        <w:rPr>
          <w:rStyle w:val="FootnoteAnchor"/>
          <w:rtl w:val="true"/>
        </w:rPr>
        <w:footnoteReference w:id="269"/>
      </w:r>
      <w:r>
        <w:rPr>
          <w:rFonts w:ascii="IRNazanin" w:hAnsi="IRNazanin" w:eastAsia="IRNazanin"/>
          <w:color w:val="111111"/>
          <w:sz w:val="28"/>
          <w:sz w:val="28"/>
          <w:szCs w:val="28"/>
          <w:rtl w:val="true"/>
          <w:lang w:bidi="fa-IR"/>
        </w:rPr>
        <w:t>، أی مقیمون فی المساجد لا یخرجون منها إلاّ لحاجة، و یقال لمن لازم المسجد و أقام علی العبادة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عاکف و معتکف</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عرّفه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تعابیرهم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اللّبث للعبادة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استحبابه الکتاب،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بَیْتِیَ لِلطّائِفِینَ وَ الْعاکِفِینَ وَ الرُّکَّعِ السُّجُودِ </w:t>
      </w:r>
      <w:r>
        <w:rPr>
          <w:rStyle w:val="FootnoteAnchor"/>
          <w:rtl w:val="true"/>
        </w:rPr>
        <w:footnoteReference w:id="27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عاکِفُونَ فِی الْمَساجِدِ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126" w:name="pg11756_103849"/>
    </w:p>
    <w:p>
      <w:pPr>
        <w:pStyle w:val="BookText"/>
        <w:rPr/>
      </w:pPr>
      <w:bookmarkEnd w:id="126"/>
      <w:r>
        <w:rPr>
          <w:rFonts w:ascii="IRNazanin" w:hAnsi="IRNazanin" w:eastAsia="IRNazanin"/>
          <w:color w:val="111111"/>
          <w:sz w:val="28"/>
          <w:sz w:val="28"/>
          <w:szCs w:val="28"/>
          <w:rtl w:val="true"/>
          <w:lang w:bidi="fa-IR"/>
        </w:rPr>
        <w:t>و النصوص المستفیضة، بل المتواترة،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الحلبی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کان العشر الأواخر</w:t>
      </w:r>
      <w:r>
        <w:rPr>
          <w:rStyle w:val="FootnoteAnchor"/>
          <w:rtl w:val="true"/>
        </w:rPr>
        <w:footnoteReference w:id="274"/>
      </w:r>
      <w:r>
        <w:rPr>
          <w:rFonts w:ascii="IRNazanin" w:hAnsi="IRNazanin" w:eastAsia="IRNazanin"/>
          <w:color w:val="111111"/>
          <w:sz w:val="28"/>
          <w:sz w:val="28"/>
          <w:szCs w:val="28"/>
          <w:rtl w:val="true"/>
          <w:lang w:bidi="fa-IR"/>
        </w:rPr>
        <w:t>اعتکف فی المسجد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الحدیث، و غیرها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من الصبیّ الممیّز أم لا؟ فیه أقوال</w:t>
      </w:r>
      <w:r>
        <w:rPr>
          <w:rFonts w:eastAsia="IRNazanin" w:cs="IRNazanin"/>
          <w:color w:val="111111"/>
          <w:sz w:val="28"/>
          <w:szCs w:val="28"/>
          <w:rtl w:val="true"/>
          <w:lang w:bidi="fa-IR"/>
        </w:rPr>
        <w:t>:</w:t>
      </w:r>
    </w:p>
    <w:p>
      <w:pPr>
        <w:pStyle w:val="Heading4"/>
        <w:numPr>
          <w:ilvl w:val="3"/>
          <w:numId w:val="1"/>
        </w:numPr>
        <w:rPr/>
      </w:pPr>
      <w:bookmarkStart w:id="127" w:name="__RefHeading___Toc9643507_73709187"/>
      <w:bookmarkStart w:id="128" w:name="_Toc48"/>
      <w:bookmarkEnd w:id="127"/>
      <w:r>
        <w:rPr>
          <w:rtl w:val="true"/>
        </w:rPr>
        <w:t>هل یصحّ الاعتکاف من الصبیّ الممیّز أم لا؟</w:t>
      </w:r>
      <w:bookmarkEnd w:id="128"/>
    </w:p>
    <w:p>
      <w:pPr>
        <w:pStyle w:val="Heading5"/>
        <w:numPr>
          <w:ilvl w:val="4"/>
          <w:numId w:val="1"/>
        </w:numPr>
        <w:rPr/>
      </w:pPr>
      <w:bookmarkStart w:id="129" w:name="__RefHeading___Toc9643509_73709187"/>
      <w:bookmarkStart w:id="130" w:name="_Toc49"/>
      <w:bookmarkEnd w:id="129"/>
      <w:r>
        <w:rPr>
          <w:rtl w:val="true"/>
        </w:rPr>
        <w:t>الأوّل</w:t>
      </w:r>
      <w:r>
        <w:rPr>
          <w:rtl w:val="true"/>
        </w:rPr>
        <w:t xml:space="preserve">: </w:t>
      </w:r>
      <w:r>
        <w:rPr>
          <w:rtl w:val="true"/>
        </w:rPr>
        <w:t>عدم الصحّة</w:t>
      </w:r>
      <w:bookmarkEnd w:id="130"/>
    </w:p>
    <w:p>
      <w:pPr>
        <w:pStyle w:val="BookText"/>
        <w:rPr/>
      </w:pP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تعریف الاعتکاف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شروط ثلاثة، أحدها یرجع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مسلما بالغا عاقلا؛ لأنّ من کان بخلافه لا یصحّ اعتکافه</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إدریس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الاعتکاف من البالغ العاقل المسلم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الوسیلة</w:t>
      </w:r>
      <w:r>
        <w:rPr>
          <w:rStyle w:val="FootnoteAnchor"/>
          <w:rtl w:val="true"/>
        </w:rPr>
        <w:footnoteReference w:id="279"/>
      </w:r>
      <w:r>
        <w:rPr>
          <w:rFonts w:ascii="IRNazanin" w:hAnsi="IRNazanin" w:eastAsia="IRNazanin"/>
          <w:color w:val="111111"/>
          <w:sz w:val="28"/>
          <w:sz w:val="28"/>
          <w:szCs w:val="28"/>
          <w:rtl w:val="true"/>
          <w:lang w:bidi="fa-IR"/>
        </w:rPr>
        <w:t>و إصباح الشیعة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إلاّ من مکلّف مسلم</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القائل بعدم الصحّة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حیث إنّ الصحّة تحتاج إلی دلیل من الشرع، و الأصل عدم</w:t>
      </w:r>
      <w:bookmarkStart w:id="131" w:name="pg11756_103850"/>
    </w:p>
    <w:p>
      <w:pPr>
        <w:pStyle w:val="BookText"/>
        <w:rPr/>
      </w:pPr>
      <w:bookmarkEnd w:id="131"/>
      <w:r>
        <w:rPr>
          <w:rFonts w:ascii="IRNazanin" w:hAnsi="IRNazanin" w:eastAsia="IRNazanin"/>
          <w:color w:val="111111"/>
          <w:sz w:val="28"/>
          <w:sz w:val="28"/>
          <w:szCs w:val="28"/>
          <w:rtl w:val="true"/>
          <w:lang w:bidi="fa-IR"/>
        </w:rPr>
        <w:t>تعلّق الأمر الاستحبابی باعتکاف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تکلیف</w:t>
      </w:r>
      <w:r>
        <w:rPr>
          <w:rStyle w:val="FootnoteAnchor"/>
          <w:rtl w:val="true"/>
        </w:rPr>
        <w:footnoteReference w:id="283"/>
      </w:r>
      <w:r>
        <w:rPr>
          <w:rFonts w:ascii="IRNazanin" w:hAnsi="IRNazanin" w:eastAsia="IRNazanin"/>
          <w:color w:val="111111"/>
          <w:sz w:val="28"/>
          <w:sz w:val="28"/>
          <w:szCs w:val="28"/>
          <w:rtl w:val="true"/>
          <w:lang w:bidi="fa-IR"/>
        </w:rPr>
        <w:t>، و التکلیف مشروط بالبلوغ، و الصبیّ قبل البلوغ لیس مخاطبا بالتکلیف و لو کان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کما یشمل الإیجاب و التحریم یشمل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بحث مشروعیّة عبادات الصبیّ علی نحو مبسوط</w:t>
      </w:r>
      <w:r>
        <w:rPr>
          <w:rStyle w:val="FootnoteAnchor"/>
          <w:rtl w:val="true"/>
        </w:rPr>
        <w:footnoteReference w:id="284"/>
      </w:r>
      <w:r>
        <w:rPr>
          <w:rFonts w:ascii="IRNazanin" w:hAnsi="IRNazanin" w:eastAsia="IRNazanin"/>
          <w:color w:val="111111"/>
          <w:sz w:val="28"/>
          <w:sz w:val="28"/>
          <w:szCs w:val="28"/>
          <w:rtl w:val="true"/>
          <w:lang w:bidi="fa-IR"/>
        </w:rPr>
        <w:t>؛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ینتفی بالعمومات التی وردت فی الصوم المستحبّ و شمولها للصبیّ، و العقل لا یأبی توجیه الخطاب الندبی إلی الصبیّ الممیّز، و المعلوم من الشرع أنّ التکلیف المتوقّف علی البلوغ إنّما هو التکلیف بالوجوب و التحریم؛ لحدیث الرفع، و أمّا التکلیف المندوب فلا مانع منه عقلا و شرعا</w:t>
      </w:r>
      <w:r>
        <w:rPr>
          <w:rStyle w:val="FootnoteAnchor"/>
          <w:rtl w:val="true"/>
        </w:rPr>
        <w:footnoteReference w:id="285"/>
      </w:r>
      <w:r>
        <w:rPr>
          <w:rFonts w:ascii="IRNazanin" w:hAnsi="IRNazanin" w:eastAsia="IRNazanin"/>
          <w:color w:val="111111"/>
          <w:sz w:val="28"/>
          <w:sz w:val="28"/>
          <w:szCs w:val="28"/>
          <w:rtl w:val="true"/>
          <w:lang w:bidi="fa-IR"/>
        </w:rPr>
        <w:t>، أضف إلی ذلک أنّ حدیث الرفع امتنانی، و لیس فی رفع المندوبات امتنان</w:t>
      </w:r>
      <w:r>
        <w:rPr>
          <w:rFonts w:eastAsia="IRNazanin" w:cs="IRNazanin"/>
          <w:color w:val="111111"/>
          <w:sz w:val="28"/>
          <w:szCs w:val="28"/>
          <w:rtl w:val="true"/>
          <w:lang w:bidi="fa-IR"/>
        </w:rPr>
        <w:t>.</w:t>
      </w:r>
    </w:p>
    <w:p>
      <w:pPr>
        <w:pStyle w:val="Heading5"/>
        <w:numPr>
          <w:ilvl w:val="4"/>
          <w:numId w:val="1"/>
        </w:numPr>
        <w:rPr/>
      </w:pPr>
      <w:bookmarkStart w:id="132" w:name="__RefHeading___Toc9643511_73709187"/>
      <w:bookmarkStart w:id="133" w:name="_Toc50"/>
      <w:bookmarkEnd w:id="132"/>
      <w:r>
        <w:rPr>
          <w:rtl w:val="true"/>
        </w:rPr>
        <w:t>القول الثانی</w:t>
      </w:r>
      <w:r>
        <w:rPr>
          <w:rtl w:val="true"/>
        </w:rPr>
        <w:t xml:space="preserve">: </w:t>
      </w:r>
      <w:r>
        <w:rPr>
          <w:rtl w:val="true"/>
        </w:rPr>
        <w:t>صحّته تمرینا</w:t>
      </w:r>
      <w:bookmarkEnd w:id="133"/>
    </w:p>
    <w:p>
      <w:pPr>
        <w:pStyle w:val="BookText"/>
        <w:rPr/>
      </w:pPr>
      <w:r>
        <w:rPr>
          <w:rFonts w:ascii="IRNazanin" w:hAnsi="IRNazanin" w:eastAsia="IRNazanin"/>
          <w:color w:val="111111"/>
          <w:sz w:val="28"/>
          <w:sz w:val="28"/>
          <w:szCs w:val="28"/>
          <w:rtl w:val="true"/>
          <w:lang w:bidi="fa-IR"/>
        </w:rPr>
        <w:t>صرّح غیر واحد من الفقهاء بأنّ اعتکاف الصبیّ الممیّز صحیح تمرینا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الأجود صحّته من الممیّز تمرینا علی العبادة کغیره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134" w:name="pg11756_103851"/>
    </w:p>
    <w:p>
      <w:pPr>
        <w:pStyle w:val="BookText"/>
        <w:rPr/>
      </w:pPr>
      <w:bookmarkEnd w:id="134"/>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الصبیّ الممیّز وجهان، الظاهر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ینبغی الریب فی صحّته منه تمرینا، أی صحّته من حیث التمرین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عمدة الدلیل لهذا القول أیضا أنّ التکلیف مشروط بالبلوغ، و مع انتفاء الشرط ینتفی المشروط، فیحمل ما ورد علی أنّ الولی یأمر الصبیّ بإتیان بعض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التمرین فقط، و قد ظهر جوابه</w:t>
      </w:r>
      <w:r>
        <w:rPr>
          <w:rFonts w:eastAsia="IRNazanin" w:cs="IRNazanin"/>
          <w:color w:val="111111"/>
          <w:sz w:val="28"/>
          <w:szCs w:val="28"/>
          <w:rtl w:val="true"/>
          <w:lang w:bidi="fa-IR"/>
        </w:rPr>
        <w:t>.</w:t>
      </w:r>
    </w:p>
    <w:p>
      <w:pPr>
        <w:pStyle w:val="Heading5"/>
        <w:numPr>
          <w:ilvl w:val="4"/>
          <w:numId w:val="1"/>
        </w:numPr>
        <w:rPr/>
      </w:pPr>
      <w:bookmarkStart w:id="135" w:name="__RefHeading___Toc9643513_73709187"/>
      <w:bookmarkStart w:id="136" w:name="_Toc51"/>
      <w:bookmarkEnd w:id="135"/>
      <w:r>
        <w:rPr>
          <w:rtl w:val="true"/>
        </w:rPr>
        <w:t>القول الثالث</w:t>
      </w:r>
      <w:r>
        <w:rPr>
          <w:rtl w:val="true"/>
        </w:rPr>
        <w:t xml:space="preserve">: </w:t>
      </w:r>
      <w:r>
        <w:rPr>
          <w:rtl w:val="true"/>
        </w:rPr>
        <w:t>صحّة اعتکاف الصبیّ و مشروعیّته</w:t>
      </w:r>
      <w:bookmarkEnd w:id="136"/>
    </w:p>
    <w:p>
      <w:pPr>
        <w:pStyle w:val="BookText"/>
        <w:rPr/>
      </w:pPr>
      <w:r>
        <w:rPr>
          <w:rFonts w:ascii="IRNazanin" w:hAnsi="IRNazanin" w:eastAsia="IRNazanin"/>
          <w:color w:val="111111"/>
          <w:sz w:val="28"/>
          <w:sz w:val="28"/>
          <w:szCs w:val="28"/>
          <w:rtl w:val="true"/>
          <w:lang w:bidi="fa-IR"/>
        </w:rPr>
        <w:t>ذهب جمع آخر من الفقهاء إلی أنّ اعتکاف الصبیّ الممیّز صحیح شرعا، بمعنی أنّه یستحقّ علیه الأجر و الثواب،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اعتکاف الصبیّ الممیّز کما یصحّ صومه، و هل یکون شرعیّا أم لا؟ البحث فیه کالصوم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صوم الصبیّ منعقدة، و صومه شرعیّ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الممیّز فبناء علی کون أفعاله تمرینیّة فقط فهو مثل سائر أفعاله، و قد عرفت مرارا أنّ أفعاله صحیحة شرعیّة، فلا یشترط حینئذ التکلیف إلاّ أن یراد اعتکاف المکلّفین</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جماعة من أعلام العصر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یشترط البلوغ فی صحّة الاعتکاف؛ لأنّ</w:t>
      </w:r>
      <w:r>
        <w:rPr>
          <w:rStyle w:val="FootnoteAnchor"/>
          <w:rtl w:val="true"/>
        </w:rPr>
        <w:footnoteReference w:id="291"/>
      </w:r>
      <w:r>
        <w:rPr>
          <w:rFonts w:ascii="IRNazanin" w:hAnsi="IRNazanin" w:eastAsia="IRNazanin"/>
          <w:color w:val="111111"/>
          <w:sz w:val="28"/>
          <w:sz w:val="28"/>
          <w:szCs w:val="28"/>
          <w:rtl w:val="true"/>
          <w:lang w:bidi="fa-IR"/>
        </w:rPr>
        <w:t>عبادات الصبیّ شرعیّة لا تمرینیّة، و الاعتکاف لا یکون واجبا فی وقت من الأوقات حتّی یکون مرفوعا عن الصبیّ</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صحّة اعتکاف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الأدلّة التی تدلّ علی مشروعیّة عباداته</w:t>
      </w:r>
      <w:r>
        <w:rPr>
          <w:rStyle w:val="FootnoteAnchor"/>
          <w:rtl w:val="true"/>
        </w:rPr>
        <w:footnoteReference w:id="293"/>
      </w:r>
      <w:r>
        <w:rPr>
          <w:rFonts w:ascii="IRNazanin" w:hAnsi="IRNazanin" w:eastAsia="IRNazanin"/>
          <w:color w:val="111111"/>
          <w:sz w:val="28"/>
          <w:sz w:val="28"/>
          <w:szCs w:val="28"/>
          <w:rtl w:val="true"/>
          <w:lang w:bidi="fa-IR"/>
        </w:rPr>
        <w:t xml:space="preserve">، و کذا ما ورد فی باب الصوم خاصّة، و ذکرناها فی الأدلّة التی تدلّ علی صحّة صوم الصبیّ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 ورد فی الاعتکاف،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و المقنع عن السکونی، عن الصادق،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عشر فی شهر رمضان تعدل حجّتین و عمرتین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و غیرها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منها مطلوبیّة الاعتکاف و رجحانه، و إطلاقها یشمل کلّ من یکون قابلا للخطاب</w:t>
      </w:r>
      <w:r>
        <w:rPr>
          <w:rStyle w:val="FootnoteAnchor"/>
          <w:rtl w:val="true"/>
        </w:rPr>
        <w:footnoteReference w:id="296"/>
      </w:r>
      <w:r>
        <w:rPr>
          <w:rFonts w:ascii="IRNazanin" w:hAnsi="IRNazanin" w:eastAsia="IRNazanin"/>
          <w:color w:val="111111"/>
          <w:sz w:val="28"/>
          <w:sz w:val="28"/>
          <w:szCs w:val="28"/>
          <w:rtl w:val="true"/>
          <w:lang w:bidi="fa-IR"/>
        </w:rPr>
        <w:t>، و المفروض أنّ الصبیّ الممیّز قابل لذلک، فیستحبّ له الاعتکاف إذا أطاق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العقل لا یأبی توجّه الخطاب إلی الصبیّ الممیّز، و حکم الشرع إنّما اقتضی توقّف التکلیف بالواجب و المحرّم علی البلوغ، أمّا التکلیف بالمندوب</w:t>
      </w:r>
      <w:bookmarkStart w:id="137" w:name="pg11756_103853"/>
    </w:p>
    <w:p>
      <w:pPr>
        <w:pStyle w:val="BookText"/>
        <w:rPr/>
      </w:pPr>
      <w:bookmarkEnd w:id="137"/>
      <w:r>
        <w:rPr>
          <w:rFonts w:ascii="IRNazanin" w:hAnsi="IRNazanin" w:eastAsia="IRNazanin"/>
          <w:color w:val="111111"/>
          <w:sz w:val="28"/>
          <w:sz w:val="28"/>
          <w:szCs w:val="28"/>
          <w:rtl w:val="true"/>
          <w:lang w:bidi="fa-IR"/>
        </w:rPr>
        <w:t>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 غیر مقتض لصرف أدلّة الاستحباب عن الصبیّ؛ إذ المتبادر منه کما ذکرناه مرارا لیس إلاّ القلم الذی یوقعه فی الکلفة، لا القلم الذی ینفعه، فلا حکومة لهذا الحدیث علی أدلّة المستحبّات أصلا، کما أشار إلیه بعض الأعلام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الأحکام الاستحبابیّة و منها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فی إثبات المشروعیّة نفس الإطلاقات الأوّلیّة من غیر حاجة إلی التماس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فیه ما ذکرناه فی الاصول فی مبحث البراءة من أنّ حدیث الرفع لا یشمل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إطلاقات الأدلّة من الأوّل شاملة للصبیّ من غیر مزاحم، فتستحبّ له قراءة القرآن و الزیارة و صلاة اللیل و غیرها، و منها الاعتکاف بنفس الإطلاقات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9643515_73709187"/>
      <w:bookmarkStart w:id="139" w:name="_Toc52"/>
      <w:bookmarkEnd w:id="138"/>
      <w:r>
        <w:rPr>
          <w:rtl w:val="true"/>
        </w:rPr>
        <w:t>إتمام الاعتکاف فی الیوم الثالث</w:t>
      </w:r>
      <w:bookmarkEnd w:id="1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الاعتکاف مندوب بالأصالة، لکن قد یجب بالنذر و شبهه، و المشهور بین الفقهاء أنّ الاعتکاف المندوب یجب بعد مضیّ یومین</w:t>
      </w:r>
      <w:r>
        <w:rPr>
          <w:rStyle w:val="FootnoteAnchor"/>
          <w:rtl w:val="true"/>
        </w:rPr>
        <w:footnoteReference w:id="299"/>
      </w:r>
      <w:r>
        <w:rPr>
          <w:rFonts w:ascii="IRNazanin" w:hAnsi="IRNazanin" w:eastAsia="IRNazanin"/>
          <w:color w:val="111111"/>
          <w:sz w:val="28"/>
          <w:sz w:val="28"/>
          <w:szCs w:val="28"/>
          <w:rtl w:val="true"/>
          <w:lang w:bidi="fa-IR"/>
        </w:rPr>
        <w:t>، فالمعتکف جاز له فسخ الاعتکاف و الخروج عن المسجد فی الیوم الأوّل و الثانی، أمّا بعد مضیّ</w:t>
      </w:r>
      <w:bookmarkStart w:id="140" w:name="pg11756_103854"/>
    </w:p>
    <w:p>
      <w:pPr>
        <w:pStyle w:val="BookText"/>
        <w:rPr/>
      </w:pPr>
      <w:bookmarkEnd w:id="140"/>
      <w:r>
        <w:rPr>
          <w:rFonts w:ascii="IRNazanin" w:hAnsi="IRNazanin" w:eastAsia="IRNazanin"/>
          <w:color w:val="111111"/>
          <w:sz w:val="28"/>
          <w:sz w:val="28"/>
          <w:szCs w:val="28"/>
          <w:rtl w:val="true"/>
          <w:lang w:bidi="fa-IR"/>
        </w:rPr>
        <w:t>الیومین فیجب علیه الیوم الثالث</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هذا الحکم یجری فی حقّ الصبیّ الممیّز أم لا؟ الظاهر عدم شموله له؛ لأنّ وجوب الإتمام حکم إلزامی، و الصبیّ لم یکن مکلّفا بالوجوب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وجوب الإتمام و إن کان مطلقا یشمل الصبیّ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اعتکف یوما و لم یکن اشترط فله أن یخرج و یفسخ الاعتکاف، و إن أقام یومین و لم یکن اشترط فلیس له أن یفسخ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اعتکافه حتّی تمضی ثلاثة أیّام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 و مثلها صحیحة أبی عبیدة الحذّاء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حدیث رفع القلم یقیّد الإطلاق و یرفع عن الصبیّ الإلزام، فجاز له الخروج عن المسجد و فسخ الاعتکاف فی الیوم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ذهب إلیه المشهور من أنّه لا یجب علی الصبیّ إتمام الصوم لو بلغ أثناء النهار و قد نوی الصوم من أوّل النهار، کما تقدّم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9643517_73709187"/>
      <w:bookmarkStart w:id="142" w:name="_Toc53"/>
      <w:bookmarkEnd w:id="141"/>
      <w:r>
        <w:rPr>
          <w:rtl w:val="true"/>
        </w:rPr>
        <w:t>محرّمات الاعتکاف بالنسبة إلی الصبیّ</w:t>
      </w:r>
      <w:bookmarkEnd w:id="142"/>
    </w:p>
    <w:p>
      <w:pPr>
        <w:pStyle w:val="BookText"/>
        <w:rPr/>
      </w:pPr>
      <w:r>
        <w:rPr>
          <w:rFonts w:ascii="IRNazanin" w:hAnsi="IRNazanin" w:eastAsia="IRNazanin"/>
          <w:color w:val="111111"/>
          <w:sz w:val="28"/>
          <w:sz w:val="28"/>
          <w:szCs w:val="28"/>
          <w:rtl w:val="true"/>
          <w:lang w:bidi="fa-IR"/>
        </w:rPr>
        <w:t>ذکر الفقهاء فی أحکام الاعتکاف بأنّه یحرم علی المعتکف عدّة امور، و 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 لمسا و تقبیلا و جماعا، و شمّ الطیب، و استدعاء المنی، و البیع و الشراء، و المماراة</w:t>
      </w:r>
      <w:r>
        <w:rPr>
          <w:rStyle w:val="FootnoteAnchor"/>
          <w:rtl w:val="true"/>
        </w:rPr>
        <w:footnoteReference w:id="304"/>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تحرم هذه الامور علی الصبیّ المعتکف أم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اجتناب هذه الامور؛ لأنّ المفروض أنّ اعتکافه صحیح شرعا</w:t>
      </w:r>
      <w:r>
        <w:rPr>
          <w:rStyle w:val="FootnoteAnchor"/>
          <w:rtl w:val="true"/>
        </w:rPr>
        <w:footnoteReference w:id="306"/>
      </w:r>
      <w:r>
        <w:rPr>
          <w:rFonts w:ascii="IRNazanin" w:hAnsi="IRNazanin" w:eastAsia="IRNazanin"/>
          <w:color w:val="111111"/>
          <w:sz w:val="28"/>
          <w:sz w:val="28"/>
          <w:szCs w:val="28"/>
          <w:rtl w:val="true"/>
          <w:lang w:bidi="fa-IR"/>
        </w:rPr>
        <w:t>، لا بمعنی أنّه مخاطب بالتحریم و أنّ العقاب مترتّب علی فعله، بل بمعنی أنّ علی الولیّ أن یجنّبه عمّا یحرم علی المعتکف کما قالوا فی محظورات الإحرام فی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محظورات الإحرام فکلّ ما یحرم علی المحرم البالغ یحرم علی الصبیّ</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308"/>
      </w:r>
      <w:r>
        <w:rPr>
          <w:rFonts w:ascii="IRNazanin" w:hAnsi="IRNazanin" w:eastAsia="IRNazanin"/>
          <w:color w:val="111111"/>
          <w:sz w:val="28"/>
          <w:sz w:val="28"/>
          <w:szCs w:val="28"/>
          <w:rtl w:val="true"/>
          <w:lang w:bidi="fa-IR"/>
        </w:rPr>
        <w:t>، و به قال ابن إدریس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الصبیّ کلّ ما یحرم علی البالغ من محظورات الإحرام؛ لأنّ إحرامه شرعی، فترتّب علیه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الولیّ یجنّبه جمیع ما یجتنبه المحرم</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المحقّقان الأردبیلی</w:t>
      </w:r>
      <w:r>
        <w:rPr>
          <w:rStyle w:val="FootnoteAnchor"/>
          <w:rtl w:val="true"/>
        </w:rPr>
        <w:footnoteReference w:id="311"/>
      </w:r>
      <w:r>
        <w:rPr>
          <w:rFonts w:ascii="IRNazanin" w:hAnsi="IRNazanin" w:eastAsia="IRNazanin"/>
          <w:color w:val="111111"/>
          <w:sz w:val="28"/>
          <w:sz w:val="28"/>
          <w:szCs w:val="28"/>
          <w:rtl w:val="true"/>
          <w:lang w:bidi="fa-IR"/>
        </w:rPr>
        <w:t>و الخراسانی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الاجتناب؛ لأنّ تنزیل الاعتکاف منزلة الإحرام فی جمیع الأحکام یحتاج إلی دلیل، و لم یرد مستند فی المورد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محرّمات الإحرام علی الصبیّ یستفاد من</w:t>
      </w:r>
    </w:p>
    <w:p>
      <w:pPr>
        <w:pStyle w:val="BookText"/>
        <w:rPr/>
      </w:pPr>
      <w:r>
        <w:rPr>
          <w:rFonts w:ascii="IRNazanin" w:hAnsi="IRNazanin" w:eastAsia="IRNazanin"/>
          <w:color w:val="111111"/>
          <w:sz w:val="28"/>
          <w:sz w:val="28"/>
          <w:szCs w:val="28"/>
          <w:rtl w:val="true"/>
          <w:lang w:bidi="fa-IR"/>
        </w:rPr>
        <w:t>النصوص، و سریان هذا الحکم إلی الاعتکاف لیس له وجه؛ إذ لا یستفاد من النصّ أو عموم التعلیل، و لا نعلم مناطاة الأحکام، و لم نجد فی کلمات الفقهاء نصّا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فلو أفسد الصبیّ اعتکافه بارتکاب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و الشرب فی النهار أو الجماع مثلا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الکفّارة</w:t>
      </w:r>
      <w:r>
        <w:rPr>
          <w:rStyle w:val="FootnoteAnchor"/>
          <w:rtl w:val="true"/>
        </w:rPr>
        <w:footnoteReference w:id="313"/>
      </w:r>
      <w:r>
        <w:rPr>
          <w:rFonts w:ascii="IRNazanin" w:hAnsi="IRNazanin" w:eastAsia="IRNazanin"/>
          <w:color w:val="111111"/>
          <w:sz w:val="28"/>
          <w:sz w:val="28"/>
          <w:szCs w:val="28"/>
          <w:rtl w:val="true"/>
          <w:lang w:bidi="fa-IR"/>
        </w:rPr>
        <w:t>فی الحال و لا بعد بلوغه، و کذا لا تجب 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تدلّ علی وجوب الکفّارة فی إبطال المعتکف اعتکافه بالجماع ظاهر فی المکلّف، و الشاهد علی ذلک ما ورد فیها،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امرأته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فإنّ هذه التعابیر ظاهرة فی المکلّف، منصرفة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ذکروا فی حکمة وجوب الکفّارة من أنّ الکفّارة علی ما عهد من الشرع إنّما تجب فی مقام الوجوب المستلزم مخالفته للعقوبة، فتکون الکفّارة لدفع تلک العقوبة، و هذا لا یعقل فی المستحبّ الذی لا یترتّب علی ترکه عقوبة، و إنّما غایة ذلک عدم الثواب علیه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المفروض أنّ اعتکاف الصبیّ مستحبّ، و علی القول بوجوب إتمامه علی البالغ بعد مضیّ یومین لا یجب علی الصبیّ إتمامه، فکیف یمکن القول بوجوب الکفّارة فی الاعتکاف المستحبّ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الاحتیاط حسن، و هو طریق النجاة، و اللّه هو العالم بحکمه</w:t>
      </w:r>
      <w:r>
        <w:rPr>
          <w:rFonts w:eastAsia="IRNazanin" w:cs="IRNazanin"/>
          <w:color w:val="111111"/>
          <w:sz w:val="28"/>
          <w:szCs w:val="28"/>
          <w:rtl w:val="true"/>
          <w:lang w:bidi="fa-IR"/>
        </w:rPr>
        <w:t>.</w:t>
      </w:r>
      <w:bookmarkStart w:id="143" w:name="pg11756_103857"/>
    </w:p>
    <w:p>
      <w:pPr>
        <w:pStyle w:val="Heading4"/>
        <w:numPr>
          <w:ilvl w:val="3"/>
          <w:numId w:val="1"/>
        </w:numPr>
        <w:rPr/>
      </w:pPr>
      <w:bookmarkStart w:id="144" w:name="__RefHeading___Toc9643519_73709187"/>
      <w:bookmarkStart w:id="145" w:name="_Toc54"/>
      <w:bookmarkEnd w:id="143"/>
      <w:bookmarkEnd w:id="144"/>
      <w:r>
        <w:rPr>
          <w:rtl w:val="true"/>
        </w:rPr>
        <w:t>آراء أهل السنّة فی اعتکاف الصبیّ</w:t>
      </w:r>
      <w:bookmarkEnd w:id="145"/>
    </w:p>
    <w:p>
      <w:pPr>
        <w:pStyle w:val="BookText"/>
        <w:rPr/>
      </w:pPr>
      <w:r>
        <w:rPr>
          <w:rFonts w:ascii="IRNazanin" w:hAnsi="IRNazanin" w:eastAsia="IRNazanin"/>
          <w:color w:val="111111"/>
          <w:sz w:val="28"/>
          <w:sz w:val="28"/>
          <w:szCs w:val="28"/>
          <w:rtl w:val="true"/>
          <w:lang w:bidi="fa-IR"/>
        </w:rPr>
        <w:t>الظاهر أنّه لا خلاف بین الجمهور فی أنّ البلوغ لیس شرطا لصحّة الاعتکاف، و یصحّ من الصبیّ الممیّز، و خلاصة کلماتهم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البیان فی مذهب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الاعتکاف من الصبیّ الممیّز کما تصحّ منه الصلاة</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317"/>
      </w:r>
      <w:r>
        <w:rPr>
          <w:rFonts w:ascii="IRNazanin" w:hAnsi="IRNazanin" w:eastAsia="IRNazanin"/>
          <w:color w:val="111111"/>
          <w:sz w:val="28"/>
          <w:sz w:val="28"/>
          <w:szCs w:val="28"/>
          <w:rtl w:val="true"/>
          <w:lang w:bidi="fa-IR"/>
        </w:rPr>
        <w:t>و نهایة المحتاج</w:t>
      </w:r>
      <w:r>
        <w:rPr>
          <w:rStyle w:val="FootnoteAnchor"/>
          <w:rtl w:val="true"/>
        </w:rPr>
        <w:footnoteReference w:id="318"/>
      </w:r>
      <w:r>
        <w:rPr>
          <w:rFonts w:ascii="IRNazanin" w:hAnsi="IRNazanin" w:eastAsia="IRNazanin"/>
          <w:color w:val="111111"/>
          <w:sz w:val="28"/>
          <w:sz w:val="28"/>
          <w:szCs w:val="28"/>
          <w:rtl w:val="true"/>
          <w:lang w:bidi="fa-IR"/>
        </w:rPr>
        <w:t>و غیرها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البلوغ فلیس بشرط لصحّة الاعتکاف، فیصحّ من الصبیّ العاقل؛ لأنّه من أهل العبادة، کما یصحّ منه الصوم التطوّع</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عابدین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الخرشی فی 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یصحّ اعتکاف الرقیق و الصبیّ الممیّز، و هو الذی یفهم الخطاب و یردّ الجواب، و لا ینضبط بسنّ، بل یختلف باختلاف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کلّم بشیء من مقاصد العقلاء فهمه و أحسن الجواب عنه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ابن شاس</w:t>
      </w:r>
      <w:r>
        <w:rPr>
          <w:rStyle w:val="FootnoteAnchor"/>
          <w:rtl w:val="true"/>
        </w:rPr>
        <w:footnoteReference w:id="323"/>
      </w:r>
      <w:r>
        <w:rPr>
          <w:rFonts w:ascii="IRNazanin" w:hAnsi="IRNazanin" w:eastAsia="IRNazanin"/>
          <w:color w:val="111111"/>
          <w:sz w:val="28"/>
          <w:sz w:val="28"/>
          <w:szCs w:val="28"/>
          <w:rtl w:val="true"/>
          <w:lang w:bidi="fa-IR"/>
        </w:rPr>
        <w:t>، و کذا فی أسهل المدارک</w:t>
      </w:r>
      <w:r>
        <w:rPr>
          <w:rStyle w:val="FootnoteAnchor"/>
          <w:rtl w:val="true"/>
        </w:rPr>
        <w:footnoteReference w:id="324"/>
      </w:r>
      <w:r>
        <w:rPr>
          <w:rFonts w:ascii="IRNazanin" w:hAnsi="IRNazanin" w:eastAsia="IRNazanin"/>
          <w:color w:val="111111"/>
          <w:sz w:val="28"/>
          <w:sz w:val="28"/>
          <w:szCs w:val="28"/>
          <w:rtl w:val="true"/>
          <w:lang w:bidi="fa-IR"/>
        </w:rPr>
        <w:t>، و اختاره غیر واحد من</w:t>
      </w:r>
    </w:p>
    <w:p>
      <w:pPr>
        <w:pStyle w:val="BookText"/>
        <w:rPr/>
      </w:pPr>
      <w:r>
        <w:rPr>
          <w:rFonts w:ascii="Amiri" w:hAnsi="Amiri" w:eastAsia="Amiri" w:cs="Amiri"/>
          <w:color w:val="111111"/>
          <w:sz w:val="28"/>
          <w:sz w:val="28"/>
          <w:szCs w:val="28"/>
          <w:rtl w:val="true"/>
          <w:lang w:bidi="ar-SA"/>
        </w:rPr>
        <w:t>فقهاء الحنابلة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بحسب تتبّعنا لم نعثر علی نصّ لهم فیما لو أفسد الصبیّ اعتکافه، بارتکابه ما یحرم علی المعتکف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کخروجه من المسجد بغیر ضرورة، أو مباشرته النساء بالجماع، و الأکل و الشرب فی النهار عند من یشترط الصوم فی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القضاء و الکفّارة أم لا؟ و هکذا هل یجب علی الولیّ منعه من ارتکاب المحرّمات أم 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یستفاد من ظاهر کلماتهم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تعابیرهم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علیه؛ لعدم انعقاد نذره لو نذره، و هکذا لا تجب علیه الکفّارة، و لا یجب علی الولیّ منعه أیضا؛ لأنّ اعتکافه کان مندوبا، مضافا إلی أنّه مرفوع عنه القلم، و لم یکن مکلّفا بتکلیف</w:t>
      </w:r>
      <w:r>
        <w:rPr>
          <w:rFonts w:eastAsia="IRNazanin" w:cs="IRNazanin"/>
          <w:color w:val="111111"/>
          <w:sz w:val="28"/>
          <w:szCs w:val="28"/>
          <w:rtl w:val="true"/>
          <w:lang w:bidi="fa-IR"/>
        </w:rPr>
        <w:t>.</w:t>
      </w:r>
      <w:bookmarkStart w:id="146" w:name="pg11756_103860"/>
    </w:p>
    <w:p>
      <w:pPr>
        <w:pStyle w:val="Heading2"/>
        <w:numPr>
          <w:ilvl w:val="1"/>
          <w:numId w:val="1"/>
        </w:numPr>
        <w:rPr/>
      </w:pPr>
      <w:bookmarkStart w:id="147" w:name="__RefHeading___Toc9643521_73709187"/>
      <w:bookmarkStart w:id="148" w:name="_Toc55"/>
      <w:bookmarkEnd w:id="146"/>
      <w:bookmarkEnd w:id="147"/>
      <w:r>
        <w:rPr>
          <w:rtl w:val="true"/>
        </w:rPr>
        <w:t>الفصل الثالث</w:t>
      </w:r>
      <w:r>
        <w:rPr>
          <w:rtl w:val="true"/>
        </w:rPr>
        <w:t xml:space="preserve">: </w:t>
      </w:r>
      <w:r>
        <w:rPr>
          <w:rtl w:val="true"/>
        </w:rPr>
        <w:t>زکاة أموال الصبیّ</w:t>
      </w:r>
      <w:bookmarkEnd w:id="1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9643523_73709187"/>
      <w:bookmarkStart w:id="150" w:name="_Toc56"/>
      <w:bookmarkEnd w:id="149"/>
      <w:r>
        <w:rPr>
          <w:rtl w:val="true"/>
        </w:rPr>
        <w:t>اشارة</w:t>
      </w:r>
      <w:bookmarkStart w:id="151" w:name="pg11756_103862"/>
      <w:bookmarkEnd w:id="150"/>
    </w:p>
    <w:p>
      <w:pPr>
        <w:pStyle w:val="Heading3"/>
        <w:numPr>
          <w:ilvl w:val="2"/>
          <w:numId w:val="1"/>
        </w:numPr>
        <w:rPr/>
      </w:pPr>
      <w:bookmarkStart w:id="152" w:name="__RefHeading___Toc9643525_73709187"/>
      <w:bookmarkStart w:id="153" w:name="_Toc57"/>
      <w:bookmarkEnd w:id="151"/>
      <w:bookmarkEnd w:id="152"/>
      <w:r>
        <w:rPr>
          <w:rtl w:val="true"/>
        </w:rPr>
        <w:t>تمهید فی معنی الزکاة</w:t>
      </w:r>
      <w:bookmarkEnd w:id="153"/>
    </w:p>
    <w:p>
      <w:pPr>
        <w:pStyle w:val="BookText"/>
        <w:rPr/>
      </w:pPr>
      <w:r>
        <w:rPr>
          <w:rFonts w:ascii="IRNazanin" w:hAnsi="IRNazanin" w:eastAsia="IRNazanin"/>
          <w:color w:val="111111"/>
          <w:sz w:val="28"/>
          <w:sz w:val="28"/>
          <w:szCs w:val="28"/>
          <w:rtl w:val="true"/>
          <w:lang w:bidi="fa-IR"/>
        </w:rPr>
        <w:t>الزکاة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و الرّیع، من زکا یزکو زکاء و زکوا،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 الزرع و الأرض تزکو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منه، و إذا نسبت إلی الزکاة وجب حذف الهاء و قلب الألف واوا،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التطهیر من الأخلاق الذمیمة</w:t>
      </w:r>
      <w:r>
        <w:rPr>
          <w:rStyle w:val="FootnoteAnchor"/>
          <w:rtl w:val="true"/>
        </w:rPr>
        <w:footnoteReference w:id="328"/>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تطلق علی العمل الصالح، و لعلّه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الزَّکاةِ ما دُمْتُ حَیًّا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مقدّرة بأصل الشرع ابتداء</w:t>
      </w:r>
      <w:r>
        <w:rPr>
          <w:rStyle w:val="FootnoteAnchor"/>
          <w:rtl w:val="true"/>
        </w:rPr>
        <w:footnoteReference w:id="331"/>
      </w:r>
      <w:r>
        <w:rPr>
          <w:rFonts w:ascii="IRNazanin" w:hAnsi="IRNazanin" w:eastAsia="IRNazanin"/>
          <w:color w:val="111111"/>
          <w:sz w:val="28"/>
          <w:sz w:val="28"/>
          <w:szCs w:val="28"/>
          <w:rtl w:val="true"/>
          <w:lang w:bidi="fa-IR"/>
        </w:rPr>
        <w:t>، تثبت فی المال أو فی الذمّة للطهارة لهما، فزکاة المال طهر للمال، و زکاة الفطرة طهر للأبدان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لحقّ یجب فی المال، یعتبر فی وجوبه النصاب</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بالبحث فی المقام حکمها بالنسبة إلی أموال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الأطفال کالبالغین تجب الزکاة علیهم، أم لا؟ و هل هناک فرق بین الأموال الصامتة</w:t>
      </w:r>
      <w:r>
        <w:rPr>
          <w:rStyle w:val="FootnoteAnchor"/>
          <w:rtl w:val="true"/>
        </w:rPr>
        <w:footnoteReference w:id="335"/>
      </w:r>
      <w:r>
        <w:rPr>
          <w:rFonts w:ascii="IRNazanin" w:hAnsi="IRNazanin" w:eastAsia="IRNazanin"/>
          <w:color w:val="111111"/>
          <w:sz w:val="28"/>
          <w:sz w:val="28"/>
          <w:szCs w:val="28"/>
          <w:rtl w:val="true"/>
          <w:lang w:bidi="fa-IR"/>
        </w:rPr>
        <w:t>و غیر الصامتة؟ و علی فرض عدم وجوب الزکاة علیهم، هل یستحبّ لهم أداؤها؟ و من یخرجها و یسلّمها إلی المستحقّین؟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للجواب عن هذه الأسئلة عقدنا هذا الفصل، و فیه مباحث</w:t>
      </w:r>
      <w:r>
        <w:rPr>
          <w:rFonts w:eastAsia="IRNazanin" w:cs="IRNazanin"/>
          <w:color w:val="111111"/>
          <w:sz w:val="28"/>
          <w:szCs w:val="28"/>
          <w:rtl w:val="true"/>
          <w:lang w:bidi="fa-IR"/>
        </w:rPr>
        <w:t>:</w:t>
      </w:r>
      <w:bookmarkStart w:id="154" w:name="pg11756_103864"/>
    </w:p>
    <w:p>
      <w:pPr>
        <w:pStyle w:val="Heading3"/>
        <w:numPr>
          <w:ilvl w:val="2"/>
          <w:numId w:val="1"/>
        </w:numPr>
        <w:rPr/>
      </w:pPr>
      <w:bookmarkStart w:id="155" w:name="__RefHeading___Toc9643527_73709187"/>
      <w:bookmarkStart w:id="156" w:name="_Toc58"/>
      <w:bookmarkEnd w:id="154"/>
      <w:bookmarkEnd w:id="155"/>
      <w:r>
        <w:rPr>
          <w:rtl w:val="true"/>
        </w:rPr>
        <w:t>المبحث الأوّل</w:t>
      </w:r>
      <w:r>
        <w:rPr>
          <w:rtl w:val="true"/>
        </w:rPr>
        <w:t xml:space="preserve">: </w:t>
      </w:r>
      <w:r>
        <w:rPr>
          <w:rtl w:val="true"/>
        </w:rPr>
        <w:t>زکاة أموال الأطفال</w:t>
      </w:r>
      <w:bookmarkEnd w:id="156"/>
    </w:p>
    <w:p>
      <w:pPr>
        <w:pStyle w:val="Heading4"/>
        <w:numPr>
          <w:ilvl w:val="3"/>
          <w:numId w:val="1"/>
        </w:numPr>
        <w:rPr/>
      </w:pPr>
      <w:bookmarkStart w:id="157" w:name="__RefHeading___Toc9643529_73709187"/>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4"/>
        <w:numPr>
          <w:ilvl w:val="3"/>
          <w:numId w:val="1"/>
        </w:numPr>
        <w:rPr/>
      </w:pPr>
      <w:bookmarkStart w:id="159" w:name="__RefHeading___Toc9643531_73709187"/>
      <w:bookmarkStart w:id="160" w:name="_Toc60"/>
      <w:bookmarkEnd w:id="159"/>
      <w:r>
        <w:rPr>
          <w:rtl w:val="true"/>
        </w:rPr>
        <w:t>المطلب الأوّل</w:t>
      </w:r>
      <w:r>
        <w:rPr>
          <w:rtl w:val="true"/>
        </w:rPr>
        <w:t xml:space="preserve">: </w:t>
      </w:r>
      <w:r>
        <w:rPr>
          <w:rtl w:val="true"/>
        </w:rPr>
        <w:t>زکاة أموال الأطفال الصامتة</w:t>
      </w:r>
      <w:bookmarkEnd w:id="160"/>
    </w:p>
    <w:p>
      <w:pPr>
        <w:pStyle w:val="Heading5"/>
        <w:numPr>
          <w:ilvl w:val="4"/>
          <w:numId w:val="1"/>
        </w:numPr>
        <w:rPr/>
      </w:pPr>
      <w:bookmarkStart w:id="161" w:name="__RefHeading___Toc9643533_73709187"/>
      <w:bookmarkStart w:id="162" w:name="_Toc61"/>
      <w:bookmarkEnd w:id="161"/>
      <w:r>
        <w:rPr>
          <w:rtl w:val="true"/>
        </w:rPr>
        <w:t>اشارة</w:t>
      </w:r>
      <w:bookmarkEnd w:id="1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خلاف بین الأصحاب فی عدم وجوب الزکاة</w:t>
      </w:r>
      <w:r>
        <w:rPr>
          <w:rStyle w:val="FootnoteAnchor"/>
          <w:rtl w:val="true"/>
        </w:rPr>
        <w:footnoteReference w:id="336"/>
      </w:r>
      <w:r>
        <w:rPr>
          <w:rFonts w:ascii="IRNazanin" w:hAnsi="IRNazanin" w:eastAsia="IRNazanin"/>
          <w:color w:val="111111"/>
          <w:sz w:val="28"/>
          <w:sz w:val="28"/>
          <w:szCs w:val="28"/>
          <w:rtl w:val="true"/>
          <w:lang w:bidi="fa-IR"/>
        </w:rPr>
        <w:t>فی الأموال</w:t>
      </w:r>
    </w:p>
    <w:p>
      <w:pPr>
        <w:pStyle w:val="BookText"/>
        <w:rPr/>
      </w:pPr>
      <w:r>
        <w:rPr>
          <w:rFonts w:ascii="IRNazanin" w:hAnsi="IRNazanin" w:eastAsia="IRNazanin"/>
          <w:color w:val="111111"/>
          <w:sz w:val="28"/>
          <w:sz w:val="28"/>
          <w:szCs w:val="28"/>
          <w:rtl w:val="true"/>
          <w:lang w:bidi="fa-IR"/>
        </w:rPr>
        <w:t>الصامتة للأطفال، بل ثبت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زکاة عند آل الرسول علیهم السّلام فی صامت أموال الأطفال و المجانین من الدراهم و الدنانیر، إلاّ أن یتّجر الولیّ لهم أو القیّم علیهم بها، فإن اتّجر بها و حرّکها وجب علیه إخراج الزکاة منها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المجانین و من لیس بکامل العقل فلا تجب علیهم الزکاة فی أموالهم المودعة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الأطفال حکم من لیس بعاقل من المجانین أو غیرهم، فإنّه لا تجب فی أموالهم الصامتة زکاة</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المقنع</w:t>
      </w:r>
      <w:r>
        <w:rPr>
          <w:rStyle w:val="FootnoteAnchor"/>
          <w:rtl w:val="true"/>
        </w:rPr>
        <w:footnoteReference w:id="339"/>
      </w:r>
      <w:r>
        <w:rPr>
          <w:rFonts w:ascii="IRNazanin" w:hAnsi="IRNazanin" w:eastAsia="IRNazanin"/>
          <w:color w:val="111111"/>
          <w:sz w:val="28"/>
          <w:sz w:val="28"/>
          <w:szCs w:val="28"/>
          <w:rtl w:val="true"/>
          <w:lang w:bidi="fa-IR"/>
        </w:rPr>
        <w:t>و الناصریّات</w:t>
      </w:r>
      <w:r>
        <w:rPr>
          <w:rStyle w:val="FootnoteAnchor"/>
          <w:rtl w:val="true"/>
        </w:rPr>
        <w:footnoteReference w:id="340"/>
      </w:r>
      <w:r>
        <w:rPr>
          <w:rFonts w:ascii="IRNazanin" w:hAnsi="IRNazanin" w:eastAsia="IRNazanin"/>
          <w:color w:val="111111"/>
          <w:sz w:val="28"/>
          <w:sz w:val="28"/>
          <w:szCs w:val="28"/>
          <w:rtl w:val="true"/>
          <w:lang w:bidi="fa-IR"/>
        </w:rPr>
        <w:t>و غیرها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63" w:name="pg11756_103866"/>
    </w:p>
    <w:p>
      <w:pPr>
        <w:pStyle w:val="BookText"/>
        <w:rPr/>
      </w:pPr>
      <w:bookmarkEnd w:id="163"/>
      <w:r>
        <w:rPr>
          <w:rFonts w:ascii="IRNazanin" w:hAnsi="IRNazanin" w:eastAsia="IRNazanin"/>
          <w:color w:val="111111"/>
          <w:sz w:val="28"/>
          <w:sz w:val="28"/>
          <w:szCs w:val="28"/>
          <w:rtl w:val="true"/>
          <w:lang w:bidi="fa-IR"/>
        </w:rPr>
        <w:t>و قد نقل علیه الإجماع ابن إدریس</w:t>
      </w:r>
      <w:r>
        <w:rPr>
          <w:rStyle w:val="FootnoteAnchor"/>
          <w:rtl w:val="true"/>
        </w:rPr>
        <w:footnoteReference w:id="342"/>
      </w:r>
      <w:r>
        <w:rPr>
          <w:rFonts w:ascii="IRNazanin" w:hAnsi="IRNazanin" w:eastAsia="IRNazanin"/>
          <w:color w:val="111111"/>
          <w:sz w:val="28"/>
          <w:sz w:val="28"/>
          <w:szCs w:val="28"/>
          <w:rtl w:val="true"/>
          <w:lang w:bidi="fa-IR"/>
        </w:rPr>
        <w:t>و الفاضلان</w:t>
      </w:r>
      <w:r>
        <w:rPr>
          <w:rStyle w:val="FootnoteAnchor"/>
          <w:rtl w:val="true"/>
        </w:rPr>
        <w:footnoteReference w:id="343"/>
      </w:r>
      <w:r>
        <w:rPr>
          <w:rFonts w:ascii="IRNazanin" w:hAnsi="IRNazanin" w:eastAsia="IRNazanin"/>
          <w:color w:val="111111"/>
          <w:sz w:val="28"/>
          <w:sz w:val="28"/>
          <w:szCs w:val="28"/>
          <w:rtl w:val="true"/>
          <w:lang w:bidi="fa-IR"/>
        </w:rPr>
        <w:t>و الشهیدان</w:t>
      </w:r>
      <w:r>
        <w:rPr>
          <w:rStyle w:val="FootnoteAnchor"/>
          <w:rtl w:val="true"/>
        </w:rPr>
        <w:footnoteReference w:id="344"/>
      </w:r>
      <w:r>
        <w:rPr>
          <w:rFonts w:ascii="IRNazanin" w:hAnsi="IRNazanin" w:eastAsia="IRNazanin"/>
          <w:color w:val="111111"/>
          <w:sz w:val="28"/>
          <w:sz w:val="28"/>
          <w:szCs w:val="28"/>
          <w:rtl w:val="true"/>
          <w:lang w:bidi="fa-IR"/>
        </w:rPr>
        <w:t>و صاحب المدارک</w:t>
      </w:r>
      <w:r>
        <w:rPr>
          <w:rStyle w:val="FootnoteAnchor"/>
          <w:rtl w:val="true"/>
        </w:rPr>
        <w:footnoteReference w:id="345"/>
      </w:r>
      <w:r>
        <w:rPr>
          <w:rFonts w:ascii="IRNazanin" w:hAnsi="IRNazanin" w:eastAsia="IRNazanin"/>
          <w:color w:val="111111"/>
          <w:sz w:val="28"/>
          <w:sz w:val="28"/>
          <w:szCs w:val="28"/>
          <w:rtl w:val="true"/>
          <w:lang w:bidi="fa-IR"/>
        </w:rPr>
        <w:t>و المحدّث الکاشانی</w:t>
      </w:r>
      <w:r>
        <w:rPr>
          <w:rStyle w:val="FootnoteAnchor"/>
          <w:rtl w:val="true"/>
        </w:rPr>
        <w:footnoteReference w:id="346"/>
      </w:r>
      <w:r>
        <w:rPr>
          <w:rFonts w:ascii="IRNazanin" w:hAnsi="IRNazanin" w:eastAsia="IRNazanin"/>
          <w:color w:val="111111"/>
          <w:sz w:val="28"/>
          <w:sz w:val="28"/>
          <w:szCs w:val="28"/>
          <w:rtl w:val="true"/>
          <w:lang w:bidi="fa-IR"/>
        </w:rPr>
        <w:t>و صاحب الریاض</w:t>
      </w:r>
      <w:r>
        <w:rPr>
          <w:rStyle w:val="FootnoteAnchor"/>
          <w:rtl w:val="true"/>
        </w:rPr>
        <w:footnoteReference w:id="347"/>
      </w:r>
      <w:r>
        <w:rPr>
          <w:rFonts w:ascii="IRNazanin" w:hAnsi="IRNazanin" w:eastAsia="IRNazanin"/>
          <w:color w:val="111111"/>
          <w:sz w:val="28"/>
          <w:sz w:val="28"/>
          <w:szCs w:val="28"/>
          <w:rtl w:val="true"/>
          <w:lang w:bidi="fa-IR"/>
        </w:rPr>
        <w:t>و الشیخ الأعظم</w:t>
      </w:r>
      <w:r>
        <w:rPr>
          <w:rStyle w:val="FootnoteAnchor"/>
          <w:rtl w:val="true"/>
        </w:rPr>
        <w:footnoteReference w:id="348"/>
      </w:r>
      <w:r>
        <w:rPr>
          <w:rFonts w:ascii="IRNazanin" w:hAnsi="IRNazanin" w:eastAsia="IRNazanin"/>
          <w:color w:val="111111"/>
          <w:sz w:val="28"/>
          <w:sz w:val="28"/>
          <w:szCs w:val="28"/>
          <w:rtl w:val="true"/>
          <w:lang w:bidi="fa-IR"/>
        </w:rPr>
        <w:t>و غیرهم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محقّق فی أنّ البلوغ یعتبر فی زکاة الذهب و الفضّة، بل هو معتبر فیهما إجماعا بقسمیه، بل المحکی منه مستفیض أو متواتر</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9643535_73709187"/>
      <w:bookmarkStart w:id="165" w:name="_Toc62"/>
      <w:bookmarkEnd w:id="164"/>
      <w:r>
        <w:rPr>
          <w:rtl w:val="true"/>
        </w:rPr>
        <w:t>أدلّة عدم وجوب الزکاة فی النقدین علی الأطفال</w:t>
      </w:r>
      <w:bookmarkEnd w:id="165"/>
    </w:p>
    <w:p>
      <w:pPr>
        <w:pStyle w:val="BookText"/>
        <w:rPr/>
      </w:pPr>
      <w:r>
        <w:rPr>
          <w:rFonts w:ascii="IRNazanin" w:hAnsi="IRNazanin" w:eastAsia="IRNazanin"/>
          <w:color w:val="111111"/>
          <w:sz w:val="28"/>
          <w:sz w:val="28"/>
          <w:szCs w:val="28"/>
          <w:rtl w:val="true"/>
          <w:lang w:bidi="fa-IR"/>
        </w:rPr>
        <w:t>و استدلّ لعدم وجوب الزکاة فی الأموال الصامتة للأطفال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الریاض</w:t>
      </w:r>
      <w:r>
        <w:rPr>
          <w:rStyle w:val="FootnoteAnchor"/>
          <w:rtl w:val="true"/>
        </w:rPr>
        <w:footnoteReference w:id="351"/>
      </w:r>
      <w:r>
        <w:rPr>
          <w:rFonts w:ascii="Amiri" w:hAnsi="Amiri" w:eastAsia="Amiri" w:cs="Amiri"/>
          <w:color w:val="111111"/>
          <w:sz w:val="28"/>
          <w:sz w:val="28"/>
          <w:szCs w:val="28"/>
          <w:rtl w:val="true"/>
          <w:lang w:bidi="ar-SA"/>
        </w:rPr>
        <w:t>، و المراد به أصالة عدم اشتغال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الزکاة تکلیف، و هو مشروط بالبلوغ</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 الأعظم بأنّ الخطاب حینئذ للولیّ کالاستحباب إذا اتّجر</w:t>
      </w:r>
    </w:p>
    <w:p>
      <w:pPr>
        <w:pStyle w:val="BookText"/>
        <w:rPr/>
      </w:pPr>
      <w:r>
        <w:rPr>
          <w:rFonts w:ascii="IRNazanin" w:hAnsi="IRNazanin" w:eastAsia="IRNazanin"/>
          <w:color w:val="111111"/>
          <w:sz w:val="28"/>
          <w:sz w:val="28"/>
          <w:szCs w:val="28"/>
          <w:rtl w:val="true"/>
          <w:lang w:bidi="fa-IR"/>
        </w:rPr>
        <w:t>بماله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بأنّ تعلّق التکلیف بالولیّ مشکوک، و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الحدیث حاکم علی جمیع الأدلّة الأوّلیّة الّتی منها أدلّة وجوب الزکاة، و موجب لتخصیصها بالبالغین، و خروج الصبیّ عن دیوان التشریع و قلم الجعل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اختصاص الحدیث بالأحکام التکلیفیّة و عدم تکفّله لرفع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ثابت أیضا فی المقام بمقتضی ما دلّ علی شرکة الفقراء فی العین الزکویّة بنحو الإشاعة أو الکلّی فی المعیّن و ثبوت حقّ و سهم لهم فی الأموال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عن الشاهد، فإنّ إطلاق الحدیث یعمّ الوضع و التکلیف بمناط واحد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زیادة توضیح حول الحدیث فی القسم الثانی من أموال الأطفال قریبا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محمّد بن مسلم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 المال الصامت شیء، فأمّا الغلاّت فعلیها</w:t>
      </w:r>
    </w:p>
    <w:p>
      <w:pPr>
        <w:pStyle w:val="BookText"/>
        <w:rPr/>
      </w:pPr>
      <w:r>
        <w:rPr>
          <w:rFonts w:ascii="Amiri" w:hAnsi="Amiri" w:eastAsia="Amiri" w:cs="Amiri"/>
          <w:color w:val="111111"/>
          <w:sz w:val="28"/>
          <w:sz w:val="28"/>
          <w:szCs w:val="28"/>
          <w:rtl w:val="true"/>
          <w:lang w:bidi="ar-SA"/>
        </w:rPr>
        <w:t>الصدقة واجبة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إخوة صغارا، فمتی تجب علی أموالهم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علیهم الصلاة وجب علیهم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تجب علیهم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اتّجر به فزکّه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و غیرها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ظاهرة فی أنّ مال الیتیم لیس موضوعا للزکاة، بل موضوعها مال البالغ، فیکون البلوغ شرطا فی الموضوع، و المذکور فیها و إن کان هو الیتیم إلاّ أنّه تحقّق الإجماع نصّا علی عدم الفرق بینه و بین مطلق الصغیر، مع أنّ ذکر الیتیم من باب الغالب، حیث یکون له مال انتقل إلیه من أبیه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روی فی التهذیب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صبیة صغار لهم مال بید أبیهم أو أخیهم، هل یجب علی ما لهم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 مالهم زکاة حتّی یعمل به، فإذا عمل به وجبت الزکاة، فأمّا إذا کان موقوفا فلا زکاة علیه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فإنّها صریحة بأنّ الصغار لیسوا أیتاما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من صحیحة یونس بن یعقوب المتقدّمة</w:t>
      </w:r>
      <w:r>
        <w:rPr>
          <w:rStyle w:val="FootnoteAnchor"/>
          <w:rtl w:val="true"/>
        </w:rPr>
        <w:footnoteReference w:id="359"/>
      </w:r>
      <w:r>
        <w:rPr>
          <w:rFonts w:ascii="IRNazanin" w:hAnsi="IRNazanin" w:eastAsia="IRNazanin"/>
          <w:color w:val="111111"/>
          <w:sz w:val="28"/>
          <w:sz w:val="28"/>
          <w:szCs w:val="28"/>
          <w:rtl w:val="true"/>
          <w:lang w:bidi="fa-IR"/>
        </w:rPr>
        <w:t>أیضا، حیث لم یفصّل الإمام علیه السّلام بین الیتیم و غیره من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التفصیل دلیل علی شمول الحکم للموردین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بضمیمة عدم القول بالفصل بین الیتیم و غیره نحکم بعدم وجوب الزکاة فی الأموال الصامتة للصغار مطلقا</w:t>
      </w:r>
      <w:r>
        <w:rPr>
          <w:rFonts w:eastAsia="IRNazanin" w:cs="IRNazanin"/>
          <w:color w:val="111111"/>
          <w:sz w:val="28"/>
          <w:szCs w:val="28"/>
          <w:rtl w:val="true"/>
          <w:lang w:bidi="fa-IR"/>
        </w:rPr>
        <w:t>.</w:t>
      </w:r>
      <w:bookmarkStart w:id="166" w:name="pg11756_103870"/>
    </w:p>
    <w:p>
      <w:pPr>
        <w:pStyle w:val="Heading4"/>
        <w:numPr>
          <w:ilvl w:val="3"/>
          <w:numId w:val="1"/>
        </w:numPr>
        <w:rPr/>
      </w:pPr>
      <w:bookmarkStart w:id="167" w:name="__RefHeading___Toc9643537_73709187"/>
      <w:bookmarkStart w:id="168" w:name="_Toc63"/>
      <w:bookmarkEnd w:id="166"/>
      <w:bookmarkEnd w:id="167"/>
      <w:r>
        <w:rPr>
          <w:rtl w:val="true"/>
        </w:rPr>
        <w:t>المطلب الثانی زکاة أموال الأطفال غیر الصامتة</w:t>
      </w:r>
      <w:bookmarkEnd w:id="168"/>
    </w:p>
    <w:p>
      <w:pPr>
        <w:pStyle w:val="Heading5"/>
        <w:numPr>
          <w:ilvl w:val="4"/>
          <w:numId w:val="1"/>
        </w:numPr>
        <w:rPr/>
      </w:pPr>
      <w:bookmarkStart w:id="169" w:name="__RefHeading___Toc9643539_73709187"/>
      <w:bookmarkStart w:id="170" w:name="_Toc64"/>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هل تجب الزکاة فی الأموال غیر الصامتة للأطفال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کالغلاّت و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غلاّتهم و أنعامهم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إذا بلغ کلّ واحد من هذین الجنسین الحدّ الذی یجب فیه الزکاة، و لیس یجری ذلک مجری الأموال الصامتة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زکاة فی مال الصبیّ من العین و الورق، فأمّا الضرع و الزرع فقد ذهب أکثر أصحابنا إلی أنّ الإمام یأخذ منه الصدقة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عدا الأموال الصامتة من الغلاّت و المواشی فإنّه یجب</w:t>
      </w:r>
      <w:bookmarkStart w:id="171" w:name="pg11756_103871"/>
    </w:p>
    <w:p>
      <w:pPr>
        <w:pStyle w:val="BookText"/>
        <w:rPr/>
      </w:pPr>
      <w:bookmarkEnd w:id="171"/>
      <w:r>
        <w:rPr>
          <w:rFonts w:ascii="IRNazanin" w:hAnsi="IRNazanin" w:eastAsia="IRNazanin"/>
          <w:color w:val="111111"/>
          <w:sz w:val="28"/>
          <w:sz w:val="28"/>
          <w:szCs w:val="28"/>
          <w:rtl w:val="true"/>
          <w:lang w:bidi="fa-IR"/>
        </w:rPr>
        <w:t xml:space="preserve">علی من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فی أموالهم، و علی أولیائهم أن یخرجوها و یسلّموها إلی مستحقّیها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363"/>
      </w:r>
      <w:r>
        <w:rPr>
          <w:rFonts w:ascii="IRNazanin" w:hAnsi="IRNazanin" w:eastAsia="IRNazanin"/>
          <w:color w:val="111111"/>
          <w:sz w:val="28"/>
          <w:sz w:val="28"/>
          <w:szCs w:val="28"/>
          <w:rtl w:val="true"/>
          <w:lang w:bidi="fa-IR"/>
        </w:rPr>
        <w:t>و الخلاف</w:t>
      </w:r>
      <w:r>
        <w:rPr>
          <w:rStyle w:val="FootnoteAnchor"/>
          <w:rtl w:val="true"/>
        </w:rPr>
        <w:footnoteReference w:id="364"/>
      </w:r>
      <w:r>
        <w:rPr>
          <w:rFonts w:ascii="Amiri" w:hAnsi="Amiri" w:eastAsia="Amiri" w:cs="Amiri"/>
          <w:color w:val="111111"/>
          <w:sz w:val="28"/>
          <w:sz w:val="28"/>
          <w:szCs w:val="28"/>
          <w:rtl w:val="true"/>
          <w:lang w:bidi="ar-SA"/>
        </w:rPr>
        <w:t>، و به قال بنو حمزة</w:t>
      </w:r>
      <w:r>
        <w:rPr>
          <w:rStyle w:val="FootnoteAnchor"/>
          <w:rtl w:val="true"/>
        </w:rPr>
        <w:footnoteReference w:id="365"/>
      </w:r>
      <w:r>
        <w:rPr>
          <w:rFonts w:ascii="Amiri" w:hAnsi="Amiri" w:eastAsia="Amiri" w:cs="Amiri"/>
          <w:color w:val="111111"/>
          <w:sz w:val="28"/>
          <w:sz w:val="28"/>
          <w:szCs w:val="28"/>
          <w:rtl w:val="true"/>
          <w:lang w:bidi="ar-SA"/>
        </w:rPr>
        <w:t>و البرّاج</w:t>
      </w:r>
      <w:r>
        <w:rPr>
          <w:rStyle w:val="FootnoteAnchor"/>
          <w:rtl w:val="true"/>
        </w:rPr>
        <w:footnoteReference w:id="366"/>
      </w:r>
      <w:r>
        <w:rPr>
          <w:rFonts w:ascii="Amiri" w:hAnsi="Amiri" w:eastAsia="Amiri" w:cs="Amiri"/>
          <w:color w:val="111111"/>
          <w:sz w:val="28"/>
          <w:sz w:val="28"/>
          <w:szCs w:val="28"/>
          <w:rtl w:val="true"/>
          <w:lang w:bidi="ar-SA"/>
        </w:rPr>
        <w:t>و زهرة</w:t>
      </w:r>
      <w:r>
        <w:rPr>
          <w:rStyle w:val="FootnoteAnchor"/>
          <w:rtl w:val="true"/>
        </w:rPr>
        <w:footnoteReference w:id="367"/>
      </w:r>
      <w:r>
        <w:rPr>
          <w:rFonts w:ascii="IRNazanin" w:hAnsi="IRNazanin" w:eastAsia="IRNazanin"/>
          <w:color w:val="111111"/>
          <w:sz w:val="28"/>
          <w:sz w:val="28"/>
          <w:szCs w:val="28"/>
          <w:rtl w:val="true"/>
          <w:lang w:bidi="fa-IR"/>
        </w:rPr>
        <w:t>، و کذا فی الکافی</w:t>
      </w:r>
      <w:r>
        <w:rPr>
          <w:rStyle w:val="FootnoteAnchor"/>
          <w:rtl w:val="true"/>
        </w:rPr>
        <w:footnoteReference w:id="368"/>
      </w:r>
      <w:r>
        <w:rPr>
          <w:rFonts w:ascii="IRNazanin" w:hAnsi="IRNazanin" w:eastAsia="IRNazanin"/>
          <w:color w:val="111111"/>
          <w:sz w:val="28"/>
          <w:sz w:val="28"/>
          <w:szCs w:val="28"/>
          <w:rtl w:val="true"/>
          <w:lang w:bidi="fa-IR"/>
        </w:rPr>
        <w:t>و الجامع للشرائع</w:t>
      </w:r>
      <w:r>
        <w:rPr>
          <w:rStyle w:val="FootnoteAnchor"/>
          <w:rtl w:val="true"/>
        </w:rPr>
        <w:footnoteReference w:id="369"/>
      </w:r>
      <w:r>
        <w:rPr>
          <w:rFonts w:ascii="IRNazanin" w:hAnsi="IRNazanin" w:eastAsia="IRNazanin"/>
          <w:color w:val="111111"/>
          <w:sz w:val="28"/>
          <w:sz w:val="28"/>
          <w:szCs w:val="28"/>
          <w:rtl w:val="true"/>
          <w:lang w:bidi="fa-IR"/>
        </w:rPr>
        <w:t>و جعله فی النافع</w:t>
      </w:r>
      <w:r>
        <w:rPr>
          <w:rStyle w:val="FootnoteAnchor"/>
          <w:rtl w:val="true"/>
        </w:rPr>
        <w:footnoteReference w:id="370"/>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5"/>
        <w:numPr>
          <w:ilvl w:val="4"/>
          <w:numId w:val="1"/>
        </w:numPr>
        <w:rPr/>
      </w:pPr>
      <w:bookmarkStart w:id="172" w:name="__RefHeading___Toc9643541_73709187"/>
      <w:bookmarkStart w:id="173" w:name="_Toc65"/>
      <w:bookmarkEnd w:id="172"/>
      <w:r>
        <w:rPr>
          <w:rtl w:val="true"/>
        </w:rPr>
        <w:t>أدلّة وجوب الزکاة فی أموال الأطفال غیر الصامتة</w:t>
      </w:r>
      <w:bookmarkEnd w:id="173"/>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Style w:val="FootnoteAnchor"/>
          <w:rtl w:val="true"/>
        </w:rPr>
        <w:footnoteReference w:id="371"/>
      </w:r>
      <w:r>
        <w:rPr>
          <w:rFonts w:ascii="Amiri" w:hAnsi="Amiri" w:eastAsia="Amiri" w:cs="Amiri"/>
          <w:color w:val="111111"/>
          <w:sz w:val="28"/>
          <w:sz w:val="28"/>
          <w:szCs w:val="28"/>
          <w:rtl w:val="true"/>
          <w:lang w:bidi="ar-SA"/>
        </w:rPr>
        <w:t>، فإنّه یشمل الصبیّ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 الاستدلال بالآیة الکریمة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تدلّ علی الوجوب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الضمیر فی قوله تعالی فِی أَمْوالِهِمْ عائد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یشمل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یثبت کون الحقّ المعلوم هو الزکاة، بل فی موثّقة سماعة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لیس من الزکاة، هو الشیء تخرجه من مالک إن شئت کلّ جمعة، و إن شئت کلّ شهر، و لکلّ ذی فضل فضله،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وَ تُؤْتُوهَا الْفُقَراءَ فَهُوَ خَیْرٌ لَکُمْ </w:t>
      </w:r>
      <w:r>
        <w:rPr>
          <w:rStyle w:val="FootnoteAnchor"/>
          <w:rtl w:val="true"/>
        </w:rPr>
        <w:footnoteReference w:id="372"/>
      </w:r>
      <w:r>
        <w:rPr>
          <w:rFonts w:ascii="IRNazanin" w:hAnsi="IRNazanin" w:eastAsia="IRNazanin"/>
          <w:color w:val="111111"/>
          <w:sz w:val="28"/>
          <w:sz w:val="28"/>
          <w:szCs w:val="28"/>
          <w:rtl w:val="true"/>
          <w:lang w:bidi="fa-IR"/>
        </w:rPr>
        <w:t>، فلیس هو من الزکاة، و الماعون لیس من الزکاة، هو المعروف تصنعه، و القرض تقرضه، و متاع البیت تغیّره، و صلة قرابتک لیس من الزکاة،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 فالحقّ المعلوم غیر الزکاة، و هو شیء یفرضه الرجل علی نفسه أنّه فی ماله و نفسه، یجب أن یفرضه علی قدر طاقته و وسعه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عن القاسم بن عبد الرحمن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إلی أبی علیّ بن الحسین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 ما هذا 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المعلوم الشیء یخرجه الرجل من ماله، لیس من الزکاة و لا من الصدقة المفروضتین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من الزکاة و لا من الصدقة 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یخرجه الرجل من ماله، إن شاء أکثر و إن شاء أقلّ علی قدر ما یملک،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به رحما، و یقری به ضیفا</w:t>
      </w:r>
      <w:r>
        <w:rPr>
          <w:rStyle w:val="FootnoteAnchor"/>
          <w:rtl w:val="true"/>
        </w:rPr>
        <w:footnoteReference w:id="374"/>
      </w:r>
      <w:r>
        <w:rPr>
          <w:rFonts w:ascii="IRNazanin" w:hAnsi="IRNazanin" w:eastAsia="IRNazanin"/>
          <w:color w:val="111111"/>
          <w:sz w:val="28"/>
          <w:sz w:val="28"/>
          <w:szCs w:val="28"/>
          <w:rtl w:val="true"/>
          <w:lang w:bidi="fa-IR"/>
        </w:rPr>
        <w:t>، و یحمل به کلاّ، أو یصل به أخا له فی اللّه أو لنائبة تنوبه،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یجعل رسالاته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الأخبار المثبتة للنصب و ما یخرج منها، 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کقوله علیه السّلام فی صحیحة أبی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ممّا سقت السماء و الأنهار، و نصف العشر ممّا کان بالرّشا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صحیحة الفضلاء عن أبی جعفر و 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الشاة فی کلّ أربعین شاة شاة، و لیس فیما دون الأربعین شیء</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غیرها من النصوص</w:t>
      </w:r>
      <w:r>
        <w:rPr>
          <w:rStyle w:val="FootnoteAnchor"/>
          <w:rtl w:val="true"/>
        </w:rPr>
        <w:footnoteReference w:id="378"/>
      </w:r>
      <w:r>
        <w:rPr>
          <w:rFonts w:ascii="IRNazanin" w:hAnsi="IRNazanin" w:eastAsia="IRNazanin"/>
          <w:color w:val="111111"/>
          <w:sz w:val="28"/>
          <w:sz w:val="28"/>
          <w:szCs w:val="28"/>
          <w:rtl w:val="true"/>
          <w:lang w:bidi="fa-IR"/>
        </w:rPr>
        <w:t>الکثیرة، فإنّها مطلقة تشمل الأطفال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بأنّها مسوقة لبیان النصب و العدد المخرج فیما تجب فیه الزکاة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 إن دلّت علی الوضع و شرکة الفقراء بنسب مختلفة حسب اختلاف الموارد، إلاّ أنّها لیست إلاّ فی مقام تعیین المقدار بعد الفراغ عن أصل ثبوت الزکاة بشرائطها المقرّرة، و لیست متعرّضة لمورد الثبوت و من تتعلّق به الزکاة لیتمسّک بإطلاقها؛ لعدم کونها فی مقام البیان من هذه الجهة، فهی فی أنفسها قاصرة الشمول للصبیّ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سلّم عموم هذه الأخبار یجب تخصیصها بما مرّ من الأخبار النافیة للزکاة فی أموال الیتیم مطلقا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محمّد بن مسلم المتقدّمة عن أبی جعفر و أبی عبد اللّه علیهما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 المال الصامت</w:t>
      </w:r>
    </w:p>
    <w:p>
      <w:pPr>
        <w:pStyle w:val="BookText"/>
        <w:rPr/>
      </w:pPr>
      <w:r>
        <w:rPr>
          <w:rFonts w:ascii="IRNazanin" w:hAnsi="IRNazanin" w:eastAsia="IRNazanin"/>
          <w:color w:val="111111"/>
          <w:sz w:val="28"/>
          <w:sz w:val="28"/>
          <w:szCs w:val="28"/>
          <w:rtl w:val="true"/>
          <w:lang w:bidi="fa-IR"/>
        </w:rPr>
        <w:t>شیء، فأمّا الغلاّت فعلیها الصدقة واجبة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أنّ الزکاة واجبة فی غلاّت الصبیّ، و یلحق بها المواشی بالإجماع المرکّب و عدم القول بالفصل، کما حکی عن ابن حمزة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السیّد الخوئی قدّس سرّه بأنّه لم یتحقّق هذا الإجماع المرکّب بحیث یخرج به عن عموم نفی الزکاة عن الصبیّ بعد اختصاص الدلیل المزبور بالغلاّت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دلالة الصحیحة علی الوجوب إشکال؛ و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فی اللغة الثبوت و الاستقرار، فإنّه أعمّ من الوجوب بالمعنی المصطلح، فإنّه کثیرا ما یستعمل الوجوب بمعنی مجرّد الثبوت أو تأکّد الاستحباب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یحمل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عملا بالبراءة الأصلیّة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تأکید الاستحباب؛ جمعا بین الأدلّة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الوجوب الواقع فی روایة زرارة و ابن مسلم لم یثبت إطلاقه فی ذلک العرف حقیقة علی ما رادف الفرض، بل ربما کان الظاهر خلافه؛ لأنّه قد اطلق فی الروایات بکثرة علی ما تأکّد استحبابه و إن لم یستحقّ بترکه العقاب</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الصحیحة بالنسبة إلی موثّقة أبی بصیر و الصحاح المستفیضة المتقدّمة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نفی الزکاة عن مال الیتیم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مرجوحة بموافقة أهل السنّة کما سیأتی، بل تدلّ علیه روایة أبی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یخالف الناس فی مال الیتیم، لیس علیه زکاة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 الوجوب فی الحدیث السابق علی التقیّة؛ لموافقته لمذاهب أکثر العامّة، و لروایة أبی المحسن السابقة، و علی الاستحباب بالنسبة إلی الولیّ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صحیحة زرارة و محمّد بن مسلم تعارض</w:t>
      </w:r>
      <w:r>
        <w:rPr>
          <w:rStyle w:val="FootnoteAnchor"/>
          <w:rtl w:val="true"/>
        </w:rPr>
        <w:footnoteReference w:id="391"/>
      </w:r>
      <w:r>
        <w:rPr>
          <w:rFonts w:ascii="IRNazanin" w:hAnsi="IRNazanin" w:eastAsia="IRNazanin"/>
          <w:color w:val="111111"/>
          <w:sz w:val="28"/>
          <w:sz w:val="28"/>
          <w:szCs w:val="28"/>
          <w:rtl w:val="true"/>
          <w:lang w:bidi="fa-IR"/>
        </w:rPr>
        <w:t>سائر النصوص و لا مرجّح هناک، فمع التکافؤ یرجع إلی العمومات و الأصل، و هما یقتضیان عدم وجوب الزکاة علی الأطفال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الشیخ فی الخلاف</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174" w:name="pg11756_103876"/>
    </w:p>
    <w:p>
      <w:pPr>
        <w:pStyle w:val="BookText"/>
        <w:rPr/>
      </w:pPr>
      <w:bookmarkEnd w:id="174"/>
      <w:r>
        <w:rPr>
          <w:rFonts w:ascii="IRNazanin" w:hAnsi="IRNazanin" w:eastAsia="IRNazanin"/>
          <w:color w:val="111111"/>
          <w:sz w:val="28"/>
          <w:sz w:val="28"/>
          <w:szCs w:val="28"/>
          <w:rtl w:val="true"/>
          <w:lang w:bidi="fa-IR"/>
        </w:rPr>
        <w:t>و لکن لا اعتبار لهذا الإجماع بعد کون الحکم مورد اختلاف، و المسألة ذات دلیل</w:t>
      </w:r>
      <w:r>
        <w:rPr>
          <w:rFonts w:eastAsia="IRNazanin" w:cs="IRNazanin"/>
          <w:color w:val="111111"/>
          <w:sz w:val="28"/>
          <w:szCs w:val="28"/>
          <w:rtl w:val="true"/>
          <w:lang w:bidi="fa-IR"/>
        </w:rPr>
        <w:t>.</w:t>
      </w:r>
    </w:p>
    <w:p>
      <w:pPr>
        <w:pStyle w:val="Heading5"/>
        <w:numPr>
          <w:ilvl w:val="4"/>
          <w:numId w:val="1"/>
        </w:numPr>
        <w:rPr/>
      </w:pPr>
      <w:bookmarkStart w:id="175" w:name="__RefHeading___Toc9643543_73709187"/>
      <w:bookmarkStart w:id="176" w:name="_Toc66"/>
      <w:bookmarkEnd w:id="175"/>
      <w:r>
        <w:rPr>
          <w:rtl w:val="true"/>
        </w:rPr>
        <w:t>عدم وجوب الزکاة فی أموال الأطفال غیر الصامتة</w:t>
      </w:r>
      <w:bookmarkEnd w:id="176"/>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w:t>
      </w:r>
      <w:r>
        <w:rPr>
          <w:rStyle w:val="FootnoteAnchor"/>
          <w:rtl w:val="true"/>
        </w:rPr>
        <w:footnoteReference w:id="393"/>
      </w:r>
      <w:r>
        <w:rPr>
          <w:rFonts w:ascii="IRNazanin" w:hAnsi="IRNazanin" w:eastAsia="IRNazanin"/>
          <w:color w:val="111111"/>
          <w:sz w:val="28"/>
          <w:sz w:val="28"/>
          <w:szCs w:val="28"/>
          <w:rtl w:val="true"/>
          <w:lang w:bidi="fa-IR"/>
        </w:rPr>
        <w:t>الفقهاء من أنّه لا تجب الزکاة فی الأموال غیر الصامتة للأطفال أیضا کالغلاة و المواشی، کما هو ظاهر کلام ابنی بابویه</w:t>
      </w:r>
      <w:r>
        <w:rPr>
          <w:rStyle w:val="FootnoteAnchor"/>
          <w:rtl w:val="true"/>
        </w:rPr>
        <w:footnoteReference w:id="394"/>
      </w:r>
      <w:r>
        <w:rPr>
          <w:rFonts w:ascii="Amiri" w:hAnsi="Amiri" w:eastAsia="Amiri" w:cs="Amiri"/>
          <w:color w:val="111111"/>
          <w:sz w:val="28"/>
          <w:sz w:val="28"/>
          <w:szCs w:val="28"/>
          <w:rtl w:val="true"/>
          <w:lang w:bidi="ar-SA"/>
        </w:rPr>
        <w:t>و سلاّر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فی السرائر إلی السیّد المرتضی و ابن عقیل و ابن الجنید</w:t>
      </w:r>
      <w:r>
        <w:rPr>
          <w:rStyle w:val="FootnoteAnchor"/>
          <w:rtl w:val="true"/>
        </w:rPr>
        <w:footnoteReference w:id="396"/>
      </w:r>
      <w:r>
        <w:rPr>
          <w:rFonts w:ascii="IRNazanin" w:hAnsi="IRNazanin" w:eastAsia="IRNazanin"/>
          <w:color w:val="111111"/>
          <w:sz w:val="28"/>
          <w:sz w:val="28"/>
          <w:szCs w:val="28"/>
          <w:rtl w:val="true"/>
          <w:lang w:bidi="fa-IR"/>
        </w:rPr>
        <w:t>، و اختاره فی الشرائع</w:t>
      </w:r>
      <w:r>
        <w:rPr>
          <w:rStyle w:val="FootnoteAnchor"/>
          <w:rtl w:val="true"/>
        </w:rPr>
        <w:footnoteReference w:id="397"/>
      </w:r>
      <w:r>
        <w:rPr>
          <w:rFonts w:ascii="IRNazanin" w:hAnsi="IRNazanin" w:eastAsia="IRNazanin"/>
          <w:color w:val="111111"/>
          <w:sz w:val="28"/>
          <w:sz w:val="28"/>
          <w:szCs w:val="28"/>
          <w:rtl w:val="true"/>
          <w:lang w:bidi="fa-IR"/>
        </w:rPr>
        <w:t>و الإرشاد</w:t>
      </w:r>
      <w:r>
        <w:rPr>
          <w:rStyle w:val="FootnoteAnchor"/>
          <w:rtl w:val="true"/>
        </w:rPr>
        <w:footnoteReference w:id="398"/>
      </w:r>
      <w:r>
        <w:rPr>
          <w:rFonts w:ascii="IRNazanin" w:hAnsi="IRNazanin" w:eastAsia="IRNazanin"/>
          <w:color w:val="111111"/>
          <w:sz w:val="28"/>
          <w:sz w:val="28"/>
          <w:szCs w:val="28"/>
          <w:rtl w:val="true"/>
          <w:lang w:bidi="fa-IR"/>
        </w:rPr>
        <w:t>، و هو الأقوی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شرط</w:t>
      </w:r>
      <w:r>
        <w:rPr>
          <w:rStyle w:val="FootnoteAnchor"/>
          <w:rtl w:val="true"/>
        </w:rPr>
        <w:footnoteReference w:id="399"/>
      </w:r>
      <w:r>
        <w:rPr>
          <w:rFonts w:ascii="IRNazanin" w:hAnsi="IRNazanin" w:eastAsia="IRNazanin"/>
          <w:color w:val="111111"/>
          <w:sz w:val="28"/>
          <w:sz w:val="28"/>
          <w:szCs w:val="28"/>
          <w:rtl w:val="true"/>
          <w:lang w:bidi="fa-IR"/>
        </w:rPr>
        <w:t>فی وجوب الزکاة، فلا تجب فی مال الطفل مطلقا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177" w:name="pg11756_103877"/>
    </w:p>
    <w:p>
      <w:pPr>
        <w:pStyle w:val="BookText"/>
        <w:rPr/>
      </w:pPr>
      <w:bookmarkEnd w:id="177"/>
      <w:r>
        <w:rPr>
          <w:rFonts w:ascii="IRNazanin" w:hAnsi="IRNazanin" w:eastAsia="IRNazanin"/>
          <w:color w:val="111111"/>
          <w:sz w:val="28"/>
          <w:sz w:val="28"/>
          <w:szCs w:val="28"/>
          <w:rtl w:val="true"/>
          <w:lang w:bidi="fa-IR"/>
        </w:rPr>
        <w:t>و کذا فی المنتهی</w:t>
      </w:r>
      <w:r>
        <w:rPr>
          <w:rStyle w:val="FootnoteAnchor"/>
          <w:rtl w:val="true"/>
        </w:rPr>
        <w:footnoteReference w:id="401"/>
      </w:r>
      <w:r>
        <w:rPr>
          <w:rFonts w:ascii="Amiri" w:hAnsi="Amiri" w:eastAsia="Amiri" w:cs="Amiri"/>
          <w:color w:val="111111"/>
          <w:sz w:val="28"/>
          <w:sz w:val="28"/>
          <w:szCs w:val="28"/>
          <w:rtl w:val="true"/>
          <w:lang w:bidi="ar-SA"/>
        </w:rPr>
        <w:t>و التبصرة</w:t>
      </w:r>
      <w:r>
        <w:rPr>
          <w:rStyle w:val="FootnoteAnchor"/>
          <w:rtl w:val="true"/>
        </w:rPr>
        <w:footnoteReference w:id="402"/>
      </w:r>
      <w:r>
        <w:rPr>
          <w:rFonts w:ascii="IRNazanin" w:hAnsi="IRNazanin" w:eastAsia="IRNazanin"/>
          <w:color w:val="111111"/>
          <w:sz w:val="28"/>
          <w:sz w:val="28"/>
          <w:szCs w:val="28"/>
          <w:rtl w:val="true"/>
          <w:lang w:bidi="fa-IR"/>
        </w:rPr>
        <w:t>و التحریر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زکاة واجبة فی مال الطفل و إن کان غلّة أو ماشیة علی الأقرب</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عامّة المتأخّرین</w:t>
      </w:r>
      <w:r>
        <w:rPr>
          <w:rStyle w:val="FootnoteAnchor"/>
          <w:rtl w:val="true"/>
        </w:rPr>
        <w:footnoteReference w:id="405"/>
      </w:r>
      <w:r>
        <w:rPr>
          <w:rFonts w:ascii="IRNazanin" w:hAnsi="IRNazanin" w:eastAsia="IRNazanin"/>
          <w:color w:val="111111"/>
          <w:sz w:val="28"/>
          <w:sz w:val="28"/>
          <w:szCs w:val="28"/>
          <w:rtl w:val="true"/>
          <w:lang w:bidi="fa-IR"/>
        </w:rPr>
        <w:t>و المعاصرین</w:t>
      </w:r>
      <w:r>
        <w:rPr>
          <w:rStyle w:val="FootnoteAnchor"/>
          <w:rtl w:val="true"/>
        </w:rPr>
        <w:footnoteReference w:id="406"/>
      </w:r>
      <w:r>
        <w:rPr>
          <w:rFonts w:ascii="IRNazanin" w:hAnsi="IRNazanin" w:eastAsia="IRNazanin"/>
          <w:color w:val="111111"/>
          <w:sz w:val="28"/>
          <w:sz w:val="28"/>
          <w:szCs w:val="28"/>
          <w:rtl w:val="true"/>
          <w:lang w:bidi="fa-IR"/>
        </w:rPr>
        <w:t>،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عدم الوجوب، کما هو المشهور نقلا و تحصیلا، بل لعلّ علیه عامّة المتأخّرین</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9643545_73709187"/>
      <w:bookmarkStart w:id="179" w:name="_Toc67"/>
      <w:bookmarkEnd w:id="178"/>
      <w:r>
        <w:rPr>
          <w:rtl w:val="true"/>
        </w:rPr>
        <w:t>أدلّة عدم وجوب الزکاة فی غلاّت الأطفال و مواشیهم</w:t>
      </w:r>
      <w:bookmarkEnd w:id="1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w:t>
      </w:r>
      <w:r>
        <w:rPr>
          <w:rStyle w:val="FootnoteAnchor"/>
          <w:rtl w:val="true"/>
        </w:rPr>
        <w:footnoteReference w:id="408"/>
      </w:r>
      <w:r>
        <w:rPr>
          <w:rFonts w:ascii="IRNazanin" w:hAnsi="IRNazanin" w:eastAsia="IRNazanin"/>
          <w:color w:val="111111"/>
          <w:sz w:val="28"/>
          <w:sz w:val="28"/>
          <w:szCs w:val="28"/>
          <w:rtl w:val="true"/>
          <w:lang w:bidi="fa-IR"/>
        </w:rPr>
        <w:t>، حیث یستفاد منها کون الزکاة سببا لمحو الذنوب و الآثام، و هذا إنّما یترتّب علی البالغ، حیث لا موضوع للتطهیر عن الآثام و الذنوب فی حقّ غیر أهل التکلیف</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ذلک حکمة التشریع، و لا أقلّ من الإجمال، فعموم أدلّة</w:t>
      </w:r>
    </w:p>
    <w:p>
      <w:pPr>
        <w:pStyle w:val="BookText"/>
        <w:rPr/>
      </w:pPr>
      <w:r>
        <w:rPr>
          <w:rFonts w:ascii="IRNazanin" w:hAnsi="IRNazanin" w:eastAsia="IRNazanin"/>
          <w:color w:val="111111"/>
          <w:sz w:val="28"/>
          <w:sz w:val="28"/>
          <w:szCs w:val="28"/>
          <w:rtl w:val="true"/>
          <w:lang w:bidi="fa-IR"/>
        </w:rPr>
        <w:t>وجوب الزکاة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410"/>
      </w:r>
      <w:r>
        <w:rPr>
          <w:rFonts w:ascii="IRNazanin" w:hAnsi="IRNazanin" w:eastAsia="IRNazanin"/>
          <w:color w:val="111111"/>
          <w:sz w:val="28"/>
          <w:sz w:val="28"/>
          <w:szCs w:val="28"/>
          <w:rtl w:val="true"/>
          <w:lang w:bidi="fa-IR"/>
        </w:rPr>
        <w:t>، بمعنی عدم ثبوت الزکاة فی أموال الأطفال، حیث إنّ أدلّة وجوبها مختصّة بالبالغین ظاهرا، و الأصل عدم اشتغال ذمّة الطفل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عدم الدلیل؛ إذ الظاهر اختصاص الأدلّة بوجوب الإخراج عن مال نفس المکلّف، فلا یشمل الأطفال؛ لعدم التکلیف، و لا لولیّهم؛ لعدم کون أموالهم أمواله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الفاضلان</w:t>
      </w:r>
      <w:r>
        <w:rPr>
          <w:rStyle w:val="FootnoteAnchor"/>
          <w:rtl w:val="true"/>
        </w:rPr>
        <w:footnoteReference w:id="412"/>
      </w:r>
      <w:r>
        <w:rPr>
          <w:rFonts w:ascii="IRNazanin" w:hAnsi="IRNazanin" w:eastAsia="IRNazanin"/>
          <w:color w:val="111111"/>
          <w:sz w:val="28"/>
          <w:sz w:val="28"/>
          <w:szCs w:val="28"/>
          <w:rtl w:val="true"/>
          <w:lang w:bidi="fa-IR"/>
        </w:rPr>
        <w:t>، و هکذا فی شرح تبصرة المتعلّمین</w:t>
      </w:r>
      <w:r>
        <w:rPr>
          <w:rStyle w:val="FootnoteAnchor"/>
          <w:rtl w:val="true"/>
        </w:rPr>
        <w:footnoteReference w:id="413"/>
      </w:r>
      <w:r>
        <w:rPr>
          <w:rFonts w:ascii="Amiri" w:hAnsi="Amiri" w:eastAsia="Amiri" w:cs="Amiri"/>
          <w:color w:val="111111"/>
          <w:sz w:val="28"/>
          <w:sz w:val="28"/>
          <w:szCs w:val="28"/>
          <w:rtl w:val="true"/>
          <w:lang w:bidi="ar-SA"/>
        </w:rPr>
        <w:t>، إلاّ أنّه لا یکون دلیلا مستقلاّ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Style w:val="FootnoteAnchor"/>
          <w:rtl w:val="true"/>
        </w:rPr>
        <w:footnoteReference w:id="415"/>
      </w:r>
      <w:r>
        <w:rPr>
          <w:rFonts w:ascii="IRNazanin" w:hAnsi="IRNazanin" w:eastAsia="IRNazanin"/>
          <w:color w:val="111111"/>
          <w:sz w:val="28"/>
          <w:sz w:val="28"/>
          <w:szCs w:val="28"/>
          <w:rtl w:val="true"/>
          <w:lang w:bidi="fa-IR"/>
        </w:rPr>
        <w:t>بالتقریب المتقدّم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ضرورة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التکلیف مشروط بالکمال؛ لرفع القلم عن الصبیّ و المجنون</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مستند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إطلاق الحدیث یعمّ الوضع و التکلیف بمناط واحد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بما أنّ لسانه الامتنان فهو لا یعمّ الضمانات؛ لأنّ شموله لها یستلزم خلاف الامتنان علی الآخرین، و أمّا غیر ذلک فلا قصور فی شموله لکلّ ما یوجب الوقوع فی الکلفة من تکلیف أو وضع، و لا ریب أنّ الزکاة نقص فی المال و موجب</w:t>
      </w:r>
    </w:p>
    <w:p>
      <w:pPr>
        <w:pStyle w:val="BookText"/>
        <w:rPr/>
      </w:pPr>
      <w:r>
        <w:rPr>
          <w:rFonts w:ascii="IRNazanin" w:hAnsi="IRNazanin" w:eastAsia="IRNazanin"/>
          <w:color w:val="111111"/>
          <w:sz w:val="28"/>
          <w:sz w:val="28"/>
          <w:szCs w:val="28"/>
          <w:rtl w:val="true"/>
          <w:lang w:bidi="fa-IR"/>
        </w:rPr>
        <w:t>لوقوع صاحبه فی الکلفة، فهو مرفوع عن الصبیّ بمقتضی إطلاق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سلّمنا الاختصاص بالتکلیف فالمقتضی لشمول الوضع للصبیّ قاصر فی حدّ نفسه، فإنّ الآیات الدالّة علی الزکاة کلّها متعرّضة للتکلیف فقط؛ ضرورة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الزَّکاةَ </w:t>
      </w:r>
      <w:r>
        <w:rPr>
          <w:rStyle w:val="FootnoteAnchor"/>
          <w:rtl w:val="true"/>
        </w:rPr>
        <w:footnoteReference w:id="418"/>
      </w:r>
      <w:r>
        <w:rPr>
          <w:rFonts w:ascii="IRNazanin" w:hAnsi="IRNazanin" w:eastAsia="IRNazanin"/>
          <w:color w:val="111111"/>
          <w:sz w:val="28"/>
          <w:sz w:val="28"/>
          <w:szCs w:val="28"/>
          <w:rtl w:val="true"/>
          <w:lang w:bidi="fa-IR"/>
        </w:rPr>
        <w:t>،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 فی شیء منها إلاّ إلی الحکم التکلیفی فحسب، و لا مساس لها بالوضع بوجه کما هو ظاهر جدّا، و المفروض أنّ حدیث رفع القلم عن الصبیّ موجب لاختصاص هذه التکالیف بالبالغین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 بعض النصوص و إن دلّت علی الوضع و شرکة الفقراء بنسب مختلفة، إلاّ أنّها لیست متعرّضة لمورد الثبوت، و من یتعلّق به الزکاة لیتمسّک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صدرت روایات تضمّنت شرکة الفقراء للأغنیاء، و هی مطلقة تشمل الصبیّ أیضا، کصحیحة ابن مسکان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جعل للفقراء فی أموال الأغنیاء ما یکفیهم، و لو لا ذلک لزادهم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فرض للفقراء فی أموال الأغنیاء فریضة، لا یحمدون إلاّ بأدائها، و هی الزکاة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غیرهما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هذه النصوص مطلقة تشمل البالغین و الأطفال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إطلاقها و شمولها للصبیّ فإنّ هذه النصوص تقیّد بصحیحة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الزکاة خُذْ</w:t>
      </w:r>
    </w:p>
    <w:p>
      <w:pPr>
        <w:pStyle w:val="BookText"/>
        <w:rPr/>
      </w:pPr>
      <w:r>
        <w:rPr>
          <w:rFonts w:ascii="Amiri" w:hAnsi="Amiri" w:eastAsia="Amiri" w:cs="Amiri"/>
          <w:color w:val="111111"/>
          <w:sz w:val="28"/>
          <w:sz w:val="28"/>
          <w:szCs w:val="28"/>
          <w:rtl w:val="true"/>
          <w:lang w:bidi="ar-SA"/>
        </w:rPr>
        <w:t>مِنْ أَمْوالِهِمْ صَدَقَةً تُطَهِّرُهُمْ وَ تُزَکِّیهِمْ بِها فی شهر رمضان، فأمر رسول اللّه صلّی اللّه علیه و آله منادیه فنادی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قد فرض علیکم الزکاة کما فرض علیکم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المسلمون زکّوا أموالکم تقبل صلاتکم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الصحیحة ظاهرة فی أنّ الزکاة واجبة علی البالغین، کما تجب الصلاة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بالبالغین؛ لأنّ الأطفال لیسوا قابلین للخطاب، و مثلها صحیحة الفضلاء</w:t>
      </w:r>
      <w:r>
        <w:rPr>
          <w:rStyle w:val="FootnoteAnchor"/>
          <w:rtl w:val="true"/>
        </w:rPr>
        <w:footnoteReference w:id="422"/>
      </w:r>
      <w:r>
        <w:rPr>
          <w:rFonts w:ascii="IRNazanin" w:hAnsi="IRNazanin" w:eastAsia="IRNazanin"/>
          <w:color w:val="111111"/>
          <w:sz w:val="28"/>
          <w:sz w:val="28"/>
          <w:szCs w:val="28"/>
          <w:rtl w:val="true"/>
          <w:lang w:bidi="fa-IR"/>
        </w:rPr>
        <w:t>و صحیحة عبد اللّه بن سنان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المستفیضة المتقدّمة الدالّة علی أنّه لیس فی مال الیتیم زکاة، کصحیحة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صحاح محمّد بن مسلم</w:t>
      </w:r>
      <w:r>
        <w:rPr>
          <w:rStyle w:val="FootnoteAnchor"/>
          <w:rtl w:val="true"/>
        </w:rPr>
        <w:footnoteReference w:id="424"/>
      </w:r>
      <w:r>
        <w:rPr>
          <w:rFonts w:ascii="IRNazanin" w:hAnsi="IRNazanin" w:eastAsia="IRNazanin"/>
          <w:color w:val="111111"/>
          <w:sz w:val="28"/>
          <w:sz w:val="28"/>
          <w:szCs w:val="28"/>
          <w:rtl w:val="true"/>
          <w:lang w:bidi="fa-IR"/>
        </w:rPr>
        <w:t>، و محمّد بن القاسم بن الفضیل</w:t>
      </w:r>
      <w:r>
        <w:rPr>
          <w:rStyle w:val="FootnoteAnchor"/>
          <w:rtl w:val="true"/>
        </w:rPr>
        <w:footnoteReference w:id="425"/>
      </w:r>
      <w:r>
        <w:rPr>
          <w:rFonts w:ascii="IRNazanin" w:hAnsi="IRNazanin" w:eastAsia="IRNazanin"/>
          <w:color w:val="111111"/>
          <w:sz w:val="28"/>
          <w:sz w:val="28"/>
          <w:szCs w:val="28"/>
          <w:rtl w:val="true"/>
          <w:lang w:bidi="fa-IR"/>
        </w:rPr>
        <w:t>و الحلبی</w:t>
      </w:r>
      <w:r>
        <w:rPr>
          <w:rStyle w:val="FootnoteAnchor"/>
          <w:rtl w:val="true"/>
        </w:rPr>
        <w:footnoteReference w:id="426"/>
      </w:r>
      <w:r>
        <w:rPr>
          <w:rFonts w:ascii="IRNazanin" w:hAnsi="IRNazanin" w:eastAsia="IRNazanin"/>
          <w:color w:val="111111"/>
          <w:sz w:val="28"/>
          <w:sz w:val="28"/>
          <w:szCs w:val="28"/>
          <w:rtl w:val="true"/>
          <w:lang w:bidi="fa-IR"/>
        </w:rPr>
        <w:t>، و موثّقات عمر بن أبی شعبة</w:t>
      </w:r>
      <w:r>
        <w:rPr>
          <w:rStyle w:val="FootnoteAnchor"/>
          <w:rtl w:val="true"/>
        </w:rPr>
        <w:footnoteReference w:id="427"/>
      </w:r>
      <w:r>
        <w:rPr>
          <w:rFonts w:ascii="IRNazanin" w:hAnsi="IRNazanin" w:eastAsia="IRNazanin"/>
          <w:color w:val="111111"/>
          <w:sz w:val="28"/>
          <w:sz w:val="28"/>
          <w:szCs w:val="28"/>
          <w:rtl w:val="true"/>
          <w:lang w:bidi="fa-IR"/>
        </w:rPr>
        <w:t>و یونس بن یعقوب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روایات اخری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جولا یضرّ التعبیر فیها بلفظ الیتیم الذی هو لا أب له؛ لعدم القول بالفصل</w:t>
      </w:r>
    </w:p>
    <w:p>
      <w:pPr>
        <w:pStyle w:val="BookText"/>
        <w:rPr/>
      </w:pPr>
      <w:r>
        <w:rPr>
          <w:rFonts w:ascii="IRNazanin" w:hAnsi="IRNazanin" w:eastAsia="IRNazanin"/>
          <w:color w:val="111111"/>
          <w:sz w:val="28"/>
          <w:sz w:val="28"/>
          <w:szCs w:val="28"/>
          <w:rtl w:val="true"/>
          <w:lang w:bidi="fa-IR"/>
        </w:rPr>
        <w:t>بینه و بین سائر الأطفال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یضرّ أیضا اشتمال بعضها علی ثبوت الزکاة فی ماله إذا اتّجر به؛ لعدم وجوبها فی مال التجارة علی البالغ، فهاهنا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خصوص موثّقة</w:t>
      </w:r>
      <w:r>
        <w:rPr>
          <w:rStyle w:val="FootnoteAnchor"/>
          <w:rtl w:val="true"/>
        </w:rPr>
        <w:footnoteReference w:id="429"/>
      </w:r>
      <w:r>
        <w:rPr>
          <w:rFonts w:ascii="IRNazanin" w:hAnsi="IRNazanin" w:eastAsia="IRNazanin"/>
          <w:color w:val="111111"/>
          <w:sz w:val="28"/>
          <w:sz w:val="28"/>
          <w:szCs w:val="28"/>
          <w:rtl w:val="true"/>
          <w:lang w:bidi="fa-IR"/>
        </w:rPr>
        <w:t>أبی بصیر عن أبی عبد اللّه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و لیس علیه صلاة، و لیس علی جمیع غلاّته من نخل أو زرع أو غلّة زکاة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تدلّ علی نفی الزکاة فی الغلاّت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الشیخ علی نفی الوجوب فی جمیع غلاّته،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لا نقول إنّ علی جمیع غلاّته زکاة، و إنّما تجب علی الأجناس الأربعة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 الزبیب و الحنطة و الشعیر، و إنّما خصّ الیتامی بهذا الحکم لأنّ غیرهم مندوبون إلی إخراج الزکاة عن سائر الحبوب، و لیس ذلک فی أموال الیتامی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لحمل النفی فیها علی إرادة بیان النفی عن جمیع الغلاّت التی منها ما لا تجب الزکاة فیه؛ ضرورة عدم قابلیّته لذلک؛ لاشتماله علی النخل</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180" w:name="pg11756_103882"/>
    </w:p>
    <w:p>
      <w:pPr>
        <w:pStyle w:val="Heading4"/>
        <w:numPr>
          <w:ilvl w:val="3"/>
          <w:numId w:val="1"/>
        </w:numPr>
        <w:rPr/>
      </w:pPr>
      <w:bookmarkStart w:id="181" w:name="__RefHeading___Toc9643547_73709187"/>
      <w:bookmarkStart w:id="182" w:name="_Toc68"/>
      <w:bookmarkEnd w:id="180"/>
      <w:bookmarkEnd w:id="181"/>
      <w:r>
        <w:rPr>
          <w:rtl w:val="true"/>
        </w:rPr>
        <w:t>المطلب الثالث زکاة أموال الطفل لو بلغ فی أثناء الحول</w:t>
      </w:r>
      <w:bookmarkEnd w:id="182"/>
    </w:p>
    <w:p>
      <w:pPr>
        <w:pStyle w:val="Heading5"/>
        <w:numPr>
          <w:ilvl w:val="4"/>
          <w:numId w:val="1"/>
        </w:numPr>
        <w:rPr/>
      </w:pPr>
      <w:bookmarkStart w:id="183" w:name="__RefHeading___Toc9643549_73709187"/>
      <w:bookmarkStart w:id="184" w:name="_Toc69"/>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لا خلاف بین الفقهاء فی أنّ الزکاة فی الدرهم و الدینار بعد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تمامیّة الأحد عشر شهرا و الدخول فی الشهر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بلغ الطفل فی أثناء السنة، فهل یکون مبدأ حوله من حین بلوغه، أو من مبدأ السنة؟ ذهب المشهور إلی الأوّل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لیعلم أنّ 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صریح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استمرار البلوغ طول الحول؛ لیترتّب علیه بعد ذلک الخطاب بوجوب الزکاة، بمعنی أنّه یستأنف الحول من حین البلوغ</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وجوب لما مضی من الأحوال قبله و لا للحول الذی بلغ فی آخره</w:t>
      </w:r>
      <w:r>
        <w:rPr>
          <w:rFonts w:eastAsia="IRNazanin" w:cs="IRNazanin"/>
          <w:color w:val="111111"/>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جملة من أعلام العصر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185" w:name="pg11756_103883"/>
    </w:p>
    <w:p>
      <w:pPr>
        <w:pStyle w:val="BookText"/>
        <w:rPr/>
      </w:pPr>
      <w:bookmarkEnd w:id="185"/>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المعتبر البلوغ أوّل الحول فیما اعتبر فیه الحول</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9643551_73709187"/>
      <w:bookmarkStart w:id="187" w:name="_Toc70"/>
      <w:bookmarkEnd w:id="186"/>
      <w:r>
        <w:rPr>
          <w:rtl w:val="true"/>
        </w:rPr>
        <w:t>أدلّة هذا الحکم</w:t>
      </w:r>
      <w:bookmarkEnd w:id="187"/>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أخبار المسألة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هو عدم تعلّق الزکاة بهذا العنوان، فلا یجری فی الحول ما دام کونه مال الیتیم،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علی الدّین و لا علی المال الغائب عنک حتّی یقع فی یدیک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 غیر ذلک من العناوین التی نفی الشارع الزکاة عنها، فلا یکفی بلوغه فی آخر حول التملّک بلا خلاف ظاهر</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المنساق من الأدلّة أنّ حکم الزکاة وضعا و تکلیفا بشرائطها یتعلّق بالمالک الجامع لشرائط التکلیف فی تمام الحول</w:t>
      </w:r>
      <w:r>
        <w:rPr>
          <w:rStyle w:val="FootnoteAnchor"/>
          <w:rtl w:val="true"/>
        </w:rPr>
        <w:footnoteReference w:id="442"/>
      </w:r>
      <w:r>
        <w:rPr>
          <w:rFonts w:ascii="IRNazanin" w:hAnsi="IRNazanin" w:eastAsia="IRNazanin"/>
          <w:color w:val="111111"/>
          <w:sz w:val="28"/>
          <w:sz w:val="28"/>
          <w:szCs w:val="28"/>
          <w:rtl w:val="true"/>
          <w:lang w:bidi="fa-IR"/>
        </w:rPr>
        <w:t>، و حلوله علیه کذلک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کفایة مضیّ الحول قبل البلوغ تماما أو بعضا یحتاج إلی دلیل، و هو مفقود، بل</w:t>
      </w:r>
    </w:p>
    <w:p>
      <w:pPr>
        <w:pStyle w:val="BookText"/>
        <w:rPr/>
      </w:pPr>
      <w:r>
        <w:rPr>
          <w:rFonts w:ascii="IRNazanin" w:hAnsi="IRNazanin" w:eastAsia="IRNazanin"/>
          <w:color w:val="111111"/>
          <w:sz w:val="28"/>
          <w:sz w:val="28"/>
          <w:szCs w:val="28"/>
          <w:rtl w:val="true"/>
          <w:lang w:bidi="fa-IR"/>
        </w:rPr>
        <w:t>مقتضی الأصل عدم الوجوب بعد ظهور الأدلّة فی استمرار الشرائط من أوّل الحول إلی آخره ممّا یعتبر فیه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443"/>
      </w:r>
      <w:r>
        <w:rPr>
          <w:rFonts w:ascii="IRNazanin" w:hAnsi="IRNazanin" w:eastAsia="IRNazanin"/>
          <w:color w:val="111111"/>
          <w:sz w:val="28"/>
          <w:sz w:val="28"/>
          <w:szCs w:val="28"/>
          <w:rtl w:val="true"/>
          <w:lang w:bidi="fa-IR"/>
        </w:rPr>
        <w:t>، لو کان عدم البلوغ یسیرا جدّا بحیث یتسامح فیه العرف لا یضرّ بالوجوب حینئذ؛ لصدق مضیّ الحول علی ماله جامعا للشرائط عرفا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 اللّه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و لیس علیه صلاة، و لیس علی جمیع غلاّته من نخل أو زرع أو غلّة زکاة، و إن بلغ الیتیم فلیس علیه لما مضی زکاة، و لا علیه لما یستقبل حتّی یدرک، فإذا أدرک کانت علیه زکاة واحدة، و کان علیه مثل ما علی غیره من الناس</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الماضی من الحول</w:t>
      </w:r>
      <w:r>
        <w:rPr>
          <w:rStyle w:val="FootnoteAnchor"/>
          <w:rtl w:val="true"/>
        </w:rPr>
        <w:footnoteReference w:id="446"/>
      </w:r>
      <w:r>
        <w:rPr>
          <w:rFonts w:ascii="IRNazanin" w:hAnsi="IRNazanin" w:eastAsia="IRNazanin"/>
          <w:color w:val="111111"/>
          <w:sz w:val="28"/>
          <w:sz w:val="28"/>
          <w:szCs w:val="28"/>
          <w:rtl w:val="true"/>
          <w:lang w:bidi="fa-IR"/>
        </w:rPr>
        <w:t>قد نفی عنه السببیّة، فهو بمنزلة العدم، و کذا الباقی من الحول بعد البلوغ لا سببیّة له حتّی یدرک الحول کلّه و هو بالغ، فإذا أدرک ذلک کان علیه زکاة واحدة و کان کغیره من الناس</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الکلینی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w:t>
      </w:r>
      <w:r>
        <w:rPr>
          <w:rStyle w:val="FootnoteAnchor"/>
          <w:rtl w:val="true"/>
        </w:rPr>
        <w:footnoteReference w:id="44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الواو، و قد نقله الشیخ بالواو</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استشکل المحقّق السبزواری فی الکفایة</w:t>
      </w:r>
      <w:r>
        <w:rPr>
          <w:rStyle w:val="FootnoteAnchor"/>
          <w:rtl w:val="true"/>
        </w:rPr>
        <w:footnoteReference w:id="450"/>
      </w:r>
      <w:r>
        <w:rPr>
          <w:rFonts w:ascii="IRNazanin" w:hAnsi="IRNazanin" w:eastAsia="IRNazanin"/>
          <w:color w:val="111111"/>
          <w:sz w:val="28"/>
          <w:sz w:val="28"/>
          <w:szCs w:val="28"/>
          <w:rtl w:val="true"/>
          <w:lang w:bidi="fa-IR"/>
        </w:rPr>
        <w:t>علی المشهور القائلین باستمرار الشرائط طول الحول، و کذا فی الذخیرة،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ذلک بحسب الدلیل لا یخلو عن إشکال؛ إذ المستفاد من الأدلّة عدم وجوب الزکاة علی الصبیّ ما لم یبلغ، و هو غیر مستلزم لعدم الوجوب حین البلوغ بسبب الحول السابق بعضه علیه؛ إذ لا یستفاد من أدلّة اشتراط الحول کونه فی زمان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فی قوله علیه السّلام فی موثّقة أبی بصیر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لما مضی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واضحة فی الدلالة علی المعنی الشامل للعلّیّة الناقصة، بل المتبادر منه خلافه، فلا دلالة فیها علی مدّعاهم،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بقی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غیر واضح فی معنی ینفعهم فی إثبات الفرض المذکور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الأدلّة أنّه لا زکاة فی مال الصبیّ ما لم یبلغ، و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حین الصبا لا أمر بالزکاة،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نفی الوجوب حین البلوغ بعد استکمال الحول و لو کان الحول ملفّقا من عهدی البلوغ و الصبا، بل و لو کان بلوغه قبل ساعة من استکمال الحول؛ لعدم الدلیل علی اشتراط کون الحول فی زمان البلوغ و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موثّقة</w:t>
      </w:r>
    </w:p>
    <w:p>
      <w:pPr>
        <w:pStyle w:val="BookText"/>
        <w:rPr/>
      </w:pPr>
      <w:r>
        <w:rPr>
          <w:rFonts w:ascii="IRNazanin" w:hAnsi="IRNazanin" w:eastAsia="IRNazanin"/>
          <w:color w:val="111111"/>
          <w:sz w:val="28"/>
          <w:sz w:val="28"/>
          <w:szCs w:val="28"/>
          <w:rtl w:val="true"/>
          <w:lang w:bidi="fa-IR"/>
        </w:rPr>
        <w:t>أبی بصیر فالموضوع</w:t>
      </w:r>
      <w:r>
        <w:rPr>
          <w:rStyle w:val="FootnoteAnchor"/>
          <w:rtl w:val="true"/>
        </w:rPr>
        <w:footnoteReference w:id="452"/>
      </w:r>
      <w:r>
        <w:rPr>
          <w:rFonts w:ascii="IRNazanin" w:hAnsi="IRNazanin" w:eastAsia="IRNazanin"/>
          <w:color w:val="111111"/>
          <w:sz w:val="28"/>
          <w:sz w:val="28"/>
          <w:szCs w:val="28"/>
          <w:rtl w:val="true"/>
          <w:lang w:bidi="fa-IR"/>
        </w:rPr>
        <w:t>فیها الغلاّت، و هی ناظرة إلی التفصیل بین ما قبل البلوغ و ما بعده فی مورد الغلّة التی لا یعتبر فیها الحول، فلا دلالة بوجه علی إلغاء الزمان السابق فی مثل النقدین و الأنعام ممّا یعتبر فیه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الإطلاقات ثبوت الزکاة فی المال المعتبر فیه الحول بعد بلوغ الیتیم، و إن کان استکمال الحول ملفّقا من العهدین؛ لعدم کونه صبیّا وقتئذ، و نتیجته احتساب الزمان السابق؛ لعدم الدلیل علی إلغائه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فالصحیح ما علیه المشهور من احتساب مبدأ الحول من زمان البلوغ و ذلک لأجل أنّ المستفاد ممّا دلّ علی اعتبار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الزکاة لم یکن مجرّد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کذلک فی مثل الغلاّت ممّا یعتبر فیه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الملکیّة المقیّدة بکونها حولا واحدا، فالموضوع إنّما هو المالک فی مجموع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کان تمام السنة ملکا للبالغ</w:t>
      </w:r>
      <w:r>
        <w:rPr>
          <w:rStyle w:val="FootnoteAnchor"/>
          <w:rtl w:val="true"/>
        </w:rPr>
        <w:footnoteReference w:id="453"/>
      </w:r>
      <w:r>
        <w:rPr>
          <w:rFonts w:ascii="IRNazanin" w:hAnsi="IRNazanin" w:eastAsia="IRNazanin"/>
          <w:color w:val="111111"/>
          <w:sz w:val="28"/>
          <w:sz w:val="28"/>
          <w:szCs w:val="28"/>
          <w:rtl w:val="true"/>
          <w:lang w:bidi="fa-IR"/>
        </w:rPr>
        <w:t>فلا إشکال، کما لا إشکال فیما لو کان تمامها ملکا للصبیّ، و أمّا الملفّق فهو مشمول</w:t>
      </w:r>
      <w:r>
        <w:rPr>
          <w:rStyle w:val="FootnoteAnchor"/>
          <w:rtl w:val="true"/>
        </w:rPr>
        <w:footnoteReference w:id="454"/>
      </w:r>
      <w:r>
        <w:rPr>
          <w:rFonts w:ascii="IRNazanin" w:hAnsi="IRNazanin" w:eastAsia="IRNazanin"/>
          <w:color w:val="111111"/>
          <w:sz w:val="28"/>
          <w:sz w:val="28"/>
          <w:szCs w:val="28"/>
          <w:rtl w:val="true"/>
          <w:lang w:bidi="fa-IR"/>
        </w:rPr>
        <w:t>لقوله علیه السّلام فی الصحیح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إلی أنّ مفاده إلغاء مال الیتیم و إسقاطه عن الموضوعیّة للزکاة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نفی الموضوعیّة کما یکون بنفی تمام</w:t>
      </w:r>
      <w:r>
        <w:rPr>
          <w:rStyle w:val="FootnoteAnchor"/>
          <w:rtl w:val="true"/>
        </w:rPr>
        <w:footnoteReference w:id="455"/>
      </w:r>
      <w:r>
        <w:rPr>
          <w:rFonts w:ascii="IRNazanin" w:hAnsi="IRNazanin" w:eastAsia="IRNazanin"/>
          <w:color w:val="111111"/>
          <w:sz w:val="28"/>
          <w:sz w:val="28"/>
          <w:szCs w:val="28"/>
          <w:rtl w:val="true"/>
          <w:lang w:bidi="fa-IR"/>
        </w:rPr>
        <w:t>الموضوع کذلک یکون</w:t>
      </w:r>
    </w:p>
    <w:p>
      <w:pPr>
        <w:pStyle w:val="BookText"/>
        <w:rPr/>
      </w:pPr>
      <w:r>
        <w:rPr>
          <w:rFonts w:ascii="IRNazanin" w:hAnsi="IRNazanin" w:eastAsia="IRNazanin"/>
          <w:color w:val="111111"/>
          <w:sz w:val="28"/>
          <w:sz w:val="28"/>
          <w:szCs w:val="28"/>
          <w:rtl w:val="true"/>
          <w:lang w:bidi="fa-IR"/>
        </w:rPr>
        <w:t xml:space="preserve">بنفی بعضه و جزئه، فتنفی صلاحیّة مال الیتیم للموضوعیّة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الإطلاق، و أنّ هذه الملکیّة بالإضافة إلی وجوب الزکاة ملغیّة و فی حکم العدم و کأنّها لم تکن، فکما لا أثر لاعتبار الشارع لملکیّته فی تمام السنة فکذا لا أثر لملکیّته فی بعضها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تقریرات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قطعنا النظر عن الموثّقة المتقدّمة فالذی تقتضیه الصناعة العلمیّة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حال الحول علی المال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البلوغ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المراد به هو المال فی ذاته بقطع النظر عن إضافة ملکیّته إلی أحد أو أنّه المال المملوک لشخص؟ من الواضح أنّ المال الذی حال علیه الحول لو لم یکن مملوکا لأحد فلا تجب فیه الزکاة، فلا بدّ من إضافته إلی المالک، و هو إمّا البالغ أو الصغیر، و إذ کانت الروایات متواترة فی نفی الزکاة عن مال الیتیم یتعیّن أنّ الموضوع هو مال البالغ، و الحول شرط فیه، فلا أثر</w:t>
      </w:r>
      <w:r>
        <w:rPr>
          <w:rStyle w:val="FootnoteAnchor"/>
          <w:rtl w:val="true"/>
        </w:rPr>
        <w:footnoteReference w:id="457"/>
      </w:r>
      <w:r>
        <w:rPr>
          <w:rFonts w:ascii="IRNazanin" w:hAnsi="IRNazanin" w:eastAsia="IRNazanin"/>
          <w:color w:val="111111"/>
          <w:sz w:val="28"/>
          <w:sz w:val="28"/>
          <w:szCs w:val="28"/>
          <w:rtl w:val="true"/>
          <w:lang w:bidi="fa-IR"/>
        </w:rPr>
        <w:t>لمضیّ مقدار منه قبل البلوغ</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الزکاة إمکان التصرّف فی تمام الحول، و حیث إنّ الصبیّ محجور شرعا من التصرّف فی أمواله، و الممنوع شرعا کالممنوع عقلا، فلا یوجد شرط إمکان التصرّف، فلا وجوب قبل البلوغ</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فی المهذّب عمّا ذکره المحقّق السبزواری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بلغ الیتیم فلیس علیه لما مضی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فلا بدّ من ردّه إلی أهله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إجمال فیه، فإنّ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الیتیم فی أثناء الحول فلیس علیه لما مضی من الحول زکاة، و لا لما یستقبل منه زکاة حتّی یدرک تمام الحول، فإذا أدرک تمام الحول کان علیه زکاة واحدة، و یکون علیه مثل ما علی الناس</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188" w:name="pg11756_103889"/>
    </w:p>
    <w:p>
      <w:pPr>
        <w:pStyle w:val="Heading3"/>
        <w:numPr>
          <w:ilvl w:val="2"/>
          <w:numId w:val="1"/>
        </w:numPr>
        <w:rPr/>
      </w:pPr>
      <w:bookmarkStart w:id="189" w:name="__RefHeading___Toc9643553_73709187"/>
      <w:bookmarkStart w:id="190" w:name="_Toc71"/>
      <w:bookmarkEnd w:id="188"/>
      <w:bookmarkEnd w:id="189"/>
      <w:r>
        <w:rPr>
          <w:rtl w:val="true"/>
        </w:rPr>
        <w:t>المبحث الثانی</w:t>
      </w:r>
      <w:r>
        <w:rPr>
          <w:rtl w:val="true"/>
        </w:rPr>
        <w:t xml:space="preserve">: </w:t>
      </w:r>
      <w:r>
        <w:rPr>
          <w:rtl w:val="true"/>
        </w:rPr>
        <w:t>استحباب الزکاة فی أموال الصغار</w:t>
      </w:r>
      <w:bookmarkEnd w:id="190"/>
    </w:p>
    <w:p>
      <w:pPr>
        <w:pStyle w:val="Heading4"/>
        <w:numPr>
          <w:ilvl w:val="3"/>
          <w:numId w:val="1"/>
        </w:numPr>
        <w:rPr/>
      </w:pPr>
      <w:bookmarkStart w:id="191" w:name="__RefHeading___Toc9643555_73709187"/>
      <w:bookmarkStart w:id="192" w:name="_Toc72"/>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4"/>
        <w:numPr>
          <w:ilvl w:val="3"/>
          <w:numId w:val="1"/>
        </w:numPr>
        <w:rPr/>
      </w:pPr>
      <w:bookmarkStart w:id="193" w:name="__RefHeading___Toc9643557_73709187"/>
      <w:bookmarkStart w:id="194" w:name="_Toc73"/>
      <w:bookmarkEnd w:id="193"/>
      <w:r>
        <w:rPr>
          <w:rtl w:val="true"/>
        </w:rPr>
        <w:t>المطلب الأوّل</w:t>
      </w:r>
      <w:r>
        <w:rPr>
          <w:rtl w:val="true"/>
        </w:rPr>
        <w:t xml:space="preserve">: </w:t>
      </w:r>
      <w:r>
        <w:rPr>
          <w:rtl w:val="true"/>
        </w:rPr>
        <w:t>استحباب الزکاة فی أموالهم الصامتة</w:t>
      </w:r>
      <w:bookmarkEnd w:id="194"/>
    </w:p>
    <w:p>
      <w:pPr>
        <w:pStyle w:val="Heading5"/>
        <w:numPr>
          <w:ilvl w:val="4"/>
          <w:numId w:val="1"/>
        </w:numPr>
        <w:rPr/>
      </w:pPr>
      <w:bookmarkStart w:id="195" w:name="__RefHeading___Toc9643559_73709187"/>
      <w:bookmarkStart w:id="196" w:name="_Toc74"/>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 xml:space="preserve">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خلاف بینهم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اتّجر الولیّ بأموال الصغار یستحبّ له إخراج الزکاة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الأطفال حکم من لیس بعاقل من المجانین أو غیرهم، فإنّه لا تجب فی أموالهم الصامتة زکاة، فإن اتّجر متّجر بأموالهم نظرا لهم، یستحبّ له أن یخرج من أموالهم الزکاة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اتّجر له من إلیه النظر فی ماله أخرجها عنه استحبابا، و علیه إجماع علمائنا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463"/>
      </w:r>
      <w:r>
        <w:rPr>
          <w:rFonts w:ascii="IRNazanin" w:hAnsi="IRNazanin" w:eastAsia="IRNazanin"/>
          <w:color w:val="111111"/>
          <w:sz w:val="28"/>
          <w:sz w:val="28"/>
          <w:szCs w:val="28"/>
          <w:rtl w:val="true"/>
          <w:lang w:bidi="fa-IR"/>
        </w:rPr>
        <w:t>و المختصر النافع</w:t>
      </w:r>
      <w:r>
        <w:rPr>
          <w:rStyle w:val="FootnoteAnchor"/>
          <w:rtl w:val="true"/>
        </w:rPr>
        <w:footnoteReference w:id="464"/>
      </w:r>
      <w:r>
        <w:rPr>
          <w:rFonts w:ascii="IRNazanin" w:hAnsi="IRNazanin" w:eastAsia="IRNazanin"/>
          <w:color w:val="111111"/>
          <w:sz w:val="28"/>
          <w:sz w:val="28"/>
          <w:szCs w:val="28"/>
          <w:rtl w:val="true"/>
          <w:lang w:bidi="fa-IR"/>
        </w:rPr>
        <w:t>، و به قال</w:t>
      </w:r>
    </w:p>
    <w:p>
      <w:pPr>
        <w:pStyle w:val="BookText"/>
        <w:rPr/>
      </w:pPr>
      <w:r>
        <w:rPr>
          <w:rFonts w:ascii="Amiri" w:hAnsi="Amiri" w:eastAsia="Amiri" w:cs="Amiri"/>
          <w:color w:val="111111"/>
          <w:sz w:val="28"/>
          <w:sz w:val="28"/>
          <w:szCs w:val="28"/>
          <w:rtl w:val="true"/>
          <w:lang w:bidi="ar-SA"/>
        </w:rPr>
        <w:t>سلاّر</w:t>
      </w:r>
      <w:r>
        <w:rPr>
          <w:rStyle w:val="FootnoteAnchor"/>
          <w:rtl w:val="true"/>
        </w:rPr>
        <w:footnoteReference w:id="465"/>
      </w:r>
      <w:r>
        <w:rPr>
          <w:rFonts w:ascii="IRNazanin" w:hAnsi="IRNazanin" w:eastAsia="IRNazanin"/>
          <w:color w:val="111111"/>
          <w:sz w:val="28"/>
          <w:sz w:val="28"/>
          <w:szCs w:val="28"/>
          <w:rtl w:val="true"/>
          <w:lang w:bidi="fa-IR"/>
        </w:rPr>
        <w:t>و العلاّمة فی أکثر کتبه</w:t>
      </w:r>
      <w:r>
        <w:rPr>
          <w:rStyle w:val="FootnoteAnchor"/>
          <w:rtl w:val="true"/>
        </w:rPr>
        <w:footnoteReference w:id="466"/>
      </w:r>
      <w:r>
        <w:rPr>
          <w:rFonts w:ascii="IRNazanin" w:hAnsi="IRNazanin" w:eastAsia="IRNazanin"/>
          <w:color w:val="111111"/>
          <w:sz w:val="28"/>
          <w:sz w:val="28"/>
          <w:szCs w:val="28"/>
          <w:rtl w:val="true"/>
          <w:lang w:bidi="fa-IR"/>
        </w:rPr>
        <w:t>، و الشهیدان</w:t>
      </w:r>
      <w:r>
        <w:rPr>
          <w:rStyle w:val="FootnoteAnchor"/>
          <w:rtl w:val="true"/>
        </w:rPr>
        <w:footnoteReference w:id="467"/>
      </w:r>
      <w:r>
        <w:rPr>
          <w:rFonts w:ascii="IRNazanin" w:hAnsi="IRNazanin" w:eastAsia="IRNazanin"/>
          <w:color w:val="111111"/>
          <w:sz w:val="28"/>
          <w:sz w:val="28"/>
          <w:szCs w:val="28"/>
          <w:rtl w:val="true"/>
          <w:lang w:bidi="fa-IR"/>
        </w:rPr>
        <w:t>و المحقّق الثانی</w:t>
      </w:r>
      <w:r>
        <w:rPr>
          <w:rStyle w:val="FootnoteAnchor"/>
          <w:rtl w:val="true"/>
        </w:rPr>
        <w:footnoteReference w:id="468"/>
      </w:r>
      <w:r>
        <w:rPr>
          <w:rFonts w:ascii="IRNazanin" w:hAnsi="IRNazanin" w:eastAsia="IRNazanin"/>
          <w:color w:val="111111"/>
          <w:sz w:val="28"/>
          <w:sz w:val="28"/>
          <w:szCs w:val="28"/>
          <w:rtl w:val="true"/>
          <w:lang w:bidi="fa-IR"/>
        </w:rPr>
        <w:t>و المحدّث الکاشانی</w:t>
      </w:r>
      <w:r>
        <w:rPr>
          <w:rStyle w:val="FootnoteAnchor"/>
          <w:rtl w:val="true"/>
        </w:rPr>
        <w:footnoteReference w:id="469"/>
      </w:r>
      <w:r>
        <w:rPr>
          <w:rFonts w:ascii="IRNazanin" w:hAnsi="IRNazanin" w:eastAsia="IRNazanin"/>
          <w:color w:val="111111"/>
          <w:sz w:val="28"/>
          <w:sz w:val="28"/>
          <w:szCs w:val="28"/>
          <w:rtl w:val="true"/>
          <w:lang w:bidi="fa-IR"/>
        </w:rPr>
        <w:t>، و کذا فی الریاض</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Style w:val="FootnoteAnchor"/>
          <w:rtl w:val="true"/>
        </w:rPr>
        <w:footnoteReference w:id="471"/>
      </w:r>
      <w:r>
        <w:rPr>
          <w:rFonts w:ascii="IRNazanin" w:hAnsi="IRNazanin" w:eastAsia="IRNazanin"/>
          <w:color w:val="111111"/>
          <w:sz w:val="28"/>
          <w:sz w:val="28"/>
          <w:szCs w:val="28"/>
          <w:rtl w:val="true"/>
          <w:lang w:bidi="fa-IR"/>
        </w:rPr>
        <w:t>و المدارک</w:t>
      </w:r>
      <w:r>
        <w:rPr>
          <w:rStyle w:val="FootnoteAnchor"/>
          <w:rtl w:val="true"/>
        </w:rPr>
        <w:footnoteReference w:id="472"/>
      </w:r>
      <w:r>
        <w:rPr>
          <w:rFonts w:ascii="IRNazanin" w:hAnsi="IRNazanin" w:eastAsia="IRNazanin"/>
          <w:color w:val="111111"/>
          <w:sz w:val="28"/>
          <w:sz w:val="28"/>
          <w:szCs w:val="28"/>
          <w:rtl w:val="true"/>
          <w:lang w:bidi="fa-IR"/>
        </w:rPr>
        <w:t>و الحدائق</w:t>
      </w:r>
      <w:r>
        <w:rPr>
          <w:rStyle w:val="FootnoteAnchor"/>
          <w:rtl w:val="true"/>
        </w:rPr>
        <w:footnoteReference w:id="473"/>
      </w:r>
      <w:r>
        <w:rPr>
          <w:rFonts w:ascii="IRNazanin" w:hAnsi="IRNazanin" w:eastAsia="IRNazanin"/>
          <w:color w:val="111111"/>
          <w:sz w:val="28"/>
          <w:sz w:val="28"/>
          <w:szCs w:val="28"/>
          <w:rtl w:val="true"/>
          <w:lang w:bidi="fa-IR"/>
        </w:rPr>
        <w:t>أنّه المشهور، و فی الکفایة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البرهان</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الأکثر، و به قال جملة من المتأخّرین</w:t>
      </w:r>
      <w:r>
        <w:rPr>
          <w:rStyle w:val="FootnoteAnchor"/>
          <w:rtl w:val="true"/>
        </w:rPr>
        <w:footnoteReference w:id="476"/>
      </w:r>
      <w:r>
        <w:rPr>
          <w:rFonts w:ascii="IRNazanin" w:hAnsi="IRNazanin" w:eastAsia="IRNazanin"/>
          <w:color w:val="111111"/>
          <w:sz w:val="28"/>
          <w:sz w:val="28"/>
          <w:szCs w:val="28"/>
          <w:rtl w:val="true"/>
          <w:lang w:bidi="fa-IR"/>
        </w:rPr>
        <w:t>و فقهاء العصر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اتّجر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لغیر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الشرعی استحبّ له إخراج زکاة ماله، کما یستحبّ له إخراج زکاة غلاّته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197" w:name="pg11756_103891"/>
    </w:p>
    <w:p>
      <w:pPr>
        <w:pStyle w:val="Heading5"/>
        <w:numPr>
          <w:ilvl w:val="4"/>
          <w:numId w:val="1"/>
        </w:numPr>
        <w:rPr/>
      </w:pPr>
      <w:bookmarkStart w:id="198" w:name="__RefHeading___Toc9643561_73709187"/>
      <w:bookmarkStart w:id="199" w:name="_Toc75"/>
      <w:bookmarkEnd w:id="197"/>
      <w:bookmarkEnd w:id="198"/>
      <w:r>
        <w:rPr>
          <w:rtl w:val="true"/>
        </w:rPr>
        <w:t>أدلّة استحباب زکاة أموال الصغار الصامتة</w:t>
      </w:r>
      <w:bookmarkEnd w:id="1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المعتبر</w:t>
      </w:r>
      <w:r>
        <w:rPr>
          <w:rStyle w:val="FootnoteAnchor"/>
          <w:rtl w:val="true"/>
        </w:rPr>
        <w:footnoteReference w:id="479"/>
      </w:r>
      <w:r>
        <w:rPr>
          <w:rFonts w:ascii="IRNazanin" w:hAnsi="IRNazanin" w:eastAsia="IRNazanin"/>
          <w:color w:val="111111"/>
          <w:sz w:val="28"/>
          <w:sz w:val="28"/>
          <w:szCs w:val="28"/>
          <w:rtl w:val="true"/>
          <w:lang w:bidi="fa-IR"/>
        </w:rPr>
        <w:t>، و کذا فی الغنیة</w:t>
      </w:r>
      <w:r>
        <w:rPr>
          <w:rStyle w:val="FootnoteAnchor"/>
          <w:rtl w:val="true"/>
        </w:rPr>
        <w:footnoteReference w:id="480"/>
      </w:r>
      <w:r>
        <w:rPr>
          <w:rFonts w:ascii="IRNazanin" w:hAnsi="IRNazanin" w:eastAsia="IRNazanin"/>
          <w:color w:val="111111"/>
          <w:sz w:val="28"/>
          <w:sz w:val="28"/>
          <w:szCs w:val="28"/>
          <w:rtl w:val="true"/>
          <w:lang w:bidi="fa-IR"/>
        </w:rPr>
        <w:t>و النهایة</w:t>
      </w:r>
      <w:r>
        <w:rPr>
          <w:rStyle w:val="FootnoteAnchor"/>
          <w:rtl w:val="true"/>
        </w:rPr>
        <w:footnoteReference w:id="481"/>
      </w:r>
      <w:r>
        <w:rPr>
          <w:rFonts w:ascii="IRNazanin" w:hAnsi="IRNazanin" w:eastAsia="IRNazanin"/>
          <w:color w:val="111111"/>
          <w:sz w:val="28"/>
          <w:sz w:val="28"/>
          <w:szCs w:val="28"/>
          <w:rtl w:val="true"/>
          <w:lang w:bidi="fa-IR"/>
        </w:rPr>
        <w:t>و المنتهی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وجود نصوص کثیرة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أن یکون الإجماع تعبّدیا کاشفا عن قول المعصوم أو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یتّجر به أو تعمل به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أبی عبد اللّه علیه السّلام أنّ لی إخوة صغارا، فمتی تجب علی أموالهم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وجبت علیهم الصلاة وجبت علیهم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تجب علیهم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اتّجر به فزکّه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شعبة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مال الیتیم،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علیه إلاّ أن یعمل به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إلاّ أن یتّجر به، فإن اتّجر به فالربح للیتیم</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w:t>
      </w:r>
    </w:p>
    <w:p>
      <w:pPr>
        <w:pStyle w:val="BookText"/>
        <w:rPr/>
      </w:pPr>
      <w:r>
        <w:rPr>
          <w:rFonts w:ascii="IRNazanin" w:hAnsi="IRNazanin" w:eastAsia="IRNazanin"/>
          <w:color w:val="111111"/>
          <w:sz w:val="28"/>
          <w:sz w:val="28"/>
          <w:szCs w:val="28"/>
          <w:rtl w:val="true"/>
          <w:lang w:bidi="fa-IR"/>
        </w:rPr>
        <w:t>صحیحة زرارة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بإسناده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صبیة صغار لهم مال بید أبیهم أو أخیهم، هل یجب علی مالهم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 مالهم زکاة حتّی یعمل به، فإذا عمل به وجبت الزکاة، فأمّا إذا کان موقوفا فلا زکاة علیه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بعض تلک الأخبار صریحا و بعضها ظاهرا و إن کان هو الوجوب إلاّ أنّه یجب رفع الید عن هذا الوجوب بالاتّفاق، و یحمل علی الاستحباب؛ إذ لم ینقل القول بالوجوب إلاّ عن المفید فی المقنعة</w:t>
      </w:r>
      <w:r>
        <w:rPr>
          <w:rStyle w:val="FootnoteAnchor"/>
          <w:rtl w:val="true"/>
        </w:rPr>
        <w:footnoteReference w:id="489"/>
      </w:r>
      <w:r>
        <w:rPr>
          <w:rFonts w:ascii="IRNazanin" w:hAnsi="IRNazanin" w:eastAsia="IRNazanin"/>
          <w:color w:val="111111"/>
          <w:sz w:val="28"/>
          <w:sz w:val="28"/>
          <w:szCs w:val="28"/>
          <w:rtl w:val="true"/>
          <w:lang w:bidi="fa-IR"/>
        </w:rPr>
        <w:t xml:space="preserve">کما تقدّم، و قد حمله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أعرف بمراده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w:t>
      </w:r>
      <w:r>
        <w:rPr>
          <w:rStyle w:val="FootnoteAnchor"/>
          <w:rtl w:val="true"/>
        </w:rPr>
        <w:footnoteReference w:id="490"/>
      </w:r>
      <w:r>
        <w:rPr>
          <w:rFonts w:ascii="IRNazanin" w:hAnsi="IRNazanin" w:eastAsia="IRNazanin"/>
          <w:color w:val="111111"/>
          <w:sz w:val="28"/>
          <w:sz w:val="28"/>
          <w:szCs w:val="28"/>
          <w:rtl w:val="true"/>
          <w:lang w:bidi="fa-IR"/>
        </w:rPr>
        <w:t>علی الاستحباب، و هذا هو العمدة فی رفع الید عن ظاهر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إطلاقات ما دلّ علی نفی الزکاة عن مال الیتیم</w:t>
      </w:r>
      <w:r>
        <w:rPr>
          <w:rStyle w:val="FootnoteAnchor"/>
          <w:rtl w:val="true"/>
        </w:rPr>
        <w:footnoteReference w:id="491"/>
      </w:r>
      <w:r>
        <w:rPr>
          <w:rFonts w:ascii="IRNazanin" w:hAnsi="IRNazanin" w:eastAsia="IRNazanin"/>
          <w:color w:val="111111"/>
          <w:sz w:val="28"/>
          <w:sz w:val="28"/>
          <w:szCs w:val="28"/>
          <w:rtl w:val="true"/>
          <w:lang w:bidi="fa-IR"/>
        </w:rPr>
        <w:t>فإنّ الجمع العرفی یقتضی تقدیم نصوص المقام علیها؛ لأنّها أخصّ، فتقیّد هذه الإطلاقات بهذه النصوص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تقدیم الخاصّ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العموم و الخصوص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المورد الذی نحتمل خصوصیّة فی الخاصّ یکون اقتضاؤها أقوی من ملاک حکم العام، أو یکون مانعا من ثبوت حکم العام، و فی ما نحن فیه دلّ الدلیل علی استحباب الزکاة فی مال التجارة، سواء کان</w:t>
      </w:r>
    </w:p>
    <w:p>
      <w:pPr>
        <w:pStyle w:val="BookText"/>
        <w:rPr/>
      </w:pPr>
      <w:r>
        <w:rPr>
          <w:rFonts w:ascii="IRNazanin" w:hAnsi="IRNazanin" w:eastAsia="IRNazanin"/>
          <w:color w:val="111111"/>
          <w:sz w:val="28"/>
          <w:sz w:val="28"/>
          <w:szCs w:val="28"/>
          <w:rtl w:val="true"/>
          <w:lang w:bidi="fa-IR"/>
        </w:rPr>
        <w:t>للکبیر أو الیتیم، و حیث لا تحتمل زیادة فی الملاک بالنسبة إلی مال الصغیر فیبقی مصداقا للکلّی الطبیعی، و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المراد من هذه الروایات هو الثبوت الاستحبابی، لا أنّ للیتیم خصوصیّة زائدة توجب اللزوم، إلاّ أن تحمل هذه الروایات و کذا روایات الزکاة فی مطلق مال التجارة علی التقیّة، فإنّ أتباع المذاهب الأربعة کلّهم یقولون بوجوب الزکاة، کما صرّح به بعض الأعلام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تلک الأخبار علی التقیّة لا ینافی إرادة الاستحباب؛ لأنّ التقیّة تتأدّی بظهور الکلام فی الوجوب الذی هو مذهب المخالفین فی مال التجارة، و إرادة الاستحباب بقرینة خارجیّة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الزکاة من مبانی الإسلام، فهو ممّا لو کان لبان و کان من الواضحات، فکیف لم ینسب القول بالوجوب إلی أحد ما عدا المفید الذی عرفت حال النسبة إلیه، فلا ینبغی التأمّل فی حمل تلک الأخبار علی الاستحباب، کما فی المستند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المتواترة حصرت الزکاة فی تسعة أشیاء و عفا النبیّ صلّی اللّه علیه و آله عمّا عداه، و حیث إنّ مال التجارة المملوک للیتیم خارج عن تلک التسعة، فیکون مشمولا لعفو الرسول، و علیه تحمل الروایات الآمرة بإخراج الزکاة فی مال الیتیم إذا اتّجر به الولیّ علی الاستحباب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200" w:name="pg11756_103894"/>
    </w:p>
    <w:p>
      <w:pPr>
        <w:pStyle w:val="Heading5"/>
        <w:numPr>
          <w:ilvl w:val="4"/>
          <w:numId w:val="1"/>
        </w:numPr>
        <w:rPr/>
      </w:pPr>
      <w:bookmarkStart w:id="201" w:name="__RefHeading___Toc9643563_73709187"/>
      <w:bookmarkStart w:id="202" w:name="_Toc76"/>
      <w:bookmarkEnd w:id="200"/>
      <w:bookmarkEnd w:id="201"/>
      <w:r>
        <w:rPr>
          <w:rtl w:val="true"/>
        </w:rPr>
        <w:t>الجواب عمّا اختاره فی السرائر و المدارک</w:t>
      </w:r>
      <w:bookmarkEnd w:id="202"/>
    </w:p>
    <w:p>
      <w:pPr>
        <w:pStyle w:val="BookText"/>
        <w:rPr/>
      </w:pPr>
      <w:r>
        <w:rPr>
          <w:rFonts w:ascii="IRNazanin" w:hAnsi="IRNazanin" w:eastAsia="IRNazanin"/>
          <w:color w:val="111111"/>
          <w:sz w:val="28"/>
          <w:sz w:val="28"/>
          <w:szCs w:val="28"/>
          <w:rtl w:val="true"/>
          <w:lang w:bidi="fa-IR"/>
        </w:rPr>
        <w:t>ذهب الحلّی قدّس سرّه فی السرائر إلی القول بعدم الاستحباب، و استدلّ بأنّ هذا هو الذی یقتضیه أصل المذهب، فلا یجوز العدول عنه بخبر واحد لا یوجب علما و لا عملا، و إنّما أورده الشیخ رحمه اللّه إیرادا لا اعتقادا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القول جیّد علی أصله، بل لا یبعد المصیر إلیه؛ لأنّ ما استدلّ به علی الاستحباب غیر نقی الإسناد، بل و لا واضح الدلالة أیضا، و مع ذلک فالوجوب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عدم التصرّف فی مال الطفل</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کلامهما قدّس سرّهما نظر، أمّا ما طعن به من ضعف أسناد هذه الأخبار،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حسنة محمّد بن مسلم، و حسنها إنّما هو بإبراهیم بن هاشم الذی اتّفق الأصحاب علی قبول روایته، و أنّها لا تقصر عن الصحیح، بل عدّها فی الصحیح جملة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یونس بن یعقوب،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شاذّة ضعیفة، مع أنّ تلک النصوص مستفیضة، و فیها صحاح و موثّقات، مضافا إلی اعتضادها بشهرة الفتوی بها، و 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طعن به من عدم وضوح الدلالة فهو عجیب، فإنّ وضوحها فی الدلالة علی ذلک أوضح من أن ینکر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السبزواری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هذه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w:t>
      </w:r>
      <w:bookmarkStart w:id="203" w:name="pg11756_103895"/>
    </w:p>
    <w:p>
      <w:pPr>
        <w:pStyle w:val="BookText"/>
        <w:rPr/>
      </w:pPr>
      <w:bookmarkEnd w:id="203"/>
      <w:r>
        <w:rPr>
          <w:rFonts w:ascii="IRNazanin" w:hAnsi="IRNazanin" w:eastAsia="IRNazanin"/>
          <w:color w:val="111111"/>
          <w:sz w:val="28"/>
          <w:sz w:val="28"/>
          <w:szCs w:val="28"/>
          <w:rtl w:val="true"/>
          <w:lang w:bidi="fa-IR"/>
        </w:rPr>
        <w:t>الأخبار واضحة الدلالة علی المدّعی، مع کون أکثرها معتبرة صالحة للحجّیّة، و اعتضادها بالشهرة بین الطائفة و عدم خلاف متحقّق، فلا وجه لتوقّف بعض المتأخّرین فی الحکم المذکور</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9643565_73709187"/>
      <w:bookmarkStart w:id="205" w:name="_Toc77"/>
      <w:bookmarkEnd w:id="204"/>
      <w:r>
        <w:rPr>
          <w:rtl w:val="true"/>
        </w:rPr>
        <w:t>الأقسام المتصوّرة فی التجارة و المضاربة بأموال الصغار</w:t>
      </w:r>
      <w:bookmarkEnd w:id="205"/>
    </w:p>
    <w:p>
      <w:pPr>
        <w:pStyle w:val="Heading6"/>
        <w:numPr>
          <w:ilvl w:val="5"/>
          <w:numId w:val="1"/>
        </w:numPr>
        <w:rPr/>
      </w:pPr>
      <w:bookmarkStart w:id="206" w:name="__RefHeading___Toc9643567_73709187"/>
      <w:bookmarkStart w:id="207" w:name="_Toc78"/>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إنّ من یتّجر فی مال الطفل أو عمل به إمّا أن یکون ملیّا</w:t>
      </w:r>
      <w:r>
        <w:rPr>
          <w:rStyle w:val="FootnoteAnchor"/>
          <w:rtl w:val="true"/>
        </w:rPr>
        <w:footnoteReference w:id="499"/>
      </w:r>
      <w:r>
        <w:rPr>
          <w:rFonts w:ascii="Amiri" w:hAnsi="Amiri" w:eastAsia="Amiri" w:cs="Amiri"/>
          <w:color w:val="111111"/>
          <w:sz w:val="28"/>
          <w:sz w:val="28"/>
          <w:szCs w:val="28"/>
          <w:rtl w:val="true"/>
          <w:lang w:bidi="ar-SA"/>
        </w:rPr>
        <w:t>و ولیّا، أو لا یکون ولیّا و لا ملیّا، أو یکون ولیّا غیر ملیّ، أو یکون ملیّا غیر 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التقادیر الأربعة إمّا أن یضمن</w:t>
      </w:r>
      <w:r>
        <w:rPr>
          <w:rStyle w:val="FootnoteAnchor"/>
          <w:rtl w:val="true"/>
        </w:rPr>
        <w:footnoteReference w:id="500"/>
      </w:r>
      <w:r>
        <w:rPr>
          <w:rFonts w:ascii="IRNazanin" w:hAnsi="IRNazanin" w:eastAsia="IRNazanin"/>
          <w:color w:val="111111"/>
          <w:sz w:val="28"/>
          <w:sz w:val="28"/>
          <w:szCs w:val="28"/>
          <w:rtl w:val="true"/>
          <w:lang w:bidi="fa-IR"/>
        </w:rPr>
        <w:t>و یتّجر لنفسه، أو للطفل، فالأقسام ثمانیة</w:t>
      </w:r>
      <w:r>
        <w:rPr>
          <w:rFonts w:eastAsia="IRNazanin" w:cs="IRNazanin"/>
          <w:color w:val="111111"/>
          <w:sz w:val="28"/>
          <w:szCs w:val="28"/>
          <w:rtl w:val="true"/>
          <w:lang w:bidi="fa-IR"/>
        </w:rPr>
        <w:t>:</w:t>
      </w:r>
    </w:p>
    <w:p>
      <w:pPr>
        <w:pStyle w:val="Heading6"/>
        <w:numPr>
          <w:ilvl w:val="5"/>
          <w:numId w:val="1"/>
        </w:numPr>
        <w:rPr/>
      </w:pPr>
      <w:bookmarkStart w:id="208" w:name="__RefHeading___Toc9643569_73709187"/>
      <w:bookmarkStart w:id="209" w:name="_Toc79"/>
      <w:bookmarkEnd w:id="208"/>
      <w:r>
        <w:rPr>
          <w:rtl w:val="true"/>
        </w:rPr>
        <w:t>القسم الاول</w:t>
      </w:r>
      <w:r>
        <w:rPr>
          <w:rtl w:val="true"/>
        </w:rPr>
        <w:t xml:space="preserve">: </w:t>
      </w:r>
      <w:r>
        <w:rPr>
          <w:rtl w:val="true"/>
        </w:rPr>
        <w:t>اتّجار الولیّ للطفل</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ولیّا ملیّا و یتّجر للطفل مع رعایة المصلحة، فإن ربح کان لهما، و إن خسر کان علیهما، فحینئذ یستحبّ للولیّ إخراج الزکاة من</w:t>
      </w:r>
      <w:bookmarkStart w:id="210" w:name="pg11756_103896"/>
    </w:p>
    <w:p>
      <w:pPr>
        <w:pStyle w:val="BookText"/>
        <w:rPr/>
      </w:pPr>
      <w:bookmarkEnd w:id="210"/>
      <w:r>
        <w:rPr>
          <w:rFonts w:ascii="IRNazanin" w:hAnsi="IRNazanin" w:eastAsia="IRNazanin"/>
          <w:color w:val="111111"/>
          <w:sz w:val="28"/>
          <w:sz w:val="28"/>
          <w:szCs w:val="28"/>
          <w:rtl w:val="true"/>
          <w:lang w:bidi="fa-IR"/>
        </w:rPr>
        <w:t>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اتّجر متّجر بأموالهم نظرا لهم یستحبّ له أن یخرج من أموالهم الزکاة</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502"/>
      </w:r>
      <w:r>
        <w:rPr>
          <w:rFonts w:ascii="Amiri" w:hAnsi="Amiri" w:eastAsia="Amiri" w:cs="Amiri"/>
          <w:color w:val="111111"/>
          <w:sz w:val="28"/>
          <w:sz w:val="28"/>
          <w:szCs w:val="28"/>
          <w:rtl w:val="true"/>
          <w:lang w:bidi="ar-SA"/>
        </w:rPr>
        <w:t>، و به قال العلاّمة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 إلاّ أن یتّجر به، فإن اتّجر به فعلیه الزکاة</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و لعلّ مراده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الحکم الإجماع، کما فی المعتبر</w:t>
      </w:r>
      <w:r>
        <w:rPr>
          <w:rStyle w:val="FootnoteAnchor"/>
          <w:rtl w:val="true"/>
        </w:rPr>
        <w:footnoteReference w:id="505"/>
      </w:r>
      <w:r>
        <w:rPr>
          <w:rFonts w:ascii="IRNazanin" w:hAnsi="IRNazanin" w:eastAsia="IRNazanin"/>
          <w:color w:val="111111"/>
          <w:sz w:val="28"/>
          <w:sz w:val="28"/>
          <w:szCs w:val="28"/>
          <w:rtl w:val="true"/>
          <w:lang w:bidi="fa-IR"/>
        </w:rPr>
        <w:t>و النهایة</w:t>
      </w:r>
      <w:r>
        <w:rPr>
          <w:rStyle w:val="FootnoteAnchor"/>
          <w:rtl w:val="true"/>
        </w:rPr>
        <w:footnoteReference w:id="506"/>
      </w:r>
      <w:r>
        <w:rPr>
          <w:rFonts w:ascii="IRNazanin" w:hAnsi="IRNazanin" w:eastAsia="IRNazanin"/>
          <w:color w:val="111111"/>
          <w:sz w:val="28"/>
          <w:sz w:val="28"/>
          <w:szCs w:val="28"/>
          <w:rtl w:val="true"/>
          <w:lang w:bidi="fa-IR"/>
        </w:rPr>
        <w:t>، و حکاه فی مفتاح الکرامة</w:t>
      </w:r>
      <w:r>
        <w:rPr>
          <w:rStyle w:val="FootnoteAnchor"/>
          <w:rtl w:val="true"/>
        </w:rPr>
        <w:footnoteReference w:id="507"/>
      </w:r>
      <w:r>
        <w:rPr>
          <w:rFonts w:ascii="IRNazanin" w:hAnsi="IRNazanin" w:eastAsia="IRNazanin"/>
          <w:color w:val="111111"/>
          <w:sz w:val="28"/>
          <w:sz w:val="28"/>
          <w:szCs w:val="28"/>
          <w:rtl w:val="true"/>
          <w:lang w:bidi="fa-IR"/>
        </w:rPr>
        <w:t>، و النصوص التی هی العمدة؛ لأنّ الإجماع مدرکی، کصحیحة محمّد بن مسلم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یتّجر به أو تعمل به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و صحیحة یونس بن یعقوب</w:t>
      </w:r>
      <w:r>
        <w:rPr>
          <w:rStyle w:val="FootnoteAnchor"/>
          <w:rtl w:val="true"/>
        </w:rPr>
        <w:footnoteReference w:id="509"/>
      </w:r>
      <w:r>
        <w:rPr>
          <w:rFonts w:ascii="IRNazanin" w:hAnsi="IRNazanin" w:eastAsia="IRNazanin"/>
          <w:color w:val="111111"/>
          <w:sz w:val="28"/>
          <w:sz w:val="28"/>
          <w:szCs w:val="28"/>
          <w:rtl w:val="true"/>
          <w:lang w:bidi="fa-IR"/>
        </w:rPr>
        <w:t>و غیرهما الذی سنذکرها قریبا</w:t>
      </w:r>
      <w:r>
        <w:rPr>
          <w:rFonts w:eastAsia="IRNazanin" w:cs="IRNazanin"/>
          <w:color w:val="111111"/>
          <w:sz w:val="28"/>
          <w:szCs w:val="28"/>
          <w:rtl w:val="true"/>
          <w:lang w:bidi="fa-IR"/>
        </w:rPr>
        <w:t>.</w:t>
      </w:r>
    </w:p>
    <w:p>
      <w:pPr>
        <w:pStyle w:val="Heading6"/>
        <w:numPr>
          <w:ilvl w:val="5"/>
          <w:numId w:val="1"/>
        </w:numPr>
        <w:rPr/>
      </w:pPr>
      <w:bookmarkStart w:id="211" w:name="__RefHeading___Toc9643571_73709187"/>
      <w:bookmarkStart w:id="212" w:name="_Toc80"/>
      <w:bookmarkEnd w:id="211"/>
      <w:r>
        <w:rPr>
          <w:rtl w:val="true"/>
        </w:rPr>
        <w:t>لمن الربح و علی من الخسارة؟</w:t>
      </w:r>
      <w:bookmarkEnd w:id="2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القاعدة العامّة تقتضی فی الاتّجار بمال الغیر مع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أنّ فی المقام یکون الولیّ مأذونا شرعا فی التصرّف فی مال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w:t>
      </w:r>
      <w:bookmarkStart w:id="213" w:name="pg11756_103897"/>
    </w:p>
    <w:p>
      <w:pPr>
        <w:pStyle w:val="BookText"/>
        <w:rPr/>
      </w:pPr>
      <w:bookmarkEnd w:id="213"/>
      <w:r>
        <w:rPr>
          <w:rFonts w:ascii="IRNazanin" w:hAnsi="IRNazanin" w:eastAsia="IRNazanin"/>
          <w:color w:val="111111"/>
          <w:sz w:val="28"/>
          <w:sz w:val="28"/>
          <w:szCs w:val="28"/>
          <w:rtl w:val="true"/>
          <w:lang w:bidi="fa-IR"/>
        </w:rPr>
        <w:t>لصاحب المال و الخسارة علیه، و المتّجر إن قام بذلک تبرّعا فلا یستحقّ شیئا، أمّا إذا کان أجیرا فله المطالبة بالاجرة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یکون مقتضاها فی المضاربة أن یکون الربح بین صاحب المال و العامل المضارب بالنسبة التی اتّفقا علیها، و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تنشأ من تعدّی العامل و تفریطه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ورد التعبیر بکلّ من الاتّجار بمال الطفل و المضاربة بماله، فتطبیق القاعدتین المذکورتین یقتضی أن یکون الربح کلّه للطفل و الخسارة کلّها علیه فی التجارة، و أن یکون الربح مشترکا بین الطفل و الولیّ، و الخسارة کلّها علی الطفل فی المضاربة، لکنّ النصوص الواردة فی المقام لا تساعد علی ذلک، و إلیک نصّ بعضها</w:t>
      </w:r>
      <w:r>
        <w:rPr>
          <w:rFonts w:eastAsia="IRNazanin" w:cs="IRNazanin"/>
          <w:color w:val="111111"/>
          <w:sz w:val="28"/>
          <w:szCs w:val="28"/>
          <w:rtl w:val="true"/>
          <w:lang w:bidi="fa-IR"/>
        </w:rPr>
        <w:t>:</w:t>
      </w:r>
    </w:p>
    <w:p>
      <w:pPr>
        <w:pStyle w:val="Heading6"/>
        <w:numPr>
          <w:ilvl w:val="5"/>
          <w:numId w:val="1"/>
        </w:numPr>
        <w:rPr/>
      </w:pPr>
      <w:bookmarkStart w:id="214" w:name="__RefHeading___Toc9643573_73709187"/>
      <w:bookmarkStart w:id="215" w:name="_Toc81"/>
      <w:bookmarkEnd w:id="214"/>
      <w:r>
        <w:rPr>
          <w:rtl w:val="true"/>
        </w:rPr>
        <w:t>نصوص حول الربح و الخسارة</w:t>
      </w:r>
      <w:bookmarkEnd w:id="215"/>
    </w:p>
    <w:p>
      <w:pPr>
        <w:pStyle w:val="Heading6"/>
        <w:numPr>
          <w:ilvl w:val="5"/>
          <w:numId w:val="1"/>
        </w:numPr>
        <w:rPr/>
      </w:pPr>
      <w:bookmarkStart w:id="216" w:name="__RefHeading___Toc9643575_73709187"/>
      <w:bookmarkStart w:id="217" w:name="_Toc82"/>
      <w:bookmarkEnd w:id="216"/>
      <w:r>
        <w:rPr>
          <w:rtl w:val="true"/>
        </w:rPr>
        <w:t xml:space="preserve">أ </w:t>
      </w:r>
      <w:r>
        <w:rPr>
          <w:rtl w:val="true"/>
        </w:rPr>
        <w:t xml:space="preserve">- </w:t>
      </w:r>
      <w:r>
        <w:rPr>
          <w:rtl w:val="true"/>
        </w:rPr>
        <w:t>فی التجارة</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عن زرارة و بکیر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الجوهر و أشباهه زکاة و إن کثر، و لیس فی نقر الفضّة</w:t>
      </w:r>
      <w:r>
        <w:rPr>
          <w:rStyle w:val="FootnoteAnchor"/>
          <w:rtl w:val="true"/>
        </w:rPr>
        <w:footnoteReference w:id="510"/>
      </w:r>
      <w:r>
        <w:rPr>
          <w:rFonts w:ascii="IRNazanin" w:hAnsi="IRNazanin" w:eastAsia="IRNazanin"/>
          <w:color w:val="111111"/>
          <w:sz w:val="28"/>
          <w:sz w:val="28"/>
          <w:szCs w:val="28"/>
          <w:rtl w:val="true"/>
          <w:lang w:bidi="fa-IR"/>
        </w:rPr>
        <w:t>زکاة، و لا علی مال الیتیم زکاة إلاّ أن یتّجر به، فإن اتّجر به ففیه الزکاة، و الربح للیتیم و علی التاجر ضمان المال</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تجعل الخسارة علی التاجر لا 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بسنده عن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إلاّ أن یتّجر به، فإن اتّجر به فالربح للیتیم، و إن وضع</w:t>
      </w:r>
      <w:bookmarkStart w:id="218" w:name="pg11756_103898"/>
    </w:p>
    <w:p>
      <w:pPr>
        <w:pStyle w:val="BookText"/>
        <w:rPr/>
      </w:pPr>
      <w:bookmarkEnd w:id="218"/>
      <w:r>
        <w:rPr>
          <w:rFonts w:ascii="IRNazanin" w:hAnsi="IRNazanin" w:eastAsia="IRNazanin"/>
          <w:color w:val="111111"/>
          <w:sz w:val="28"/>
          <w:sz w:val="28"/>
          <w:szCs w:val="28"/>
          <w:rtl w:val="true"/>
          <w:lang w:bidi="fa-IR"/>
        </w:rPr>
        <w:t>فعلی الذی یتّجر به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بسنده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مال الیتیم فیتّجر به، أ یضمنه؟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Heading6"/>
        <w:numPr>
          <w:ilvl w:val="5"/>
          <w:numId w:val="1"/>
        </w:numPr>
        <w:rPr/>
      </w:pPr>
      <w:bookmarkStart w:id="219" w:name="__RefHeading___Toc9643577_73709187"/>
      <w:bookmarkStart w:id="220" w:name="_Toc83"/>
      <w:bookmarkEnd w:id="219"/>
      <w:r>
        <w:rPr>
          <w:rtl w:val="true"/>
        </w:rPr>
        <w:t xml:space="preserve">ب </w:t>
      </w:r>
      <w:r>
        <w:rPr>
          <w:rtl w:val="true"/>
        </w:rPr>
        <w:t xml:space="preserve">- </w:t>
      </w:r>
      <w:r>
        <w:rPr>
          <w:rtl w:val="true"/>
        </w:rPr>
        <w:t>فی المضاربة</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بسند معتبر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مال الیتیم، علیه 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موضوعا فلیس علیه زکاة، فإذا عملت به فأنت له ضامن و الربح للیتیم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الفقیه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مال الیتیم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مال و ضمنته فلک الربح، و أنت ضامن للمال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w:t>
      </w:r>
      <w:r>
        <w:rPr>
          <w:rStyle w:val="FootnoteAnchor"/>
          <w:rtl w:val="true"/>
        </w:rPr>
        <w:footnoteReference w:id="516"/>
      </w:r>
      <w:r>
        <w:rPr>
          <w:rFonts w:ascii="IRNazanin" w:hAnsi="IRNazanin" w:eastAsia="IRNazanin"/>
          <w:color w:val="111111"/>
          <w:sz w:val="28"/>
          <w:sz w:val="28"/>
          <w:szCs w:val="28"/>
          <w:rtl w:val="true"/>
          <w:lang w:bidi="fa-IR"/>
        </w:rPr>
        <w:t>منه أنّه فی صورة عدم تضمین العامل المال فالربح للیتیم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بالنظر إلی إطلاق الروایات لا بدّ من الخروج</w:t>
      </w:r>
      <w:r>
        <w:rPr>
          <w:rStyle w:val="FootnoteAnchor"/>
          <w:rtl w:val="true"/>
        </w:rPr>
        <w:footnoteReference w:id="517"/>
      </w:r>
      <w:r>
        <w:rPr>
          <w:rFonts w:ascii="IRNazanin" w:hAnsi="IRNazanin" w:eastAsia="IRNazanin"/>
          <w:color w:val="111111"/>
          <w:sz w:val="28"/>
          <w:sz w:val="28"/>
          <w:szCs w:val="28"/>
          <w:rtl w:val="true"/>
          <w:lang w:bidi="fa-IR"/>
        </w:rPr>
        <w:t>عمّا هو مقتضی القاعدة فی التجارة للغیر من حیث الخسارة، و ما هو مقتضی القاعدة فی المضاربة للغیر من حیث الربح</w:t>
      </w:r>
      <w:r>
        <w:rPr>
          <w:rFonts w:eastAsia="IRNazanin" w:cs="IRNazanin"/>
          <w:color w:val="111111"/>
          <w:sz w:val="28"/>
          <w:szCs w:val="28"/>
          <w:rtl w:val="true"/>
          <w:lang w:bidi="fa-IR"/>
        </w:rPr>
        <w:t>.</w:t>
      </w:r>
      <w:bookmarkStart w:id="221" w:name="pg11756_103899"/>
    </w:p>
    <w:p>
      <w:pPr>
        <w:pStyle w:val="BookText"/>
        <w:rPr/>
      </w:pPr>
      <w:bookmarkEnd w:id="221"/>
      <w:r>
        <w:rPr>
          <w:rFonts w:ascii="IRNazanin" w:hAnsi="IRNazanin" w:eastAsia="IRNazanin"/>
          <w:color w:val="111111"/>
          <w:sz w:val="28"/>
          <w:sz w:val="28"/>
          <w:szCs w:val="28"/>
          <w:rtl w:val="true"/>
          <w:lang w:bidi="fa-IR"/>
        </w:rPr>
        <w:t xml:space="preserve">نعم، روایة أبی الربیع تطابق القاعدتین 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قاعدة عدم الضمان فی التجارة و قاعدة کون الربح بینهما فی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سندها ضعیف، و إلیک نصّ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بإسناده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یکون فی یدیه مال لأخ له یتیم، و هو وصیّه، أ یصلح له أن یعمل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کما یعمل بمال غیره، 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جمیع هذه الروایات أنّه یتحقّق فی هذا القسم ثلاثة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الربح للیتیم، و استحباب الزکاة له، و ضمان التاجر للمال</w:t>
      </w:r>
      <w:r>
        <w:rPr>
          <w:rFonts w:eastAsia="IRNazanin" w:cs="IRNazanin"/>
          <w:color w:val="111111"/>
          <w:sz w:val="28"/>
          <w:szCs w:val="28"/>
          <w:rtl w:val="true"/>
          <w:lang w:bidi="fa-IR"/>
        </w:rPr>
        <w:t>.</w:t>
      </w:r>
    </w:p>
    <w:p>
      <w:pPr>
        <w:pStyle w:val="Heading6"/>
        <w:numPr>
          <w:ilvl w:val="5"/>
          <w:numId w:val="1"/>
        </w:numPr>
        <w:rPr/>
      </w:pPr>
      <w:bookmarkStart w:id="222" w:name="__RefHeading___Toc9643579_73709187"/>
      <w:bookmarkStart w:id="223" w:name="_Toc84"/>
      <w:bookmarkEnd w:id="222"/>
      <w:r>
        <w:rPr>
          <w:rtl w:val="true"/>
        </w:rPr>
        <w:t>القسم الثانی</w:t>
      </w:r>
      <w:r>
        <w:rPr>
          <w:rtl w:val="true"/>
        </w:rPr>
        <w:t xml:space="preserve">: </w:t>
      </w:r>
      <w:r>
        <w:rPr>
          <w:rtl w:val="true"/>
        </w:rPr>
        <w:t>اتّجار الولیّ بمال الطفل لنفسه</w:t>
      </w:r>
      <w:bookmarkEnd w:id="223"/>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التاجر بمال الطفل ولیّا ملیّا و یتّجر لنفسه، بعد فرض اقتراض الولیّ من مال الطفل، و کانت فیه مصلحة له، فیضمن ما یتلف، و الربح له، و الزکاة علیه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اتّجر لنفسه دونهم و کان فی الحال متمکّنا من ضمان ذلک المال و غرامته کانت الزکاة علیه و الربح له</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الشرائع</w:t>
      </w:r>
      <w:r>
        <w:rPr>
          <w:rStyle w:val="FootnoteAnchor"/>
          <w:rtl w:val="true"/>
        </w:rPr>
        <w:footnoteReference w:id="520"/>
      </w:r>
      <w:r>
        <w:rPr>
          <w:rFonts w:ascii="IRNazanin" w:hAnsi="IRNazanin" w:eastAsia="IRNazanin"/>
          <w:color w:val="111111"/>
          <w:sz w:val="28"/>
          <w:sz w:val="28"/>
          <w:szCs w:val="28"/>
          <w:rtl w:val="true"/>
          <w:lang w:bidi="fa-IR"/>
        </w:rPr>
        <w:t>و التذکرة</w:t>
      </w:r>
      <w:r>
        <w:rPr>
          <w:rStyle w:val="FootnoteAnchor"/>
          <w:rtl w:val="true"/>
        </w:rPr>
        <w:footnoteReference w:id="521"/>
      </w:r>
      <w:r>
        <w:rPr>
          <w:rFonts w:ascii="IRNazanin" w:hAnsi="IRNazanin" w:eastAsia="IRNazanin"/>
          <w:color w:val="111111"/>
          <w:sz w:val="28"/>
          <w:sz w:val="28"/>
          <w:szCs w:val="28"/>
          <w:rtl w:val="true"/>
          <w:lang w:bidi="fa-IR"/>
        </w:rPr>
        <w:t>و المسالک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 لا إشکال فی</w:t>
      </w:r>
    </w:p>
    <w:p>
      <w:pPr>
        <w:pStyle w:val="BookText"/>
        <w:rPr/>
      </w:pPr>
      <w:r>
        <w:rPr>
          <w:rFonts w:ascii="IRNazanin" w:hAnsi="IRNazanin" w:eastAsia="IRNazanin"/>
          <w:color w:val="111111"/>
          <w:sz w:val="28"/>
          <w:sz w:val="28"/>
          <w:szCs w:val="28"/>
          <w:rtl w:val="true"/>
          <w:lang w:bidi="fa-IR"/>
        </w:rPr>
        <w:t>شیء من ذلک، إلاّ فی أصل جواز اقتراض الولیّ مال الطفل</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مصباح الفقیه،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جواز اقتراض الولیّ الملیّ مال الطفل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إطلاقه لا یخلو من إشکال</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لا یکون هذا إجماعا تعبّدیّا کاشفا عن قول المعصوم، حیث إنّه لم تطرح المسألة فی کلمات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النصوص،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مال الیتیم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مال و ضمنته فلک الربح و أنت ضامن للمال، و إن کان لا مال لک و عملت به فالربح للغلام، و أنت ضامن للمال</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526"/>
      </w:r>
      <w:r>
        <w:rPr>
          <w:rFonts w:ascii="IRNazanin" w:hAnsi="IRNazanin" w:eastAsia="IRNazanin"/>
          <w:color w:val="111111"/>
          <w:sz w:val="28"/>
          <w:sz w:val="28"/>
          <w:szCs w:val="28"/>
          <w:rtl w:val="true"/>
          <w:lang w:bidi="fa-IR"/>
        </w:rPr>
        <w:t>أبی العطارد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فأتّجر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حرّکته فعلیک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احرّکه ثمانیة أشهر و أدعه أربعة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دلالتها واضحة، و لکن حملها الشیخ علی أنّ الولیّ یخرج الزکاة من مال الطفل، و أنّ علیه تولّی إخراج زکاته دون أن یکون ذلک لازما فی ماله؛ لأنّه</w:t>
      </w:r>
      <w:bookmarkStart w:id="224" w:name="pg11756_103901"/>
    </w:p>
    <w:p>
      <w:pPr>
        <w:pStyle w:val="BookText"/>
        <w:rPr/>
      </w:pPr>
      <w:bookmarkEnd w:id="224"/>
      <w:r>
        <w:rPr>
          <w:rFonts w:ascii="IRNazanin" w:hAnsi="IRNazanin" w:eastAsia="IRNazanin"/>
          <w:color w:val="111111"/>
          <w:sz w:val="28"/>
          <w:sz w:val="28"/>
          <w:szCs w:val="28"/>
          <w:rtl w:val="true"/>
          <w:lang w:bidi="fa-IR"/>
        </w:rPr>
        <w:t>إذا اتّجر بالمال ضمنه، و إذا ضمنه لم یلزمه مع ذلک إخراج الزکاة من ماله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خلاف</w:t>
      </w:r>
      <w:r>
        <w:rPr>
          <w:rStyle w:val="FootnoteAnchor"/>
          <w:rtl w:val="true"/>
        </w:rPr>
        <w:footnoteReference w:id="529"/>
      </w:r>
      <w:r>
        <w:rPr>
          <w:rFonts w:ascii="IRNazanin" w:hAnsi="IRNazanin" w:eastAsia="IRNazanin"/>
          <w:color w:val="111111"/>
          <w:sz w:val="28"/>
          <w:sz w:val="28"/>
          <w:szCs w:val="28"/>
          <w:rtl w:val="true"/>
          <w:lang w:bidi="fa-IR"/>
        </w:rPr>
        <w:t>ظاهر الروایة؛ لأنّه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حرّکته فعلیک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قدّس سرّه قد صرّح به فی النهایة،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تلزمه فی حصّته الزکاة کما یلزمه لو کان المال له ندبا و استحبابا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الولیّ بالضمان یصیر مالکا لمال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جواز الاقتراض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یتّجر لنفسه، فتستحبّ له الزکاة؛ لأنّ هذه المسألة من أفراد مسألة استحباب الزکاة فی مال التجارة، فیشملها عموم دلیل استحباب الزکاة فی مال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إنّ الاتّجار لا یکون بمال الیتیم بل بمال الولیّ، فیستحبّ له إخراج الزکاة من ماله</w:t>
      </w:r>
      <w:r>
        <w:rPr>
          <w:rFonts w:eastAsia="IRNazanin" w:cs="IRNazanin"/>
          <w:color w:val="111111"/>
          <w:sz w:val="28"/>
          <w:szCs w:val="28"/>
          <w:rtl w:val="true"/>
          <w:lang w:bidi="fa-IR"/>
        </w:rPr>
        <w:t>.</w:t>
      </w:r>
    </w:p>
    <w:p>
      <w:pPr>
        <w:pStyle w:val="Heading6"/>
        <w:numPr>
          <w:ilvl w:val="5"/>
          <w:numId w:val="1"/>
        </w:numPr>
        <w:rPr/>
      </w:pPr>
      <w:bookmarkStart w:id="225" w:name="__RefHeading___Toc9643581_73709187"/>
      <w:bookmarkStart w:id="226" w:name="_Toc85"/>
      <w:bookmarkEnd w:id="225"/>
      <w:r>
        <w:rPr>
          <w:rtl w:val="true"/>
        </w:rPr>
        <w:t>القسم الثالث</w:t>
      </w:r>
      <w:r>
        <w:rPr>
          <w:rtl w:val="true"/>
        </w:rPr>
        <w:t xml:space="preserve">: </w:t>
      </w:r>
      <w:r>
        <w:rPr>
          <w:rtl w:val="true"/>
        </w:rPr>
        <w:t>ضمان الولیّ لمال الیتیم و اتّجاره لنفسه</w:t>
      </w:r>
      <w:bookmarkEnd w:id="2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المتّجر ولیّا غیر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یتمکّن فی الحال بأن یکون له مال بقدر مال الطفل لو قلنا باعتبار هذا القید فی جواز الاقتراض</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للولیّ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یتّجر لنفسه، فیضمن المال، فإن ربح کان ذلک للأطفال، و إن خسر کان علیه دونهم، و أمّا ثبوت الزکاة ففیه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اتّجر لنفسه بمالهم و لیس بمتمکّن فی الحال من مثله و ضمانه کان ضامنا للمال، فإن ربح کان ذلک للأیتام، و إن خسر کان علیه دونهم</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533"/>
      </w:r>
      <w:r>
        <w:rPr>
          <w:rFonts w:ascii="IRNazanin" w:hAnsi="IRNazanin" w:eastAsia="IRNazanin"/>
          <w:color w:val="111111"/>
          <w:sz w:val="28"/>
          <w:sz w:val="28"/>
          <w:szCs w:val="28"/>
          <w:rtl w:val="true"/>
          <w:lang w:bidi="fa-IR"/>
        </w:rPr>
        <w:t>و المسالک</w:t>
      </w:r>
      <w:r>
        <w:rPr>
          <w:rStyle w:val="FootnoteAnchor"/>
          <w:rtl w:val="true"/>
        </w:rPr>
        <w:footnoteReference w:id="534"/>
      </w:r>
      <w:r>
        <w:rPr>
          <w:rFonts w:ascii="IRNazanin" w:hAnsi="IRNazanin" w:eastAsia="IRNazanin"/>
          <w:color w:val="111111"/>
          <w:sz w:val="28"/>
          <w:sz w:val="28"/>
          <w:szCs w:val="28"/>
          <w:rtl w:val="true"/>
          <w:lang w:bidi="fa-IR"/>
        </w:rPr>
        <w:t>و الجواهر</w:t>
      </w:r>
      <w:r>
        <w:rPr>
          <w:rStyle w:val="FootnoteAnchor"/>
          <w:rtl w:val="true"/>
        </w:rPr>
        <w:footnoteReference w:id="535"/>
      </w:r>
      <w:r>
        <w:rPr>
          <w:rFonts w:ascii="IRNazanin" w:hAnsi="IRNazanin" w:eastAsia="IRNazanin"/>
          <w:color w:val="111111"/>
          <w:sz w:val="28"/>
          <w:sz w:val="28"/>
          <w:szCs w:val="28"/>
          <w:rtl w:val="true"/>
          <w:lang w:bidi="fa-IR"/>
        </w:rPr>
        <w:t>و غیرها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الضمان فلأنّ الاقتراض إنّما یسوغ مع الولایة و الملاءة، فمتی انتفی الوصفان أو أحدهما یکون المتصرّف عاصیا غاصبا؛ لحرمة التصرّف فی مال الغیر بغیر الولایة الشرعیّة، و المفروض فقدها فی المقام، فیترتّب علیه الضمان لا محالة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ربح المال یکون للیتیم فلأنّ الشراء وقع بعین ماله، کما هو المفروض، فیملک المبیع و یتبعه الربح، کما فی المدارک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مقتضی النصوص الکثیرة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ربعی عن أبی عبد اللّه علیه السّلام فی رجل عنده مال الیتیم،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و لیس له مال فلا یمسّ ماله، و إن هو اتّجر به فالربح للیتیم، و هو ضامن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إلاّ أن یتّجر به، فإن اتّجر به فالربح للیتیم، فإن وضع فعلی الذی یتّجر به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روایة منصور الصیقل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مال لک و عملت به فالربح للغلام، و أنت ضامن للمال</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صحیحة زرارة و بکیر المتقدّمة</w:t>
      </w:r>
      <w:r>
        <w:rPr>
          <w:rStyle w:val="FootnoteAnchor"/>
          <w:rtl w:val="true"/>
        </w:rPr>
        <w:footnoteReference w:id="541"/>
      </w:r>
      <w:r>
        <w:rPr>
          <w:rFonts w:ascii="IRNazanin" w:hAnsi="IRNazanin" w:eastAsia="IRNazanin"/>
          <w:color w:val="111111"/>
          <w:sz w:val="28"/>
          <w:sz w:val="28"/>
          <w:szCs w:val="28"/>
          <w:rtl w:val="true"/>
          <w:lang w:bidi="fa-IR"/>
        </w:rPr>
        <w:t>،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النصوص یشمل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الاقتراض باطلا کما فی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فیما إذا لم یکن المتّجر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فالتجارة لنفسه باطلة، فلا موضوع للربح حتّی یقال بأنّه للیتیم، و إن کان الاقتراض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فیما کان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یکون الربح له، مع أنّه یتّجر لنفسه؟ و ما معنی کون الربح للیتیم؟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بطلان الاقتراض فی هذه الصورة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الشارع لم یجوّز اقتراضه فهو فی الاتّجار فضولیّ، و قد أجازه الشارع للیتیم فیما کان له ربح، فیکون الربح له، و لم یجزه فیما کان فیه وضع و خسارة، فالضمان علی المتّجر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اتّجر لنفسه،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الاتّجار مبادلة مال بمال، و قصد کونه لنفسه خارج عن قوام المعاملة، کما فیما لو باع الغاصب لنفسه و تعقّبته إجازة المالک لنفسه، و العقد الذی یضرّ تخلّفه هو ما یرجع إلی رکن العقد، و هو العوضان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ذلک فالتعبّد بحسب النصوص یغنی عن جمیع ذلک</w:t>
      </w:r>
      <w:r>
        <w:rPr>
          <w:rStyle w:val="FootnoteAnchor"/>
          <w:rtl w:val="true"/>
        </w:rPr>
        <w:footnoteReference w:id="542"/>
      </w:r>
      <w:r>
        <w:rPr>
          <w:rFonts w:ascii="IRNazanin" w:hAnsi="IRNazanin" w:eastAsia="IRNazanin"/>
          <w:color w:val="111111"/>
          <w:sz w:val="28"/>
          <w:sz w:val="28"/>
          <w:szCs w:val="28"/>
          <w:rtl w:val="true"/>
          <w:lang w:bidi="fa-IR"/>
        </w:rPr>
        <w:t>، و النصوص تشمل المورد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وقعت المعاملة بعین مال الیتیم کما هو المفروض، و أمّا إذا وقعت فی الذمّة و دفع المتّجر مال الطفل عمّا فی الذمّة، فمقتضی القاعدة صحّة المعاملة لنفسه و الزکاة المستحبّة علیه، و کذا علیه ضمان مال الیتیم، و لکنّ ظاهر إطلاق</w:t>
      </w:r>
      <w:r>
        <w:rPr>
          <w:rStyle w:val="FootnoteAnchor"/>
          <w:rtl w:val="true"/>
        </w:rPr>
        <w:footnoteReference w:id="543"/>
      </w:r>
      <w:r>
        <w:rPr>
          <w:rFonts w:ascii="IRNazanin" w:hAnsi="IRNazanin" w:eastAsia="IRNazanin"/>
          <w:color w:val="111111"/>
          <w:sz w:val="28"/>
          <w:sz w:val="28"/>
          <w:szCs w:val="28"/>
          <w:rtl w:val="true"/>
          <w:lang w:bidi="fa-IR"/>
        </w:rPr>
        <w:t>الأخبار الدالّة علی ثبوت الربح للیتیم و الخسارة علی العامل یشمل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بأنّ صیرورة الربح له موقوفة علی صحّة المعاملة المتعلّقة بماله و المعاملة الصادرة من الولیّ غیر الملیّ بقصد وقوعها لنفسه کما هو المفروض، فقد وقعت باطلة؛ لعدم کونه مأذونا شرعا فی التصرّف بهذا الوجه، و لیست فضولیّة حتّی یصحّ أن تلحقها الإجازة؛ إذ لا معنی لإجازة عمل نفسه، و مسألة التجارة بمال الطفل خارجة عن مسألة الفضولی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العامّة غیر صالحة لمعارضة النصّ</w:t>
      </w:r>
      <w:bookmarkStart w:id="227" w:name="pg11756_103905"/>
    </w:p>
    <w:p>
      <w:pPr>
        <w:pStyle w:val="BookText"/>
        <w:rPr/>
      </w:pPr>
      <w:bookmarkEnd w:id="227"/>
      <w:r>
        <w:rPr>
          <w:rFonts w:ascii="IRNazanin" w:hAnsi="IRNazanin" w:eastAsia="IRNazanin"/>
          <w:color w:val="111111"/>
          <w:sz w:val="28"/>
          <w:sz w:val="28"/>
          <w:szCs w:val="28"/>
          <w:rtl w:val="true"/>
          <w:lang w:bidi="fa-IR"/>
        </w:rPr>
        <w:t>الخاصّ، فلا وقع لهذا الإشکال بعد الاعتراف بظهور النصوص و الفتاوی فی أنّ الربح للیتیم و الضمان للمتّجر فی الصورتین المفروضتین، المستلزم لمضیّ المعاملات المتعلّقة بماله، الموجبة لحصول الربح شرعا، کما فی مصباح الفقیه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9643583_73709187"/>
      <w:bookmarkStart w:id="229" w:name="_Toc86"/>
      <w:bookmarkEnd w:id="228"/>
      <w:r>
        <w:rPr>
          <w:rtl w:val="true"/>
        </w:rPr>
        <w:t>حکم الزکاة فی هذا القسم</w:t>
      </w:r>
      <w:bookmarkEnd w:id="229"/>
    </w:p>
    <w:p>
      <w:pPr>
        <w:pStyle w:val="BookText"/>
        <w:rPr/>
      </w:pPr>
      <w:r>
        <w:rPr>
          <w:rFonts w:ascii="IRNazanin" w:hAnsi="IRNazanin" w:eastAsia="IRNazanin"/>
          <w:color w:val="111111"/>
          <w:sz w:val="28"/>
          <w:sz w:val="28"/>
          <w:szCs w:val="28"/>
          <w:rtl w:val="true"/>
          <w:lang w:bidi="fa-IR"/>
        </w:rPr>
        <w:t>و أمّا استحباب الزکاة فقد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زکاة هاهنا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546"/>
      </w:r>
      <w:r>
        <w:rPr>
          <w:rFonts w:ascii="IRNazanin" w:hAnsi="IRNazanin" w:eastAsia="IRNazanin"/>
          <w:color w:val="111111"/>
          <w:sz w:val="28"/>
          <w:sz w:val="28"/>
          <w:szCs w:val="28"/>
          <w:rtl w:val="true"/>
          <w:lang w:bidi="fa-IR"/>
        </w:rPr>
        <w:t>، و به قال العلاّمة فی جملة من کتبه</w:t>
      </w:r>
      <w:r>
        <w:rPr>
          <w:rStyle w:val="FootnoteAnchor"/>
          <w:rtl w:val="true"/>
        </w:rPr>
        <w:footnoteReference w:id="547"/>
      </w:r>
      <w:r>
        <w:rPr>
          <w:rFonts w:ascii="IRNazanin" w:hAnsi="IRNazanin" w:eastAsia="IRNazanin"/>
          <w:color w:val="111111"/>
          <w:sz w:val="28"/>
          <w:sz w:val="28"/>
          <w:szCs w:val="28"/>
          <w:rtl w:val="true"/>
          <w:lang w:bidi="fa-IR"/>
        </w:rPr>
        <w:t>، و اختاره فی الجواهر</w:t>
      </w:r>
      <w:r>
        <w:rPr>
          <w:rStyle w:val="FootnoteAnchor"/>
          <w:rtl w:val="true"/>
        </w:rPr>
        <w:footnoteReference w:id="548"/>
      </w:r>
      <w:r>
        <w:rPr>
          <w:rFonts w:ascii="IRNazanin" w:hAnsi="IRNazanin" w:eastAsia="IRNazanin"/>
          <w:color w:val="111111"/>
          <w:sz w:val="28"/>
          <w:sz w:val="28"/>
          <w:szCs w:val="28"/>
          <w:rtl w:val="true"/>
          <w:lang w:bidi="fa-IR"/>
        </w:rPr>
        <w:t>و المستند</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ذکروه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التاجر فلأنّ الربح لیس له، فلا تستحبّ له الزکاة کما تدلّ علیه موثّقة سماعة،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لعمری لا أجمع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الزکاة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نفی الاستحباب عن الیتیم فلأنّ المتیقّن أو الظاهر من النصوص أن تکون التجارة بمال الیتیم للیتیم نفسه، و أمّا إذا لم تکن التجارة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رجعت النتیجة إلیه و کان الربح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منصرفة عنه، و حینئذ إخراج الزکاة من مال الطفل یحتاج إلی دلیل، و لا دلیل هنا فلا استحباب</w:t>
      </w:r>
      <w:r>
        <w:rPr>
          <w:rFonts w:eastAsia="IRNazanin" w:cs="IRNazanin"/>
          <w:color w:val="111111"/>
          <w:sz w:val="28"/>
          <w:szCs w:val="28"/>
          <w:rtl w:val="true"/>
          <w:lang w:bidi="fa-IR"/>
        </w:rPr>
        <w:t>.</w:t>
      </w:r>
      <w:bookmarkStart w:id="230" w:name="pg11756_103906"/>
    </w:p>
    <w:p>
      <w:pPr>
        <w:pStyle w:val="BookText"/>
        <w:rPr/>
      </w:pPr>
      <w:bookmarkEnd w:id="230"/>
      <w:r>
        <w:rPr>
          <w:rFonts w:ascii="IRNazanin" w:hAnsi="IRNazanin" w:eastAsia="IRNazanin"/>
          <w:color w:val="111111"/>
          <w:sz w:val="28"/>
          <w:sz w:val="28"/>
          <w:szCs w:val="28"/>
          <w:rtl w:val="true"/>
          <w:lang w:bidi="fa-IR"/>
        </w:rPr>
        <w:t>و لکن رجّح الشهیدان</w:t>
      </w:r>
      <w:r>
        <w:rPr>
          <w:rStyle w:val="FootnoteAnchor"/>
          <w:rtl w:val="true"/>
        </w:rPr>
        <w:footnoteReference w:id="551"/>
      </w:r>
      <w:r>
        <w:rPr>
          <w:rFonts w:ascii="IRNazanin" w:hAnsi="IRNazanin" w:eastAsia="IRNazanin"/>
          <w:color w:val="111111"/>
          <w:sz w:val="28"/>
          <w:sz w:val="28"/>
          <w:szCs w:val="28"/>
          <w:rtl w:val="true"/>
          <w:lang w:bidi="fa-IR"/>
        </w:rPr>
        <w:t>و المحقّق الثانی</w:t>
      </w:r>
      <w:r>
        <w:rPr>
          <w:rStyle w:val="FootnoteAnchor"/>
          <w:rtl w:val="true"/>
        </w:rPr>
        <w:footnoteReference w:id="552"/>
      </w:r>
      <w:r>
        <w:rPr>
          <w:rFonts w:ascii="IRNazanin" w:hAnsi="IRNazanin" w:eastAsia="IRNazanin"/>
          <w:color w:val="111111"/>
          <w:sz w:val="28"/>
          <w:sz w:val="28"/>
          <w:szCs w:val="28"/>
          <w:rtl w:val="true"/>
          <w:lang w:bidi="fa-IR"/>
        </w:rPr>
        <w:t>و السیّد الفقیه صاحب المدارک</w:t>
      </w:r>
      <w:r>
        <w:rPr>
          <w:rStyle w:val="FootnoteAnchor"/>
          <w:rtl w:val="true"/>
        </w:rPr>
        <w:footnoteReference w:id="553"/>
      </w:r>
      <w:r>
        <w:rPr>
          <w:rFonts w:ascii="IRNazanin" w:hAnsi="IRNazanin" w:eastAsia="IRNazanin"/>
          <w:color w:val="111111"/>
          <w:sz w:val="28"/>
          <w:sz w:val="28"/>
          <w:szCs w:val="28"/>
          <w:rtl w:val="true"/>
          <w:lang w:bidi="fa-IR"/>
        </w:rPr>
        <w:t>استحباب إخراج الزکاة من مال الطفل فی کلّ موضع یقع الشراء له، حیث إنّ مال التجارة للیتیم، فیشمله ما یستدلّ به علی الزکاة فی ماله، و لا زکاة علی التاجر، فإنّه لا مال له، مضافا إلی أنّ موثّقة سماعة المتقدّمة آنفا تدلّ علیه أیضا، کما فی تقریرات بعض الأعلام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مشکل</w:t>
      </w:r>
      <w:r>
        <w:rPr>
          <w:rStyle w:val="FootnoteAnchor"/>
          <w:rtl w:val="true"/>
        </w:rPr>
        <w:footnoteReference w:id="555"/>
      </w:r>
      <w:r>
        <w:rPr>
          <w:rFonts w:ascii="IRNazanin" w:hAnsi="IRNazanin" w:eastAsia="IRNazanin"/>
          <w:color w:val="111111"/>
          <w:sz w:val="28"/>
          <w:sz w:val="28"/>
          <w:szCs w:val="28"/>
          <w:rtl w:val="true"/>
          <w:lang w:bidi="fa-IR"/>
        </w:rPr>
        <w:t>؛ لظهور الأخبار فی غیر ذلک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9643585_73709187"/>
      <w:bookmarkStart w:id="232" w:name="_Toc87"/>
      <w:bookmarkEnd w:id="231"/>
      <w:r>
        <w:rPr>
          <w:rtl w:val="true"/>
        </w:rPr>
        <w:t>القسم الرابع</w:t>
      </w:r>
      <w:r>
        <w:rPr>
          <w:rtl w:val="true"/>
        </w:rPr>
        <w:t xml:space="preserve">: </w:t>
      </w:r>
      <w:r>
        <w:rPr>
          <w:rtl w:val="true"/>
        </w:rPr>
        <w:t>اتّجار ولیّ الطفل غیر الملیّ بماله</w:t>
      </w:r>
      <w:bookmarkEnd w:id="2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المتّجر ولیّا غیر ملیّ و یتّجر للطفل، فالضمان علی التاجر، و الربح للیتیم، و تستحبّ الزکاة؛ لحرمة التصرّف فی مال الغیر بغیر الولایة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فقدها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یشترط بحسب النصوص أن یکون الولیّ ملیّا، فیلزمه الضمان مع فقد الوصف؛ لأدلّة ضمان الید العادیة، و لأنّ ظاهر کثیر من الروایات المتقدّمة کون الربح للیتیم و الخسران علی العامل</w:t>
      </w:r>
      <w:r>
        <w:rPr>
          <w:rFonts w:eastAsia="IRNazanin" w:cs="IRNazanin"/>
          <w:color w:val="111111"/>
          <w:sz w:val="28"/>
          <w:szCs w:val="28"/>
          <w:rtl w:val="true"/>
          <w:lang w:bidi="fa-IR"/>
        </w:rPr>
        <w:t>.</w:t>
      </w:r>
      <w:bookmarkStart w:id="233" w:name="pg11756_103907"/>
    </w:p>
    <w:p>
      <w:pPr>
        <w:pStyle w:val="BookText"/>
        <w:rPr/>
      </w:pPr>
      <w:bookmarkEnd w:id="233"/>
      <w:r>
        <w:rPr>
          <w:rFonts w:ascii="IRNazanin" w:hAnsi="IRNazanin" w:eastAsia="IRNazanin"/>
          <w:color w:val="111111"/>
          <w:sz w:val="28"/>
          <w:sz w:val="28"/>
          <w:szCs w:val="28"/>
          <w:rtl w:val="true"/>
          <w:lang w:bidi="fa-IR"/>
        </w:rPr>
        <w:t>و أمّا الحکم بثبوت الزکاة فی مال الیتیم فإنّه ظاهر صحیحة زرارة و بکیر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 إلاّ أن یتّجر به، فإن اتّجر به ففیه الزکاة و الربح للیتیم، و علی التاجر ضمان المال</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روایة سعید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إلاّ أن یتّجر به، فإن اتّجر به فالربح للیتیم، و إن وضع فعلی الذی یتّجر به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9643587_73709187"/>
      <w:bookmarkStart w:id="235" w:name="_Toc88"/>
      <w:bookmarkEnd w:id="234"/>
      <w:r>
        <w:rPr>
          <w:rtl w:val="true"/>
        </w:rPr>
        <w:t>القسم الخامس</w:t>
      </w:r>
      <w:r>
        <w:rPr>
          <w:rtl w:val="true"/>
        </w:rPr>
        <w:t xml:space="preserve">: </w:t>
      </w:r>
      <w:r>
        <w:rPr>
          <w:rtl w:val="true"/>
        </w:rPr>
        <w:t>اتّجار غیر الولیّ بمال الطفل للطفل</w:t>
      </w:r>
      <w:bookmarkEnd w:id="235"/>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المتّجر ملیّا غیر ولیّ و یتّجر للطفل، و فی هذه الصورة یکون الربح للطفل؛ لإطلاق النصوص المتقدّمة، و یکون التاجر ضامنا؛ لحرمة التصرّف فی مال الغیر بغیر ولایة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الزکاة فقد حکم المحقّق</w:t>
      </w:r>
      <w:r>
        <w:rPr>
          <w:rStyle w:val="FootnoteAnchor"/>
          <w:rtl w:val="true"/>
        </w:rPr>
        <w:footnoteReference w:id="559"/>
      </w:r>
      <w:r>
        <w:rPr>
          <w:rFonts w:ascii="Amiri" w:hAnsi="Amiri" w:eastAsia="Amiri" w:cs="Amiri"/>
          <w:color w:val="111111"/>
          <w:sz w:val="28"/>
          <w:sz w:val="28"/>
          <w:szCs w:val="28"/>
          <w:rtl w:val="true"/>
          <w:lang w:bidi="ar-SA"/>
        </w:rPr>
        <w:t>و العلاّمة</w:t>
      </w:r>
      <w:r>
        <w:rPr>
          <w:rStyle w:val="FootnoteAnchor"/>
          <w:rtl w:val="true"/>
        </w:rPr>
        <w:footnoteReference w:id="560"/>
      </w:r>
      <w:r>
        <w:rPr>
          <w:rFonts w:ascii="IRNazanin" w:hAnsi="IRNazanin" w:eastAsia="IRNazanin"/>
          <w:color w:val="111111"/>
          <w:sz w:val="28"/>
          <w:sz w:val="28"/>
          <w:szCs w:val="28"/>
          <w:rtl w:val="true"/>
          <w:lang w:bidi="fa-IR"/>
        </w:rPr>
        <w:t>و غیرهما</w:t>
      </w:r>
      <w:r>
        <w:rPr>
          <w:rStyle w:val="FootnoteAnchor"/>
          <w:rtl w:val="true"/>
        </w:rPr>
        <w:footnoteReference w:id="561"/>
      </w:r>
      <w:r>
        <w:rPr>
          <w:rFonts w:ascii="IRNazanin" w:hAnsi="IRNazanin" w:eastAsia="IRNazanin"/>
          <w:color w:val="111111"/>
          <w:sz w:val="28"/>
          <w:sz w:val="28"/>
          <w:szCs w:val="28"/>
          <w:rtl w:val="true"/>
          <w:lang w:bidi="fa-IR"/>
        </w:rPr>
        <w:t>بنفی الزکاة هنا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یبعد ثبوت الاستحباب، بل هو الظاهر؛ لأنّ المعاملة و إن لم تکن صحیحة من الأوّل؛ لعدم صدورها ممّن له أهلیّة التصرّف علی النهج الشرعیّ حسب الفرض، و لکن هی معاملة فضولیّة یحکم بصحّتها من غیر حاجة إلی إجازة الولیّ، لصدور الإجازة من الولیّ الأصلی و هو الشارع؛ لأنّ النصوص المتقدّمة تدلّ علی أنّ الربح للیتیم و الخسران علی المتّجر، و هی تستلزم صحّة المعاملة المساوقة لحصول الإجازة، و حینئذ تشمله أدلّة استحباب الزکاة فی</w:t>
      </w:r>
      <w:bookmarkStart w:id="236" w:name="pg11756_103908"/>
    </w:p>
    <w:p>
      <w:pPr>
        <w:pStyle w:val="BookText"/>
        <w:rPr/>
      </w:pPr>
      <w:bookmarkEnd w:id="236"/>
      <w:r>
        <w:rPr>
          <w:rFonts w:ascii="IRNazanin" w:hAnsi="IRNazanin" w:eastAsia="IRNazanin"/>
          <w:color w:val="111111"/>
          <w:sz w:val="28"/>
          <w:sz w:val="28"/>
          <w:szCs w:val="28"/>
          <w:rtl w:val="true"/>
          <w:lang w:bidi="fa-IR"/>
        </w:rPr>
        <w:t>مال الیتیم مع الاتّجار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بعد الاستدلال بصحیحة زرارة و بکیر و روایة سعید السمّان المتقدّمتین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الحکم فیها بثبوت الزکاة فی مال الیتیم مع التجارة قرینة علی وقوع الشراء له، و الحکم بالضمان قرینة علی عدم ولایة التاجر، فدلّ بإطلاقه علی ثبوت الربح للیتیم بمجرّد تجارة غیر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تقییدهما بما إذا أجاز الولیّ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مسألتی الربح و الخسران علی قاعدة الفضولی دونه خرط القتاد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9643589_73709187"/>
      <w:bookmarkStart w:id="238" w:name="_Toc89"/>
      <w:bookmarkEnd w:id="237"/>
      <w:r>
        <w:rPr>
          <w:rtl w:val="true"/>
        </w:rPr>
        <w:t>القسم السادس</w:t>
      </w:r>
      <w:r>
        <w:rPr>
          <w:rtl w:val="true"/>
        </w:rPr>
        <w:t xml:space="preserve">: </w:t>
      </w:r>
      <w:r>
        <w:rPr>
          <w:rtl w:val="true"/>
        </w:rPr>
        <w:t>أن یکون المتّجر ملیّا غیر ولیّ و یتّجر لنفسه، فحکمه حکم القسم الثالث</w:t>
      </w:r>
      <w:bookmarkEnd w:id="238"/>
    </w:p>
    <w:p>
      <w:pPr>
        <w:pStyle w:val="Heading6"/>
        <w:numPr>
          <w:ilvl w:val="5"/>
          <w:numId w:val="1"/>
        </w:numPr>
        <w:rPr/>
      </w:pPr>
      <w:bookmarkStart w:id="239" w:name="__RefHeading___Toc9643591_73709187"/>
      <w:bookmarkStart w:id="240" w:name="_Toc90"/>
      <w:bookmarkEnd w:id="239"/>
      <w:r>
        <w:rPr>
          <w:rtl w:val="true"/>
        </w:rPr>
        <w:t>القسم السابع</w:t>
      </w:r>
      <w:r>
        <w:rPr>
          <w:rtl w:val="true"/>
        </w:rPr>
        <w:t xml:space="preserve">: </w:t>
      </w:r>
      <w:r>
        <w:rPr>
          <w:rtl w:val="true"/>
        </w:rPr>
        <w:t>أن لا یکون المتّجر ولیّا و لا ملیّا و یتّجر للطفل، فالربح للطفل کما تقدّم، و المال مضمون و لا زکاة هنا</w:t>
      </w:r>
      <w:bookmarkEnd w:id="240"/>
    </w:p>
    <w:p>
      <w:pPr>
        <w:pStyle w:val="Heading6"/>
        <w:numPr>
          <w:ilvl w:val="5"/>
          <w:numId w:val="1"/>
        </w:numPr>
        <w:rPr/>
      </w:pPr>
      <w:bookmarkStart w:id="241" w:name="__RefHeading___Toc9643593_73709187"/>
      <w:bookmarkStart w:id="242" w:name="_Toc91"/>
      <w:bookmarkEnd w:id="241"/>
      <w:r>
        <w:rPr>
          <w:rtl w:val="true"/>
        </w:rPr>
        <w:t>القسم الثامن</w:t>
      </w:r>
      <w:r>
        <w:rPr>
          <w:rtl w:val="true"/>
        </w:rPr>
        <w:t xml:space="preserve">: </w:t>
      </w:r>
      <w:r>
        <w:rPr>
          <w:rtl w:val="true"/>
        </w:rPr>
        <w:t>أن لا یکون ولیّا و لا ملیّا و یتّجر لنفسه، فحکمه حکم القسم الثالث أیضا</w:t>
      </w:r>
      <w:bookmarkEnd w:id="242"/>
    </w:p>
    <w:p>
      <w:pPr>
        <w:pStyle w:val="Heading6"/>
        <w:numPr>
          <w:ilvl w:val="5"/>
          <w:numId w:val="1"/>
        </w:numPr>
        <w:rPr/>
      </w:pPr>
      <w:bookmarkStart w:id="243" w:name="__RefHeading___Toc9643595_73709187"/>
      <w:bookmarkStart w:id="244" w:name="_Toc92"/>
      <w:bookmarkEnd w:id="243"/>
      <w:r>
        <w:rPr>
          <w:rtl w:val="true"/>
        </w:rPr>
        <w:t>ینبغی التنبیه علی أمرین</w:t>
      </w:r>
      <w:bookmarkEnd w:id="2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الأقسام هو الذی جاء فی کلمات کثیر من الفقهاء صریحا أو إشارة، و لکن یمکن أن یتصوّر فی المسألة أکثر من تلک الأقسام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جملة الأقسام فی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المتصرّف فی مال الطفل إمّا أن یتّجر لنفسه أو للطفل، و علی التقدیرین إمّا أن یکون ولیّا ملّیا، أو لا ولاء، أو ولیّا غیر ملّی، أو بالعکس، فالصور ثمان، ثمّ إمّا أن یشتری بالعین</w:t>
      </w:r>
      <w:bookmarkStart w:id="245" w:name="pg11756_103909"/>
    </w:p>
    <w:p>
      <w:pPr>
        <w:pStyle w:val="BookText"/>
        <w:rPr/>
      </w:pPr>
      <w:bookmarkEnd w:id="245"/>
      <w:r>
        <w:rPr>
          <w:rFonts w:ascii="IRNazanin" w:hAnsi="IRNazanin" w:eastAsia="IRNazanin"/>
          <w:color w:val="111111"/>
          <w:sz w:val="28"/>
          <w:sz w:val="28"/>
          <w:szCs w:val="28"/>
          <w:rtl w:val="true"/>
          <w:lang w:bidi="fa-IR"/>
        </w:rPr>
        <w:t>أو فی الذمّة فالصور ستّة عشر، و علی تقدیر الشراء بالعین و عدم کونه ولیّا ملیّا إمّا أن یکون للطفل فی ذلک غبطة أو لا، فالصور تزید علی عشرین صورة و حکمها أجمع یعلم ممّا ذکرناه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الأصحاب أنّ جواز التصرّف فی مال الیتیم بالاقتراض مشروط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المتصرّف ولیّا؛ لأنّ التصرّف فی مال الغیر یحتاج إلی ولایة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المتصرّف ملیّا، و تقدّم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بعضهم فی جواز تصرّف الولیّ أن یکون الاتّجار بالمصلحة أو عدم المفسدة، و حیث أشبعنا الکلام فی ذلک الشرط فی البحث عن ولایة الولیّ علی أموال الطفل و ما اشترط فی جواز التصرّف فیها، فلا نعیده فی المقام خوفا من التطویل، فلیراجع هناک</w:t>
      </w:r>
      <w:r>
        <w:rPr>
          <w:rFonts w:eastAsia="IRNazanin" w:cs="IRNazanin"/>
          <w:color w:val="111111"/>
          <w:sz w:val="28"/>
          <w:szCs w:val="28"/>
          <w:rtl w:val="true"/>
          <w:lang w:bidi="fa-IR"/>
        </w:rPr>
        <w:t>.</w:t>
      </w:r>
    </w:p>
    <w:p>
      <w:pPr>
        <w:pStyle w:val="Heading6"/>
        <w:numPr>
          <w:ilvl w:val="5"/>
          <w:numId w:val="1"/>
        </w:numPr>
        <w:rPr/>
      </w:pPr>
      <w:bookmarkStart w:id="246" w:name="__RefHeading___Toc9643597_73709187"/>
      <w:bookmarkStart w:id="247" w:name="_Toc93"/>
      <w:bookmarkEnd w:id="246"/>
      <w:r>
        <w:rPr>
          <w:rtl w:val="true"/>
        </w:rPr>
        <w:t>فرع</w:t>
      </w:r>
      <w:r>
        <w:rPr>
          <w:rtl w:val="true"/>
        </w:rPr>
        <w:t xml:space="preserve">: </w:t>
      </w:r>
      <w:r>
        <w:rPr>
          <w:rtl w:val="true"/>
        </w:rPr>
        <w:t>لو لم یکن فی الشراء بمال الطفل ربح</w:t>
      </w:r>
      <w:bookmarkEnd w:id="247"/>
    </w:p>
    <w:p>
      <w:pPr>
        <w:pStyle w:val="BookText"/>
        <w:rPr/>
      </w:pPr>
      <w:r>
        <w:rPr>
          <w:rFonts w:ascii="IRNazanin" w:hAnsi="IRNazanin" w:eastAsia="IRNazanin"/>
          <w:color w:val="111111"/>
          <w:sz w:val="28"/>
          <w:sz w:val="28"/>
          <w:szCs w:val="28"/>
          <w:rtl w:val="true"/>
          <w:lang w:bidi="fa-IR"/>
        </w:rPr>
        <w:t>لو لم یکن فی الشراء بمال الطفل ربح و لا نقصان أمکن الحکم بصحّة العقد بناء علی اعتبار عدم المفسدة لا المصلحة، أو علی أنّها معتبرة فی رفع الإثم فی التصرّف دون صحّة العقد، فیکفی فیها عدم المفسدة و إن أثم بالإیقاع، و قد یقوی الفساد؛ لاعتبارها فی الصحّة کما هو ظاهر الآیة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کالشراء مع النقیصة الذی حکمه أنّه یجب علیه استرجاع</w:t>
      </w:r>
    </w:p>
    <w:p>
      <w:pPr>
        <w:pStyle w:val="BookText"/>
        <w:rPr/>
      </w:pPr>
      <w:r>
        <w:rPr>
          <w:rFonts w:ascii="IRNazanin" w:hAnsi="IRNazanin" w:eastAsia="IRNazanin"/>
          <w:color w:val="111111"/>
          <w:sz w:val="28"/>
          <w:sz w:val="28"/>
          <w:szCs w:val="28"/>
          <w:rtl w:val="true"/>
          <w:lang w:bidi="fa-IR"/>
        </w:rPr>
        <w:t>مال الطفل مع التمکّن، و إلاّ غرم للطفل ماله و أخذ ما بیده له مقاصّة، و لو کانت المصلحة فی المقاصة للطفل اعتبرها له؛ لأنّه عوض ماله و غرم الباقی له، لکنّ فی وجوب ذلک علیه إشکال، أقواه العدم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أوّل الشراء ناقصا ثمّ زاد بعد ذلک، فالظاهر البقاء علی الفساد، و قد یحتمل انکشاف الصحّة قهرا أو مع تجدید الإجازة، فیدخل فی ملک الطفل لمصادفته المصلحة واقعا، لکنّه لا یخلو من ضعف، کما فی الجواهر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248" w:name="pg11756_103911"/>
    </w:p>
    <w:p>
      <w:pPr>
        <w:pStyle w:val="Heading4"/>
        <w:numPr>
          <w:ilvl w:val="3"/>
          <w:numId w:val="1"/>
        </w:numPr>
        <w:rPr/>
      </w:pPr>
      <w:bookmarkStart w:id="249" w:name="__RefHeading___Toc9643599_73709187"/>
      <w:bookmarkStart w:id="250" w:name="_Toc94"/>
      <w:bookmarkEnd w:id="248"/>
      <w:bookmarkEnd w:id="249"/>
      <w:r>
        <w:rPr>
          <w:rtl w:val="true"/>
        </w:rPr>
        <w:t>المطلب الثانی استحباب الزکاة فی غلاّت الصغار و مواشیهم</w:t>
      </w:r>
      <w:bookmarkEnd w:id="250"/>
    </w:p>
    <w:p>
      <w:pPr>
        <w:pStyle w:val="Heading5"/>
        <w:numPr>
          <w:ilvl w:val="4"/>
          <w:numId w:val="1"/>
        </w:numPr>
        <w:rPr/>
      </w:pPr>
      <w:bookmarkStart w:id="251" w:name="__RefHeading___Toc9643601_73709187"/>
      <w:bookmarkStart w:id="252" w:name="_Toc95"/>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هل تستحبّ الزکاة فی غلاّت الصغار و مواشیهم؟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تستحبّ،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زکاة غلاّتهما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ذهب إلیه علم الهدی و سلاّر و الحسن بن أبی عقیل العمانی، و ظاهر کلام ابن جنید</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الزکاة فی غلاّت الطفل و مواشیه،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تستحبّ فی غلاّت الطفل و مواشیه من غیر وجوب</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570"/>
      </w:r>
      <w:r>
        <w:rPr>
          <w:rFonts w:ascii="IRNazanin" w:hAnsi="IRNazanin" w:eastAsia="IRNazanin"/>
          <w:color w:val="111111"/>
          <w:sz w:val="28"/>
          <w:sz w:val="28"/>
          <w:szCs w:val="28"/>
          <w:rtl w:val="true"/>
          <w:lang w:bidi="fa-IR"/>
        </w:rPr>
        <w:t>و الإرشاد</w:t>
      </w:r>
      <w:r>
        <w:rPr>
          <w:rStyle w:val="FootnoteAnchor"/>
          <w:rtl w:val="true"/>
        </w:rPr>
        <w:footnoteReference w:id="571"/>
      </w:r>
      <w:r>
        <w:rPr>
          <w:rFonts w:ascii="IRNazanin" w:hAnsi="IRNazanin" w:eastAsia="IRNazanin"/>
          <w:color w:val="111111"/>
          <w:sz w:val="28"/>
          <w:sz w:val="28"/>
          <w:szCs w:val="28"/>
          <w:rtl w:val="true"/>
          <w:lang w:bidi="fa-IR"/>
        </w:rPr>
        <w:t>و النهایة</w:t>
      </w:r>
      <w:r>
        <w:rPr>
          <w:rStyle w:val="FootnoteAnchor"/>
          <w:rtl w:val="true"/>
        </w:rPr>
        <w:footnoteReference w:id="572"/>
      </w:r>
      <w:r>
        <w:rPr>
          <w:rFonts w:ascii="IRNazanin" w:hAnsi="IRNazanin" w:eastAsia="IRNazanin"/>
          <w:color w:val="111111"/>
          <w:sz w:val="28"/>
          <w:sz w:val="28"/>
          <w:szCs w:val="28"/>
          <w:rtl w:val="true"/>
          <w:lang w:bidi="fa-IR"/>
        </w:rPr>
        <w:t>و التحریر</w:t>
      </w:r>
      <w:r>
        <w:rPr>
          <w:rStyle w:val="FootnoteAnchor"/>
          <w:rtl w:val="true"/>
        </w:rPr>
        <w:footnoteReference w:id="573"/>
      </w:r>
      <w:r>
        <w:rPr>
          <w:rFonts w:ascii="IRNazanin" w:hAnsi="IRNazanin" w:eastAsia="IRNazanin"/>
          <w:color w:val="111111"/>
          <w:sz w:val="28"/>
          <w:sz w:val="28"/>
          <w:szCs w:val="28"/>
          <w:rtl w:val="true"/>
          <w:lang w:bidi="fa-IR"/>
        </w:rPr>
        <w:t>و الدروس</w:t>
      </w:r>
      <w:r>
        <w:rPr>
          <w:rStyle w:val="FootnoteAnchor"/>
          <w:rtl w:val="true"/>
        </w:rPr>
        <w:footnoteReference w:id="574"/>
      </w:r>
      <w:r>
        <w:rPr>
          <w:rFonts w:ascii="IRNazanin" w:hAnsi="IRNazanin" w:eastAsia="IRNazanin"/>
          <w:color w:val="111111"/>
          <w:sz w:val="28"/>
          <w:sz w:val="28"/>
          <w:szCs w:val="28"/>
          <w:rtl w:val="true"/>
          <w:lang w:bidi="fa-IR"/>
        </w:rPr>
        <w:t>، و اختاره جملة من المتأخّرین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استحباب الزکاة فی غلاّت الطفل صحیحة زرارة و محمّد بن مسلم عن أبی جعفر و أبی عبد اللّه علیهما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 المال الصامت شیء، فأمّا الغلاّت فعلیها الصدقة واجبة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وجوب الزکاة فی غلاّت الیتیم، و لکن ترفع الید عن ظهورها بما دلّ علی عدم الوجوب صریحا، و هی موثّقة أبی بصیر عن أبی عبد اللّه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و لیس علیه صلاة، و لیس علی جمیع غلاّته من نخل أو زرع أو غلّة زکاة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بینهما بالحمل علی الاستحباب کما هو الشائع فی نظائره فی الأبواب الأخر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تأکید الاستحباب؛ جمعا بین الأدلّة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الصحیحة علی الاستحباب المؤکّد؛ جمعا بینها و بین روایة أبی بصیر المعتضدة أو المنجبرة بالشهرة العظیمة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القائلین بالاستحباب مطلقا التفصّی عن خلاف الموجبین و صحیحة زرارة و محمّد بن مسلم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الأوّل بأنّ فیه دخولا فی خلاف المحرّم، و التفصّی عنه أیضا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مرجوحة بموافقة العامّة</w:t>
      </w:r>
      <w:r>
        <w:rPr>
          <w:rStyle w:val="FootnoteAnchor"/>
          <w:rtl w:val="true"/>
        </w:rPr>
        <w:footnoteReference w:id="580"/>
      </w:r>
      <w:r>
        <w:rPr>
          <w:rFonts w:ascii="IRNazanin" w:hAnsi="IRNazanin" w:eastAsia="IRNazanin"/>
          <w:color w:val="111111"/>
          <w:sz w:val="28"/>
          <w:sz w:val="28"/>
          <w:szCs w:val="28"/>
          <w:rtl w:val="true"/>
          <w:lang w:bidi="fa-IR"/>
        </w:rPr>
        <w:t>، فلا تبقی فیها دلالة علی الاستحباب، و لکن لمّا ثبت التسامح فی أدلّة السنن و لو بالتعویل علی مجرّد فتوی الفقهاء، فیمکن الاستناد فی الاستحباب فی الجمیع بفتاوی القائلین بالوجوب و الاستحباب، فالأقرب هو القول المشهور</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یتسامح فی هذا المقام فی دلیل الندب لمعارضته بدلیل حرمة التصرّف، کما فی الجواهر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دلیل استحباب الزکاة فی الغلاّت، و أمّا المواشی فهل تلحق بالغلاّت؟</w:t>
      </w:r>
    </w:p>
    <w:p>
      <w:pPr>
        <w:pStyle w:val="BookText"/>
        <w:rPr/>
      </w:pPr>
      <w:r>
        <w:rPr>
          <w:rFonts w:ascii="IRNazanin" w:hAnsi="IRNazanin" w:eastAsia="IRNazanin"/>
          <w:color w:val="111111"/>
          <w:sz w:val="28"/>
          <w:sz w:val="28"/>
          <w:szCs w:val="28"/>
          <w:rtl w:val="true"/>
          <w:lang w:bidi="fa-IR"/>
        </w:rPr>
        <w:t>ذهب الفاضلان و الشهیدان و غیرهم ممّن تقدّم ذکرهم فی ابتداء الکلام إلی ذلک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أکثر المتأخّرین إلی استحباب الزکاة فی مواشی</w:t>
      </w:r>
    </w:p>
    <w:p>
      <w:pPr>
        <w:pStyle w:val="BookText"/>
        <w:rPr/>
      </w:pPr>
      <w:r>
        <w:rPr>
          <w:rFonts w:ascii="IRNazanin" w:hAnsi="IRNazanin" w:eastAsia="IRNazanin"/>
          <w:color w:val="111111"/>
          <w:sz w:val="28"/>
          <w:sz w:val="28"/>
          <w:szCs w:val="28"/>
          <w:rtl w:val="true"/>
          <w:lang w:bidi="fa-IR"/>
        </w:rPr>
        <w:t>الأطفال، و لم أقف علی مستند لهم</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المدارک</w:t>
      </w:r>
      <w:r>
        <w:rPr>
          <w:rStyle w:val="FootnoteAnchor"/>
          <w:rtl w:val="true"/>
        </w:rPr>
        <w:footnoteReference w:id="585"/>
      </w:r>
      <w:r>
        <w:rPr>
          <w:rFonts w:ascii="IRNazanin" w:hAnsi="IRNazanin" w:eastAsia="IRNazanin"/>
          <w:color w:val="111111"/>
          <w:sz w:val="28"/>
          <w:sz w:val="28"/>
          <w:szCs w:val="28"/>
          <w:rtl w:val="true"/>
          <w:lang w:bidi="fa-IR"/>
        </w:rPr>
        <w:t>و الحدائق</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حکمهم بالاستحباب فی المواشی لعدم الفرق بین المسألتین، کما أنّ القائلین بالوجوب صرّحوا بعدم الفرق بین الغلاّت و المواشی فی الوجوب، کما حکاه فی الإیضاح عن ابن حمزة،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الغلاّت فإنّ علیها الصدقة واجبة،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فی الأنعام بالإجماع المرکّب</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قد صرّح به أیضا فی المواشی، و لم نعرف له دلیلا سوی الإجماع المرکّب علی مساواة حکمها للغلاّت وجوبا أو ندبا، و دون ثبوتها خرط القتاد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قدّس سرّه جیّد؛ لعدم تعرّض کثیر من الأصحاب لحکم المسألة و اختیار بعض الوجوب، و لذا فإثبات الإجماع فی غایة الإشکال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الأعظم بعد نقل الإجماع المرکّب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فی الاکتفاء بمثل ذلک فی التهجّم علی مال الیتیم إشکالا، و لذا مال جماعة من المتأخّرین إلی العدم</w:t>
      </w:r>
      <w:r>
        <w:rPr>
          <w:rStyle w:val="FootnoteAnchor"/>
          <w:rtl w:val="true"/>
        </w:rPr>
        <w:footnoteReference w:id="589"/>
      </w:r>
      <w:r>
        <w:rPr>
          <w:rFonts w:ascii="IRNazanin" w:hAnsi="IRNazanin" w:eastAsia="IRNazanin"/>
          <w:color w:val="111111"/>
          <w:sz w:val="28"/>
          <w:sz w:val="28"/>
          <w:szCs w:val="28"/>
          <w:rtl w:val="true"/>
          <w:lang w:bidi="fa-IR"/>
        </w:rPr>
        <w:t>، و هو الأحوط</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253" w:name="pg11756_103915"/>
    </w:p>
    <w:p>
      <w:pPr>
        <w:pStyle w:val="Heading5"/>
        <w:numPr>
          <w:ilvl w:val="4"/>
          <w:numId w:val="1"/>
        </w:numPr>
        <w:rPr/>
      </w:pPr>
      <w:bookmarkStart w:id="254" w:name="__RefHeading___Toc9643603_73709187"/>
      <w:bookmarkStart w:id="255" w:name="_Toc96"/>
      <w:bookmarkEnd w:id="253"/>
      <w:bookmarkEnd w:id="254"/>
      <w:r>
        <w:rPr>
          <w:rtl w:val="true"/>
        </w:rPr>
        <w:t>عدم استحباب الزکاة فی غلاّت و مواشی الصغار</w:t>
      </w:r>
      <w:bookmarkEnd w:id="255"/>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الزکاة فی أموال الصغار مطلقا، کما ذهب إلیه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علیه بأنّ الروایات الواردة بالاستحباب ضعیفة شاذّة، أوردها الشیخ فی کتبه إیرادا لا اعتقادا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جزم العلاّمة الطباطبائی فی مصابیحه، بعد أن ادّعی عدم التصریح بالاستحباب قبل الفاضلین، کما حکی عنه فی الجواهر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حکم المتأخّرین بالاستحباب فی الموضعین المذکورین للتفصّی من خلاف الشیخین لا معنی له، فإنّ الاستحباب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کالوجوب و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الدلیل، و مجرّد وجود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إذا لم یکن عن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لأن یکون مستندا، و کذا حکمهم بالاستحباب فی غلاّت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حملنا الصحیحة المذکورة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وجه للاستحباب حینئذ</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استحباب الزکاة فی غلاّت الأطفال فضلا عن أن یتعدّی إلی المواشی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التصرّف فی مال الیتیم و تزکیته و لو استحبابا یحتاج إلی الدلیل، و لا دلیل هنا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الاستحباب أیضا عدّة من المعلّقین علی العروة کالجواهری</w:t>
      </w:r>
    </w:p>
    <w:p>
      <w:pPr>
        <w:pStyle w:val="BookText"/>
        <w:rPr/>
      </w:pPr>
      <w:r>
        <w:rPr>
          <w:rFonts w:ascii="IRNazanin" w:hAnsi="IRNazanin" w:eastAsia="IRNazanin"/>
          <w:color w:val="111111"/>
          <w:sz w:val="28"/>
          <w:sz w:val="28"/>
          <w:szCs w:val="28"/>
          <w:rtl w:val="true"/>
          <w:lang w:bidi="fa-IR"/>
        </w:rPr>
        <w:t>و النائینی و غیرهما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مقتضی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اشتهار الزکاة فی مال الصغیر بین العامّة حمل صحیح ابن مسلم علی التقیّة، فلا یبقی دلیل علی الندب حینئذ أصلا؛ لأنّ ما سیق مساق التقیّة لا یستفاد منه الندب؛ إذ الرشد فی خلافهم، خصوصا مع ملاحظة ما ورد من حرمة التصرّف</w:t>
      </w:r>
      <w:r>
        <w:rPr>
          <w:rStyle w:val="FootnoteAnchor"/>
          <w:rtl w:val="true"/>
        </w:rPr>
        <w:footnoteReference w:id="596"/>
      </w:r>
      <w:r>
        <w:rPr>
          <w:rFonts w:ascii="IRNazanin" w:hAnsi="IRNazanin" w:eastAsia="IRNazanin"/>
          <w:color w:val="111111"/>
          <w:sz w:val="28"/>
          <w:sz w:val="28"/>
          <w:szCs w:val="28"/>
          <w:rtl w:val="true"/>
          <w:lang w:bidi="fa-IR"/>
        </w:rPr>
        <w:t>فی مال الصغیر و التأکید الأکید فیها، و منه یظهر أنّ اتّفاقهم علی الرجحان لا وجه له إن کان مستندا إلی ما بأیدینا من النصوص</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مستنده صحیحة زرارة و محمّد بن مسلم المتقدّمة، فإنّ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فعلیها الصّدقة واجبة</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 و إنّها تدلّ علی وجوب الزکاة فی غلاّت الأطفال؛ نظرا إلی ظاهر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ترفع الید عن هذا الظهور بما دلّ علی عدم الوجوب صریحا، و هو موثّقة أبی بصیر المتقدّمة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 بأنّ الحمل علی الاستحباب لیس بأولی من حمل ما دلّ علی الوجوب علی التقیّة، حیث إنّ العامّة یرون الزکاة فی الغلاّت مطلقا، أی من غیر فرق بین القصّر و البالغین علی ما نسب إلیهم</w:t>
      </w:r>
      <w:r>
        <w:rPr>
          <w:rStyle w:val="FootnoteAnchor"/>
          <w:rtl w:val="true"/>
        </w:rPr>
        <w:footnoteReference w:id="600"/>
      </w:r>
      <w:r>
        <w:rPr>
          <w:rFonts w:ascii="IRNazanin" w:hAnsi="IRNazanin" w:eastAsia="IRNazanin"/>
          <w:color w:val="111111"/>
          <w:sz w:val="28"/>
          <w:sz w:val="28"/>
          <w:szCs w:val="28"/>
          <w:rtl w:val="true"/>
          <w:lang w:bidi="fa-IR"/>
        </w:rPr>
        <w:t>، فتحمل الصحیحة علی التقیّة؛ فلا یبقی دلیل علی الندب أصلا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موثّقة أبی بصیر تعارض صحیحة زرارة و محمّد</w:t>
      </w:r>
    </w:p>
    <w:p>
      <w:pPr>
        <w:pStyle w:val="BookText"/>
        <w:rPr/>
      </w:pPr>
      <w:r>
        <w:rPr>
          <w:rFonts w:ascii="IRNazanin" w:hAnsi="IRNazanin" w:eastAsia="IRNazanin"/>
          <w:color w:val="111111"/>
          <w:sz w:val="28"/>
          <w:sz w:val="28"/>
          <w:szCs w:val="28"/>
          <w:rtl w:val="true"/>
          <w:lang w:bidi="fa-IR"/>
        </w:rPr>
        <w:t>بن مسلم</w:t>
      </w:r>
      <w:r>
        <w:rPr>
          <w:rStyle w:val="FootnoteAnchor"/>
          <w:rtl w:val="true"/>
        </w:rPr>
        <w:footnoteReference w:id="6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جمیع غلاّته من نخل أو غلّة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الغلاّت فعلیها الصدقة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إعمال المرجّحات فی الخبرین المتعارضین یقتضی إسقاط ما وافق العامّة، و هی الصحیحة فی المقام، و کفی ذلک فی الأخذ بموثّقة أبی بصیر، فإنّها تخالف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استحباب و لا وجوب للزکاة فی غلاّت الصغیر</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علی التقیّة خاصّ</w:t>
      </w:r>
      <w:r>
        <w:rPr>
          <w:rStyle w:val="FootnoteAnchor"/>
          <w:rtl w:val="true"/>
        </w:rPr>
        <w:footnoteReference w:id="603"/>
      </w:r>
      <w:r>
        <w:rPr>
          <w:rFonts w:ascii="IRNazanin" w:hAnsi="IRNazanin" w:eastAsia="IRNazanin"/>
          <w:color w:val="111111"/>
          <w:sz w:val="28"/>
          <w:sz w:val="28"/>
          <w:szCs w:val="28"/>
          <w:rtl w:val="true"/>
          <w:lang w:bidi="fa-IR"/>
        </w:rPr>
        <w:t>بفرض استقرار المعارضة و عدم تیسّر الجمع العرفی، أمّا معه فلا تصل النوبة إلی التصرّف فی الجهة، و الجمع العرفی هنا موجود، فترفع الید عن ظهور إحدی الروایتین فی الوجوب بصراحة الاخری فی العدم، و نتیجته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الکلام وجیه بحسب الکبری، فلا یحمل علی التقیّة إلاّ مع تحقّق المعارضة بنحو یبقی العرف معه متحیّرا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أحد الدلیلین قرینة علی التصرّف فی الآخر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ورد فی دلیل آخر أنّه لا بأس بترکه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للحمل علی التقیّة، و هذا کثیر فی أبواب الفقه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الصغری فلیس کذلک؛ إذ لو کانت صحیحة زرارة و محمّد بن مسلم متضمّنة للأمر بالزکاة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لاتّجه حینئذ رفع الید عن</w:t>
      </w:r>
    </w:p>
    <w:p>
      <w:pPr>
        <w:pStyle w:val="BookText"/>
        <w:rPr/>
      </w:pPr>
      <w:r>
        <w:rPr>
          <w:rFonts w:ascii="IRNazanin" w:hAnsi="IRNazanin" w:eastAsia="IRNazanin"/>
          <w:color w:val="111111"/>
          <w:sz w:val="28"/>
          <w:sz w:val="28"/>
          <w:szCs w:val="28"/>
          <w:rtl w:val="true"/>
          <w:lang w:bidi="fa-IR"/>
        </w:rPr>
        <w:t>ظهور الأمر فی الوجوب بقرینة الروایة الاخری الصریحة فی الترخیص فی الترک، فیجمع بالحمل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الوارد فیها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فعلیها الصدقة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ثابتة، و قد تضمّنت موثّقة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علی غلاّته زکاة، أی لیست بثابتة، و من الواضح أنّ هذین الکلامین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ثابتة، و الزکاة غیر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متهافتان، بل لا یبعد أن یکون من أظهر أفراد التعارض، کما فی المستند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الدلالی بین الموثّقة و الصحیحة، بأنّ الوجوب فی الثانیة بمعنی الثبوت فیحمل علی الاستحباب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النفی فی الاولی علی نفی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بأنّ الثبوت التشریعی یناقض النفی التشریعی، و هاتان الروایتان کذلک، فلا بدّ من الترجیح سندا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یمکن أن یناقش فی الحمل علی التقیّة، حیث لم نجد بعد الفحص قولا لأهل السنّة مطابقا لما تضمّنته الصحیحة، من التفصیل فی مال الیتیم بین الغلاّت فتجب فیها الزکاة، و بین الأموال الصامتة و المواشی فلا زکاة فیها، لتکون الصحیحة قابلة للحمل</w:t>
      </w:r>
      <w:r>
        <w:rPr>
          <w:rStyle w:val="FootnoteAnchor"/>
          <w:rtl w:val="true"/>
        </w:rPr>
        <w:footnoteReference w:id="606"/>
      </w:r>
      <w:r>
        <w:rPr>
          <w:rFonts w:ascii="IRNazanin" w:hAnsi="IRNazanin" w:eastAsia="IRNazanin"/>
          <w:color w:val="111111"/>
          <w:sz w:val="28"/>
          <w:sz w:val="28"/>
          <w:szCs w:val="28"/>
          <w:rtl w:val="true"/>
          <w:lang w:bidi="fa-IR"/>
        </w:rPr>
        <w:t>علی التقیّة؛ لأنّ جمهور أهل السنّة من الشافعیّة و الحنابلة و المالکیّة ذهبوا إلی أنّ الزکاة تجب فی مال کلّ من الصغیر و المجنون</w:t>
      </w:r>
      <w:r>
        <w:rPr>
          <w:rStyle w:val="FootnoteAnchor"/>
          <w:rtl w:val="true"/>
        </w:rPr>
        <w:footnoteReference w:id="607"/>
      </w:r>
      <w:r>
        <w:rPr>
          <w:rFonts w:ascii="IRNazanin" w:hAnsi="IRNazanin" w:eastAsia="IRNazanin"/>
          <w:color w:val="111111"/>
          <w:sz w:val="28"/>
          <w:sz w:val="28"/>
          <w:szCs w:val="28"/>
          <w:rtl w:val="true"/>
          <w:lang w:bidi="fa-IR"/>
        </w:rPr>
        <w:t>، و لم یفصّلوا بین الغلاّت و الأموال الصامة، و ذهب ابن شبرمة</w:t>
      </w:r>
    </w:p>
    <w:p>
      <w:pPr>
        <w:pStyle w:val="BookText"/>
        <w:rPr/>
      </w:pPr>
      <w:r>
        <w:rPr>
          <w:rFonts w:ascii="IRNazanin" w:hAnsi="IRNazanin" w:eastAsia="IRNazanin"/>
          <w:color w:val="111111"/>
          <w:sz w:val="28"/>
          <w:sz w:val="28"/>
          <w:szCs w:val="28"/>
          <w:rtl w:val="true"/>
          <w:lang w:bidi="fa-IR"/>
        </w:rPr>
        <w:t>و أبو حنیفة و أصحابه إلی أنّه لا تجب فی ملکهما الزکاة، و هم أیضا لم یفصلوا</w:t>
      </w:r>
      <w:r>
        <w:rPr>
          <w:rStyle w:val="FootnoteAnchor"/>
          <w:rtl w:val="true"/>
        </w:rPr>
        <w:footnoteReference w:id="608"/>
      </w:r>
      <w:r>
        <w:rPr>
          <w:rFonts w:ascii="IRNazanin" w:hAnsi="IRNazanin" w:eastAsia="IRNazanin"/>
          <w:color w:val="111111"/>
          <w:sz w:val="28"/>
          <w:sz w:val="28"/>
          <w:szCs w:val="28"/>
          <w:rtl w:val="true"/>
          <w:lang w:bidi="fa-IR"/>
        </w:rPr>
        <w:t>،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الصحیحة علی التقیّة بعید، سیّما أنّ صدر الروایة مخالف لجمهورهم؛ لأنّه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 المال الصامت شیء</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تقرّر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المعارضة أن یفرض الدلیلان المنفصلان متّصلین و مجتمعین فی کلام واحد، فإن کانا فی نظر العرف بمثابة القرینة و ذیها، و کان أحدهما مانعا عن انعقاد الظهور فی الآخر و شارحا للمراد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 و لا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لا بأس أن لا تغتسل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تکن ثمّة معارضة، و کانت القرینة محفوظة فی ظرف الانفصال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عدّا فی نظر العرف متباینین، و کان الصدر و الذیل متهافتین فلا جرم تستقرّ المعارضة فی البین لدی الانفصال أیضا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وقعت فی صحیحة زرارة و محمّد لم یثبت إطلاقها فی ذلک العرف حقیقة علی ما رادف الفرض، بل ربما کان الظاهر خلافه؛ لأنّه قد اطلق فی الروایات بکثرة علی ما تأکّد استحبابه</w:t>
      </w:r>
      <w:r>
        <w:rPr>
          <w:rStyle w:val="FootnoteAnchor"/>
          <w:rtl w:val="true"/>
        </w:rPr>
        <w:footnoteReference w:id="611"/>
      </w:r>
      <w:r>
        <w:rPr>
          <w:rFonts w:ascii="IRNazanin" w:hAnsi="IRNazanin" w:eastAsia="IRNazanin"/>
          <w:color w:val="111111"/>
          <w:sz w:val="28"/>
          <w:sz w:val="28"/>
          <w:szCs w:val="28"/>
          <w:rtl w:val="true"/>
          <w:lang w:bidi="fa-IR"/>
        </w:rPr>
        <w:t>و إن لم یستحقّ بترکه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مسعدة بن صدقة عن أبی عبد اللّه علیه السّلام عن أبیه علیه السّلام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تطوّعا بالخیار ما بینه و بین نصف النهار، فإذا انتصف النهار فقد وجب الصوم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بالوجوب هنا شدّة الاستحباب و تأکّده</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المغیرة،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یوم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کلّ ذکر أو انثی، عبد أو حرّ</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و مثله صحیحة محمّد بن عبید اللّه عن الرضا علیه السّلام</w:t>
      </w:r>
      <w:r>
        <w:rPr>
          <w:rStyle w:val="FootnoteAnchor"/>
          <w:rtl w:val="true"/>
        </w:rPr>
        <w:footnoteReference w:id="616"/>
      </w:r>
      <w:r>
        <w:rPr>
          <w:rFonts w:ascii="IRNazanin" w:hAnsi="IRNazanin" w:eastAsia="IRNazanin"/>
          <w:color w:val="111111"/>
          <w:sz w:val="28"/>
          <w:sz w:val="28"/>
          <w:szCs w:val="28"/>
          <w:rtl w:val="true"/>
          <w:lang w:bidi="fa-IR"/>
        </w:rPr>
        <w:t>، و فی 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یوم الجمعة</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کیف صار غسل الجمعة واجبا؟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أتمّ صلاة الفریضة بصلاة النافلة، و أتمّ صیام الفریضة بصیام النافلة، و أتمّ وضوء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یوم الجمعة، ما کان فی ذلک من سهو، أو تقصیر، أو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ثمّ قال الشیخ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قرینة واضحة علی أنّ المراد بالوجوب الاستحباب المؤکّد؛ لأنّ إتمام وضوء النافلة لیس بواجب و لا لازم، کیف؟ و إتمام الصلاة و الصیام الواجبین هنا لیس بواجب؛ للقطع بعدم وجوب صوم</w:t>
      </w:r>
    </w:p>
    <w:p>
      <w:pPr>
        <w:pStyle w:val="BookText"/>
        <w:rPr/>
      </w:pPr>
      <w:r>
        <w:rPr>
          <w:rFonts w:ascii="Amiri" w:hAnsi="Amiri" w:eastAsia="Amiri" w:cs="Amiri"/>
          <w:color w:val="111111"/>
          <w:sz w:val="28"/>
          <w:sz w:val="28"/>
          <w:szCs w:val="28"/>
          <w:rtl w:val="true"/>
          <w:lang w:bidi="ar-SA"/>
        </w:rPr>
        <w:t>النافلة و صلاة النافلة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قول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اتّجر به وجب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به الندب و الاستحباب دون الفرض و الإیجاب</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روایة بشیر النبّال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قلت بالاستحباب أمکن أن یکون عبّر عن الاستحباب المؤکّد، بالوجوب</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الاستسقاء واجب</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تأکید الاستحباب؛ لانتفاء القائل بالوجوب</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أیضا الشهید الثانی</w:t>
      </w:r>
      <w:r>
        <w:rPr>
          <w:rStyle w:val="FootnoteAnchor"/>
          <w:rtl w:val="true"/>
        </w:rPr>
        <w:footnoteReference w:id="623"/>
      </w:r>
      <w:r>
        <w:rPr>
          <w:rFonts w:ascii="IRNazanin" w:hAnsi="IRNazanin" w:eastAsia="IRNazanin"/>
          <w:color w:val="111111"/>
          <w:sz w:val="28"/>
          <w:sz w:val="28"/>
          <w:szCs w:val="28"/>
          <w:rtl w:val="true"/>
          <w:lang w:bidi="fa-IR"/>
        </w:rPr>
        <w:t>و صاحب الریاض</w:t>
      </w:r>
      <w:r>
        <w:rPr>
          <w:rStyle w:val="FootnoteAnchor"/>
          <w:rtl w:val="true"/>
        </w:rPr>
        <w:footnoteReference w:id="624"/>
      </w:r>
      <w:r>
        <w:rPr>
          <w:rFonts w:ascii="IRNazanin" w:hAnsi="IRNazanin" w:eastAsia="IRNazanin"/>
          <w:color w:val="111111"/>
          <w:sz w:val="28"/>
          <w:sz w:val="28"/>
          <w:szCs w:val="28"/>
          <w:rtl w:val="true"/>
          <w:lang w:bidi="fa-IR"/>
        </w:rPr>
        <w:t>و الشیخ الأعظم</w:t>
      </w:r>
      <w:r>
        <w:rPr>
          <w:rStyle w:val="FootnoteAnchor"/>
          <w:rtl w:val="true"/>
        </w:rPr>
        <w:footnoteReference w:id="625"/>
      </w:r>
      <w:r>
        <w:rPr>
          <w:rFonts w:ascii="IRNazanin" w:hAnsi="IRNazanin" w:eastAsia="IRNazanin"/>
          <w:color w:val="111111"/>
          <w:sz w:val="28"/>
          <w:sz w:val="28"/>
          <w:szCs w:val="28"/>
          <w:rtl w:val="true"/>
          <w:lang w:bidi="fa-IR"/>
        </w:rPr>
        <w:t>، و المجلسیّ فی روضة المتّقین، و صرّح الأخیر بأنّ استعمال الوجوب بمعنی الاستحباب المؤکّد شائع</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فی المناهل الاتّفاق علی ثبوت أصل الرجحان</w:t>
      </w:r>
      <w:r>
        <w:rPr>
          <w:rStyle w:val="FootnoteAnchor"/>
          <w:rtl w:val="true"/>
        </w:rPr>
        <w:footnoteReference w:id="627"/>
      </w:r>
      <w:r>
        <w:rPr>
          <w:rFonts w:ascii="IRNazanin" w:hAnsi="IRNazanin" w:eastAsia="IRNazanin"/>
          <w:color w:val="111111"/>
          <w:sz w:val="28"/>
          <w:sz w:val="28"/>
          <w:szCs w:val="28"/>
          <w:rtl w:val="true"/>
          <w:lang w:bidi="fa-IR"/>
        </w:rPr>
        <w:t>، و ادّعی الأردبیلی أن لا خلاف فی ذلک</w:t>
      </w:r>
      <w:r>
        <w:rPr>
          <w:rStyle w:val="FootnoteAnchor"/>
          <w:rtl w:val="true"/>
        </w:rPr>
        <w:footnoteReference w:id="628"/>
      </w:r>
      <w:r>
        <w:rPr>
          <w:rFonts w:ascii="IRNazanin" w:hAnsi="IRNazanin" w:eastAsia="IRNazanin"/>
          <w:color w:val="111111"/>
          <w:sz w:val="28"/>
          <w:sz w:val="28"/>
          <w:szCs w:val="28"/>
          <w:rtl w:val="true"/>
          <w:lang w:bidi="fa-IR"/>
        </w:rPr>
        <w:t>، و یظهر من کلام السیّد المرتضی أنّه مذهب أکثر أصحابنا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256" w:name="pg11756_103922"/>
    </w:p>
    <w:p>
      <w:pPr>
        <w:pStyle w:val="BookText"/>
        <w:rPr/>
      </w:pPr>
      <w:bookmarkEnd w:id="256"/>
      <w:r>
        <w:rPr>
          <w:rFonts w:ascii="IRNazanin" w:hAnsi="IRNazanin" w:eastAsia="IRNazanin"/>
          <w:color w:val="111111"/>
          <w:sz w:val="28"/>
          <w:sz w:val="28"/>
          <w:szCs w:val="28"/>
          <w:rtl w:val="true"/>
          <w:lang w:bidi="fa-IR"/>
        </w:rPr>
        <w:t>و صرّح بعدم الخلاف أیضا فی الریاض</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هو الأحوط</w:t>
      </w:r>
      <w:r>
        <w:rPr>
          <w:rStyle w:val="FootnoteAnchor"/>
          <w:rtl w:val="true"/>
        </w:rPr>
        <w:footnoteReference w:id="631"/>
      </w:r>
      <w:r>
        <w:rPr>
          <w:rFonts w:ascii="IRNazanin" w:hAnsi="IRNazanin" w:eastAsia="IRNazanin"/>
          <w:color w:val="111111"/>
          <w:sz w:val="28"/>
          <w:sz w:val="28"/>
          <w:szCs w:val="28"/>
          <w:rtl w:val="true"/>
          <w:lang w:bidi="fa-IR"/>
        </w:rPr>
        <w:t>، و عن المدارک</w:t>
      </w:r>
      <w:r>
        <w:rPr>
          <w:rStyle w:val="FootnoteAnchor"/>
          <w:rtl w:val="true"/>
        </w:rPr>
        <w:footnoteReference w:id="632"/>
      </w:r>
      <w:r>
        <w:rPr>
          <w:rFonts w:ascii="IRNazanin" w:hAnsi="IRNazanin" w:eastAsia="IRNazanin"/>
          <w:color w:val="111111"/>
          <w:sz w:val="28"/>
          <w:sz w:val="28"/>
          <w:szCs w:val="28"/>
          <w:rtl w:val="true"/>
          <w:lang w:bidi="fa-IR"/>
        </w:rPr>
        <w:t>و الکفایة</w:t>
      </w:r>
      <w:r>
        <w:rPr>
          <w:rStyle w:val="FootnoteAnchor"/>
          <w:rtl w:val="true"/>
        </w:rPr>
        <w:footnoteReference w:id="633"/>
      </w:r>
      <w:r>
        <w:rPr>
          <w:rFonts w:ascii="IRNazanin" w:hAnsi="IRNazanin" w:eastAsia="IRNazanin"/>
          <w:color w:val="111111"/>
          <w:sz w:val="28"/>
          <w:sz w:val="28"/>
          <w:szCs w:val="28"/>
          <w:rtl w:val="true"/>
          <w:lang w:bidi="fa-IR"/>
        </w:rPr>
        <w:t xml:space="preserve">أنّه مذهب عامّة المتأخّرین و جمهورهم، فالحکم بالاستحباب جمعا بین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مورد الاتّفاق و للشهرة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بالقواعد، فلا ینبغی مخالفة الإجماع المحکی عن المناهل و الشهرة القطعیّة من القدماء و المتأخّرین؛ بسبب المناقشة، إمّا من جهة صدور الروایة، و إمّا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إشکال من جهة الصدور و لا فی الدلالة، و لکن مع ذلک کلّه الترک أحوط</w:t>
      </w:r>
      <w:r>
        <w:rPr>
          <w:rFonts w:eastAsia="IRNazanin" w:cs="IRNazanin"/>
          <w:color w:val="111111"/>
          <w:sz w:val="28"/>
          <w:szCs w:val="28"/>
          <w:rtl w:val="true"/>
          <w:lang w:bidi="fa-IR"/>
        </w:rPr>
        <w:t>.</w:t>
      </w:r>
    </w:p>
    <w:p>
      <w:pPr>
        <w:pStyle w:val="Heading5"/>
        <w:numPr>
          <w:ilvl w:val="4"/>
          <w:numId w:val="1"/>
        </w:numPr>
        <w:rPr/>
      </w:pPr>
      <w:bookmarkStart w:id="257" w:name="__RefHeading___Toc9643605_73709187"/>
      <w:bookmarkStart w:id="258" w:name="_Toc97"/>
      <w:bookmarkEnd w:id="257"/>
      <w:r>
        <w:rPr>
          <w:rtl w:val="true"/>
        </w:rPr>
        <w:t>التفصیل بین الغلاّت و المواشی</w:t>
      </w:r>
      <w:bookmarkEnd w:id="258"/>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 آخر من أعلام العصر من التردید، فقالوا باستحباب إخراج الزکاة فی غلاّت الأطفال و استشکلوا فی مواشیه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للولیّ الشرعیّ إخراج الزکاة فی غلاّت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استحباب إخراجها من مواشیه إشکال، و الأحوط الترک</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کثیر من المعلّقین علیها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تعلیقات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ذلک؛ لعدم الدلیل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259" w:name="pg11756_103923"/>
    </w:p>
    <w:p>
      <w:pPr>
        <w:pStyle w:val="BookText"/>
        <w:rPr/>
      </w:pPr>
      <w:bookmarkEnd w:id="259"/>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زکاة غلاّته، و أمّا مواشیه فلا تتعلّق بها علی الأقوی</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مستمسک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ینشأ من دعوی عدم القول بالفصل بین المواشی و الغلاّت، المقتضیة لاستحباب الزکاة فیها کما فی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الاعتماد علی مثل ذلک فی التصرّف فی مال الطفل مخالفة لما دلّ علی عدم جواز التصرّف فیه</w:t>
      </w:r>
      <w:r>
        <w:rPr>
          <w:rStyle w:val="FootnoteAnchor"/>
          <w:rtl w:val="true"/>
        </w:rPr>
        <w:footnoteReference w:id="638"/>
      </w:r>
      <w:r>
        <w:rPr>
          <w:rFonts w:ascii="IRNazanin" w:hAnsi="IRNazanin" w:eastAsia="IRNazanin"/>
          <w:color w:val="111111"/>
          <w:sz w:val="28"/>
          <w:sz w:val="28"/>
          <w:szCs w:val="28"/>
          <w:rtl w:val="true"/>
          <w:lang w:bidi="fa-IR"/>
        </w:rPr>
        <w:t>، و به قال الشیخ الأعظم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9643607_73709187"/>
      <w:bookmarkStart w:id="261" w:name="_Toc98"/>
      <w:bookmarkEnd w:id="260"/>
      <w:r>
        <w:rPr>
          <w:rtl w:val="true"/>
        </w:rPr>
        <w:t>و ینبغی التنبیه علی امور</w:t>
      </w:r>
      <w:bookmarkEnd w:id="261"/>
    </w:p>
    <w:p>
      <w:pPr>
        <w:pStyle w:val="Heading6"/>
        <w:numPr>
          <w:ilvl w:val="5"/>
          <w:numId w:val="1"/>
        </w:numPr>
        <w:rPr/>
      </w:pPr>
      <w:bookmarkStart w:id="262" w:name="__RefHeading___Toc9643609_73709187"/>
      <w:bookmarkStart w:id="263" w:name="_Toc99"/>
      <w:bookmarkEnd w:id="262"/>
      <w:r>
        <w:rPr>
          <w:rtl w:val="true"/>
        </w:rPr>
        <w:t>الأوّل حول الیتیم</w:t>
      </w:r>
      <w:bookmarkEnd w:id="263"/>
    </w:p>
    <w:p>
      <w:pPr>
        <w:pStyle w:val="BookText"/>
        <w:rPr/>
      </w:pPr>
      <w:r>
        <w:rPr>
          <w:rFonts w:ascii="IRNazanin" w:hAnsi="IRNazanin" w:eastAsia="IRNazanin"/>
          <w:color w:val="111111"/>
          <w:sz w:val="28"/>
          <w:sz w:val="28"/>
          <w:szCs w:val="28"/>
          <w:rtl w:val="true"/>
          <w:lang w:bidi="fa-IR"/>
        </w:rPr>
        <w:t>أنّ المذکور فی لسان الأدلّة و الذی اشتمل علیه أکثر روایات المسألة و إن کان هو عنوان الیتیم، و هو لغة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أب له، و لکنّ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خلاف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بالیتیم هنا المتولّد حیّا، ما لم یبلغ، و خصوصیّة الیتم غیر مرادة فی کلامهم، و الظاهر أنّ التعبیر بهذه العبارة فی النصوص ورد مورد الغالب؛ لأنّ الغالب فیمن له المال من الصبیان هو الیتیم، و إلاّ فالمال فی غیر الیتیم لوالده غالبا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إشکال فی إرادة المعنی الأعمّ، و خصوصیّة الیتیم فی کلام من عبّر به غیر مرادة فی تخصیصه بالذّکر</w:t>
      </w:r>
      <w:r>
        <w:rPr>
          <w:rFonts w:eastAsia="IRNazanin" w:cs="IRNazanin"/>
          <w:color w:val="111111"/>
          <w:sz w:val="28"/>
          <w:szCs w:val="28"/>
          <w:rtl w:val="true"/>
          <w:lang w:bidi="fa-IR"/>
        </w:rPr>
        <w:t>.</w:t>
      </w:r>
      <w:bookmarkStart w:id="264" w:name="pg11756_103924"/>
    </w:p>
    <w:p>
      <w:pPr>
        <w:pStyle w:val="BookText"/>
        <w:rPr/>
      </w:pPr>
      <w:bookmarkEnd w:id="264"/>
      <w:r>
        <w:rPr>
          <w:rFonts w:ascii="IRNazanin" w:hAnsi="IRNazanin" w:eastAsia="IRNazanin"/>
          <w:color w:val="111111"/>
          <w:sz w:val="28"/>
          <w:sz w:val="28"/>
          <w:szCs w:val="28"/>
          <w:rtl w:val="true"/>
          <w:lang w:bidi="fa-IR"/>
        </w:rPr>
        <w:t>مضافا إلی أنّ فی روایة محمّد بن الفضیل ورد بعنوان صبیة صغارا</w:t>
      </w:r>
      <w:r>
        <w:rPr>
          <w:rStyle w:val="FootnoteAnchor"/>
          <w:rtl w:val="true"/>
        </w:rPr>
        <w:footnoteReference w:id="640"/>
      </w:r>
      <w:r>
        <w:rPr>
          <w:rFonts w:ascii="IRNazanin" w:hAnsi="IRNazanin" w:eastAsia="IRNazanin"/>
          <w:color w:val="111111"/>
          <w:sz w:val="28"/>
          <w:sz w:val="28"/>
          <w:szCs w:val="28"/>
          <w:rtl w:val="true"/>
          <w:lang w:bidi="fa-IR"/>
        </w:rPr>
        <w:t>لا بعنوان الیتیم</w:t>
      </w:r>
      <w:r>
        <w:rPr>
          <w:rFonts w:eastAsia="IRNazanin" w:cs="IRNazanin"/>
          <w:color w:val="111111"/>
          <w:sz w:val="28"/>
          <w:szCs w:val="28"/>
          <w:rtl w:val="true"/>
          <w:lang w:bidi="fa-IR"/>
        </w:rPr>
        <w:t>.</w:t>
      </w:r>
    </w:p>
    <w:p>
      <w:pPr>
        <w:pStyle w:val="Heading6"/>
        <w:numPr>
          <w:ilvl w:val="5"/>
          <w:numId w:val="1"/>
        </w:numPr>
        <w:rPr/>
      </w:pPr>
      <w:bookmarkStart w:id="265" w:name="__RefHeading___Toc9643611_73709187"/>
      <w:bookmarkStart w:id="266" w:name="_Toc100"/>
      <w:bookmarkEnd w:id="265"/>
      <w:r>
        <w:rPr>
          <w:rtl w:val="true"/>
        </w:rPr>
        <w:t>الأمر الثانی المراد بالطفل هو المولود المنفصل الغیر البالغ</w:t>
      </w:r>
      <w:bookmarkEnd w:id="266"/>
    </w:p>
    <w:p>
      <w:pPr>
        <w:pStyle w:val="BookText"/>
        <w:rPr/>
      </w:pPr>
      <w:r>
        <w:rPr>
          <w:rFonts w:ascii="IRNazanin" w:hAnsi="IRNazanin" w:eastAsia="IRNazanin"/>
          <w:color w:val="111111"/>
          <w:sz w:val="28"/>
          <w:sz w:val="28"/>
          <w:szCs w:val="28"/>
          <w:rtl w:val="true"/>
          <w:lang w:bidi="fa-IR"/>
        </w:rPr>
        <w:t>یستفاد من ظاهر النصوص و الفتاوی أنّ المراد بالطفل هنا هو المولود المنفصل الغیر البالغ، دون الحمل، فلا یدخل الحمل فی شیء من الأحکام السابقة؛ 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یُخْرِجُکُمْ طِفْلاً </w:t>
      </w:r>
      <w:r>
        <w:rPr>
          <w:rStyle w:val="FootnoteAnchor"/>
          <w:rtl w:val="true"/>
        </w:rPr>
        <w:footnoteReference w:id="641"/>
      </w:r>
      <w:r>
        <w:rPr>
          <w:rFonts w:ascii="IRNazanin" w:hAnsi="IRNazanin" w:eastAsia="IRNazanin"/>
          <w:color w:val="111111"/>
          <w:sz w:val="28"/>
          <w:sz w:val="28"/>
          <w:szCs w:val="28"/>
          <w:rtl w:val="true"/>
          <w:lang w:bidi="fa-IR"/>
        </w:rPr>
        <w:t>ظاهر فی غیر الحمل، کما هو مقتضی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فی المال المنسوب إلی الجنین؛ لعدم التکلیف و عدم الوثوق بحیاته و وجوده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 الشهید فی البیان</w:t>
      </w:r>
      <w:r>
        <w:rPr>
          <w:rStyle w:val="FootnoteAnchor"/>
          <w:rtl w:val="true"/>
        </w:rPr>
        <w:footnoteReference w:id="643"/>
      </w:r>
      <w:r>
        <w:rPr>
          <w:rFonts w:ascii="IRNazanin" w:hAnsi="IRNazanin" w:eastAsia="IRNazanin"/>
          <w:color w:val="111111"/>
          <w:sz w:val="28"/>
          <w:sz w:val="28"/>
          <w:szCs w:val="28"/>
          <w:rtl w:val="true"/>
          <w:lang w:bidi="fa-IR"/>
        </w:rPr>
        <w:t>أنّه مراعی بالانفصال، و کذا فی المستند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أصحابنا علی أنّه قبل انفصال الحمل لا زکاة فی ماله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أیضا الشهید الثانی</w:t>
      </w:r>
      <w:r>
        <w:rPr>
          <w:rStyle w:val="FootnoteAnchor"/>
          <w:rtl w:val="true"/>
        </w:rPr>
        <w:footnoteReference w:id="646"/>
      </w:r>
      <w:r>
        <w:rPr>
          <w:rFonts w:ascii="IRNazanin" w:hAnsi="IRNazanin" w:eastAsia="IRNazanin"/>
          <w:color w:val="111111"/>
          <w:sz w:val="28"/>
          <w:sz w:val="28"/>
          <w:szCs w:val="28"/>
          <w:rtl w:val="true"/>
          <w:lang w:bidi="fa-IR"/>
        </w:rPr>
        <w:t>و المحقّق الأردبیلی</w:t>
      </w:r>
      <w:r>
        <w:rPr>
          <w:rStyle w:val="FootnoteAnchor"/>
          <w:rtl w:val="true"/>
        </w:rPr>
        <w:footnoteReference w:id="647"/>
      </w:r>
      <w:r>
        <w:rPr>
          <w:rFonts w:ascii="IRNazanin" w:hAnsi="IRNazanin" w:eastAsia="IRNazanin"/>
          <w:color w:val="111111"/>
          <w:sz w:val="28"/>
          <w:sz w:val="28"/>
          <w:szCs w:val="28"/>
          <w:rtl w:val="true"/>
          <w:lang w:bidi="fa-IR"/>
        </w:rPr>
        <w:t>و المحدّث البحرانی</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267" w:name="pg11756_103925"/>
    </w:p>
    <w:p>
      <w:pPr>
        <w:pStyle w:val="BookText"/>
        <w:rPr/>
      </w:pPr>
      <w:bookmarkEnd w:id="267"/>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التحقیق عدم دخول الحمل فی الأحکام السابقة للأطفال من استحباب الزکاة فی أموالهم و عدمه، و علّله قدّس سرّه بأنّ ملکه مراعی بسقوطه حیّا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الأعظم</w:t>
      </w:r>
      <w:r>
        <w:rPr>
          <w:rStyle w:val="FootnoteAnchor"/>
          <w:rtl w:val="true"/>
        </w:rPr>
        <w:footnoteReference w:id="650"/>
      </w:r>
      <w:r>
        <w:rPr>
          <w:rFonts w:ascii="IRNazanin" w:hAnsi="IRNazanin" w:eastAsia="IRNazanin"/>
          <w:color w:val="111111"/>
          <w:sz w:val="28"/>
          <w:sz w:val="28"/>
          <w:szCs w:val="28"/>
          <w:rtl w:val="true"/>
          <w:lang w:bidi="fa-IR"/>
        </w:rPr>
        <w:t>و السیّدان الخوئی</w:t>
      </w:r>
      <w:r>
        <w:rPr>
          <w:rStyle w:val="FootnoteAnchor"/>
          <w:rtl w:val="true"/>
        </w:rPr>
        <w:footnoteReference w:id="651"/>
      </w:r>
      <w:r>
        <w:rPr>
          <w:rFonts w:ascii="IRNazanin" w:hAnsi="IRNazanin" w:eastAsia="IRNazanin"/>
          <w:color w:val="111111"/>
          <w:sz w:val="28"/>
          <w:sz w:val="28"/>
          <w:szCs w:val="28"/>
          <w:rtl w:val="true"/>
          <w:lang w:bidi="fa-IR"/>
        </w:rPr>
        <w:t>و الحکیم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عنوان الصبیّ و الطفل اللّذین وردا فی النصوص و الفتاوی لا یصدقان علی الحمل</w:t>
      </w:r>
      <w:r>
        <w:rPr>
          <w:rStyle w:val="FootnoteAnchor"/>
          <w:rtl w:val="true"/>
        </w:rPr>
        <w:footnoteReference w:id="653"/>
      </w:r>
      <w:r>
        <w:rPr>
          <w:rFonts w:ascii="IRNazanin" w:hAnsi="IRNazanin" w:eastAsia="IRNazanin"/>
          <w:color w:val="111111"/>
          <w:sz w:val="28"/>
          <w:sz w:val="28"/>
          <w:szCs w:val="28"/>
          <w:rtl w:val="true"/>
          <w:lang w:bidi="fa-IR"/>
        </w:rPr>
        <w:t>؛ إذ لم یولد بعد لیصدق علیه لفظ الصبیّ أو الطفل، فضلا عن الیتیم الذی هو قسم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فالعنوان المزبور منصرف إلی المولود الخارجی و لا یعمّ الحمل قطعا، فلا زکاة علیه و إن کانت له حصّة من المال</w:t>
      </w:r>
      <w:r>
        <w:rPr>
          <w:rFonts w:eastAsia="IRNazanin" w:cs="IRNazanin"/>
          <w:color w:val="111111"/>
          <w:sz w:val="28"/>
          <w:szCs w:val="28"/>
          <w:rtl w:val="true"/>
          <w:lang w:bidi="fa-IR"/>
        </w:rPr>
        <w:t>.</w:t>
      </w:r>
    </w:p>
    <w:p>
      <w:pPr>
        <w:pStyle w:val="Heading6"/>
        <w:numPr>
          <w:ilvl w:val="5"/>
          <w:numId w:val="1"/>
        </w:numPr>
        <w:rPr/>
      </w:pPr>
      <w:bookmarkStart w:id="268" w:name="__RefHeading___Toc9643613_73709187"/>
      <w:bookmarkStart w:id="269" w:name="_Toc101"/>
      <w:bookmarkEnd w:id="268"/>
      <w:r>
        <w:rPr>
          <w:rtl w:val="true"/>
        </w:rPr>
        <w:t>الأمر الثالث أنّ الوجوب و الاستحباب و إن نسبا إلی مال الطفل إلاّ أنّ المکلّف بالإتیان به فی الحقیقة هو الولیّ</w:t>
      </w:r>
      <w:bookmarkEnd w:id="269"/>
    </w:p>
    <w:p>
      <w:pPr>
        <w:pStyle w:val="BookText"/>
        <w:rPr/>
      </w:pPr>
      <w:r>
        <w:rPr>
          <w:rFonts w:ascii="IRNazanin" w:hAnsi="IRNazanin" w:eastAsia="IRNazanin"/>
          <w:color w:val="111111"/>
          <w:sz w:val="28"/>
          <w:sz w:val="28"/>
          <w:szCs w:val="28"/>
          <w:rtl w:val="true"/>
          <w:lang w:bidi="fa-IR"/>
        </w:rPr>
        <w:t>أنّ الوجوب و الاستحباب و إن نسبا إلی مال الطفل إلاّ أنّ المکلّف بالإتیان به فی الحقیقة هو الولیّ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الاستحباب ملاکا بالنسبة إلی الطفل، و الولیّ نائب عنه فی الامتثال کما فی سائر موارد النیابة، فمصلحة الخطاب راجعة إلی الطفل لا إلی ولیّه، و کأنّ الوجه فی تخصیص الولیّ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التصرّفات المالیّة التی لا تصحّ من الطفل و لو بإذن الولیّ علی</w:t>
      </w:r>
    </w:p>
    <w:p>
      <w:pPr>
        <w:pStyle w:val="BookText"/>
        <w:rPr/>
      </w:pPr>
      <w:r>
        <w:rPr>
          <w:rFonts w:ascii="IRNazanin" w:hAnsi="IRNazanin" w:eastAsia="IRNazanin"/>
          <w:color w:val="111111"/>
          <w:sz w:val="28"/>
          <w:sz w:val="28"/>
          <w:szCs w:val="28"/>
          <w:rtl w:val="true"/>
          <w:lang w:bidi="fa-IR"/>
        </w:rPr>
        <w:t>المشهور، کما فی المستمسک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فالتکلیف بالإخراج یتناول الوالی علیه</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الإرشاد</w:t>
      </w:r>
      <w:r>
        <w:rPr>
          <w:rStyle w:val="FootnoteAnchor"/>
          <w:rtl w:val="true"/>
        </w:rPr>
        <w:footnoteReference w:id="656"/>
      </w:r>
      <w:r>
        <w:rPr>
          <w:rFonts w:ascii="IRNazanin" w:hAnsi="IRNazanin" w:eastAsia="IRNazanin"/>
          <w:color w:val="111111"/>
          <w:sz w:val="28"/>
          <w:sz w:val="28"/>
          <w:szCs w:val="28"/>
          <w:rtl w:val="true"/>
          <w:lang w:bidi="fa-IR"/>
        </w:rPr>
        <w:t>و القواعد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أنّ المتولّی للإخراج هو الولیّ، و علی تقدیر عدم حضوره یمکن التوقّف حتّی یوجد أو یبلغ فیقضی، و یحتمل جواز الأخذ لآحاد العدول و المستحقّین، فتأمّل</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فی الجواهر بأنّه هو الذی له ولایة التصرّف فی ماله، و لظهور بعض النصوص السابقة</w:t>
      </w:r>
      <w:r>
        <w:rPr>
          <w:rStyle w:val="FootnoteAnchor"/>
          <w:rtl w:val="true"/>
        </w:rPr>
        <w:footnoteReference w:id="659"/>
      </w:r>
      <w:r>
        <w:rPr>
          <w:rFonts w:ascii="IRNazanin" w:hAnsi="IRNazanin" w:eastAsia="IRNazanin"/>
          <w:color w:val="111111"/>
          <w:sz w:val="28"/>
          <w:sz w:val="28"/>
          <w:szCs w:val="28"/>
          <w:rtl w:val="true"/>
          <w:lang w:bidi="fa-IR"/>
        </w:rPr>
        <w:t>فی خطابه بذلک، فلیس حینئذ للطفل الإخراج بدون إذنه و إن قلنا بشرعیّة عباداته، و لا لغیره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الروایات الواردة فی استحباب الزکاة فی مال الیتیم مع الاتّجار خالیة بأجمعها عن تعیین المأمور بهذا الحکم ما عدا روایة واحدة، التی خوطب فیها من یتّجر بأن یزکّیه</w:t>
      </w:r>
      <w:r>
        <w:rPr>
          <w:rStyle w:val="FootnoteAnchor"/>
          <w:rtl w:val="true"/>
        </w:rPr>
        <w:footnoteReference w:id="661"/>
      </w:r>
      <w:r>
        <w:rPr>
          <w:rFonts w:ascii="IRNazanin" w:hAnsi="IRNazanin" w:eastAsia="IRNazanin"/>
          <w:color w:val="111111"/>
          <w:sz w:val="28"/>
          <w:sz w:val="28"/>
          <w:szCs w:val="28"/>
          <w:rtl w:val="true"/>
          <w:lang w:bidi="fa-IR"/>
        </w:rPr>
        <w:t>، و إلاّ فسائر الروایات تضمّنت أنّ فی ماله الزکاة من غیر تعیین شخص خاصّ</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الزکاة مع الاختلاف فی کیفیّة تعلّقها بالمال الزکوی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بنحو الکلّی 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الشرکة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فی مجموع هذا المال بنحو</w:t>
      </w:r>
      <w:bookmarkStart w:id="270" w:name="pg11756_103927"/>
    </w:p>
    <w:p>
      <w:pPr>
        <w:pStyle w:val="BookText"/>
        <w:rPr/>
      </w:pPr>
      <w:bookmarkEnd w:id="270"/>
      <w:r>
        <w:rPr>
          <w:rFonts w:ascii="IRNazanin" w:hAnsi="IRNazanin" w:eastAsia="IRNazanin"/>
          <w:color w:val="111111"/>
          <w:sz w:val="28"/>
          <w:sz w:val="28"/>
          <w:szCs w:val="28"/>
          <w:rtl w:val="true"/>
          <w:lang w:bidi="fa-IR"/>
        </w:rPr>
        <w:t>من تلک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یجوز التصرّف فی المال لغیر الولیّ، فبطبیعة الحال یکون المأمور هو الولی من أبیه أو جدّه أو القیّم من قبلهما، و لو لم یکن ذلک فولیه الحاکم الشرعی الذی هو ولیّ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له ولیّین أو قیّمین فطبعا یجوز لکلّ منهما إخراج الزکاة؛ عملا بإطلاق دلیل ولایته، کما أنّه لو سبق أحدهما نفذ تصرّفه و إن استنکره الآخر؛ لأنّه تصرّف من أهله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لو تشاحّا فأراد أحدهما الإخراج و الآخر عدمه قدّم من یرید الإخراج؛ لأنّ منع الآخر لا یصدّ من یرید الإخراج عن العمل بدلیل الاستحباب الثابت بنحو الإطلاق</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العروة</w:t>
      </w:r>
      <w:r>
        <w:rPr>
          <w:rStyle w:val="FootnoteAnchor"/>
          <w:rtl w:val="true"/>
        </w:rPr>
        <w:footnoteReference w:id="663"/>
      </w:r>
      <w:r>
        <w:rPr>
          <w:rFonts w:ascii="IRNazanin" w:hAnsi="IRNazanin" w:eastAsia="IRNazanin"/>
          <w:color w:val="111111"/>
          <w:sz w:val="28"/>
          <w:sz w:val="28"/>
          <w:szCs w:val="28"/>
          <w:rtl w:val="true"/>
          <w:lang w:bidi="fa-IR"/>
        </w:rPr>
        <w:t>، و اختاره کثیر من الأعلام الذین علّقوا علیها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271" w:name="__RefHeading___Toc9643615_73709187"/>
      <w:bookmarkStart w:id="272" w:name="_Toc102"/>
      <w:bookmarkEnd w:id="271"/>
      <w:r>
        <w:rPr>
          <w:rtl w:val="true"/>
        </w:rPr>
        <w:t>الأمر الرابع هل یجوز للولیّ أن یأخذ من الربح فی تجارة مال الیتیم أم لا؟</w:t>
      </w:r>
      <w:bookmarkEnd w:id="272"/>
    </w:p>
    <w:p>
      <w:pPr>
        <w:pStyle w:val="BookText"/>
        <w:rPr/>
      </w:pPr>
      <w:r>
        <w:rPr>
          <w:rFonts w:ascii="IRNazanin" w:hAnsi="IRNazanin" w:eastAsia="IRNazanin"/>
          <w:color w:val="111111"/>
          <w:sz w:val="28"/>
          <w:sz w:val="28"/>
          <w:szCs w:val="28"/>
          <w:rtl w:val="true"/>
          <w:lang w:bidi="fa-IR"/>
        </w:rPr>
        <w:t>هل یجوز للولیّ أن یأخذ من الربح فی تجارة مال الیتیم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اتّجر متّجر بأموالهم نظرا لهم یستحبّ له أن یخرج من أموالهم الزکاة، و جاز له أن یأخذ من الربح بقدر ما یحتاج إلیه علی قدر الکفایة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له الاجرة إن لم یتبرّع به، و له المضاربة</w:t>
      </w:r>
    </w:p>
    <w:p>
      <w:pPr>
        <w:pStyle w:val="BookText"/>
        <w:rPr/>
      </w:pPr>
      <w:r>
        <w:rPr>
          <w:rFonts w:ascii="IRNazanin" w:hAnsi="IRNazanin" w:eastAsia="IRNazanin"/>
          <w:color w:val="111111"/>
          <w:sz w:val="28"/>
          <w:sz w:val="28"/>
          <w:szCs w:val="28"/>
          <w:rtl w:val="true"/>
          <w:lang w:bidi="fa-IR"/>
        </w:rPr>
        <w:t>أیضا، و کلّ ذلک مع المصلحة</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المحدّث البحرانیّ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روایة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یکون فی یدیه مال لأخ له یتیم و هو وصیّه، أ یصلح له أن یعمل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کما یعمل بمال غیره، 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واضحة علی المدّعی حیث صرّح بأنّ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یستفاد من الروایة و غیرها جواز أخذ الولیّ الاجرة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سندها، و التحقّق فی اعتبارها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273" w:name="pg11756_103929"/>
    </w:p>
    <w:p>
      <w:pPr>
        <w:pStyle w:val="BookText"/>
        <w:rPr/>
      </w:pPr>
      <w:bookmarkEnd w:id="273"/>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یظهر من الحلّی فی مقابل المشهور،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لمن اتّجر فی أموالهم أن یأخذ الربح، سواء کان فی الحال متمکّنا من مقدار ما یضمن به مال الطفل أو لم یکن، و الربح فی الحالین معا للیتیم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9643617_73709187"/>
      <w:bookmarkStart w:id="275" w:name="_Toc103"/>
      <w:bookmarkEnd w:id="274"/>
      <w:r>
        <w:rPr>
          <w:rtl w:val="true"/>
        </w:rPr>
        <w:t xml:space="preserve">الأمر الخامس لو لم یؤدّ الولیّ </w:t>
      </w:r>
      <w:r>
        <w:rPr>
          <w:rtl w:val="true"/>
        </w:rPr>
        <w:t xml:space="preserve">- </w:t>
      </w:r>
      <w:r>
        <w:rPr>
          <w:rtl w:val="true"/>
        </w:rPr>
        <w:t xml:space="preserve">الزکاة </w:t>
      </w:r>
      <w:r>
        <w:rPr>
          <w:rtl w:val="true"/>
        </w:rPr>
        <w:t xml:space="preserve">- </w:t>
      </w:r>
      <w:r>
        <w:rPr>
          <w:rtl w:val="true"/>
        </w:rPr>
        <w:t>إلی أن بلغ المولّی علیه فالظاهر ثبوت الاستحباب بالنسبة إلیه</w:t>
      </w:r>
      <w:bookmarkEnd w:id="275"/>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یؤدّ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بلغ المولّی علیه فالظاهر ثبوت الاستحباب بالنسبة إلیه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 لأصالة بقاء خطاب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و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مباشرة الولیّ کانت مادامیّة، و من باب الاستباق إلی الخیر، لا أن تکون قیدا فی أصل الجعل و التشریع بحیث ینتفی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التکلیف مختصّ بالولیّ خطابا و ملاکا فلا وجه لتکلیف الیتیم به بعد بلوغه، ساقط رأسا؛ لأنّ الولیّ مکلّف من حیث الولایة لا الموضوعیّة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المال زکاة من غیر أن تتضمّن الخطاب بشخص خاصّ، و تخصیص الحکم بالولیّ؛ لأنّه هو القدر المتیقّن ممّن یجوز له التصرّف فی مال الیتیم، لا أنّ الخطاب متوجّه إلیه لیسقط</w:t>
      </w:r>
    </w:p>
    <w:p>
      <w:pPr>
        <w:pStyle w:val="BookText"/>
        <w:rPr/>
      </w:pPr>
      <w:r>
        <w:rPr>
          <w:rFonts w:ascii="IRNazanin" w:hAnsi="IRNazanin" w:eastAsia="IRNazanin"/>
          <w:color w:val="111111"/>
          <w:sz w:val="28"/>
          <w:sz w:val="28"/>
          <w:szCs w:val="28"/>
          <w:rtl w:val="true"/>
          <w:lang w:bidi="fa-IR"/>
        </w:rPr>
        <w:t>بانقطاع ولایته بعد بلوغ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الإطلاق فی تلک الأدلّة ثبوت الاستحباب للمولّی علیه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دلّ علی أنّ الزکاة فی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من الحقوق المالیّة ظاهر؛ إذ علیه یبقی الحقّ المذکور إلی أن یؤدّی و لو بعد البلوغ، و لا ینافی ذلک عدم وجوب الأداء؛ إذ لا مانع عقلا من ملک الفقیر جزء من المال بنحو یستحبّ دفعه إلیه و لا یجب، نظیر ما قد یقال فی جواز الرجوع فی الهبة و جواز الرجوع فی المعاطاة قبل التصرّف،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لا بعنوان الفسخ بل بعنوان تملّک مال الغیر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بناء علی أنّه من قبیل التکلیف المحض للیتیم بأن یکون مکلّفا استحبابا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قصوره؛ إذ هو إنّما ینافی توجّه الخطاب إلیه به لا مناط الخطاب، فإذا کان المناط موجودا فی فعله کان مستحبّا له بعد البلوغ أیضا کما قبله، أمّا إذا کان الخطاب متوجّها إلی الولیّ</w:t>
      </w:r>
      <w:r>
        <w:rPr>
          <w:rStyle w:val="FootnoteAnchor"/>
          <w:rtl w:val="true"/>
        </w:rPr>
        <w:footnoteReference w:id="673"/>
      </w:r>
      <w:r>
        <w:rPr>
          <w:rFonts w:ascii="IRNazanin" w:hAnsi="IRNazanin" w:eastAsia="IRNazanin"/>
          <w:color w:val="111111"/>
          <w:sz w:val="28"/>
          <w:sz w:val="28"/>
          <w:szCs w:val="28"/>
          <w:rtl w:val="true"/>
          <w:lang w:bidi="fa-IR"/>
        </w:rPr>
        <w:t>لا غیر، فلا استحباب له بعد بلوغ الیتیم؛ لخروجه عن الولایة علیه حینئذ، و لا یجوز له التصرّف فی مال غیره قطعا، و لا استحباب للصبیّ الذی قد بلغ لعدم الملاک المقتضی له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276" w:name="pg11756_103931"/>
    </w:p>
    <w:p>
      <w:pPr>
        <w:pStyle w:val="Heading3"/>
        <w:numPr>
          <w:ilvl w:val="2"/>
          <w:numId w:val="1"/>
        </w:numPr>
        <w:rPr/>
      </w:pPr>
      <w:bookmarkStart w:id="277" w:name="__RefHeading___Toc9643619_73709187"/>
      <w:bookmarkStart w:id="278" w:name="_Toc104"/>
      <w:bookmarkEnd w:id="276"/>
      <w:bookmarkEnd w:id="277"/>
      <w:r>
        <w:rPr>
          <w:rtl w:val="true"/>
        </w:rPr>
        <w:t>المبحث الثالث</w:t>
      </w:r>
      <w:r>
        <w:rPr>
          <w:rtl w:val="true"/>
        </w:rPr>
        <w:t xml:space="preserve">: </w:t>
      </w:r>
      <w:r>
        <w:rPr>
          <w:rtl w:val="true"/>
        </w:rPr>
        <w:t>آراء أهل السنّة فی زکاة أموال الصغار</w:t>
      </w:r>
      <w:bookmarkEnd w:id="278"/>
    </w:p>
    <w:p>
      <w:pPr>
        <w:pStyle w:val="Heading4"/>
        <w:numPr>
          <w:ilvl w:val="3"/>
          <w:numId w:val="1"/>
        </w:numPr>
        <w:rPr/>
      </w:pPr>
      <w:bookmarkStart w:id="279" w:name="__RefHeading___Toc9643621_73709187"/>
      <w:bookmarkStart w:id="280" w:name="_Toc105"/>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اتّفق فقهاء أهل السنّة علی أنّ الزکاة تجب علی کلّ مسلم بالغ عاقل، مالک للنصاب ملکا تامّا، و لکن اختلفوا فی وجوب الزکاة علی الصغار، و یمکن ردّ اختلافهم إلی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أموالهم الزکاة کما تجب فی أموال البالغین، و هو قول مالک و الشافعی و أحمد و الثوری و غیرهم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حرّ مسلم فالزکاة فی ماله واجبة، مکلّفا کان أو غیر مکلّف</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الامّ</w:t>
      </w:r>
      <w:r>
        <w:rPr>
          <w:rStyle w:val="FootnoteAnchor"/>
          <w:rtl w:val="true"/>
        </w:rPr>
        <w:footnoteReference w:id="676"/>
      </w:r>
      <w:r>
        <w:rPr>
          <w:rFonts w:ascii="Amiri" w:hAnsi="Amiri" w:eastAsia="Amiri" w:cs="Amiri"/>
          <w:color w:val="111111"/>
          <w:sz w:val="28"/>
          <w:sz w:val="28"/>
          <w:szCs w:val="28"/>
          <w:rtl w:val="true"/>
          <w:lang w:bidi="ar-SA"/>
        </w:rPr>
        <w:t>و المدوّنة</w:t>
      </w:r>
      <w:r>
        <w:rPr>
          <w:rStyle w:val="FootnoteAnchor"/>
          <w:rtl w:val="true"/>
        </w:rPr>
        <w:footnoteReference w:id="677"/>
      </w:r>
      <w:r>
        <w:rPr>
          <w:rFonts w:ascii="IRNazanin" w:hAnsi="IRNazanin" w:eastAsia="IRNazanin"/>
          <w:color w:val="111111"/>
          <w:sz w:val="28"/>
          <w:sz w:val="28"/>
          <w:szCs w:val="28"/>
          <w:rtl w:val="true"/>
          <w:lang w:bidi="fa-IR"/>
        </w:rPr>
        <w:t>و المبدع</w:t>
      </w:r>
      <w:r>
        <w:rPr>
          <w:rStyle w:val="FootnoteAnchor"/>
          <w:rtl w:val="true"/>
        </w:rPr>
        <w:footnoteReference w:id="678"/>
      </w:r>
      <w:r>
        <w:rPr>
          <w:rFonts w:ascii="Amiri" w:hAnsi="Amiri" w:eastAsia="Amiri" w:cs="Amiri"/>
          <w:color w:val="111111"/>
          <w:sz w:val="28"/>
          <w:sz w:val="28"/>
          <w:szCs w:val="28"/>
          <w:rtl w:val="true"/>
          <w:lang w:bidi="ar-SA"/>
        </w:rPr>
        <w:t>و المهذّب</w:t>
      </w:r>
      <w:r>
        <w:rPr>
          <w:rStyle w:val="FootnoteAnchor"/>
          <w:rtl w:val="true"/>
        </w:rPr>
        <w:footnoteReference w:id="679"/>
      </w:r>
      <w:r>
        <w:rPr>
          <w:rFonts w:ascii="IRNazanin" w:hAnsi="IRNazanin" w:eastAsia="IRNazanin"/>
          <w:color w:val="111111"/>
          <w:sz w:val="28"/>
          <w:sz w:val="28"/>
          <w:szCs w:val="28"/>
          <w:rtl w:val="true"/>
          <w:lang w:bidi="fa-IR"/>
        </w:rPr>
        <w:t>و المجموع</w:t>
      </w:r>
      <w:r>
        <w:rPr>
          <w:rStyle w:val="FootnoteAnchor"/>
          <w:rtl w:val="true"/>
        </w:rPr>
        <w:footnoteReference w:id="680"/>
      </w:r>
      <w:r>
        <w:rPr>
          <w:rFonts w:ascii="IRNazanin" w:hAnsi="IRNazanin" w:eastAsia="IRNazanin"/>
          <w:color w:val="111111"/>
          <w:sz w:val="28"/>
          <w:sz w:val="28"/>
          <w:szCs w:val="28"/>
          <w:rtl w:val="true"/>
          <w:lang w:bidi="fa-IR"/>
        </w:rPr>
        <w:t>و غیرها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الزکاة تجب فی مال الصبیّ و المجنون</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عندنا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لهذا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وَ صَلِّ عَلَیْهِمْ </w:t>
      </w:r>
      <w:r>
        <w:rPr>
          <w:rStyle w:val="FootnoteAnchor"/>
          <w:rtl w:val="true"/>
        </w:rPr>
        <w:footnoteReference w:id="684"/>
      </w:r>
      <w:r>
        <w:rPr>
          <w:rFonts w:ascii="IRNazanin" w:hAnsi="IRNazanin" w:eastAsia="IRNazanin"/>
          <w:color w:val="111111"/>
          <w:sz w:val="28"/>
          <w:sz w:val="28"/>
          <w:szCs w:val="28"/>
          <w:rtl w:val="true"/>
          <w:lang w:bidi="fa-IR"/>
        </w:rPr>
        <w:t>، فإنّه لم یخصّ مالا دون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الإلزامیّة لا تشمل الصغار، مضافا إلی أنّ الظاهر منها التطهیر من أرجاس الذنوب، و لا ذنب علی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ولی یتیما له مال فلیتّجر له فیه، و لا یترکه تأکله الصدقة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تأکله الصدقة بإخراجها، و إنّما یجوز إخراجها إذا کانت واجبة؛ لأنّه لیس له أن یتبرّع بمال الیتیم</w:t>
      </w:r>
      <w:r>
        <w:rPr>
          <w:rStyle w:val="FootnoteAnchor"/>
          <w:rtl w:val="true"/>
        </w:rPr>
        <w:footnoteReference w:id="686"/>
      </w:r>
      <w:r>
        <w:rPr>
          <w:rFonts w:ascii="Amiri" w:hAnsi="Amiri" w:eastAsia="Amiri" w:cs="Amiri"/>
          <w:color w:val="111111"/>
          <w:sz w:val="28"/>
          <w:sz w:val="28"/>
          <w:szCs w:val="28"/>
          <w:rtl w:val="true"/>
          <w:lang w:bidi="ar-SA"/>
        </w:rPr>
        <w:t>، و ینفقه فی غیر واجب، فیکون تقرّبا بغیر التی هی أحسن،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یدلّ علی مدّعاهم، و لکن فی سنده إشکال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إسناده مقال؛ لأنّ المثنّی بن الصباح یضعّف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یحیی بن سعید فی حدیث عمرو بن شعیب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عندنا واه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سنن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أیضا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فی مال الیتیم أو فی أموال الیتامی، لا تذهبها أو لا تستهلکها الصدقة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مرسل</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روی أیضا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مال الیتیم زکاة</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و لکن جاء فی سنن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إسناده ضعیف</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المجموع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بالصدقة الزکاة، یعنی تأکل معظم الزکاة مع النفقة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بأقوال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الصحابی لا یکون حجّة؛ لأنّ قوله لیس بنصّ صریح فی سماع الخبر عن النبیّ صلّی اللّه علیه و آله بل ربّما قاله عن دلیل ضعیف، ظنّه دلیلا، و یحتمل الخطأ فیه، و الخطأ جائز علی الصحابی، فلا دلیل علی اعتبار قوله إلاّ إذا اعتبر السنّة، و أنّی باعتبار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الدلیل علی العصمة، و وقوع الاختلاف بینهم،</w:t>
      </w:r>
      <w:bookmarkStart w:id="281" w:name="pg11756_103934"/>
    </w:p>
    <w:p>
      <w:pPr>
        <w:pStyle w:val="BookText"/>
        <w:rPr/>
      </w:pPr>
      <w:bookmarkEnd w:id="281"/>
      <w:r>
        <w:rPr>
          <w:rFonts w:ascii="IRNazanin" w:hAnsi="IRNazanin" w:eastAsia="IRNazanin"/>
          <w:color w:val="111111"/>
          <w:sz w:val="28"/>
          <w:sz w:val="28"/>
          <w:szCs w:val="28"/>
          <w:rtl w:val="true"/>
          <w:lang w:bidi="fa-IR"/>
        </w:rPr>
        <w:t>و تصریحهم بجواز مخالفتهم فیه، ثلاثة أدلّة قاطعة</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الزکاة مواساة، و الصبیّ من أهلها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محجور علیه لا یجوز له التصرّف فی ماله، فلا وجه لهذه المواساة</w:t>
      </w:r>
      <w:r>
        <w:rPr>
          <w:rFonts w:eastAsia="IRNazanin" w:cs="IRNazanin"/>
          <w:color w:val="111111"/>
          <w:sz w:val="28"/>
          <w:szCs w:val="28"/>
          <w:rtl w:val="true"/>
          <w:lang w:bidi="fa-IR"/>
        </w:rPr>
        <w:t>.</w:t>
      </w:r>
    </w:p>
    <w:p>
      <w:pPr>
        <w:pStyle w:val="Heading4"/>
        <w:numPr>
          <w:ilvl w:val="3"/>
          <w:numId w:val="1"/>
        </w:numPr>
        <w:rPr/>
      </w:pPr>
      <w:bookmarkStart w:id="282" w:name="__RefHeading___Toc9643623_73709187"/>
      <w:bookmarkStart w:id="283" w:name="_Toc106"/>
      <w:bookmarkEnd w:id="282"/>
      <w:r>
        <w:rPr>
          <w:rtl w:val="true"/>
        </w:rPr>
        <w:t>أنّ المقصود من الزکاة سدّ خلّة الفقراء من مال الأغنیاء</w:t>
      </w:r>
      <w:bookmarkEnd w:id="283"/>
    </w:p>
    <w:p>
      <w:pPr>
        <w:pStyle w:val="Heading5"/>
        <w:numPr>
          <w:ilvl w:val="4"/>
          <w:numId w:val="1"/>
        </w:numPr>
        <w:rPr/>
      </w:pPr>
      <w:bookmarkStart w:id="284" w:name="__RefHeading___Toc9643625_73709187"/>
      <w:bookmarkStart w:id="285" w:name="_Toc107"/>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الزکاة سدّ خلّة</w:t>
      </w:r>
      <w:r>
        <w:rPr>
          <w:rStyle w:val="FootnoteAnchor"/>
          <w:rtl w:val="true"/>
        </w:rPr>
        <w:footnoteReference w:id="697"/>
      </w:r>
      <w:r>
        <w:rPr>
          <w:rFonts w:ascii="IRNazanin" w:hAnsi="IRNazanin" w:eastAsia="IRNazanin"/>
          <w:color w:val="111111"/>
          <w:sz w:val="28"/>
          <w:sz w:val="28"/>
          <w:szCs w:val="28"/>
          <w:rtl w:val="true"/>
          <w:lang w:bidi="fa-IR"/>
        </w:rPr>
        <w:t>الفقراء من مال الأغنیاء؛ شکرا للّه تعالی و تطهیرا للمال، و مال الصبیّ قابل لأداء النفقات و الغرامات، فلا یضیّق من الزکاة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قیاس قیس فیه وجوب الزکاة علی وجوب نفقة الأقارب و الزوجات و اروش الجنایات و قیم المتلفات، و هو قیاس ضعیف؛ لأنّ وجوب الزکاة مرفوع عن الصبیّ بحدیث رفع القلم، و لا یمکن أن یرفع به وجوب النفقات و اروش الجنایات و قیم المتلفات؛ لأنّه خلاف المنّة علی الغیر، و الحدیث امتنانی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ابن قدامة من أنّ المراد من حدیث الرفع رفع الإثم و العبادات البدنیّة</w:t>
      </w:r>
      <w:r>
        <w:rPr>
          <w:rStyle w:val="FootnoteAnchor"/>
          <w:rtl w:val="true"/>
        </w:rPr>
        <w:footnoteReference w:id="699"/>
      </w:r>
      <w:r>
        <w:rPr>
          <w:rFonts w:ascii="IRNazanin" w:hAnsi="IRNazanin" w:eastAsia="IRNazanin"/>
          <w:color w:val="111111"/>
          <w:sz w:val="28"/>
          <w:sz w:val="28"/>
          <w:szCs w:val="28"/>
          <w:rtl w:val="true"/>
          <w:lang w:bidi="fa-IR"/>
        </w:rPr>
        <w:t>، غیر تامّ؛ لأنّ الحدیث مطلق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أصحابنا أیضا من جهة القیاس بأنّ کلّ من وجب العشر فی زرعه وجبت الزکاة فی سائر أمواله کالبالغ</w:t>
      </w:r>
    </w:p>
    <w:p>
      <w:pPr>
        <w:pStyle w:val="BookText"/>
        <w:rPr/>
      </w:pP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سیأتی أنّ المقیس علیه لم یثبت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سلّمت تمامیّة الأدلّة السابقة لکن حدیث رفع القلم عن الصبیّ</w:t>
      </w:r>
      <w:r>
        <w:rPr>
          <w:rStyle w:val="FootnoteAnchor"/>
          <w:rtl w:val="true"/>
        </w:rPr>
        <w:footnoteReference w:id="701"/>
      </w:r>
      <w:r>
        <w:rPr>
          <w:rFonts w:ascii="IRNazanin" w:hAnsi="IRNazanin" w:eastAsia="IRNazanin"/>
          <w:color w:val="111111"/>
          <w:sz w:val="28"/>
          <w:sz w:val="28"/>
          <w:szCs w:val="28"/>
          <w:rtl w:val="true"/>
          <w:lang w:bidi="fa-IR"/>
        </w:rPr>
        <w:t>الحاکم علی جمیع الأدلّة یوجب اختصاص الزکاة بالبالغین و خروج الصبیّ عن دیوان التشریع و قلم الجعل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الحدیث بالأحکام التکلیفیّة و عدم تکفّله لرفع الحکم الوضعی الذی هو ثابت فی المقام عاریة عن الشاهد، فإنّ إطلاق الحدیث یعمّ الوضع و التکلیف بمناط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تجب فی أموال الصغار زکاة مطلقا، و هو قول النخعی و الحسن و سعید بن المسیّب و سعید بن جبیر و</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و هو موافق لأکثر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علیهم و لکن لا تخرج حتّی یبلغوا، و به قال الثوری و الأوزاعی و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أحصی ما یجب فی مال الیتیم من الزکاة، فإذا بلغ أعلمه، فإن شاء زکّی، و إن شاء لم یزکّ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إشارة إلی وجوب الزکاة، لکن لیس للولیّ ولایة الأداء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أدّاها الولیّ من مال الیتیم ضمن</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286" w:name="pg11756_103936"/>
    </w:p>
    <w:p>
      <w:pPr>
        <w:pStyle w:val="BookText"/>
        <w:rPr/>
      </w:pPr>
      <w:bookmarkEnd w:id="286"/>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أبی حنیفة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علیهم الزکاة فی زروعهم و ثمارهم التی تخرج فی أرضهم العشریّة، و لا تجب فیما عدا ذلک من الأموال، کما فی المغنی</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عندنا، فلا تجب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بنی المسألة علی أصل، و هو أنّ الزکاة عبادة عندنا، و الصبیّ لیس من أهل وجوب العبادة، فلا تجب علیه کما لا یجب علیه الصوم و الصلاة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707"/>
      </w:r>
      <w:r>
        <w:rPr>
          <w:rFonts w:ascii="IRNazanin" w:hAnsi="IRNazanin" w:eastAsia="IRNazanin"/>
          <w:color w:val="111111"/>
          <w:sz w:val="28"/>
          <w:sz w:val="28"/>
          <w:szCs w:val="28"/>
          <w:rtl w:val="true"/>
          <w:lang w:bidi="fa-IR"/>
        </w:rPr>
        <w:t>و غیرهما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وجوب الزکاة فی زروعهم فقد صرّح ابن عابدین أنّ فی العشر معنی مئونة الأرض، أی اجرتها فلیس بعبادة محضة، و لا یشترط فی وجوبها العقل و البلوغ و الحرّیّة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الأرض لمکاتب أو صبیّ أو مجنون وجب العشر فی الخارج منها؛ لأنّ العشر عندنا مئونة الأرض النامیة کالخراج</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9643627_73709187"/>
      <w:bookmarkStart w:id="288" w:name="_Toc108"/>
      <w:bookmarkEnd w:id="287"/>
      <w:r>
        <w:rPr>
          <w:rtl w:val="true"/>
        </w:rPr>
        <w:t>إیضاح</w:t>
      </w:r>
      <w:bookmarkEnd w:id="2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صرّحوا بأنّه علی القول بوجوب الزکاة فی أموال الصغار فالمتکفّل لإخراجها هو الولیّ، ففی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الولیّ یخرجها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زکاة واجبة کزکاة البالغ العاقل، و الولیّ یقوم مقامه فی أداء ما علیه؛ و لأنّها حقّ واجب علی الصبیّ، فکان علی الولیّ أداؤه عنه کنفقة أقاربه، و تعتبر نیّة الولیّ فی الإخراج کما تعتبر النیّة من ربّ المال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یطالب بإخراجها ولیّه کما یجب فی ماله قیمة ما أتلفه، و یجب علی الولیّ دفعه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بالإخراج ولیّه</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289" w:name="pg11756_103938"/>
    </w:p>
    <w:p>
      <w:pPr>
        <w:pStyle w:val="Heading3"/>
        <w:numPr>
          <w:ilvl w:val="2"/>
          <w:numId w:val="1"/>
        </w:numPr>
        <w:rPr/>
      </w:pPr>
      <w:bookmarkStart w:id="290" w:name="__RefHeading___Toc9643629_73709187"/>
      <w:bookmarkStart w:id="291" w:name="_Toc109"/>
      <w:bookmarkEnd w:id="289"/>
      <w:bookmarkEnd w:id="290"/>
      <w:r>
        <w:rPr>
          <w:rtl w:val="true"/>
        </w:rPr>
        <w:t>المبحث الرابع</w:t>
      </w:r>
      <w:r>
        <w:rPr>
          <w:rtl w:val="true"/>
        </w:rPr>
        <w:t xml:space="preserve">: </w:t>
      </w:r>
      <w:r>
        <w:rPr>
          <w:rtl w:val="true"/>
        </w:rPr>
        <w:t>عدم وجوب زکاة الأبدان علی الصبیّ</w:t>
      </w:r>
      <w:bookmarkEnd w:id="291"/>
    </w:p>
    <w:p>
      <w:pPr>
        <w:pStyle w:val="Heading4"/>
        <w:numPr>
          <w:ilvl w:val="3"/>
          <w:numId w:val="1"/>
        </w:numPr>
        <w:rPr/>
      </w:pPr>
      <w:bookmarkStart w:id="292" w:name="__RefHeading___Toc9643631_73709187"/>
      <w:bookmarkStart w:id="293" w:name="_Toc110"/>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لا خلاف بین الأصحاب من المتقدّمین</w:t>
      </w:r>
      <w:r>
        <w:rPr>
          <w:rStyle w:val="FootnoteAnchor"/>
          <w:rtl w:val="true"/>
        </w:rPr>
        <w:footnoteReference w:id="715"/>
      </w:r>
      <w:r>
        <w:rPr>
          <w:rFonts w:ascii="IRNazanin" w:hAnsi="IRNazanin" w:eastAsia="IRNazanin"/>
          <w:color w:val="111111"/>
          <w:sz w:val="28"/>
          <w:sz w:val="28"/>
          <w:szCs w:val="28"/>
          <w:rtl w:val="true"/>
          <w:lang w:bidi="fa-IR"/>
        </w:rPr>
        <w:t>و المتأخّرین</w:t>
      </w:r>
      <w:r>
        <w:rPr>
          <w:rStyle w:val="FootnoteAnchor"/>
          <w:rtl w:val="true"/>
        </w:rPr>
        <w:footnoteReference w:id="716"/>
      </w:r>
      <w:r>
        <w:rPr>
          <w:rFonts w:ascii="IRNazanin" w:hAnsi="IRNazanin" w:eastAsia="IRNazanin"/>
          <w:color w:val="111111"/>
          <w:sz w:val="28"/>
          <w:sz w:val="28"/>
          <w:szCs w:val="28"/>
          <w:rtl w:val="true"/>
          <w:lang w:bidi="fa-IR"/>
        </w:rPr>
        <w:t>و المعاصرین</w:t>
      </w:r>
      <w:r>
        <w:rPr>
          <w:rStyle w:val="FootnoteAnchor"/>
          <w:rtl w:val="true"/>
        </w:rPr>
        <w:footnoteReference w:id="717"/>
      </w:r>
      <w:r>
        <w:rPr>
          <w:rFonts w:ascii="IRNazanin" w:hAnsi="IRNazanin" w:eastAsia="IRNazanin"/>
          <w:color w:val="111111"/>
          <w:sz w:val="28"/>
          <w:sz w:val="28"/>
          <w:szCs w:val="28"/>
          <w:rtl w:val="true"/>
          <w:lang w:bidi="fa-IR"/>
        </w:rPr>
        <w:t xml:space="preserve">، فی عدم وجوب زکاة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المسمّاة بزکاة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 موسرا کان أو معسرا، کان له أب أو لا، بل ادّعی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الصغیر إذا کان معسرا فطرته علی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فی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داخل تحت العموم،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الولد الصغیر موسرا لزم أباه نفقته و علیه فطرته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شرط فی الوجوب، فلا یجب علی الصبیّ قبل بلوغه، موسرا کان أو معسرا، سواء کان له أب أو لا و إن وجبت علی الأب عنه عند</w:t>
      </w:r>
      <w:bookmarkStart w:id="294" w:name="pg11756_103939"/>
    </w:p>
    <w:p>
      <w:pPr>
        <w:pStyle w:val="BookText"/>
        <w:rPr/>
      </w:pPr>
      <w:bookmarkEnd w:id="294"/>
      <w:r>
        <w:rPr>
          <w:rFonts w:ascii="IRNazanin" w:hAnsi="IRNazanin" w:eastAsia="IRNazanin"/>
          <w:color w:val="111111"/>
          <w:sz w:val="28"/>
          <w:sz w:val="28"/>
          <w:szCs w:val="28"/>
          <w:rtl w:val="true"/>
          <w:lang w:bidi="fa-IR"/>
        </w:rPr>
        <w:t>علمائنا أجمع</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بل هو قول علمائنا أجمع</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زکاة الفطرة علی المکلّف الحرّ الغنیّ فعلا أو قوّة، فلا تجب علی الصبیّ و لا المجنون</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9643633_73709187"/>
      <w:bookmarkStart w:id="296" w:name="_Toc111"/>
      <w:bookmarkEnd w:id="295"/>
      <w:r>
        <w:rPr>
          <w:rtl w:val="true"/>
        </w:rPr>
        <w:t>أدلّة عدم وجوب زکاة الفطرة علی الصبیّ</w:t>
      </w:r>
      <w:bookmarkEnd w:id="296"/>
    </w:p>
    <w:p>
      <w:pPr>
        <w:pStyle w:val="Heading5"/>
        <w:numPr>
          <w:ilvl w:val="4"/>
          <w:numId w:val="1"/>
        </w:numPr>
        <w:rPr/>
      </w:pPr>
      <w:bookmarkStart w:id="297" w:name="__RefHeading___Toc9643635_73709187"/>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المهذّب</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المعتبر</w:t>
      </w:r>
      <w:r>
        <w:rPr>
          <w:rStyle w:val="FootnoteAnchor"/>
          <w:rtl w:val="true"/>
        </w:rPr>
        <w:footnoteReference w:id="723"/>
      </w:r>
      <w:r>
        <w:rPr>
          <w:rFonts w:ascii="IRNazanin" w:hAnsi="IRNazanin" w:eastAsia="IRNazanin"/>
          <w:color w:val="111111"/>
          <w:sz w:val="28"/>
          <w:sz w:val="28"/>
          <w:szCs w:val="28"/>
          <w:rtl w:val="true"/>
          <w:lang w:bidi="fa-IR"/>
        </w:rPr>
        <w:t>و المنتهی</w:t>
      </w:r>
      <w:r>
        <w:rPr>
          <w:rStyle w:val="FootnoteAnchor"/>
          <w:rtl w:val="true"/>
        </w:rPr>
        <w:footnoteReference w:id="724"/>
      </w:r>
      <w:r>
        <w:rPr>
          <w:rFonts w:ascii="IRNazanin" w:hAnsi="IRNazanin" w:eastAsia="IRNazanin"/>
          <w:color w:val="111111"/>
          <w:sz w:val="28"/>
          <w:sz w:val="28"/>
          <w:szCs w:val="28"/>
          <w:rtl w:val="true"/>
          <w:lang w:bidi="fa-IR"/>
        </w:rPr>
        <w:t>و التذکرة</w:t>
      </w:r>
      <w:r>
        <w:rPr>
          <w:rStyle w:val="FootnoteAnchor"/>
          <w:rtl w:val="true"/>
        </w:rPr>
        <w:footnoteReference w:id="725"/>
      </w:r>
      <w:r>
        <w:rPr>
          <w:rFonts w:ascii="IRNazanin" w:hAnsi="IRNazanin" w:eastAsia="IRNazanin"/>
          <w:color w:val="111111"/>
          <w:sz w:val="28"/>
          <w:sz w:val="28"/>
          <w:szCs w:val="28"/>
          <w:rtl w:val="true"/>
          <w:lang w:bidi="fa-IR"/>
        </w:rPr>
        <w:t>و التحریر</w:t>
      </w:r>
      <w:r>
        <w:rPr>
          <w:rStyle w:val="FootnoteAnchor"/>
          <w:rtl w:val="true"/>
        </w:rPr>
        <w:footnoteReference w:id="726"/>
      </w:r>
      <w:r>
        <w:rPr>
          <w:rFonts w:ascii="IRNazanin" w:hAnsi="IRNazanin" w:eastAsia="IRNazanin"/>
          <w:color w:val="111111"/>
          <w:sz w:val="28"/>
          <w:sz w:val="28"/>
          <w:szCs w:val="28"/>
          <w:rtl w:val="true"/>
          <w:lang w:bidi="fa-IR"/>
        </w:rPr>
        <w:t>و الحدائق</w:t>
      </w:r>
      <w:r>
        <w:rPr>
          <w:rStyle w:val="FootnoteAnchor"/>
          <w:rtl w:val="true"/>
        </w:rPr>
        <w:footnoteReference w:id="727"/>
      </w:r>
      <w:r>
        <w:rPr>
          <w:rFonts w:ascii="IRNazanin" w:hAnsi="IRNazanin" w:eastAsia="IRNazanin"/>
          <w:color w:val="111111"/>
          <w:sz w:val="28"/>
          <w:sz w:val="28"/>
          <w:szCs w:val="28"/>
          <w:rtl w:val="true"/>
          <w:lang w:bidi="fa-IR"/>
        </w:rPr>
        <w:t>و غیرها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و ظاهره</w:t>
      </w:r>
    </w:p>
    <w:p>
      <w:pPr>
        <w:pStyle w:val="BookText"/>
        <w:rPr/>
      </w:pPr>
      <w:r>
        <w:rPr>
          <w:rFonts w:ascii="IRNazanin" w:hAnsi="IRNazanin" w:eastAsia="IRNazanin"/>
          <w:color w:val="111111"/>
          <w:sz w:val="28"/>
          <w:sz w:val="28"/>
          <w:szCs w:val="28"/>
          <w:rtl w:val="true"/>
          <w:lang w:bidi="fa-IR"/>
        </w:rPr>
        <w:t>سقوط الفرض و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غیر مکلّف فلا یتوجّه إلیه إطلاق الأمر، و تکلیف الولیّ لا دلیل علیه، و الأصل ینفیه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القاسم بن الفضیل التی رواها المشایخ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الوصیّ، أ یزکّی زکاة الفطرة عن الیتامی إذا کان لهم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و 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 ما رواه فی المقنعة عن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الفطرة علی کلّ من تجب علیه الزکاة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سنده ینجبر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فالمستفاد من المفهوم أنّه لا تجب الفطرة علی من لا تجب علیه الزکاة، و قد بیّنا سابقا عدم وجوب زکاة المال علیه، و کون التمسّک هنا بمفهوم الوصف لا یقدح؛ لأنّ المقام مقام بیان الضابط، فلا بدّ من الاطّراد و الانعکاس کما صرّح به الشیخ الأعظم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الحکم أیضا من الروایات التی تدلّ علی عدم الزکاة فی مال الیتیم علی نحو الإطلاق</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299" w:name="pg11756_103941"/>
    </w:p>
    <w:p>
      <w:pPr>
        <w:pStyle w:val="Heading5"/>
        <w:numPr>
          <w:ilvl w:val="4"/>
          <w:numId w:val="1"/>
        </w:numPr>
        <w:rPr/>
      </w:pPr>
      <w:bookmarkStart w:id="300" w:name="__RefHeading___Toc9643637_73709187"/>
      <w:bookmarkStart w:id="301" w:name="_Toc113"/>
      <w:bookmarkEnd w:id="299"/>
      <w:bookmarkEnd w:id="300"/>
      <w:r>
        <w:rPr>
          <w:rtl w:val="true"/>
        </w:rPr>
        <w:t>فرع</w:t>
      </w:r>
      <w:bookmarkEnd w:id="301"/>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إذا کان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موسرا کان أو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ولد الصلب علی ما مضی القول فیه؛ لأنّه فرع المسألة السابقة، و اسم الولد یقع علی ولد الولد حقیقة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9643639_73709187"/>
      <w:bookmarkStart w:id="303" w:name="_Toc114"/>
      <w:bookmarkEnd w:id="302"/>
      <w:r>
        <w:rPr>
          <w:rtl w:val="true"/>
        </w:rPr>
        <w:t>مذهب أهل السنّة فی وجوب الفطرة علی الصبیّ</w:t>
      </w:r>
      <w:bookmarkEnd w:id="303"/>
    </w:p>
    <w:p>
      <w:pPr>
        <w:pStyle w:val="BookText"/>
        <w:rPr/>
      </w:pPr>
      <w:r>
        <w:rPr>
          <w:rFonts w:ascii="IRNazanin" w:hAnsi="IRNazanin" w:eastAsia="IRNazanin"/>
          <w:color w:val="111111"/>
          <w:sz w:val="28"/>
          <w:sz w:val="28"/>
          <w:szCs w:val="28"/>
          <w:rtl w:val="true"/>
          <w:lang w:bidi="fa-IR"/>
        </w:rPr>
        <w:t>أطبق جمهور الفقهاء علی وجوب زکاة الفطرة فی مال الصبیّ، إلاّ محمّد بن الحسن الشیبانی و زفر</w:t>
      </w:r>
      <w:r>
        <w:rPr>
          <w:rStyle w:val="FootnoteAnchor"/>
          <w:rtl w:val="true"/>
        </w:rPr>
        <w:footnoteReference w:id="738"/>
      </w:r>
      <w:r>
        <w:rPr>
          <w:rFonts w:ascii="IRNazanin" w:hAnsi="IRNazanin" w:eastAsia="IRNazanin"/>
          <w:color w:val="111111"/>
          <w:sz w:val="28"/>
          <w:sz w:val="28"/>
          <w:szCs w:val="28"/>
          <w:rtl w:val="true"/>
          <w:lang w:bidi="fa-IR"/>
        </w:rPr>
        <w:t>فإنّهما قالا بعدم وجوب زکاة الفطرة علی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و البلوغ فلیسا من شرائط وجوب زکاة الفطر، فتجب علی الصغیر و المجنون فی مالهما، و یخرجها عنهما ولیّهما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علی أنّ المسلمین مخاطبون بها، ذکرانا کانوا أو اناثا، صغارا أو کبارا، عبیدا أو أحرارا</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زکاة الفطر تجب علی کلّ مسلم مع الصغیر و الکبیر و الذکوریّة و الانوثیّة فی قول أهل العلم عامّة، و تجب علی الیتیم یخرج عنه ولیّه من ماله، لا نعلم أحدا خالف فی هذا إلاّ محمّد بن الحسن</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بالإجماع و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 صاعا من تمر أو صاعا من شعیر علی العبد و الحرّ، و الذکر و الانثی، و الصغیر و الکبیر من المسلمین، و أمر أن تؤدّی قبل خروج الناس إلی الصلاة</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روایته الثانیة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بعث منادیا فی فجاج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صدقة الفطر واجبة علی کلّ مسلم، ذکر أو انثی، حرّ أو عبد، صغیر أو کبیر، مدّان من قمح أو سواه صاع من طعام</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الإجماع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مخالفة محمّد بن الحسن الشیبانی و سعید بن المسیّب و الحسن البصری و الشعبی و زفر و جمیع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موسوعة فقه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البصری یری أنّ زکاة الفطر لا تجب إلاّ علی من صام صیام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الصغیر لا صلاة علیه و لا صیام</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 ففیها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جمیعها مشتملة علی العبد، و من الضروری فی الفقه أنّ زکاة الفطر</w:t>
      </w:r>
    </w:p>
    <w:p>
      <w:pPr>
        <w:pStyle w:val="BookText"/>
        <w:rPr/>
      </w:pPr>
      <w:r>
        <w:rPr>
          <w:rFonts w:ascii="IRNazanin" w:hAnsi="IRNazanin" w:eastAsia="IRNazanin"/>
          <w:color w:val="111111"/>
          <w:sz w:val="28"/>
          <w:sz w:val="28"/>
          <w:szCs w:val="28"/>
          <w:rtl w:val="true"/>
          <w:lang w:bidi="fa-IR"/>
        </w:rPr>
        <w:t>لا تجب علی العبد، فلا یمکن حملها علی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نحو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حرّ و عبد و ذکر 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 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اکْتالُوا عَلَی النّاسِ یَسْتَوْفُونَ </w:t>
      </w:r>
      <w:r>
        <w:rPr>
          <w:rStyle w:val="FootnoteAnchor"/>
          <w:rtl w:val="true"/>
        </w:rPr>
        <w:footnoteReference w:id="746"/>
      </w:r>
      <w:r>
        <w:rPr>
          <w:rFonts w:ascii="IRNazanin" w:hAnsi="IRNazanin" w:eastAsia="IRNazanin"/>
          <w:color w:val="111111"/>
          <w:sz w:val="28"/>
          <w:sz w:val="28"/>
          <w:szCs w:val="28"/>
          <w:rtl w:val="true"/>
          <w:lang w:bidi="fa-IR"/>
        </w:rPr>
        <w:t>، أی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یطّرد بعد ألفاظ،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 و بعد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ابن عبد الواحد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هامش سنن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حرّ 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وجوب علی العبد و الصغیر، إذ لا مال للعبد، و لا تکلیف علی الصغیر</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ذلک أیضا ما جاء فی بعض الروایات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ثعلبة بن صعیر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خطیبا فأمر بصدقة الفطر صاع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 الکبیر و الحرّ و العبد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الفطر عن کلّ صغیر و کبیر، ذکر 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751"/>
      </w:r>
      <w:r>
        <w:rPr>
          <w:rFonts w:ascii="IRNazanin" w:hAnsi="IRNazanin" w:eastAsia="IRNazanin"/>
          <w:color w:val="111111"/>
          <w:sz w:val="28"/>
          <w:sz w:val="28"/>
          <w:szCs w:val="28"/>
          <w:rtl w:val="true"/>
          <w:lang w:bidi="fa-IR"/>
        </w:rPr>
        <w:t>، و غیرهما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یکون معنی الروایات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زکاة الفطرة عن عبده و أولاده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Style w:val="FootnoteAnchor"/>
          <w:rtl w:val="true"/>
        </w:rPr>
        <w:footnoteReference w:id="753"/>
      </w:r>
      <w:r>
        <w:rPr>
          <w:rFonts w:ascii="IRNazanin" w:hAnsi="IRNazanin" w:eastAsia="IRNazanin"/>
          <w:color w:val="111111"/>
          <w:sz w:val="28"/>
          <w:sz w:val="28"/>
          <w:szCs w:val="28"/>
          <w:rtl w:val="true"/>
          <w:lang w:bidi="fa-IR"/>
        </w:rPr>
        <w:t>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بأداء زکاة الفطر و الصبیّ لا ذنب له لیطهّر، و کذا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الفطر طهرة للصائم من اللّغو و الرفث، و طعمة للمساکین</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زکاة الفطر لا تجب علی الصبیّ، کما ذهب إلیه فقهاء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الحسن و زفر و سعید بن المسیّب و الحسن و الشعبی، خلافا لجمهور فقهاء أهل السنّة</w:t>
      </w:r>
      <w:r>
        <w:rPr>
          <w:rFonts w:eastAsia="IRNazanin" w:cs="IRNazanin"/>
          <w:color w:val="111111"/>
          <w:sz w:val="28"/>
          <w:szCs w:val="28"/>
          <w:rtl w:val="true"/>
          <w:lang w:bidi="fa-IR"/>
        </w:rPr>
        <w:t>.</w:t>
      </w:r>
      <w:bookmarkStart w:id="304" w:name="pg11756_103946"/>
    </w:p>
    <w:p>
      <w:pPr>
        <w:pStyle w:val="Heading2"/>
        <w:numPr>
          <w:ilvl w:val="1"/>
          <w:numId w:val="1"/>
        </w:numPr>
        <w:rPr/>
      </w:pPr>
      <w:bookmarkStart w:id="305" w:name="__RefHeading___Toc9643641_73709187"/>
      <w:bookmarkStart w:id="306" w:name="_Toc115"/>
      <w:bookmarkEnd w:id="304"/>
      <w:bookmarkEnd w:id="305"/>
      <w:r>
        <w:rPr>
          <w:rtl w:val="true"/>
        </w:rPr>
        <w:t>الفصل الرابع</w:t>
      </w:r>
      <w:r>
        <w:rPr>
          <w:rtl w:val="true"/>
        </w:rPr>
        <w:t xml:space="preserve">: </w:t>
      </w:r>
      <w:r>
        <w:rPr>
          <w:rtl w:val="true"/>
        </w:rPr>
        <w:t>خمس أموال الصبیّ</w:t>
      </w:r>
      <w:bookmarkEnd w:id="3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9643643_73709187"/>
      <w:bookmarkStart w:id="308" w:name="_Toc116"/>
      <w:bookmarkEnd w:id="307"/>
      <w:r>
        <w:rPr>
          <w:rtl w:val="true"/>
        </w:rPr>
        <w:t>اشارة</w:t>
      </w:r>
      <w:bookmarkStart w:id="309" w:name="pg11756_103948"/>
      <w:bookmarkEnd w:id="308"/>
    </w:p>
    <w:p>
      <w:pPr>
        <w:pStyle w:val="Heading3"/>
        <w:numPr>
          <w:ilvl w:val="2"/>
          <w:numId w:val="1"/>
        </w:numPr>
        <w:rPr/>
      </w:pPr>
      <w:bookmarkStart w:id="310" w:name="__RefHeading___Toc9643645_73709187"/>
      <w:bookmarkStart w:id="311" w:name="_Toc117"/>
      <w:bookmarkEnd w:id="309"/>
      <w:bookmarkEnd w:id="310"/>
      <w:r>
        <w:rPr>
          <w:rtl w:val="true"/>
        </w:rPr>
        <w:t>تمهید</w:t>
      </w:r>
      <w:r>
        <w:rPr>
          <w:rtl w:val="true"/>
        </w:rPr>
        <w:t xml:space="preserve">: </w:t>
      </w:r>
      <w:r>
        <w:rPr>
          <w:rtl w:val="true"/>
        </w:rPr>
        <w:t>الخمس فی الاصطلاح</w:t>
      </w:r>
      <w:bookmarkEnd w:id="311"/>
    </w:p>
    <w:p>
      <w:pPr>
        <w:pStyle w:val="BookText"/>
        <w:rPr/>
      </w:pPr>
      <w:r>
        <w:rPr>
          <w:rFonts w:ascii="IRNazanin" w:hAnsi="IRNazanin" w:eastAsia="IRNazanin"/>
          <w:color w:val="111111"/>
          <w:sz w:val="28"/>
          <w:sz w:val="28"/>
          <w:szCs w:val="28"/>
          <w:rtl w:val="true"/>
          <w:lang w:bidi="fa-IR"/>
        </w:rPr>
        <w:t>الخمس و هو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مالی</w:t>
      </w:r>
      <w:r>
        <w:rPr>
          <w:rStyle w:val="FootnoteAnchor"/>
          <w:rtl w:val="true"/>
        </w:rPr>
        <w:footnoteReference w:id="755"/>
      </w:r>
      <w:r>
        <w:rPr>
          <w:rFonts w:ascii="IRNazanin" w:hAnsi="IRNazanin" w:eastAsia="IRNazanin"/>
          <w:color w:val="111111"/>
          <w:sz w:val="28"/>
          <w:sz w:val="28"/>
          <w:szCs w:val="28"/>
          <w:rtl w:val="true"/>
          <w:lang w:bidi="fa-IR"/>
        </w:rPr>
        <w:t xml:space="preserve">جعله اللّه تعالی لمحمّد صلّی اللّه علیه و آله و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اللّه نسلهم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عوضا عن الزکاة؛ إکراما لهم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الکتاب</w:t>
      </w:r>
      <w:r>
        <w:rPr>
          <w:rStyle w:val="FootnoteAnchor"/>
          <w:rtl w:val="true"/>
        </w:rPr>
        <w:footnoteReference w:id="757"/>
      </w:r>
      <w:r>
        <w:rPr>
          <w:rFonts w:ascii="IRNazanin" w:hAnsi="IRNazanin" w:eastAsia="IRNazanin"/>
          <w:color w:val="111111"/>
          <w:sz w:val="28"/>
          <w:sz w:val="28"/>
          <w:szCs w:val="28"/>
          <w:rtl w:val="true"/>
          <w:lang w:bidi="fa-IR"/>
        </w:rPr>
        <w:t>و السنّة و الإجماع، ففی الخبر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الیتیم درهما، و نحن الیتیم</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فیما رواه فی الوسائل عن الصدوق فی الفقیه مرسلا، و فی الخصال مسندا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إله إلاّ هو لمّا حرّم علینا الصدقة أنزل لنا الخمس، فالصدقة علینا حرام، و الخمس لنا فریضة، و الکرامة</w:t>
      </w:r>
      <w:r>
        <w:rPr>
          <w:rStyle w:val="FootnoteAnchor"/>
          <w:rtl w:val="true"/>
        </w:rPr>
        <w:footnoteReference w:id="759"/>
      </w:r>
      <w:r>
        <w:rPr>
          <w:rFonts w:ascii="IRNazanin" w:hAnsi="IRNazanin" w:eastAsia="IRNazanin"/>
          <w:color w:val="111111"/>
          <w:sz w:val="28"/>
          <w:sz w:val="28"/>
          <w:szCs w:val="28"/>
          <w:rtl w:val="true"/>
          <w:lang w:bidi="fa-IR"/>
        </w:rPr>
        <w:t>لنا حلال</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عن أبی بصیر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یشتری من الخمس شیئا حتّی یصل إلینا حقّنا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یجب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الشرائع</w:t>
      </w:r>
      <w:r>
        <w:rPr>
          <w:rStyle w:val="FootnoteAnchor"/>
          <w:rtl w:val="true"/>
        </w:rPr>
        <w:footnoteReference w:id="762"/>
      </w:r>
      <w:r>
        <w:rPr>
          <w:rFonts w:ascii="IRNazanin" w:hAnsi="IRNazanin" w:eastAsia="IRNazanin"/>
          <w:color w:val="111111"/>
          <w:sz w:val="28"/>
          <w:sz w:val="28"/>
          <w:szCs w:val="28"/>
          <w:rtl w:val="true"/>
          <w:lang w:bidi="fa-IR"/>
        </w:rPr>
        <w:t>و التذکرة</w:t>
      </w:r>
      <w:r>
        <w:rPr>
          <w:rStyle w:val="FootnoteAnchor"/>
          <w:rtl w:val="true"/>
        </w:rPr>
        <w:footnoteReference w:id="763"/>
      </w:r>
      <w:r>
        <w:rPr>
          <w:rFonts w:ascii="IRNazanin" w:hAnsi="IRNazanin" w:eastAsia="IRNazanin"/>
          <w:color w:val="111111"/>
          <w:sz w:val="28"/>
          <w:sz w:val="28"/>
          <w:szCs w:val="28"/>
          <w:rtl w:val="true"/>
          <w:lang w:bidi="fa-IR"/>
        </w:rPr>
        <w:t>و غیرهما</w:t>
      </w:r>
      <w:r>
        <w:rPr>
          <w:rStyle w:val="FootnoteAnchor"/>
          <w:rtl w:val="true"/>
        </w:rPr>
        <w:footnoteReference w:id="764"/>
      </w:r>
      <w:r>
        <w:rPr>
          <w:rFonts w:ascii="IRNazanin" w:hAnsi="IRNazanin" w:eastAsia="IRNazanin"/>
          <w:color w:val="111111"/>
          <w:sz w:val="28"/>
          <w:sz w:val="28"/>
          <w:szCs w:val="28"/>
          <w:rtl w:val="true"/>
          <w:lang w:bidi="fa-IR"/>
        </w:rPr>
        <w:t xml:space="preserve">، و 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 و المعادن، و الکنوز، و کلّ ما یخرج من البحر بالغوص، و ما یفضل عن مئونة السنة، و ما اشتری الذمّی من أرض المسلم، و المال الحلال إذا اختلط بالحرام و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الحصر استقرائی مستفاد من تتبّع الأدلّة الشرعیّة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وجوب الخمس إجمالا علی المکلّفین ممّا لا ریب فیه، بل هو من الضروریّات التی یخرج منکرها عن زمرة المسلمین، و أمّا بالنسبة إلی الأطفال فهل یتعلّق بأموالهم الخمس؟ و علی الأوّل هل یؤدّی الولیّ عنهم أم یؤدّی الطفل نفسه بعد بلوغه؟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للتحقیق فی هذه المسائل عقدنا هذا الفصل، و فیه مبحثان</w:t>
      </w:r>
      <w:r>
        <w:rPr>
          <w:rFonts w:eastAsia="IRNazanin" w:cs="IRNazanin"/>
          <w:color w:val="111111"/>
          <w:sz w:val="28"/>
          <w:szCs w:val="28"/>
          <w:rtl w:val="true"/>
          <w:lang w:bidi="fa-IR"/>
        </w:rPr>
        <w:t>:</w:t>
      </w:r>
      <w:bookmarkStart w:id="312" w:name="pg11756_103950"/>
    </w:p>
    <w:p>
      <w:pPr>
        <w:pStyle w:val="Heading3"/>
        <w:numPr>
          <w:ilvl w:val="2"/>
          <w:numId w:val="1"/>
        </w:numPr>
        <w:rPr/>
      </w:pPr>
      <w:bookmarkStart w:id="313" w:name="__RefHeading___Toc9643647_73709187"/>
      <w:bookmarkStart w:id="314" w:name="_Toc118"/>
      <w:bookmarkEnd w:id="312"/>
      <w:bookmarkEnd w:id="313"/>
      <w:r>
        <w:rPr>
          <w:rtl w:val="true"/>
        </w:rPr>
        <w:t>المبحث الأوّل</w:t>
      </w:r>
      <w:r>
        <w:rPr>
          <w:rtl w:val="true"/>
        </w:rPr>
        <w:t xml:space="preserve">: </w:t>
      </w:r>
      <w:r>
        <w:rPr>
          <w:rtl w:val="true"/>
        </w:rPr>
        <w:t>وجوب الخمس فی أموال الأطفال</w:t>
      </w:r>
      <w:bookmarkEnd w:id="314"/>
    </w:p>
    <w:p>
      <w:pPr>
        <w:pStyle w:val="Heading4"/>
        <w:numPr>
          <w:ilvl w:val="3"/>
          <w:numId w:val="1"/>
        </w:numPr>
        <w:rPr/>
      </w:pPr>
      <w:bookmarkStart w:id="315" w:name="__RefHeading___Toc9643649_73709187"/>
      <w:bookmarkStart w:id="316" w:name="_Toc119"/>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هل یشترط فی وجوب الخمس البلوغ؟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البلوغ فی تعلّق الخمس بالمعادن و الکنوز و الغوص،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یجب فی الکنز، سواء کان الواجد حرّا أو عبدا، صغیرا أو کبیرا، و کذا المعادن و الغوص</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الإرشاد</w:t>
      </w:r>
      <w:r>
        <w:rPr>
          <w:rStyle w:val="FootnoteAnchor"/>
          <w:rtl w:val="true"/>
        </w:rPr>
        <w:footnoteReference w:id="767"/>
      </w:r>
      <w:r>
        <w:rPr>
          <w:rFonts w:ascii="IRNazanin" w:hAnsi="IRNazanin" w:eastAsia="IRNazanin"/>
          <w:color w:val="111111"/>
          <w:sz w:val="28"/>
          <w:sz w:val="28"/>
          <w:szCs w:val="28"/>
          <w:rtl w:val="true"/>
          <w:lang w:bidi="fa-IR"/>
        </w:rPr>
        <w:t>و القواعد، و زاد فی الأخیر بأنّه یلحق به ما یوجد فی ملک مبتاع</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المسالک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الدروس و البیان بعدم اشتراط البلوغ فی تعلّق الخمس بالأوّلین</w:t>
      </w:r>
      <w:r>
        <w:rPr>
          <w:rStyle w:val="FootnoteAnchor"/>
          <w:rtl w:val="true"/>
        </w:rPr>
        <w:footnoteReference w:id="770"/>
      </w:r>
      <w:r>
        <w:rPr>
          <w:rFonts w:ascii="IRNazanin" w:hAnsi="IRNazanin" w:eastAsia="IRNazanin"/>
          <w:color w:val="111111"/>
          <w:sz w:val="28"/>
          <w:sz w:val="28"/>
          <w:szCs w:val="28"/>
          <w:rtl w:val="true"/>
          <w:lang w:bidi="fa-IR"/>
        </w:rPr>
        <w:t>، أی المعادن و الکنوز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یجب فی المخرج من المعدن، و یملک المخرج الباقی،</w:t>
      </w:r>
      <w:bookmarkStart w:id="317" w:name="pg11756_103951"/>
    </w:p>
    <w:p>
      <w:pPr>
        <w:pStyle w:val="BookText"/>
        <w:rPr/>
      </w:pPr>
      <w:bookmarkEnd w:id="317"/>
      <w:r>
        <w:rPr>
          <w:rFonts w:ascii="IRNazanin" w:hAnsi="IRNazanin" w:eastAsia="IRNazanin"/>
          <w:color w:val="111111"/>
          <w:sz w:val="28"/>
          <w:sz w:val="28"/>
          <w:szCs w:val="28"/>
          <w:rtl w:val="true"/>
          <w:lang w:bidi="fa-IR"/>
        </w:rPr>
        <w:t>و یستوی فی ذلک الصغیر و الکبیر</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ذلک</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عامّة العلماء</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الخلاف فی المسألة، و کذلک فی المعدن</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یرید بالصغیر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التملّک بتمییز ما، و یحتمل الملک له بالأخذ و القبض أو بالولایة</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اشتراط التکلیف و الحرّیّة فی الکنز و الغوص و المعدن و الحلال المختلط بالحرام و الأرض التی یشتریها الذمّی من المسلم، فیتعلّق بها الخمس</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استنبط المعدن صبیّ أو مجنون تعلّق الخمس به علی الأقوی</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9643651_73709187"/>
      <w:bookmarkStart w:id="319" w:name="_Toc120"/>
      <w:bookmarkEnd w:id="318"/>
      <w:r>
        <w:rPr>
          <w:rtl w:val="true"/>
        </w:rPr>
        <w:t>أدلّة وجوب الخمس فی المعادن و الکنوز و الغوص للأطفال</w:t>
      </w:r>
      <w:bookmarkEnd w:id="319"/>
    </w:p>
    <w:p>
      <w:pPr>
        <w:pStyle w:val="BookText"/>
        <w:rPr/>
      </w:pPr>
      <w:r>
        <w:rPr>
          <w:rFonts w:ascii="IRNazanin" w:hAnsi="IRNazanin" w:eastAsia="IRNazanin"/>
          <w:color w:val="111111"/>
          <w:sz w:val="28"/>
          <w:sz w:val="28"/>
          <w:szCs w:val="28"/>
          <w:rtl w:val="true"/>
          <w:lang w:bidi="fa-IR"/>
        </w:rPr>
        <w:t>و یمکن أن یستدلّ لثبوت الخمس فی الثلاثة المذکورة و غیرها للأطفال بوجوه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w:t>
      </w:r>
    </w:p>
    <w:p>
      <w:pPr>
        <w:pStyle w:val="BookText"/>
        <w:rPr/>
      </w:pPr>
      <w:r>
        <w:rPr>
          <w:rFonts w:ascii="Amiri" w:hAnsi="Amiri" w:eastAsia="Amiri" w:cs="Amiri"/>
          <w:color w:val="111111"/>
          <w:sz w:val="28"/>
          <w:sz w:val="28"/>
          <w:szCs w:val="28"/>
          <w:rtl w:val="true"/>
          <w:lang w:bidi="ar-SA"/>
        </w:rPr>
        <w:t xml:space="preserve">وَ لِلرَّسُولِ </w:t>
      </w:r>
      <w:r>
        <w:rPr>
          <w:rStyle w:val="FootnoteAnchor"/>
          <w:rtl w:val="true"/>
        </w:rPr>
        <w:footnoteReference w:id="778"/>
      </w:r>
      <w:r>
        <w:rPr>
          <w:rFonts w:ascii="IRNazanin" w:hAnsi="IRNazanin" w:eastAsia="IRNazanin"/>
          <w:color w:val="111111"/>
          <w:sz w:val="28"/>
          <w:sz w:val="28"/>
          <w:szCs w:val="28"/>
          <w:rtl w:val="true"/>
          <w:lang w:bidi="fa-IR"/>
        </w:rPr>
        <w:t>، فإنّ الظاهر منها من جهة التعبیر بالکسر المشاع هو ثبوت الخمس فی کلّ ما یغنم، و الغنیمة عامّة لغة</w:t>
      </w:r>
      <w:r>
        <w:rPr>
          <w:rStyle w:val="FootnoteAnchor"/>
          <w:rtl w:val="true"/>
        </w:rPr>
        <w:footnoteReference w:id="779"/>
      </w:r>
      <w:r>
        <w:rPr>
          <w:rFonts w:ascii="IRNazanin" w:hAnsi="IRNazanin" w:eastAsia="IRNazanin"/>
          <w:color w:val="111111"/>
          <w:sz w:val="28"/>
          <w:sz w:val="28"/>
          <w:szCs w:val="28"/>
          <w:rtl w:val="true"/>
          <w:lang w:bidi="fa-IR"/>
        </w:rPr>
        <w:t>و عرفا، فتشمل کلّ ما یحصل بالسعی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 استدلال العلماء لوجوب الخمس فی الکنز و المعدن و الغوص بأنّها اکتسابات</w:t>
      </w:r>
      <w:r>
        <w:rPr>
          <w:rStyle w:val="FootnoteAnchor"/>
          <w:rtl w:val="true"/>
        </w:rPr>
        <w:footnoteReference w:id="780"/>
      </w:r>
      <w:r>
        <w:rPr>
          <w:rFonts w:ascii="IRNazanin" w:hAnsi="IRNazanin" w:eastAsia="IRNazanin"/>
          <w:color w:val="111111"/>
          <w:sz w:val="28"/>
          <w:sz w:val="28"/>
          <w:szCs w:val="28"/>
          <w:rtl w:val="true"/>
          <w:lang w:bidi="fa-IR"/>
        </w:rPr>
        <w:t>، فتدخل تحت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تعمیمهم الوجوب فیها للصبیّ و المجنون، ثمّ دعواهم الإجماع علی وجوب الخمس فی مطلق الاکتسابات عدم الفرق فی أرباح المکاسب بین البالغ و غیره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فثبوت الخمس فی کلّ ما یغنم من الأحکام الوضعیّة التی لا یتفاوت فیها البالغ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المذکور من الوضعیّات الشاملة للمکلّفین و غیرهم</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کانت الآیة مشتملة علی الخطاب</w:t>
      </w:r>
      <w:r>
        <w:rPr>
          <w:rStyle w:val="FootnoteAnchor"/>
          <w:rtl w:val="true"/>
        </w:rPr>
        <w:footnoteReference w:id="783"/>
      </w:r>
      <w:r>
        <w:rPr>
          <w:rFonts w:ascii="IRNazanin" w:hAnsi="IRNazanin" w:eastAsia="IRNazanin"/>
          <w:color w:val="111111"/>
          <w:sz w:val="28"/>
          <w:sz w:val="28"/>
          <w:szCs w:val="28"/>
          <w:rtl w:val="true"/>
          <w:lang w:bidi="fa-IR"/>
        </w:rPr>
        <w:t>فالقول بشمولها لغیر المکلّفین مشکل، خصوصا بملاحظة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و الکنز و الغوص، فمقتضی الأصل و منع العموم و إن کان عدم التعلّق، و لکن ظاهرهم عدم الخلاف، فلعلّه هو الحجّة</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مدرکیّ أو محتمل المدرکیّة، فلا یکون دلیلا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روایة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یخرج من المعادن و البحر و الغنیمة و الحلال المختلط بالحرام إذا لم یعرف صاحبه و الکنوز الخمس</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فإنّ إطلاقها</w:t>
      </w:r>
      <w:r>
        <w:rPr>
          <w:rStyle w:val="FootnoteAnchor"/>
          <w:rtl w:val="true"/>
        </w:rPr>
        <w:footnoteReference w:id="786"/>
      </w:r>
      <w:r>
        <w:rPr>
          <w:rFonts w:ascii="IRNazanin" w:hAnsi="IRNazanin" w:eastAsia="IRNazanin"/>
          <w:color w:val="111111"/>
          <w:sz w:val="28"/>
          <w:sz w:val="28"/>
          <w:szCs w:val="28"/>
          <w:rtl w:val="true"/>
          <w:lang w:bidi="fa-IR"/>
        </w:rPr>
        <w:t>یشمل البالغ و غیر البالغ، کما صرّح به الشیخ الأعظم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الخمس،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علی واجد الکنز و المعدن و الغوص، صغیرا کان الواجد أو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لعموم الأخبار المتضمّنة لوجوب الخمس فی هذه الأنواع من غیر معارض و لا مخصّص</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المعبّرة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کونه من أحکام الوضع و الأسباب التی لا تفاوت فیها بین المکلّف و غیره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الخمس إلاّ فی الغنائم خاصّة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بالغنائم مطلق ما یحصل بالسعی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هذه المکاسب و الفوائد التی تحصل للإنسان هی من جملة الغنائم التی ذکرها اللّه تعالی فی القرآن، و قد بیّن علیه السّلام ذلک فی الروایة التی ذکرناها فی أوّل الباب</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الکنز کم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المعادن کم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رکازا ففیه الخمس</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صحیحتا البزنطی</w:t>
      </w:r>
      <w:r>
        <w:rPr>
          <w:rStyle w:val="FootnoteAnchor"/>
          <w:rtl w:val="true"/>
        </w:rPr>
        <w:footnoteReference w:id="794"/>
      </w:r>
      <w:r>
        <w:rPr>
          <w:rFonts w:ascii="IRNazanin" w:hAnsi="IRNazanin" w:eastAsia="IRNazanin"/>
          <w:color w:val="111111"/>
          <w:sz w:val="28"/>
          <w:sz w:val="28"/>
          <w:szCs w:val="28"/>
          <w:rtl w:val="true"/>
          <w:lang w:bidi="fa-IR"/>
        </w:rPr>
        <w:t>و محمّد بن مسلم</w:t>
      </w:r>
      <w:r>
        <w:rPr>
          <w:rStyle w:val="FootnoteAnchor"/>
          <w:rtl w:val="true"/>
        </w:rPr>
        <w:footnoteReference w:id="795"/>
      </w:r>
      <w:r>
        <w:rPr>
          <w:rFonts w:ascii="Amiri" w:hAnsi="Amiri" w:eastAsia="Amiri" w:cs="Amiri"/>
          <w:color w:val="111111"/>
          <w:sz w:val="28"/>
          <w:sz w:val="28"/>
          <w:szCs w:val="28"/>
          <w:rtl w:val="true"/>
          <w:lang w:bidi="ar-SA"/>
        </w:rPr>
        <w:t>و روایة محمّد بن علیّ بن أبی عبد اللّه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 الفضّة و الصفر و الحدید و 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الخمس جمیعا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عمیر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علی خمسة أشیاء</w:t>
      </w:r>
      <w:r>
        <w:rPr>
          <w:rFonts w:eastAsia="IRNazanin" w:cs="IRNazanin"/>
          <w:color w:val="111111"/>
          <w:sz w:val="28"/>
          <w:szCs w:val="28"/>
          <w:rtl w:val="true"/>
          <w:lang w:bidi="fa-IR"/>
        </w:rPr>
        <w:t>:</w:t>
      </w:r>
      <w:bookmarkStart w:id="320" w:name="pg11756_103955"/>
    </w:p>
    <w:p>
      <w:pPr>
        <w:pStyle w:val="BookText"/>
        <w:rPr/>
      </w:pPr>
      <w:bookmarkEnd w:id="320"/>
      <w:r>
        <w:rPr>
          <w:rFonts w:ascii="IRNazanin" w:hAnsi="IRNazanin" w:eastAsia="IRNazanin"/>
          <w:color w:val="111111"/>
          <w:sz w:val="28"/>
          <w:sz w:val="28"/>
          <w:szCs w:val="28"/>
          <w:rtl w:val="true"/>
          <w:lang w:bidi="fa-IR"/>
        </w:rPr>
        <w:t>علی الکنوز و المعادن و الغوص و الغنیمة</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یدّعی ظهورها فی التکلیف و لکنّ التحقیق أنّه لو کان موضوع الاستعلاء فعلا اقتضی التکلیف،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عینا اقتضی الوضع،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الروایة من الثانی؛ لأنّه ورد فی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الکنوز و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 هو عدم اعتبار الکمال بالبلوغ و العقل فی تعلّق الخمس بالکنوز و المعادن و 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أرباح المکاسب فقال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یفهم من استدلال العلماء لوجوب الخمس فی الکنز و المعدن و الغوص بأنّها اکتسابات فتدخل تحت الآیة، ثمّ تعمیمهم الوجوب فیها للصبیّ و المجنون، ثمّ دعواهم الإجماع علی وجوب الخمس فی مطلق الاکتسابات، عدم الفرق فی أرباح المکاسب بین البالغ و غیره</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9643653_73709187"/>
      <w:bookmarkStart w:id="322" w:name="_Toc121"/>
      <w:bookmarkEnd w:id="321"/>
      <w:r>
        <w:rPr>
          <w:rtl w:val="true"/>
        </w:rPr>
        <w:t>اشتراط وجوب الخمس بالبلوغ مطلقا</w:t>
      </w:r>
      <w:bookmarkEnd w:id="32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البلوغ فی ثبوت الخمس مطلقا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المدارک فی شرح کلام المحقّق</w:t>
      </w:r>
      <w:r>
        <w:rPr>
          <w:rStyle w:val="FootnoteAnchor"/>
          <w:rtl w:val="true"/>
        </w:rPr>
        <w:footnoteReference w:id="8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لاح من العبارة اعتبار التکلیف و الحرّیّة فی غیر هذه الأنواع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و المعادن 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علی إطلاقه، فإنّ مال المملوک لمولاه، فیتعلّق به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اعتبار</w:t>
      </w:r>
      <w:bookmarkStart w:id="323" w:name="pg11756_103956"/>
    </w:p>
    <w:p>
      <w:pPr>
        <w:pStyle w:val="BookText"/>
        <w:rPr/>
      </w:pPr>
      <w:bookmarkEnd w:id="323"/>
      <w:r>
        <w:rPr>
          <w:rFonts w:ascii="IRNazanin" w:hAnsi="IRNazanin" w:eastAsia="IRNazanin"/>
          <w:color w:val="111111"/>
          <w:sz w:val="28"/>
          <w:sz w:val="28"/>
          <w:szCs w:val="28"/>
          <w:rtl w:val="true"/>
          <w:lang w:bidi="fa-IR"/>
        </w:rPr>
        <w:t>التکلیف فی الجمع متّجه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ثبوت الخمس فی مال الیتیم و العبد مطلقا، إلاّ أن یثبت الإجماع کلّیّا أو فی بعض الأنواع کما هو المظنون، سیّما فی الثلاثة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مستند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فی مال الصبیّ أو المجنون کما لا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فیما ذکر بین الثلاثة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و الغوص 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غیرها کأرباح المکاسب؛ لوحدة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الخمس بالنسبة إلی المال المختلط بالحرام؛ لأنّ مقدارا من المال حینئذ لم یکن للصبیّ، و التخمیس طریق إلی التطهیر</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9643655_73709187"/>
      <w:bookmarkStart w:id="325" w:name="_Toc122"/>
      <w:bookmarkEnd w:id="324"/>
      <w:r>
        <w:rPr>
          <w:rtl w:val="true"/>
        </w:rPr>
        <w:t>أدلّة اشتراط وجوب الخمس بالبلوغ</w:t>
      </w:r>
      <w:bookmarkEnd w:id="325"/>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بعض الأدلّة هو التکلیف؛ لاشتمالها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ظاهرة</w:t>
      </w:r>
      <w:r>
        <w:rPr>
          <w:rStyle w:val="FootnoteAnchor"/>
          <w:rtl w:val="true"/>
        </w:rPr>
        <w:footnoteReference w:id="804"/>
      </w:r>
      <w:r>
        <w:rPr>
          <w:rFonts w:ascii="IRNazanin" w:hAnsi="IRNazanin" w:eastAsia="IRNazanin"/>
          <w:color w:val="111111"/>
          <w:sz w:val="28"/>
          <w:sz w:val="28"/>
          <w:szCs w:val="28"/>
          <w:rtl w:val="true"/>
          <w:lang w:bidi="fa-IR"/>
        </w:rPr>
        <w:t>فی التکلیف، کما ورد فی صحیحة أبو علیّ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علیهم الخمس</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علیهم نصف السدس</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مقتضی مکاتبة علیّ بن مهزیار؛ لأنّه علیه السّلام أمر بالإیصال إلی وکیله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سائر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بظاهرها علی أنّ الخمس لمصرفه، و أنّه حقّ لأربابه ممّا له ظهور فی حکم الوضع الذی یعمّ الصبیّ أیضا، کموثّقة سماعة المتقدّمة</w:t>
      </w:r>
      <w:r>
        <w:rPr>
          <w:rStyle w:val="FootnoteAnchor"/>
          <w:rtl w:val="true"/>
        </w:rPr>
        <w:footnoteReference w:id="808"/>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w:t>
      </w:r>
      <w:r>
        <w:rPr>
          <w:rStyle w:val="FootnoteAnchor"/>
          <w:rtl w:val="true"/>
        </w:rPr>
        <w:footnoteReference w:id="809"/>
      </w:r>
      <w:r>
        <w:rPr>
          <w:rFonts w:ascii="IRNazanin" w:hAnsi="IRNazanin" w:eastAsia="IRNazanin"/>
          <w:color w:val="111111"/>
          <w:sz w:val="28"/>
          <w:sz w:val="28"/>
          <w:szCs w:val="28"/>
          <w:rtl w:val="true"/>
          <w:lang w:bidi="fa-IR"/>
        </w:rPr>
        <w:t>علی أنّه لبیان التکلیف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لأنّ الأخبار التی لها ظهور فی التکلیف لا تکون قرینة علی تقیید الأخبار التی تدلّ علی الوضع، و أنّ الخمس حقّ ثابت لأربابه بالمکلّف، بل بالعکس، أی تحمل الأخبار التی تدلّ بظاهرها علی التکلیف، بقرینة ما تدلّ علی الوضع علی أنّها تشمل الصبیّ أیضا، و لا أقلّ من أنّه یوجب الإجمال، فلا یصحّ أن یستدلّ علی اشتراط وجوب الخمس بالبلوغ مطلقا بهذه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بعض الأخبار فی باب الزکاة عدم وجوبها فی مال الطفل</w:t>
      </w:r>
      <w:r>
        <w:rPr>
          <w:rStyle w:val="FootnoteAnchor"/>
          <w:rtl w:val="true"/>
        </w:rPr>
        <w:footnoteReference w:id="810"/>
      </w:r>
      <w:r>
        <w:rPr>
          <w:rFonts w:ascii="IRNazanin" w:hAnsi="IRNazanin" w:eastAsia="IRNazanin"/>
          <w:color w:val="111111"/>
          <w:sz w:val="28"/>
          <w:sz w:val="28"/>
          <w:szCs w:val="28"/>
          <w:rtl w:val="true"/>
          <w:lang w:bidi="fa-IR"/>
        </w:rPr>
        <w:t xml:space="preserve">، إلاّ فی بعض الصور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کصورة الاتّجار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باب عدم کونه مکلّفا، و الملاک موجود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مناط الحکم و أنّه من باب رفع القلم حتّی یقال بذلک فی الخمس، مع أنّ مقتضی بعض الأخبار عدم وجوب الزکاة فی المال الصامت و الدین و وجوبها فی الغلاّت</w:t>
      </w:r>
      <w:r>
        <w:rPr>
          <w:rStyle w:val="FootnoteAnchor"/>
          <w:rtl w:val="true"/>
        </w:rPr>
        <w:footnoteReference w:id="812"/>
      </w:r>
      <w:r>
        <w:rPr>
          <w:rFonts w:ascii="IRNazanin" w:hAnsi="IRNazanin" w:eastAsia="IRNazanin"/>
          <w:color w:val="111111"/>
          <w:sz w:val="28"/>
          <w:sz w:val="28"/>
          <w:szCs w:val="28"/>
          <w:rtl w:val="true"/>
          <w:lang w:bidi="fa-IR"/>
        </w:rPr>
        <w:t>، کما صرّح به بعض الأعلام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الخمس و الزکاة فی البدلیّة</w:t>
      </w:r>
      <w:r>
        <w:rPr>
          <w:rStyle w:val="FootnoteAnchor"/>
          <w:rtl w:val="true"/>
        </w:rPr>
        <w:footnoteReference w:id="814"/>
      </w:r>
      <w:r>
        <w:rPr>
          <w:rFonts w:ascii="IRNazanin" w:hAnsi="IRNazanin" w:eastAsia="IRNazanin"/>
          <w:color w:val="111111"/>
          <w:sz w:val="28"/>
          <w:sz w:val="28"/>
          <w:szCs w:val="28"/>
          <w:rtl w:val="true"/>
          <w:lang w:bidi="fa-IR"/>
        </w:rPr>
        <w:t>؛ لأنّه ورد فی الأخبار أنّ الخمس عوض عن الصدقات المجعولة لسائر الناس، کما فی خبر حمّاد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جعل اللّه هذا الخمس لهم خاصّة دون مساکین الناس و أبناء سبیلهم عوضا لهم من صدقات الناس؛ تنزیها من اللّه لهم لقرابتهم برسول اللّه صلّی اللّه علیه و آله، و کرامة من اللّه لهم عن أوساخ الناس</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الحدیث، و غیره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أنّه لا زکاة علی مال الطفل فی الجملة کذلک لا خمس علیه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تلک الأخبار البدلیّة فی الجعل، لا المماثلة فی جمیع الأحکام و الشرائط، و لا أقلّ من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صحیحة زرارة و محمّد بن مسلم فیما رواه الشیخ عنهما عن أبی جعفر و أبی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 المال الصامت شیء</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عدم ثبوت الخمس فی أمواله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الشیء هو الزکاة بقرینة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المال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ما تدلّ علیه الأخبار الکثیرة من الزکاة فی مال الصغیر إذا اتّجر به</w:t>
      </w:r>
      <w:r>
        <w:rPr>
          <w:rStyle w:val="FootnoteAnchor"/>
          <w:rtl w:val="true"/>
        </w:rPr>
        <w:footnoteReference w:id="818"/>
      </w:r>
      <w:r>
        <w:rPr>
          <w:rFonts w:ascii="IRNazanin" w:hAnsi="IRNazanin" w:eastAsia="IRNazanin"/>
          <w:color w:val="111111"/>
          <w:sz w:val="28"/>
          <w:sz w:val="28"/>
          <w:szCs w:val="28"/>
          <w:rtl w:val="true"/>
          <w:lang w:bidi="fa-IR"/>
        </w:rPr>
        <w:t>، و بقرینة قولهما علیهما السّلام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فعلیها الصدقة واجبة</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قال السیّد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التمسّک بإطلاق الشیء، فإنّ الذیل فی کلّ منهما یصلح للقرینیّة، و لا أقلّ یوجب الإجمال، و المتیقّن من نفی الشیء هو نفی الزکاة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حدیث رفع القلم عن الصبیّ و المجنون و النائم</w:t>
      </w:r>
      <w:r>
        <w:rPr>
          <w:rStyle w:val="FootnoteAnchor"/>
          <w:rtl w:val="true"/>
        </w:rPr>
        <w:footnoteReference w:id="822"/>
      </w:r>
      <w:r>
        <w:rPr>
          <w:rFonts w:ascii="IRNazanin" w:hAnsi="IRNazanin" w:eastAsia="IRNazanin"/>
          <w:color w:val="111111"/>
          <w:sz w:val="28"/>
          <w:sz w:val="28"/>
          <w:szCs w:val="28"/>
          <w:rtl w:val="true"/>
          <w:lang w:bidi="fa-IR"/>
        </w:rPr>
        <w:t>عدم ثبوت الخمس و لو کان مفاد الدلیل هو الوضع؛ لأنّ رفع القلم کنایة عن رفع الجعل الموجب للضیق علیهم، من غیر فرق بین الوضع و التکلیف، و لا ریب أنّ جعل الخمس فی مال الصغیر موجب لحصول النقص فی ماله، و رفعه موافق للامتنان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خمس فی مال الصبیّ و المجنون کما لا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عموم أو إطلاق یشمل مال الصبیّ لم یکن بدّ من الخروج عنه بمقتضی هذا الحدیث،</w:t>
      </w:r>
      <w:bookmarkStart w:id="326" w:name="pg11756_103960"/>
    </w:p>
    <w:p>
      <w:pPr>
        <w:pStyle w:val="BookText"/>
        <w:rPr/>
      </w:pPr>
      <w:bookmarkEnd w:id="326"/>
      <w:r>
        <w:rPr>
          <w:rFonts w:ascii="IRNazanin" w:hAnsi="IRNazanin" w:eastAsia="IRNazanin"/>
          <w:color w:val="111111"/>
          <w:sz w:val="28"/>
          <w:sz w:val="28"/>
          <w:szCs w:val="28"/>
          <w:rtl w:val="true"/>
          <w:lang w:bidi="fa-IR"/>
        </w:rPr>
        <w:t>کما صرّح به السیّد الخوئی</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9643657_73709187"/>
      <w:bookmarkStart w:id="328" w:name="_Toc123"/>
      <w:bookmarkEnd w:id="327"/>
      <w:r>
        <w:rPr>
          <w:rtl w:val="true"/>
        </w:rPr>
        <w:t>أقوال الفقهاء فی معنی حدیث الرفع</w:t>
      </w:r>
      <w:bookmarkEnd w:id="328"/>
    </w:p>
    <w:p>
      <w:pPr>
        <w:pStyle w:val="Heading5"/>
        <w:numPr>
          <w:ilvl w:val="4"/>
          <w:numId w:val="1"/>
        </w:numPr>
        <w:rPr/>
      </w:pPr>
      <w:bookmarkStart w:id="329" w:name="__RefHeading___Toc9643659_73709187"/>
      <w:bookmarkStart w:id="330" w:name="_Toc124"/>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 xml:space="preserve">إنّ حدیث الرفع یکون دلیلا لکثیر من الأحکام و المسائل المختلفة التی تبحث فی أبواب متعدّدة من أبواب الفقه، و أقوال الفقهاء فی معنی هذا الحدیث مختلفة، و بالطبع یؤثّر هذا الاختلاف فیما یستفاد منه، و لذا ینبغی أن نذکر المبانی و الأقوال المختلفة فی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مناسب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نجیب عن الاستدلال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معنی الحدیث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حدیث الرفع نفی قلم جعل الأحکام علی الصبیّ و المجنون مطلقا، و استثناؤهما عن قلم التشریع کالبهائم، فلا ذکر لهما فی القانون و لم یجر علیهما شیء، و مقتضی ذلک</w:t>
      </w:r>
      <w:r>
        <w:rPr>
          <w:rStyle w:val="FootnoteAnchor"/>
          <w:rtl w:val="true"/>
        </w:rPr>
        <w:footnoteReference w:id="824"/>
      </w:r>
      <w:r>
        <w:rPr>
          <w:rFonts w:ascii="IRNazanin" w:hAnsi="IRNazanin" w:eastAsia="IRNazanin"/>
          <w:color w:val="111111"/>
          <w:sz w:val="28"/>
          <w:sz w:val="28"/>
          <w:szCs w:val="28"/>
          <w:rtl w:val="true"/>
          <w:lang w:bidi="fa-IR"/>
        </w:rPr>
        <w:t>عدم الفرق بین قلم التکلیف و الوضع، فترتفع عنهما الأحکام برمّتها بمناط واحد، و هو الحکومة علی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فالمنفی فی هذا الحدیث هو جعل الأحکام مطلقا، سواء کانت الأحکام وضعیّة أم تکلیفیّة، کما اختاره السیّد الخوئی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فی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المعنیین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رفع القلم کنایة عن إرخاء العنان کالبهائم، و یکون کنایة</w:t>
      </w:r>
    </w:p>
    <w:p>
      <w:pPr>
        <w:pStyle w:val="BookText"/>
        <w:rPr/>
      </w:pPr>
      <w:r>
        <w:rPr>
          <w:rFonts w:ascii="IRNazanin" w:hAnsi="IRNazanin" w:eastAsia="IRNazanin"/>
          <w:color w:val="111111"/>
          <w:sz w:val="28"/>
          <w:sz w:val="28"/>
          <w:szCs w:val="28"/>
          <w:rtl w:val="true"/>
          <w:lang w:bidi="fa-IR"/>
        </w:rPr>
        <w:t>عن رفع التکلیف و قلم التشریع، و هذا المعنی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المرفوع قلم التشریع و جعل الأحکام بالصراحة</w:t>
      </w:r>
      <w:r>
        <w:rPr>
          <w:rStyle w:val="FootnoteAnchor"/>
          <w:rtl w:val="true"/>
        </w:rPr>
        <w:footnoteReference w:id="826"/>
      </w:r>
      <w:r>
        <w:rPr>
          <w:rFonts w:ascii="IRNazanin" w:hAnsi="IRNazanin" w:eastAsia="IRNazanin"/>
          <w:color w:val="111111"/>
          <w:sz w:val="28"/>
          <w:sz w:val="28"/>
          <w:szCs w:val="28"/>
          <w:rtl w:val="true"/>
          <w:lang w:bidi="fa-IR"/>
        </w:rPr>
        <w:t>، فالمعنی الثانی الذی ذکره قدّس سرّه منطبق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مطلق القلم الثابت فی الشرع، أعمّ من الوضع 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 بالتکلیفات یحتاج إلی دلیل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مستلزم لتخصیص الأکثر</w:t>
      </w:r>
      <w:r>
        <w:rPr>
          <w:rStyle w:val="FootnoteAnchor"/>
          <w:rtl w:val="true"/>
        </w:rPr>
        <w:footnoteReference w:id="828"/>
      </w:r>
      <w:r>
        <w:rPr>
          <w:rFonts w:ascii="IRNazanin" w:hAnsi="IRNazanin" w:eastAsia="IRNazanin"/>
          <w:color w:val="111111"/>
          <w:sz w:val="28"/>
          <w:sz w:val="28"/>
          <w:szCs w:val="28"/>
          <w:rtl w:val="true"/>
          <w:lang w:bidi="fa-IR"/>
        </w:rPr>
        <w:t>؛ إذ ثبت بالضرورة الفقهیّة بین الفریقین کثیر من الأحکام الوضعیّة للصبیّ، کالملکیّة و الضمان و الطهارة و النجاسة و غیرها، و هکذا بعض المستحبّات کالصلاة و الصوم و الحجّ، کما تقدّم فی البحث عن مشروعیّة عبادات الصبیّ</w:t>
      </w:r>
      <w:r>
        <w:rPr>
          <w:rStyle w:val="FootnoteAnchor"/>
          <w:rtl w:val="true"/>
        </w:rPr>
        <w:footnoteReference w:id="829"/>
      </w:r>
      <w:r>
        <w:rPr>
          <w:rFonts w:ascii="IRNazanin" w:hAnsi="IRNazanin" w:eastAsia="IRNazanin"/>
          <w:color w:val="111111"/>
          <w:sz w:val="28"/>
          <w:sz w:val="28"/>
          <w:szCs w:val="28"/>
          <w:rtl w:val="true"/>
          <w:lang w:bidi="fa-IR"/>
        </w:rPr>
        <w:t>، مضافا إلی أنّ سیاق الروایة آب عن التخصیص، کما أشار إلیه السیّد الیزدی</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هو قلم المؤاخذة لا قلم جعل الأحکام، کما صرّح به الشیخ الأعظم</w:t>
      </w:r>
      <w:r>
        <w:rPr>
          <w:rStyle w:val="FootnoteAnchor"/>
          <w:rtl w:val="true"/>
        </w:rPr>
        <w:footnoteReference w:id="831"/>
      </w:r>
      <w:r>
        <w:rPr>
          <w:rFonts w:ascii="IRNazanin" w:hAnsi="IRNazanin" w:eastAsia="IRNazanin"/>
          <w:color w:val="111111"/>
          <w:sz w:val="28"/>
          <w:sz w:val="28"/>
          <w:szCs w:val="28"/>
          <w:rtl w:val="true"/>
          <w:lang w:bidi="fa-IR"/>
        </w:rPr>
        <w:t>و المحقّق الخراسانی</w:t>
      </w:r>
      <w:r>
        <w:rPr>
          <w:rStyle w:val="FootnoteAnchor"/>
          <w:rtl w:val="true"/>
        </w:rPr>
        <w:footnoteReference w:id="832"/>
      </w:r>
      <w:r>
        <w:rPr>
          <w:rFonts w:ascii="IRNazanin" w:hAnsi="IRNazanin" w:eastAsia="IRNazanin"/>
          <w:color w:val="111111"/>
          <w:sz w:val="28"/>
          <w:sz w:val="28"/>
          <w:szCs w:val="28"/>
          <w:rtl w:val="true"/>
          <w:lang w:bidi="fa-IR"/>
        </w:rPr>
        <w:t>و اختاره السیّدان الیزدی</w:t>
      </w:r>
      <w:r>
        <w:rPr>
          <w:rStyle w:val="FootnoteAnchor"/>
          <w:rtl w:val="true"/>
        </w:rPr>
        <w:footnoteReference w:id="833"/>
      </w:r>
      <w:r>
        <w:rPr>
          <w:rFonts w:ascii="IRNazanin" w:hAnsi="IRNazanin" w:eastAsia="IRNazanin"/>
          <w:color w:val="111111"/>
          <w:sz w:val="28"/>
          <w:sz w:val="28"/>
          <w:szCs w:val="28"/>
          <w:rtl w:val="true"/>
          <w:lang w:bidi="fa-IR"/>
        </w:rPr>
        <w:t>و المراغی</w:t>
      </w:r>
      <w:r>
        <w:rPr>
          <w:rStyle w:val="FootnoteAnchor"/>
          <w:rtl w:val="true"/>
        </w:rPr>
        <w:footnoteReference w:id="834"/>
      </w:r>
      <w:r>
        <w:rPr>
          <w:rFonts w:ascii="IRNazanin" w:hAnsi="IRNazanin" w:eastAsia="IRNazanin"/>
          <w:color w:val="111111"/>
          <w:sz w:val="28"/>
          <w:sz w:val="28"/>
          <w:szCs w:val="28"/>
          <w:rtl w:val="true"/>
          <w:lang w:bidi="fa-IR"/>
        </w:rPr>
        <w:t>، و الشیخ الأراکی</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331" w:name="pg11756_103962"/>
    </w:p>
    <w:p>
      <w:pPr>
        <w:pStyle w:val="BookText"/>
        <w:rPr/>
      </w:pPr>
      <w:bookmarkEnd w:id="331"/>
      <w:r>
        <w:rPr>
          <w:rFonts w:ascii="IRNazanin" w:hAnsi="IRNazanin" w:eastAsia="IRNazanin"/>
          <w:color w:val="111111"/>
          <w:sz w:val="28"/>
          <w:sz w:val="28"/>
          <w:szCs w:val="28"/>
          <w:rtl w:val="true"/>
          <w:lang w:bidi="fa-IR"/>
        </w:rPr>
        <w:t>و هذا المعنی موافق لاستعماله فی العرف، فإنّ أهل العرف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مرفوع عنه القلم لا یریدون به إلاّ عدم مؤاخذته فی أفعاله و تروکه، فیکون الظاهر من هذه العبارة التی هی فی مقام الامتنان و التسهیل هو رفع المؤاخذة عن هذه الثلاثة؛ لعدم التفاتهم إلی المصالح و المفاسد؛ أمّا المجنون فلعدم عقله، و أمّا الصبیّ فلقلّة عقله غالبا، و أمّا النائم فلغفلته بواسطة نومه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مراد الشیخ و من تبعه من رفع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المؤاخذة و العقوبة من لوازم التکلیف الإلزامیّة، و خاصّة من خواصّه، فرفعها یکشف عن رفع خصوص التکالیف الإلزامیة، لا کلّ تکلیف، فضلا عن کلّ حکم حتّی یشمل الأحکام الوضعیّة، و هذا المعنی مناسب لما اشتهر بینهم من مشروعیّة عبادات الصبیّ، و من أنّ الأحکام الوضعیّة لیست مختصّة بالبالغین</w:t>
      </w:r>
      <w:r>
        <w:rPr>
          <w:rFonts w:eastAsia="IRNazanin" w:cs="IRNazanin"/>
          <w:color w:val="111111"/>
          <w:sz w:val="28"/>
          <w:szCs w:val="28"/>
          <w:rtl w:val="true"/>
          <w:lang w:bidi="fa-IR"/>
        </w:rPr>
        <w:t>.</w:t>
      </w:r>
    </w:p>
    <w:p>
      <w:pPr>
        <w:pStyle w:val="Heading5"/>
        <w:numPr>
          <w:ilvl w:val="4"/>
          <w:numId w:val="1"/>
        </w:numPr>
        <w:rPr/>
      </w:pPr>
      <w:bookmarkStart w:id="332" w:name="__RefHeading___Toc9643661_73709187"/>
      <w:bookmarkStart w:id="333" w:name="_Toc125"/>
      <w:bookmarkEnd w:id="332"/>
      <w:r>
        <w:rPr>
          <w:rtl w:val="true"/>
        </w:rPr>
        <w:t>ما المراد من المرفوع فی حدیث الرفع</w:t>
      </w:r>
      <w:bookmarkEnd w:id="333"/>
    </w:p>
    <w:p>
      <w:pPr>
        <w:pStyle w:val="BookText"/>
        <w:rPr/>
      </w:pPr>
      <w:r>
        <w:rPr>
          <w:rFonts w:ascii="IRNazanin" w:hAnsi="IRNazanin" w:eastAsia="IRNazanin"/>
          <w:color w:val="111111"/>
          <w:sz w:val="28"/>
          <w:sz w:val="28"/>
          <w:szCs w:val="28"/>
          <w:rtl w:val="true"/>
          <w:lang w:bidi="fa-IR"/>
        </w:rPr>
        <w:t>قال الشیخ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المرفوع فی الحدیث هو قلم المؤاخذة و العقوبة الاخرویّة و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w:t>
      </w:r>
      <w:r>
        <w:rPr>
          <w:rStyle w:val="FootnoteAnchor"/>
          <w:rtl w:val="true"/>
        </w:rPr>
        <w:footnoteReference w:id="837"/>
      </w:r>
      <w:r>
        <w:rPr>
          <w:rFonts w:ascii="IRNazanin" w:hAnsi="IRNazanin" w:eastAsia="IRNazanin"/>
          <w:color w:val="111111"/>
          <w:sz w:val="28"/>
          <w:sz w:val="28"/>
          <w:szCs w:val="28"/>
          <w:rtl w:val="true"/>
          <w:lang w:bidi="fa-IR"/>
        </w:rPr>
        <w:t>عدم ثبوت التکلیف اللزومی فی حقّه، و عدم ترتّب استحقاق العقوبة علی ترک الواجب و فعل الحرام، فیقتصر فی تخصیص عمومات أدلّة التکالیف علی هذا المقدار</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هذا القول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العقوبة و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کالمثوبة و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التی لا صلة لها بعالم الجعل بوجه، بل هی مترتّبة علی</w:t>
      </w:r>
    </w:p>
    <w:p>
      <w:pPr>
        <w:pStyle w:val="BookText"/>
        <w:rPr/>
      </w:pPr>
      <w:r>
        <w:rPr>
          <w:rFonts w:ascii="IRNazanin" w:hAnsi="IRNazanin" w:eastAsia="IRNazanin"/>
          <w:color w:val="111111"/>
          <w:sz w:val="28"/>
          <w:sz w:val="28"/>
          <w:szCs w:val="28"/>
          <w:rtl w:val="true"/>
          <w:lang w:bidi="fa-IR"/>
        </w:rPr>
        <w:t>الجعل ترتّب الأثر علی ذی الأثر، و علیه فلا معنی لتعلّق الرفع بما لم یتعلّق به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ترتفع العقوبة بارتفاع منشأها، أعنی به التکالیف الإلزامیّة، و لکنّه غیر رفع المؤاخذة ابتداء</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یجاب بأنّ المؤاخذة من لوازم مخالفة التکلیف، و یستکشف من رفعها نفی الوجوب و الحرمة الذی یتعلّق بهما الجعل، و فی الحقیقة یتعلّق</w:t>
      </w:r>
      <w:r>
        <w:rPr>
          <w:rStyle w:val="FootnoteAnchor"/>
          <w:rtl w:val="true"/>
        </w:rPr>
        <w:footnoteReference w:id="840"/>
      </w:r>
      <w:r>
        <w:rPr>
          <w:rFonts w:ascii="IRNazanin" w:hAnsi="IRNazanin" w:eastAsia="IRNazanin"/>
          <w:color w:val="111111"/>
          <w:sz w:val="28"/>
          <w:sz w:val="28"/>
          <w:szCs w:val="28"/>
          <w:rtl w:val="true"/>
          <w:lang w:bidi="fa-IR"/>
        </w:rPr>
        <w:t>بها الجعل باعتبار مؤثّرها، و هو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رفع القلم هو رفع المؤاخذة التی من لوازم مخالفة التکلیف الإلزامی بترک الواجب و إتیان الحرام، فیستکشف من نفی اللازم الذی هو المؤاخذة نفی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الوجوب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عدم التکالیف الإلزامیّة علی الصبیّ</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بهذا الحدیث هو قلم التکلیف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الإیروانی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لو کان هو قلم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منه خصوص التکالیف الإلزامیّة و ذلک بقرینة الرفع، فإنّ مناسب مادّة الرفع رفع ما فی حمله کلفة و ثقل و مشقّة، و ما فیه ذلک لیس إلاّ الأحکام التکلیفیّة الإلزامیّة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القول الثانی للسیّد الخوئی کما صرّح به فی بعض کلماته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الشهیدی علی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الحمل و الثقل؛ لأنّ الظاهر من الرفع المتعدّی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یشهد به ملاحظة موارد استعمالاته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المرفوع ثقلا علی المرفوع عنه و لو تنزیلا، و لا ثقل فی غیر الإیجاب و التحریم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لا یشمل الأحکام المستحبّة و الوضعیّة، و لذا اشتهر أنّ الأحکام الوضعیّة لیست مختصّة بالبالغین، و قالوا بصحّة العبادة و استحبابها للصبیّ؛ لأنّ أدلّتها تشمله کشمولها للبالغ، و لا تنافی بین رفع القلم عن الصبیّ و بین استحباب العبادات له، و أمّا فی الواجبات فرفع القلم یوجب رفع إلزامها فقط، و أمّا مطلوبیّتها فهی باقیة علی حالها، و علیه فتصحّ العبادات الواجبة عن الصبیّ و تکون مطلوبة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أورد علی هذا القول أیضا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التزم به فی بعض المسائل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قلم الرفع إنّما تعلّق بما تعلّق به قلم الوضع، و من الواضح أنّ المجعول أمر بسیط غیر قابل للتقسیط، و کذلک المرفوع، بل قد ذکرنا فی محلّه أنّ صیغة الأمر و ما فی معناها موضوعة لإبراز اعتبار المادّة علی ذمّة المکلّف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الوجوب فإنّه نشأ من ناحیة العقل الحاکم بوجوب إطاعة المولی ما لم یرخّص فی الترک، فما هو قابل للرفع و الوضع شرعا هو نفس الاعتبار دون الوجوب المترتّب علیه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البحث عن مشروعیّة عبادات الصبیّ ما یناسب المقام و یکون</w:t>
      </w:r>
      <w:bookmarkStart w:id="334" w:name="pg11756_103965"/>
    </w:p>
    <w:p>
      <w:pPr>
        <w:pStyle w:val="BookText"/>
        <w:rPr/>
      </w:pPr>
      <w:bookmarkEnd w:id="334"/>
      <w:r>
        <w:rPr>
          <w:rFonts w:ascii="IRNazanin" w:hAnsi="IRNazanin" w:eastAsia="IRNazanin"/>
          <w:color w:val="111111"/>
          <w:sz w:val="28"/>
          <w:sz w:val="28"/>
          <w:szCs w:val="28"/>
          <w:rtl w:val="true"/>
          <w:lang w:bidi="fa-IR"/>
        </w:rPr>
        <w:t>جوابا عن هذا الإیراد علی بعض الوجوه، فلا نعیده خوفا من التطویل، فراجع هناک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9643663_73709187"/>
      <w:bookmarkStart w:id="336" w:name="_Toc126"/>
      <w:bookmarkEnd w:id="335"/>
      <w:r>
        <w:rPr>
          <w:rtl w:val="true"/>
        </w:rPr>
        <w:t>مخالفة القول الثالث لمفاد بعض الروایات</w:t>
      </w:r>
      <w:bookmarkEnd w:id="336"/>
    </w:p>
    <w:p>
      <w:pPr>
        <w:pStyle w:val="BookText"/>
        <w:rPr/>
      </w:pPr>
      <w:r>
        <w:rPr>
          <w:rFonts w:ascii="IRNazanin" w:hAnsi="IRNazanin" w:eastAsia="IRNazanin"/>
          <w:color w:val="111111"/>
          <w:sz w:val="28"/>
          <w:sz w:val="28"/>
          <w:szCs w:val="28"/>
          <w:rtl w:val="true"/>
          <w:lang w:bidi="fa-IR"/>
        </w:rPr>
        <w:t>و یرد علی القول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روایة أبی البختری رفع الرجم و الدیة عن المجنون و الصبیّ</w:t>
      </w:r>
      <w:r>
        <w:rPr>
          <w:rStyle w:val="FootnoteAnchor"/>
          <w:rtl w:val="true"/>
        </w:rPr>
        <w:footnoteReference w:id="847"/>
      </w:r>
      <w:r>
        <w:rPr>
          <w:rFonts w:ascii="IRNazanin" w:hAnsi="IRNazanin" w:eastAsia="IRNazanin"/>
          <w:color w:val="111111"/>
          <w:sz w:val="28"/>
          <w:sz w:val="28"/>
          <w:szCs w:val="28"/>
          <w:rtl w:val="true"/>
          <w:lang w:bidi="fa-IR"/>
        </w:rPr>
        <w:t>، و هو دلیل علی أنّ المرفوع بالحدیث أعمّ من الأحکام التکلیفیّة و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العامّة و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مجنونة علی عهد عمر فجر بها رجل، فقامت البیّنة علیها بذلک، فأمر عمر بجلدها الحدّ، فمرّ بها علی أمیر المؤمنین علیه السّلام لتجلد،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مجنونة آل فلان تعتلّ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فجر بها و هرب، و قامت البیّنة علیها، فأمر عمر بجلدها،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إلیه و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هذه مجنونة آل فلان، و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یفیق، إنّها مغلوبة علی عقلها و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فردّت إلی عمر، و قیل له ما قال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عنه، لقد کدت أن أهلک فی جلدها، و درأ عنها الحدّ</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کون المرفوع عن الصبیّ موافقا للمرفوع عن</w:t>
      </w:r>
    </w:p>
    <w:p>
      <w:pPr>
        <w:pStyle w:val="BookText"/>
        <w:rPr/>
      </w:pPr>
      <w:r>
        <w:rPr>
          <w:rFonts w:ascii="IRNazanin" w:hAnsi="IRNazanin" w:eastAsia="IRNazanin"/>
          <w:color w:val="111111"/>
          <w:sz w:val="28"/>
          <w:sz w:val="28"/>
          <w:szCs w:val="28"/>
          <w:rtl w:val="true"/>
          <w:lang w:bidi="fa-IR"/>
        </w:rPr>
        <w:t>المجنون؛ لإسناد الرفع بجامع واحد، فالمرفوع فی الصبیّ و المجنون واحد معنی، و فی هذا الحدیث استشهد الإمام علیه السّلام برفع الرجم بحدیث رفع القلم، و الرجم حکم وضعیّ کالدیة و القصاص و غیرها، و لکنّ إجراءها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سندها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معتبر؛ لأنّ المفید رحمه اللّه عبّر بأنّه روت العامّة و الخاصّة، و هذا التعبیر یشعر بأنّها کانت قطعیّة عنده،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أبو جعفر مؤمن الطاق علی أبی حنیفة بأنّ عمر کان لا یعرف أحکام الدّین،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فیه ما تنکره، أمّا أوّل ذلک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الجنب حتّی یجد الماء و لو سنة، و الامّة علی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بمجنونة و قد زنت، فأمر برجمها، 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قد رفع عنها حتّی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الاختصاص عن یعقوب بن یزید البغدادی عن ابن أبی عمیر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متن الحدیث و عدم الداعی لجعل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کثیر من کتب أهل السنّة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دلیل علی اعتبار الحدیث، و لکن مع ذلک کلّه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و ما فی معناه لا یشمل</w:t>
      </w:r>
      <w:r>
        <w:rPr>
          <w:rStyle w:val="FootnoteAnchor"/>
          <w:rtl w:val="true"/>
        </w:rPr>
        <w:footnoteReference w:id="852"/>
      </w:r>
      <w:r>
        <w:rPr>
          <w:rFonts w:ascii="IRNazanin" w:hAnsi="IRNazanin" w:eastAsia="IRNazanin"/>
          <w:color w:val="111111"/>
          <w:sz w:val="28"/>
          <w:sz w:val="28"/>
          <w:szCs w:val="28"/>
          <w:rtl w:val="true"/>
          <w:lang w:bidi="fa-IR"/>
        </w:rPr>
        <w:t>الحکم الوضعیّ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w:t>
      </w:r>
    </w:p>
    <w:p>
      <w:pPr>
        <w:pStyle w:val="BookText"/>
        <w:rPr/>
      </w:pPr>
      <w:r>
        <w:rPr>
          <w:rFonts w:ascii="IRNazanin" w:hAnsi="IRNazanin" w:eastAsia="IRNazanin"/>
          <w:color w:val="111111"/>
          <w:sz w:val="28"/>
          <w:sz w:val="28"/>
          <w:szCs w:val="28"/>
          <w:rtl w:val="true"/>
          <w:lang w:bidi="fa-IR"/>
        </w:rPr>
        <w:t>ذلک قوله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 عن المجنون حتّی یفیق، إنّها مغلوبة علی عقلها و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حال کون المرأة مجنونة و مغلوبة علی عقلها و لم تفق لم یکن لها حکم تکلیفیّ حتّی یحرم علیها الزنا، و ثبت فی حقّها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یدفع عنها بحدیث 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هذا الحدیث مخالفا للقول الثالث، بل دالّ علی أنّ ما هو المرفوع عن الصبیّ هو الحکم التکلیفیّ، أی الإلزام و المشقّة، و هو المطلوب،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رفع القلم رفع قلم التکلیف و الوضع الثقیل علی الصبیّ، و هو التکلیف الإلزامیّ الذی یؤاخذ به المکلّف، و الوضع الذی یتضمّن مؤاخذة فی نفسه أو طرفه أو ماله؛ لأنّ الرفع یتعلّق بأمر ثقیل</w:t>
      </w:r>
      <w:r>
        <w:rPr>
          <w:rStyle w:val="FootnoteAnchor"/>
          <w:rtl w:val="true"/>
        </w:rPr>
        <w:footnoteReference w:id="853"/>
      </w:r>
      <w:r>
        <w:rPr>
          <w:rFonts w:ascii="IRNazanin" w:hAnsi="IRNazanin" w:eastAsia="IRNazanin"/>
          <w:color w:val="111111"/>
          <w:sz w:val="28"/>
          <w:sz w:val="28"/>
          <w:szCs w:val="28"/>
          <w:rtl w:val="true"/>
          <w:lang w:bidi="fa-IR"/>
        </w:rPr>
        <w:t>علی الشخص، و هو المؤاخذة الاخرویّة أو الدنیویّة، و إلاّ فالتکلیف مع قطع النظر عمّا یترتّب علی مخالفته لیس فیه ثقل علی الشخص، کما اختاره المحقّق الفقیه الأصفهانی</w:t>
      </w:r>
      <w:r>
        <w:rPr>
          <w:rStyle w:val="FootnoteAnchor"/>
          <w:rtl w:val="true"/>
        </w:rPr>
        <w:footnoteReference w:id="854"/>
      </w:r>
      <w:r>
        <w:rPr>
          <w:rFonts w:ascii="IRNazanin" w:hAnsi="IRNazanin" w:eastAsia="IRNazanin"/>
          <w:color w:val="111111"/>
          <w:sz w:val="28"/>
          <w:sz w:val="28"/>
          <w:szCs w:val="28"/>
          <w:rtl w:val="true"/>
          <w:lang w:bidi="fa-IR"/>
        </w:rPr>
        <w:t>، و بما أنّ حدیث رفع القلم، کحدیث رفع التسعة عن الامّة وارد مورد الامتنان، فالمستحبّات و الأفعال الحسنة عقلا و شرعا لا ترفع عن الصبیّ، و کذلک الأحکام الوضعیّة التی لا وزر و لا ثقل علی الصبیان فیها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یختلف حال ما ثبت فی حقّه من الوضع، فتارة یکون تخصیصا لعموم رفع القلم عنه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کالوصیّة و التدبیر و 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لا یکون تخصیصا کضمانه بإتلافه و جنابته و نجاسته و طهارته و أشباهها، فإنّ الظاهر من رفع</w:t>
      </w:r>
    </w:p>
    <w:p>
      <w:pPr>
        <w:pStyle w:val="BookText"/>
        <w:rPr/>
      </w:pPr>
      <w:r>
        <w:rPr>
          <w:rFonts w:ascii="IRNazanin" w:hAnsi="IRNazanin" w:eastAsia="IRNazanin"/>
          <w:color w:val="111111"/>
          <w:sz w:val="28"/>
          <w:sz w:val="28"/>
          <w:szCs w:val="28"/>
          <w:rtl w:val="true"/>
          <w:lang w:bidi="fa-IR"/>
        </w:rPr>
        <w:t>القلم عنه و عن المجنون و النائم رفع ما یکون منوطا بالشعور و الاختیار و العقل و کماله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بالحدیث لیس قلم الجعل، بل الظاهر أنّه قلم السیّئة المکتوب بأیدی الکرام الکاتبین، و هو یستلزم رفع الإلزام و الثقل، سواء کان موجبهما حکما تکلیفیّا أم وضعیّا، 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المحتمل أن یراد بالرفع قبال ما ورد فی بعض الروایات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الحلم کتبت علیه السیّئات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فیراد أنّه قبل بلوغه لا یکتب علیه السیّئات و قلم کتابة السیّئات مرفوع عنه</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اختاره السیّد الزنجانی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مرتضی الحائری قدّس سرّه، و استشهد بما ورد فی الآیات و الروایات</w:t>
      </w:r>
      <w:r>
        <w:rPr>
          <w:rStyle w:val="FootnoteAnchor"/>
          <w:rtl w:val="true"/>
        </w:rPr>
        <w:footnoteReference w:id="859"/>
      </w:r>
      <w:r>
        <w:rPr>
          <w:rFonts w:ascii="Amiri" w:hAnsi="Amiri" w:eastAsia="Amiri" w:cs="Amiri"/>
          <w:color w:val="111111"/>
          <w:sz w:val="28"/>
          <w:sz w:val="28"/>
          <w:szCs w:val="28"/>
          <w:rtl w:val="true"/>
          <w:lang w:bidi="ar-SA"/>
        </w:rPr>
        <w:t>من کتابة الحسنات و السیّئات،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Style w:val="FootnoteAnchor"/>
          <w:rtl w:val="true"/>
        </w:rPr>
        <w:footnoteReference w:id="8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خبر طلحة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بلغوا الحلم کتبت علیهم السیّئات</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و فی خبر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ثلاث عشرة سنة کتب له الحسن و کتب علیه السیّئ</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و قریب منه خبره الآخر</w:t>
      </w:r>
      <w:r>
        <w:rPr>
          <w:rStyle w:val="FootnoteAnchor"/>
          <w:rtl w:val="true"/>
        </w:rPr>
        <w:footnoteReference w:id="864"/>
      </w:r>
      <w:r>
        <w:rPr>
          <w:rFonts w:ascii="IRNazanin" w:hAnsi="IRNazanin" w:eastAsia="IRNazanin"/>
          <w:color w:val="111111"/>
          <w:sz w:val="28"/>
          <w:sz w:val="28"/>
          <w:szCs w:val="28"/>
          <w:rtl w:val="true"/>
          <w:lang w:bidi="fa-IR"/>
        </w:rPr>
        <w:t>و الخبر الثالث</w:t>
      </w:r>
      <w:r>
        <w:rPr>
          <w:rStyle w:val="FootnoteAnchor"/>
          <w:rtl w:val="true"/>
        </w:rPr>
        <w:footnoteReference w:id="865"/>
      </w:r>
      <w:r>
        <w:rPr>
          <w:rFonts w:ascii="IRNazanin" w:hAnsi="IRNazanin" w:eastAsia="IRNazanin"/>
          <w:color w:val="111111"/>
          <w:sz w:val="28"/>
          <w:sz w:val="28"/>
          <w:szCs w:val="28"/>
          <w:rtl w:val="true"/>
          <w:lang w:bidi="fa-IR"/>
        </w:rPr>
        <w:t>و الرابع</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المناسب للوضع و الرفع و الجری، و أمّا قلم الجعل فقد وضع من أوّل الأمر بالنسبة إلی موضوعه، أی البالغ العاقل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یستفاد من تعبیرات جری القلم و وضعه و رفعه فی الکتاب و السنّة یختلف من حیث المعنی و المورد، فإنّه إذا عبّر بجری القلم، فتارة یتعدّی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جری به القلم من تحریم ما حرّم اللّه</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 و تارة یتعدّی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القلم فی اللوح المحفوظ</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 فإنّهما خارجان عن محلّ الکلام و لا یدلاّن علی الثقل، و أمّا إذا 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یستفاد منه الضیق و الکلفة یکون مقابلا للرفع الذی لیس کذلک، و کان فی رفعه إرفاقا و امتنانا علی المرفوع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وضع القلم و کتابة الأعمال، فتارة یکون المقصود منه کتابة ماهیّة العمل قبل تحقّقه، بمعنی أنّه یکتب علی المکلّف و یطلب منه حتّی أوجده فی الخارج، و هذا المعنی غیر مقصود فی المقام، و تارة یکون المراد منه</w:t>
      </w:r>
      <w:r>
        <w:rPr>
          <w:rStyle w:val="FootnoteAnchor"/>
          <w:rtl w:val="true"/>
        </w:rPr>
        <w:footnoteReference w:id="869"/>
      </w:r>
      <w:r>
        <w:rPr>
          <w:rFonts w:ascii="IRNazanin" w:hAnsi="IRNazanin" w:eastAsia="IRNazanin"/>
          <w:color w:val="111111"/>
          <w:sz w:val="28"/>
          <w:sz w:val="28"/>
          <w:szCs w:val="28"/>
          <w:rtl w:val="true"/>
          <w:lang w:bidi="fa-IR"/>
        </w:rPr>
        <w:t>کتابتها بعد تحقّقها، و الکاتب فی هذا القسم یکون الملائکة و کرام الکاتبین، بخلاف القسم الأوّل الذی یکون الکاتب هو اللّه تعالی و یکتب الأحکام التشریعیّة،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رفع القلم فی حدیث الرفع هو القسم الثانی من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کتابة السیّئات فی صحیفة الأعمال بعد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لا یبقی موضوع للعقاب و المؤاخذة، اخرویة کانت أو دنیویّة، و الشاهد علی ذلک الروایات التی عبّر فیها برفع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إمامة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لیرفع القلم ستّ ساعات عن العبد المسلم المخطئ أو المسیء، فإن ندم و استغفر اللّه منها ألقاها، و إلاّ کتب واحدة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أی کتب سیّئة واحدة، فالمراد من رفع القلم عدم کتابة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الحسن الرضا علیه السّلام فی خبر زکریّا بن آدم،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بن آدم، شیعة علیّ رفع عنهم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شیعة علیّ أصبح صبیحة أتی بسیّئة أو ارتکب ذنبا إلاّ أمسی و قد ناله غمّ، حطّ عنه سیّئته، فکیف یجری علیه القلم؟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إبراهیم موسی بن جعفر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للمریض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عنه القلم، و یأمر اللّه الملک یکتب له کلّ فضل کان یعمله فی صحّته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سلیمان المروزی عن علیّ بن موسی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یکثر الصیام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شهر رمضان إیمانا و احتسابا غفرت له ذنوبه ما تقدّم منها و ما تأخّر، و أنّ الصائم لا یجری علیه القلم حتّی یفطر ما لم یأت بشیء ینقض، و أنّ الحاجّ لا یجری علیه القلم حتّی یرجع ما لم یأت بشیء یبطل حجّه، و أنّ النائم لا یجری علیه القلم حتّی ینتبه ما لم یکن بات علی حرام، و أنّ الصبیّ لا یجری علیه القلم حتّی یبلغ، و أنّ المجاهد فی سبیل اللّه لا یجری علیه القلم حتّی یعود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المجنون لا یجری علیه القلم حتّی یفیق، و أنّ المریض لا یجری علیه القلم حتّی یصح</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عدم جری القلم لیس رفع الأحکام التکلیفیّة، حیث لا معنی له بالنسبة إلی الصائم و الحاج و المجاهد و المریض، بل بقرینة الصبیّ و المجنون و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حدیث الرفع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المقصود من رفع القلم و عدم جریه، عدم کتابة السیّئات علیهم فی صحیفة الأعمال، و هذا المعنی هو المراد فی حدیث رفع القلم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بقرینة النصوص و الروایات المستعمل فیها رفع القلم، أو جری القلم و ما فی معناهما، و هکذا الإطلاق فی الرفع، یکون المراد من رفع</w:t>
      </w:r>
      <w:bookmarkStart w:id="337" w:name="pg11756_103972"/>
    </w:p>
    <w:p>
      <w:pPr>
        <w:pStyle w:val="BookText"/>
        <w:rPr/>
      </w:pPr>
      <w:bookmarkEnd w:id="337"/>
      <w:r>
        <w:rPr>
          <w:rFonts w:ascii="IRNazanin" w:hAnsi="IRNazanin" w:eastAsia="IRNazanin"/>
          <w:color w:val="111111"/>
          <w:sz w:val="28"/>
          <w:sz w:val="28"/>
          <w:szCs w:val="28"/>
          <w:rtl w:val="true"/>
          <w:lang w:bidi="fa-IR"/>
        </w:rPr>
        <w:t xml:space="preserve">القلم فی حدیث الرفع معنی کنائیّا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کتابة السیّئات و ما یوجب ثقلا علی الصبیّ و المجنون و النائم؛ إرفاقا بهم و امتنانا علیهم، و هو یستلزم أن ترفع عنهم الأحکام التکلیفیّة الإلزامیّة، و هکذا الوضعیّ الذی یوجب الثقل علیهم، و أمّا الأحکام الوضعیّة التی لیس فی جعلها ثقل و مشقّة فهی خارجة عن مدلول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الفقهاء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المقصود من حدیث الرفع أنّ الصبیّ و المجنون کالبهائم لا تشریع و لا حکم لهما، فإنّ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لا قرینة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هو المرتکز عقلائیّا و متشرّعیّا من ثبوت جملة من التشریعات فی حقّ الصبیّ و المجنون خصوصا فی باب التشریعات و الأحکام الوضعیّة، کما أنّه لیس المقصود قلم التکلیف من الأمر و النهی أو مطلق ما فیه کلفة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القلم کنایة عن التسجیل و الکتابة و الإدانة للشخص، کما یظهر بمراجعة موارد استعمال هذا التعبیر الکنائی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یثبت بهذا الدلیل أکثر من رفع الإدانة و تسجیل العقوبة و السیّئة علی الصبیّ و المجنون، الذی نتیجته و لازمه انتفاء کلّ ما ینشأ منه ذلک</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9643665_73709187"/>
      <w:bookmarkStart w:id="339" w:name="_Toc127"/>
      <w:bookmarkEnd w:id="338"/>
      <w:r>
        <w:rPr>
          <w:rtl w:val="true"/>
        </w:rPr>
        <w:t>تطبیق المعانی الخمسة فی مسألة خمس أموال الصبیّ</w:t>
      </w:r>
      <w:bookmarkEnd w:id="3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خمسة أقوال فی معنی حدیث الرفع، و أمّا التطبیق علی ما نحن فیه فعلی القول الثانی و الثالث و الخامس لا یدلّ حدیث رفع القلم علی اعتبار البلوغ فی ثبوت الخمس؛ لأنّ المرفوع إمّا قلم المؤاخذة أو قلم الأحکام</w:t>
      </w:r>
    </w:p>
    <w:p>
      <w:pPr>
        <w:pStyle w:val="BookText"/>
        <w:rPr/>
      </w:pPr>
      <w:r>
        <w:rPr>
          <w:rFonts w:ascii="IRNazanin" w:hAnsi="IRNazanin" w:eastAsia="IRNazanin"/>
          <w:color w:val="111111"/>
          <w:sz w:val="28"/>
          <w:sz w:val="28"/>
          <w:szCs w:val="28"/>
          <w:rtl w:val="true"/>
          <w:lang w:bidi="fa-IR"/>
        </w:rPr>
        <w:t>الإلزامیّة فقط أو کتابة الأعمال السیّئة فی صحیفة الأعمال، و کلّها لا تنافی ثبوت الخمس فی مال الصبیّ؛ و هکذا علی القول الرابع، و هو رفع التکلیف و الوضع إذا کانا ثقیلین علی الصبیّ؛ لأنّه یستفاد من أدلّة الخمس أنّه حقّ مالی یتعلّق بنفس المال کما تقدّم، من دون ملاحظة أنّ مالکه أیّ شخص هو، فلو کان مالکه مکلّفا حرّا یتصدّی بنفسه لإخراج الخمس، و إلاّ فیتصدّی من له الولایة علیه، کما صرّح بذلک السیّد المحقّق الداماد</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رفع قلم التشریع عن الصبیّ، و عدم جعل الأحکام مطلقا، سواء کانت تکلیفیّة أو 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عدم ثبوت الخمس علی الصبیّ؛ لعدم وضع القلم علیه، و لکن الظاهر أنّه لا دلیل لإثبات هذا المعنی، بل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الاستدلال بحدیث رفع القلم علی عدم الخمس فی أموال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کثیر من الأحکام الوضعیّة للصبیّ کالضمان و النجاسة و الطهارة و المانعیّة و غیرها، فهل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إن خرج منه الحدث أو المبطل، لم یبطل وضوؤه أو صلاته؟</w:t>
      </w:r>
    </w:p>
    <w:p>
      <w:pPr>
        <w:pStyle w:val="BookText"/>
        <w:rPr/>
      </w:pPr>
      <w:r>
        <w:rPr>
          <w:rFonts w:ascii="IRNazanin" w:hAnsi="IRNazanin" w:eastAsia="IRNazanin"/>
          <w:color w:val="111111"/>
          <w:sz w:val="28"/>
          <w:sz w:val="28"/>
          <w:szCs w:val="28"/>
          <w:rtl w:val="true"/>
          <w:lang w:bidi="fa-IR"/>
        </w:rPr>
        <w:t>و ما الفرق</w:t>
      </w:r>
      <w:r>
        <w:rPr>
          <w:rStyle w:val="FootnoteAnchor"/>
          <w:rtl w:val="true"/>
        </w:rPr>
        <w:footnoteReference w:id="877"/>
      </w:r>
      <w:r>
        <w:rPr>
          <w:rFonts w:ascii="IRNazanin" w:hAnsi="IRNazanin" w:eastAsia="IRNazanin"/>
          <w:color w:val="111111"/>
          <w:sz w:val="28"/>
          <w:sz w:val="28"/>
          <w:szCs w:val="28"/>
          <w:rtl w:val="true"/>
          <w:lang w:bidi="fa-IR"/>
        </w:rPr>
        <w:t>بین الضمان الذی ثبت فی أموال الطفل و بین الخمس؟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فثبوت هذه الأحکام الوضعیّة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یکن من باب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العرف لا یفهم من حدیث رفع القلم إلاّ رفع الحکم التکلیفی، و لم یکن ناظرا إلی الحکم الوضعی، هذا أوّلا</w:t>
      </w:r>
      <w:r>
        <w:rPr>
          <w:rFonts w:eastAsia="IRNazanin" w:cs="IRNazanin"/>
          <w:color w:val="111111"/>
          <w:sz w:val="28"/>
          <w:szCs w:val="28"/>
          <w:rtl w:val="true"/>
          <w:lang w:bidi="fa-IR"/>
        </w:rPr>
        <w:t>.</w:t>
      </w:r>
      <w:bookmarkStart w:id="340" w:name="pg11756_103974"/>
    </w:p>
    <w:p>
      <w:pPr>
        <w:pStyle w:val="BookText"/>
        <w:rPr/>
      </w:pPr>
      <w:bookmarkEnd w:id="340"/>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الروایة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النائم حتّی یستقیظ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علی أنّه لم تکن ناظرة إلی الأحکام الوضعیّة، حیث إنّ النائم لم یرتفع عنه الأحکام الوضعیّة قطعا</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الظاهر عدم الخلاف فی ثبوت تملّک المستخرج الصبیّ أو المجنون، و إنّما الخلاف فی ثبوت الخمس و تعلّقه و عدمه، مع أنّ الملکیّة من الأحکام الموجودة فی دفتر التشریع لا محالة؛ ضرورة أنّ الشارع حکم له بذلک إمضاء أو تأسیسا، فالتفکیک بین التملّک و تعلّق الخمس لا یری له وجه، مع أنّ قاعدة رفع القلم ظاهرها کونها آبیة عن التخصیص، فثبوت الضمان فی قاعدة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وجهه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الموضوع هو خصوص التکالیف الإلزامیّة لا الوضعیّة و لا الأحکام غیر الإلزامیّة</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643667_73709187"/>
      <w:bookmarkStart w:id="342" w:name="_Toc128"/>
      <w:bookmarkEnd w:id="341"/>
      <w:r>
        <w:rPr>
          <w:rtl w:val="true"/>
        </w:rPr>
        <w:t>عدم اشتراط ثبوت الخمس بالبلوغ مطلقا</w:t>
      </w:r>
      <w:bookmarkEnd w:id="34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إطلاق کلام بعضهم و تصریح آخرین من أنّه لا یشترط فی ثبوت الخمس البلوغ و العقل مطلقا، أی سواء کان متعلّق الخمس الکنوز و المعادن و الغوص، أم غیرها ممّا یجب فیه الخمس من الأموال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واجد الکنز و المعدن و الغوص، صغیرا کان أو کبیرا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کأنّ فی تخصیص التعمیم بهذه الثلاثة</w:t>
      </w:r>
    </w:p>
    <w:p>
      <w:pPr>
        <w:pStyle w:val="BookText"/>
        <w:rPr/>
      </w:pPr>
      <w:r>
        <w:rPr>
          <w:rFonts w:ascii="IRNazanin" w:hAnsi="IRNazanin" w:eastAsia="IRNazanin"/>
          <w:color w:val="111111"/>
          <w:sz w:val="28"/>
          <w:sz w:val="28"/>
          <w:szCs w:val="28"/>
          <w:rtl w:val="true"/>
          <w:lang w:bidi="fa-IR"/>
        </w:rPr>
        <w:t>إشارة إلی عدمه فی البواقی کالأرباح، و هو محلّ تأمّل؛ إذ قد یقال بوجوب الخمس فی أرباح تجارات الصغیر و صناعاته مثلا؛ لعموم الدلیل</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تصریح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الکمال بالحرّیّة و البلوغ و العقل فی الزکاة، و إطلاقهم جمیعا ثبوت الخمس من غیر ذکر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و علی هذا فربّما کان ذلک إجماعا</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الشیخ الأعظم بعدم اشتراط البلوغ فی الثلاثة، أی الکنز و المعدن و الغوص، و کذا الغنیمة و المال المختلط بالحرام و أرباح المکاسب، و أمّا الأرض المشتراة من الذمّی ففیه إشکال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الجواهر</w:t>
      </w:r>
      <w:r>
        <w:rPr>
          <w:rStyle w:val="FootnoteAnchor"/>
          <w:rtl w:val="true"/>
        </w:rPr>
        <w:footnoteReference w:id="883"/>
      </w:r>
      <w:r>
        <w:rPr>
          <w:rFonts w:ascii="IRNazanin" w:hAnsi="IRNazanin" w:eastAsia="IRNazanin"/>
          <w:color w:val="111111"/>
          <w:sz w:val="28"/>
          <w:sz w:val="28"/>
          <w:szCs w:val="28"/>
          <w:rtl w:val="true"/>
          <w:lang w:bidi="fa-IR"/>
        </w:rPr>
        <w:t>و المستمسک</w:t>
      </w:r>
      <w:r>
        <w:rPr>
          <w:rStyle w:val="FootnoteAnchor"/>
          <w:rtl w:val="true"/>
        </w:rPr>
        <w:footnoteReference w:id="884"/>
      </w:r>
      <w:r>
        <w:rPr>
          <w:rFonts w:ascii="IRNazanin" w:hAnsi="IRNazanin" w:eastAsia="IRNazanin"/>
          <w:color w:val="111111"/>
          <w:sz w:val="28"/>
          <w:sz w:val="28"/>
          <w:szCs w:val="28"/>
          <w:rtl w:val="true"/>
          <w:lang w:bidi="fa-IR"/>
        </w:rPr>
        <w:t>و العروة،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تعلّقه بأرباح مکاسب الطفل إشکال</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ما فی المدارک من اعتبار التکلیف فی جمیع الأصناف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استوجهه من اعتبار التکلیف فی الجمیع، یعنی فیما عدا الثلاثة المذکورة،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و الأرباح و المال المختلط بالحرام و الأرض الذی اشتراها الذمّی من مسلم، فهو أیضا فی غایة الإشکال، خصوصا بالنسبة إلی المال المختلط بالحرام الذی شرّع الخمس فیه لتحلیله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عدم الفرق فی شیء من هذه الأنواع بین أصناف الناس</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343" w:name="pg11756_103976"/>
    </w:p>
    <w:p>
      <w:pPr>
        <w:pStyle w:val="BookText"/>
        <w:rPr/>
      </w:pPr>
      <w:bookmarkEnd w:id="343"/>
      <w:r>
        <w:rPr>
          <w:rFonts w:ascii="IRNazanin" w:hAnsi="IRNazanin" w:eastAsia="IRNazanin"/>
          <w:color w:val="111111"/>
          <w:sz w:val="28"/>
          <w:sz w:val="28"/>
          <w:szCs w:val="28"/>
          <w:rtl w:val="true"/>
          <w:lang w:bidi="fa-IR"/>
        </w:rPr>
        <w:t>و قال الشیخ مرتضی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الأظهر ثبوت الخمس حین الصغر</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تفصیل الشریعة</w:t>
      </w:r>
      <w:r>
        <w:rPr>
          <w:rStyle w:val="FootnoteAnchor"/>
          <w:rtl w:val="true"/>
        </w:rPr>
        <w:footnoteReference w:id="888"/>
      </w:r>
      <w:r>
        <w:rPr>
          <w:rFonts w:ascii="IRNazanin" w:hAnsi="IRNazanin" w:eastAsia="IRNazanin"/>
          <w:color w:val="111111"/>
          <w:sz w:val="28"/>
          <w:sz w:val="28"/>
          <w:szCs w:val="28"/>
          <w:rtl w:val="true"/>
          <w:lang w:bidi="fa-IR"/>
        </w:rPr>
        <w:t>و مهذّب الأحکام</w:t>
      </w:r>
      <w:r>
        <w:rPr>
          <w:rStyle w:val="FootnoteAnchor"/>
          <w:rtl w:val="true"/>
        </w:rPr>
        <w:footnoteReference w:id="889"/>
      </w:r>
      <w:r>
        <w:rPr>
          <w:rFonts w:ascii="IRNazanin" w:hAnsi="IRNazanin" w:eastAsia="IRNazanin"/>
          <w:color w:val="111111"/>
          <w:sz w:val="28"/>
          <w:sz w:val="28"/>
          <w:szCs w:val="28"/>
          <w:rtl w:val="true"/>
          <w:lang w:bidi="fa-IR"/>
        </w:rPr>
        <w:t>، و اختاره کثیر من الفقهاء المعاصرین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9643669_73709187"/>
      <w:bookmarkStart w:id="345" w:name="_Toc129"/>
      <w:bookmarkEnd w:id="344"/>
      <w:r>
        <w:rPr>
          <w:rtl w:val="true"/>
        </w:rPr>
        <w:t>أدلّة عدم اشتراط ثبوت الخمس بالبلوغ</w:t>
      </w:r>
      <w:bookmarkEnd w:id="345"/>
    </w:p>
    <w:p>
      <w:pPr>
        <w:pStyle w:val="Heading5"/>
        <w:numPr>
          <w:ilvl w:val="4"/>
          <w:numId w:val="1"/>
        </w:numPr>
        <w:rPr/>
      </w:pPr>
      <w:bookmarkStart w:id="346" w:name="__RefHeading___Toc9643671_73709187"/>
      <w:bookmarkStart w:id="347" w:name="_Toc130"/>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منها تعلّق الحکم بالمال المغتنم، و هو یشمل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یتّجه القول بتعلّق الخمس به فی مال الطفل،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غنائمه؛ لظهور جلّ ما دلّ علی الخمس فی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الآیة الشریفة التی هی الأصل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تعلّقه بالمال المغتنم من حیث هو، کما یفصح</w:t>
      </w:r>
      <w:r>
        <w:rPr>
          <w:rStyle w:val="FootnoteAnchor"/>
          <w:rtl w:val="true"/>
        </w:rPr>
        <w:footnoteReference w:id="892"/>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کیفیّة تقسیم الغنیمة، من أنّها تقسّم خمسة أخماس، فیؤخذ خمسه للإمام و قبیله، ثمّ یقسّم الباقی بین</w:t>
      </w:r>
    </w:p>
    <w:p>
      <w:pPr>
        <w:pStyle w:val="BookText"/>
        <w:rPr/>
      </w:pPr>
      <w:r>
        <w:rPr>
          <w:rFonts w:ascii="IRNazanin" w:hAnsi="IRNazanin" w:eastAsia="IRNazanin"/>
          <w:color w:val="111111"/>
          <w:sz w:val="28"/>
          <w:sz w:val="28"/>
          <w:szCs w:val="28"/>
          <w:rtl w:val="true"/>
          <w:lang w:bidi="fa-IR"/>
        </w:rPr>
        <w:t>من حضر القتال و لو کان طفلا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الکنز و الغوص و المعدن، و ذکرناها فی ذیل القول الأوّل،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بعنوان أنّ الخمس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Style w:val="FootnoteAnchor"/>
          <w:rtl w:val="true"/>
        </w:rPr>
        <w:footnoteReference w:id="894"/>
      </w:r>
      <w:r>
        <w:rPr>
          <w:rFonts w:ascii="IRNazanin" w:hAnsi="IRNazanin" w:eastAsia="IRNazanin"/>
          <w:color w:val="111111"/>
          <w:sz w:val="28"/>
          <w:sz w:val="28"/>
          <w:szCs w:val="28"/>
          <w:rtl w:val="true"/>
          <w:lang w:bidi="fa-IR"/>
        </w:rPr>
        <w:t>لأحد أن یشتری من الخمس شیئا حتّی یصل إلینا حقّنا</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عمران بن موسی عن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آیة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فهو لرسوله، و ما کان لرسوله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یسّر اللّه علی المؤمنین أرزاقهم بخمسة دراهم جعلوا لربّهم واحدا و أکلوا أربعة أحلاء</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الروایتین أنّ الخمس حقّ، و هو من الوضع، فیعمّ الصبیّ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ثبوت الخمس و إن کان التکلیف بالإخراج متوجّها إلی الولیّ، و ذلک لأنّ الخمس لیس مجرّد تکلیف وجوبیّ حتّی یکون موضوعا عن الصبیّ و المجنون، بل هو حقّ</w:t>
      </w:r>
      <w:r>
        <w:rPr>
          <w:rStyle w:val="FootnoteAnchor"/>
          <w:rtl w:val="true"/>
        </w:rPr>
        <w:footnoteReference w:id="897"/>
      </w:r>
      <w:r>
        <w:rPr>
          <w:rFonts w:ascii="IRNazanin" w:hAnsi="IRNazanin" w:eastAsia="IRNazanin"/>
          <w:color w:val="111111"/>
          <w:sz w:val="28"/>
          <w:sz w:val="28"/>
          <w:szCs w:val="28"/>
          <w:rtl w:val="true"/>
          <w:lang w:bidi="fa-IR"/>
        </w:rPr>
        <w:t>أو شبیهه، ثابت</w:t>
      </w:r>
    </w:p>
    <w:p>
      <w:pPr>
        <w:pStyle w:val="BookText"/>
        <w:rPr/>
      </w:pPr>
      <w:r>
        <w:rPr>
          <w:rFonts w:ascii="IRNazanin" w:hAnsi="IRNazanin" w:eastAsia="IRNazanin"/>
          <w:color w:val="111111"/>
          <w:sz w:val="28"/>
          <w:sz w:val="28"/>
          <w:szCs w:val="28"/>
          <w:rtl w:val="true"/>
          <w:lang w:bidi="fa-IR"/>
        </w:rPr>
        <w:t>بالإضافة إلیهما کالأحکام الوضعیّة الثابتة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تقرّر فی محلّه أنّ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غیر الإلزامیّة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بالبالغین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فیما یفضل من مئونة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الخمس؟ فقال</w:t>
      </w:r>
      <w:r>
        <w:rPr>
          <w:rStyle w:val="FootnoteAnchor"/>
          <w:rtl w:val="true"/>
        </w:rPr>
        <w:footnoteReference w:id="8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عن علیّ بن محمّد بن شجاع النیسابوری أنّه سأل أبا الحسن الثالث علیه السّلام عن رجل أصاب من ضیعته من الحنطة مائة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یجب لک من ذلک؟ و هل یجب لأصحابه من ذلک علیه شیء؟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منه الخمس ممّا یفضل من مئونته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التهذیب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امرئ غنم أو اکتسب الخمس ممّا أصاب لفاطمة علیها السّلام و لمن یلی أمرها من بعدها من ذرّیّتها الحجج علی الناس، فذلک لهم خاصّة، یضعونه حیث شاءوا، و حرّم علیهم الصدقة حتّی الخیاط لیخیط قمیصا بخمسة دوانیق فلنا منه دانق</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العموم و الإطلاق فیها یشمل الصبیّ</w:t>
      </w:r>
      <w:r>
        <w:rPr>
          <w:rFonts w:eastAsia="IRNazanin" w:cs="IRNazanin"/>
          <w:color w:val="111111"/>
          <w:sz w:val="28"/>
          <w:szCs w:val="28"/>
          <w:rtl w:val="true"/>
          <w:lang w:bidi="fa-IR"/>
        </w:rPr>
        <w:t>.</w:t>
      </w:r>
      <w:bookmarkStart w:id="348" w:name="pg11756_103979"/>
    </w:p>
    <w:p>
      <w:pPr>
        <w:pStyle w:val="BookText"/>
        <w:rPr/>
      </w:pPr>
      <w:bookmarkEnd w:id="348"/>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لم تکن ناظرة إلی الحکم التکلیفیّ و لزوم إخراج الخمس حتّی یقال بأنّه یشترط فیه البلوغ، بل ناظرة إلی الحکم الوضعیّ، و إطلاقها یشمل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أنّه لم یکن فیها إطلاق</w:t>
      </w:r>
      <w:r>
        <w:rPr>
          <w:rStyle w:val="FootnoteAnchor"/>
          <w:rtl w:val="true"/>
        </w:rPr>
        <w:footnoteReference w:id="903"/>
      </w:r>
      <w:r>
        <w:rPr>
          <w:rFonts w:ascii="IRNazanin" w:hAnsi="IRNazanin" w:eastAsia="IRNazanin"/>
          <w:color w:val="111111"/>
          <w:sz w:val="28"/>
          <w:sz w:val="28"/>
          <w:szCs w:val="28"/>
          <w:rtl w:val="true"/>
          <w:lang w:bidi="fa-IR"/>
        </w:rPr>
        <w:t>من حیث اللفظ فالإطلاق المقامی فیها غیر قابل للإنکار؛ بمعنی أنّه لو کان فی ثبوت الخمس شرطا فیجب أن یبیّن، و حیث لم یذکر فیها شرط یحکم بأنّ البلوغ لیس شرطا فی ثبوت الخمس</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9643673_73709187"/>
      <w:bookmarkStart w:id="350" w:name="_Toc131"/>
      <w:bookmarkEnd w:id="349"/>
      <w:r>
        <w:rPr>
          <w:rtl w:val="true"/>
        </w:rPr>
        <w:t>نصوص فی خمس مال المختلط بالحرام</w:t>
      </w:r>
      <w:bookmarkEnd w:id="350"/>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المال المختلط بالحرام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کسبت مالا أغمضت فی مطالبه حلالا و حراما، و قد أردت التوبة و لا أدری الحلال منه و الحرام، و قد اختلط علیّ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 بخمس مالک،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من الأشیاء بالخمس و سائر المال لک حلال</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الخمس من ذلک المال، فإنّ اللّه عزّ و جلّ قد رضی من ذلک المال بالخمس، و اجتنب ما کان صاحبه یعلم</w:t>
      </w:r>
      <w:r>
        <w:rPr>
          <w:rFonts w:eastAsia="IRNazanin" w:cs="IRNazanin"/>
          <w:color w:val="111111"/>
          <w:sz w:val="28"/>
          <w:szCs w:val="28"/>
          <w:rtl w:val="true"/>
          <w:lang w:bidi="fa-IR"/>
        </w:rPr>
        <w:t>»</w:t>
      </w:r>
      <w:r>
        <w:rPr>
          <w:rStyle w:val="FootnoteAnchor"/>
          <w:rtl w:val="true"/>
        </w:rPr>
        <w:footnoteReference w:id="906"/>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العموم فیها یشمل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الاستدلال لوجوب الخمس علی المکلّفین فی المال المختلط بالحرام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اختصاص ما ذکر من الخمس بالمکلّفین، بل یجب إخراج الخمس من مال الصبیّ و المجنون إذا اختلط بالحرام؛ لعموم روایة ابن مروان المتقدّمة، بل یجب هنا و إن قلنا فی غیره من الأخماس باختصاصه بالمکلّفین؛ لأنّ الموجود فیه من الحرام لا بدّ من التخلّص عنه و إیصاله أو بدله إلی مالکه أو ولیّه، فهذا الخمس لیس حقّا حادثا فی أصل المال کالزکاة لیمکن دعوی أنّه فرع التکلیف، بل هو حقّ ثابت فی جملة المال مختلط معه، و لذا لا یسقط بتلف المال من غیر تفریط، بل ینتقل إلی الذمّة إذا کان الخلط بسوء صنیعه کالمکتسب المغمض عن مطالب المال من حیث الحلّیّة و الحرمة</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الثبوت فی المال المختلط أظهر؛ لثبوته بالخطاب التکلیفی المختصّ بالکمّل، و کذلک الأرض التی اشتراها الذمّی</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بعض الأخبار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فیه الخمس</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ممّا اشتمل علی کلمة 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الاختصاص بالبالغ بدعوی أنّها ظاهرة فی التکلیف؛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الأعمّ من التکلیف و الوضع</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قد رضی من ذلک المال</w:t>
      </w:r>
    </w:p>
    <w:p>
      <w:pPr>
        <w:pStyle w:val="BookText"/>
        <w:rPr/>
      </w:pPr>
      <w:r>
        <w:rPr>
          <w:rFonts w:ascii="IRNazanin" w:hAnsi="IRNazanin" w:eastAsia="IRNazanin"/>
          <w:color w:val="111111"/>
          <w:sz w:val="28"/>
          <w:sz w:val="28"/>
          <w:szCs w:val="28"/>
          <w:rtl w:val="true"/>
          <w:lang w:bidi="fa-IR"/>
        </w:rPr>
        <w:t>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أنّ الشارع إمّا حدّد الحرام تعبّدا فی مقدار الخمس، أو جعل ذلک بدلا من مقدار الحرام فی الواقع، فالحکم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ملکیّة مال الغیر لصاحبه و کونه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غیر ساقط، فکیف یقال بعدم ثبوت الخمس و کون جمیع المال حلالا له، کما أشار إلیه بعض الأعلام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تشریع الخمس فی المال المختلط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یستظهر من النصوص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التصرّف فی بقیة المال، فلو کان المالک صغیرا لا یلزم علیه ذلک؛ لعدم تحقّق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التصرّف بعد التخمیس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یمکن أن یفرّق بینه و بین سائر الأقسام بعدم اشتراط التکلیف فی تلک الأقسام و اشتراطه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هذا الفرق اقتران المال المختلط بالحرام مع سائر الأقسام فی بعض النصوص کما فی روایة الخصال</w:t>
      </w:r>
      <w:r>
        <w:rPr>
          <w:rStyle w:val="FootnoteAnchor"/>
          <w:rtl w:val="true"/>
        </w:rPr>
        <w:footnoteReference w:id="912"/>
      </w:r>
      <w:r>
        <w:rPr>
          <w:rFonts w:ascii="IRNazanin" w:hAnsi="IRNazanin" w:eastAsia="IRNazanin"/>
          <w:color w:val="111111"/>
          <w:sz w:val="28"/>
          <w:sz w:val="28"/>
          <w:szCs w:val="28"/>
          <w:rtl w:val="true"/>
          <w:lang w:bidi="fa-IR"/>
        </w:rPr>
        <w:t>، فإنّ وحدة السیاق تأبی عن اختلاف الحکم، ففی الجمیع یتعلّق الخمس بنفس المال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الأرض التی اشتراها الذمّی من مسلم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ذمّی اشتری من مسلم أرضا فإنّ علیه الخمس</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المفید فی المقنعة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إذا اشتری من المسلم الأرض فعلیه فیها الخمس</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الذمّی الواقع فی لسان الدلیل ما هو الأعمّ من غیر المکلّف منهم أیضا، فعلی هذا یتعلّق الخمس بالصغیر منهم کالکبیر، فلم یکن بین هذا القسم و بین سائر الأقسام فرق، کما صرّح به بعض الأعلام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استشکل فیه الشیخ الأعظم</w:t>
      </w:r>
      <w:r>
        <w:rPr>
          <w:rStyle w:val="FootnoteAnchor"/>
          <w:rtl w:val="true"/>
        </w:rPr>
        <w:footnoteReference w:id="917"/>
      </w:r>
      <w:r>
        <w:rPr>
          <w:rFonts w:ascii="IRNazanin" w:hAnsi="IRNazanin" w:eastAsia="IRNazanin"/>
          <w:color w:val="111111"/>
          <w:sz w:val="28"/>
          <w:sz w:val="28"/>
          <w:szCs w:val="28"/>
          <w:rtl w:val="true"/>
          <w:lang w:bidi="fa-IR"/>
        </w:rPr>
        <w:t>، و کذا فی مصباح الفقیه،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ثبوته فی الأرض المشتراة لطفل الذمّی لا یخلو عن تردّد؛ لانحصار مستنده فی الروایة المشتملة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التکلیف، مع أنّ إطلاق الذمّی علیه مبنی علی 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لکنّه مع ذلک لعلّه أظهر؛ إذ الغالب فی مثل هذه الموارد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مجرّد الثبوت و الاستقرار،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المنساق</w:t>
      </w:r>
      <w:r>
        <w:rPr>
          <w:rStyle w:val="FootnoteAnchor"/>
          <w:rtl w:val="true"/>
        </w:rPr>
        <w:footnoteReference w:id="918"/>
      </w:r>
      <w:r>
        <w:rPr>
          <w:rFonts w:ascii="IRNazanin" w:hAnsi="IRNazanin" w:eastAsia="IRNazanin"/>
          <w:color w:val="111111"/>
          <w:sz w:val="28"/>
          <w:sz w:val="28"/>
          <w:szCs w:val="28"/>
          <w:rtl w:val="true"/>
          <w:lang w:bidi="fa-IR"/>
        </w:rPr>
        <w:t>إلی الذهن من إطلاق الذمّی فی مثل المقام إرادة ما یعمّ أطفالهم، و اللّه العالم</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الأعلام عن الإشکال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 المتعلّق بإعطاء</w:t>
      </w:r>
    </w:p>
    <w:p>
      <w:pPr>
        <w:pStyle w:val="BookText"/>
        <w:rPr/>
      </w:pPr>
      <w:r>
        <w:rPr>
          <w:rFonts w:ascii="IRNazanin" w:hAnsi="IRNazanin" w:eastAsia="IRNazanin"/>
          <w:color w:val="111111"/>
          <w:sz w:val="28"/>
          <w:sz w:val="28"/>
          <w:szCs w:val="28"/>
          <w:rtl w:val="true"/>
          <w:lang w:bidi="fa-IR"/>
        </w:rPr>
        <w:t>المال إنّما لا یدلّ علی الوضع إذا کان بنحو الإطلاق کما فی إیجاب الکفّارة، أمّا إذا تعلّق بمال مخصوص فیفید الوضع، کما إذا وجب بالنذر التصدّق بمال مخصوص، فلا یجوز بیعه</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و المقام من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ظهور موردیّة المکلّف فیه لا شرطیّته کی یحصل التنافی، فلاحظ و تأمّل جیّدا، بل قد یؤیّده إطلاق الفتاوی و معاقد الإجماعات</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لم یرتفع الإشکال فیه خاصّة، فلا یترک الاحتیاط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الأقوی</w:t>
      </w:r>
      <w:r>
        <w:rPr>
          <w:rStyle w:val="FootnoteAnchor"/>
          <w:rtl w:val="true"/>
        </w:rPr>
        <w:footnoteReference w:id="922"/>
      </w:r>
      <w:r>
        <w:rPr>
          <w:rFonts w:ascii="IRNazanin" w:hAnsi="IRNazanin" w:eastAsia="IRNazanin"/>
          <w:color w:val="111111"/>
          <w:sz w:val="28"/>
          <w:sz w:val="28"/>
          <w:szCs w:val="28"/>
          <w:rtl w:val="true"/>
          <w:lang w:bidi="fa-IR"/>
        </w:rPr>
        <w:t xml:space="preserve">هو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اشتراط ثبوت الخمس بالبلوغ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بمال الطفل بجمیع أصنافه، و یجب علی الولیّ إخراجه من باب وجوب أداء الحقّ علی من بیده الحقّ، کما فی سائر دیون الصغیر أو أمانته التی تکون عنده، و الأولی أن یحتاط فی المسألة، و لعلّ الاحتیاط أن یصالح الولیّ بشیء من ماله للمولّی علیه بشرط أن یؤدّی الخمس من جانبه و یجعل اختیار فسخها لنفسه بعد البلوغ، کما أفتی به بعض أعلام المحقّقین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bookmarkStart w:id="351" w:name="pg11756_103984"/>
    </w:p>
    <w:p>
      <w:pPr>
        <w:pStyle w:val="Heading4"/>
        <w:numPr>
          <w:ilvl w:val="3"/>
          <w:numId w:val="1"/>
        </w:numPr>
        <w:rPr/>
      </w:pPr>
      <w:bookmarkStart w:id="352" w:name="__RefHeading___Toc9643675_73709187"/>
      <w:bookmarkStart w:id="353" w:name="_Toc132"/>
      <w:bookmarkEnd w:id="351"/>
      <w:bookmarkEnd w:id="352"/>
      <w:r>
        <w:rPr>
          <w:rtl w:val="true"/>
        </w:rPr>
        <w:t>ثبوت الخمس بعد التکلیف</w:t>
      </w:r>
      <w:bookmarkEnd w:id="353"/>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وجّهه بعض أعلام المحقّقین، و هو ثبوت الخمس علی الصبیّ بعد التکلیف بالنسبة إلی ما قبله،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وجهه</w:t>
      </w:r>
      <w:r>
        <w:rPr>
          <w:rStyle w:val="FootnoteAnchor"/>
          <w:rtl w:val="true"/>
        </w:rPr>
        <w:footnoteReference w:id="924"/>
      </w:r>
      <w:r>
        <w:rPr>
          <w:rFonts w:ascii="IRNazanin" w:hAnsi="IRNazanin" w:eastAsia="IRNazanin"/>
          <w:color w:val="111111"/>
          <w:sz w:val="28"/>
          <w:sz w:val="28"/>
          <w:szCs w:val="28"/>
          <w:rtl w:val="true"/>
          <w:lang w:bidi="fa-IR"/>
        </w:rPr>
        <w:t>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رفع القلم لقلم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للخمس هو حدوث الغنیمة، فمن حدث الغنیمة بالنسبة إلیه یجب علیه الخمس، و بعد التکلیف یکون الصغیر البالغ موضوعا لذلک، فلا مانع من تعلّق التکلیف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رتّب قدّس سرّه علی هذا الوجه امورا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الخمس فی ماله حال الصغر، فلا یجب علی الولیّ، بل لا یجوز له الأداء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المئونة بالنسبة إلی مجموع سنوات صغره التی حصلت له فیها الغنیمة، فلو جمع أرباح جمیع سنوات صغره و اشتری له دار آخر أعوام صغره لم یکن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الخمس لو مات الصغیر، لا علیه کما تقدّم، و لا علی الوارث؛ لعدم الخمس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معاملاته فی حال الصغر و لو بعد مضیّ سنة الربح</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دلیل لهذا القول، بل ینافیه ما تقدّم لإثبات القول</w:t>
      </w:r>
    </w:p>
    <w:p>
      <w:pPr>
        <w:pStyle w:val="BookText"/>
        <w:rPr/>
      </w:pPr>
      <w:r>
        <w:rPr>
          <w:rFonts w:ascii="IRNazanin" w:hAnsi="IRNazanin" w:eastAsia="IRNazanin"/>
          <w:color w:val="111111"/>
          <w:sz w:val="28"/>
          <w:sz w:val="28"/>
          <w:szCs w:val="28"/>
          <w:rtl w:val="true"/>
          <w:lang w:bidi="fa-IR"/>
        </w:rPr>
        <w:t>الثالث حیث بیّنا أنّ الخمس فی جمیع أصنافه حقّ یتعلّق بمال الطفل، و حدیث رفع القلم لا یشمل الأحکام الوضعیّة التی لیست فیها ثقل و مشقّة، و لعلّه لذلک قال قدّس سرّه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الأصحّ ما تقدّم من ثبوت الخمس و لزوم ذلک علی الولیّ</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علی عدم الثبوت فهل یثبت فی أمواله الحاصلة حال الصغر الباقیة إلی حال البلوغ؟</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للاستصحاب، و الأحوط له أنّه یخمّس أمواله الباقیة</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bookmarkStart w:id="354" w:name="pg11756_103986"/>
    </w:p>
    <w:p>
      <w:pPr>
        <w:pStyle w:val="Heading3"/>
        <w:numPr>
          <w:ilvl w:val="2"/>
          <w:numId w:val="1"/>
        </w:numPr>
        <w:rPr/>
      </w:pPr>
      <w:bookmarkStart w:id="355" w:name="__RefHeading___Toc9643677_73709187"/>
      <w:bookmarkStart w:id="356" w:name="_Toc133"/>
      <w:bookmarkEnd w:id="354"/>
      <w:bookmarkEnd w:id="355"/>
      <w:r>
        <w:rPr>
          <w:rtl w:val="true"/>
        </w:rPr>
        <w:t>المبحث الثانی</w:t>
      </w:r>
      <w:r>
        <w:rPr>
          <w:rtl w:val="true"/>
        </w:rPr>
        <w:t xml:space="preserve">: </w:t>
      </w:r>
      <w:r>
        <w:rPr>
          <w:rtl w:val="true"/>
        </w:rPr>
        <w:t>الخمس فی أموال الصبیّ عند أهل السنّة</w:t>
      </w:r>
      <w:bookmarkEnd w:id="356"/>
    </w:p>
    <w:p>
      <w:pPr>
        <w:pStyle w:val="Heading4"/>
        <w:numPr>
          <w:ilvl w:val="3"/>
          <w:numId w:val="1"/>
        </w:numPr>
        <w:rPr/>
      </w:pPr>
      <w:bookmarkStart w:id="357" w:name="__RefHeading___Toc9643679_73709187"/>
      <w:bookmarkStart w:id="358" w:name="_Toc134"/>
      <w:bookmarkEnd w:id="357"/>
      <w:r>
        <w:rPr>
          <w:rtl w:val="true"/>
        </w:rPr>
        <w:t>تمهید</w:t>
      </w:r>
      <w:bookmarkEnd w:id="358"/>
    </w:p>
    <w:p>
      <w:pPr>
        <w:pStyle w:val="BookText"/>
        <w:rPr/>
      </w:pPr>
      <w:r>
        <w:rPr>
          <w:rFonts w:ascii="IRNazanin" w:hAnsi="IRNazanin" w:eastAsia="IRNazanin"/>
          <w:color w:val="111111"/>
          <w:sz w:val="28"/>
          <w:sz w:val="28"/>
          <w:szCs w:val="28"/>
          <w:rtl w:val="true"/>
          <w:lang w:bidi="fa-IR"/>
        </w:rPr>
        <w:t>اعلم أنّه اختلف أهل السنّة و الشیعة فیما یجب فیه الخمس، فالشیعة یعتقدون بوجوب الخمس فی سبعة أصناف</w:t>
      </w:r>
      <w:r>
        <w:rPr>
          <w:rStyle w:val="FootnoteAnchor"/>
          <w:rtl w:val="true"/>
        </w:rPr>
        <w:footnoteReference w:id="928"/>
      </w:r>
      <w:r>
        <w:rPr>
          <w:rFonts w:ascii="IRNazanin" w:hAnsi="IRNazanin" w:eastAsia="IRNazanin"/>
          <w:color w:val="111111"/>
          <w:sz w:val="28"/>
          <w:sz w:val="28"/>
          <w:szCs w:val="28"/>
          <w:rtl w:val="true"/>
          <w:lang w:bidi="fa-IR"/>
        </w:rPr>
        <w:t>، و الجمهور من أهل السنّة لا یعتقدون بذلک، بل قالوا فی بعضها،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الربح، و استعملت شرعا من الکفّار خاصّة، و سمّیت بذلک لأنّها فضل و فائدة محضة، کما فی المجموع</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للمال المأخوذ عنوة و قهرا بإیجاف الخیل و الرکاب</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غیرهما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المال المذخور تحت الأرض علی اختلاف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 الرکاز الخمس بلا خلاف فیه عندنا، قال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جمیع العلماء، و لا نعلم أحدا خالف فیه إلاّ الحسن البصری</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الرکاز الذی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ما کان مالا علی اختلاف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قلیله و کثیره فی قول إمامنا و مالک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فی القدیم، و قال فی الجدید یعتبر النصاب فیه</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و قریب من هذا فی غیرهما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ما خرج من الأرض ممّا یخلق فیها من غیرها ممّا له قیمة، و اختلفوا فی أنّ المستخرج من المعدن هل یتعلّق به الخمس أم لا؟</w:t>
      </w:r>
    </w:p>
    <w:p>
      <w:pPr>
        <w:pStyle w:val="BookText"/>
        <w:rPr/>
      </w:pPr>
      <w:r>
        <w:rPr>
          <w:rFonts w:ascii="IRNazanin" w:hAnsi="IRNazanin" w:eastAsia="IRNazanin"/>
          <w:color w:val="111111"/>
          <w:sz w:val="28"/>
          <w:sz w:val="28"/>
          <w:szCs w:val="28"/>
          <w:rtl w:val="true"/>
          <w:lang w:bidi="fa-IR"/>
        </w:rPr>
        <w:t>و الظاهر أنّ سبب اختلافهم هو الاختلاف فی معنی الرکاز، فإنّ 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 یطلق علی الأموال الکامنة فی الأرض، سواء کانت مخلوقة فیها و هی المعدن، أو مدفونة فیها و هی الکنز، و لذا قالوا بوجوب الخمس فی المعدن؛ لصدق عنوان الرکاز علیه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 یعمّ المعدن و الکنز؛ لأنّه من الرکز، و یراد به المرکوز، سواء کان راکزه الخالق أو المخلوق، فکان حقیقة فیهما مشترکا معنویّا</w:t>
      </w:r>
      <w:r>
        <w:rPr>
          <w:rStyle w:val="FootnoteAnchor"/>
          <w:rtl w:val="true"/>
        </w:rPr>
        <w:footnoteReference w:id="936"/>
      </w:r>
      <w:r>
        <w:rPr>
          <w:rFonts w:ascii="IRNazanin" w:hAnsi="IRNazanin" w:eastAsia="IRNazanin"/>
          <w:color w:val="111111"/>
          <w:sz w:val="28"/>
          <w:sz w:val="28"/>
          <w:szCs w:val="28"/>
          <w:rtl w:val="true"/>
          <w:lang w:bidi="fa-IR"/>
        </w:rPr>
        <w:t>، و به قال ابن عابدین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359" w:name="pg11756_103988"/>
    </w:p>
    <w:p>
      <w:pPr>
        <w:pStyle w:val="BookText"/>
        <w:rPr/>
      </w:pPr>
      <w:bookmarkEnd w:id="359"/>
      <w:r>
        <w:rPr>
          <w:rFonts w:ascii="IRNazanin" w:hAnsi="IRNazanin" w:eastAsia="IRNazanin"/>
          <w:color w:val="111111"/>
          <w:sz w:val="28"/>
          <w:sz w:val="28"/>
          <w:szCs w:val="28"/>
          <w:rtl w:val="true"/>
          <w:lang w:bidi="fa-IR"/>
        </w:rPr>
        <w:t>و أمّا المالکیّة و الحنابلة و الشافعیّة فقالوا بعدم الخمس فی المعادن، و قال بعضهم بوجوب الزکاة فیها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ما یستخرج من البحر کاللؤلؤ و المرجان و العنبر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فی أحد قولیه بوجوب الخمس فیه</w:t>
      </w:r>
      <w:r>
        <w:rPr>
          <w:rStyle w:val="FootnoteAnchor"/>
          <w:rtl w:val="true"/>
        </w:rPr>
        <w:footnoteReference w:id="939"/>
      </w:r>
      <w:r>
        <w:rPr>
          <w:rFonts w:ascii="IRNazanin" w:hAnsi="IRNazanin" w:eastAsia="IRNazanin"/>
          <w:color w:val="111111"/>
          <w:sz w:val="28"/>
          <w:sz w:val="28"/>
          <w:szCs w:val="28"/>
          <w:rtl w:val="true"/>
          <w:lang w:bidi="fa-IR"/>
        </w:rPr>
        <w:t>، و هو قول أبو یوسف و الحسن البصری و عمر بن عبد العزیز و عبد اللّه بن الحسن العنبری و إسحاق بن راهویه</w:t>
      </w:r>
      <w:r>
        <w:rPr>
          <w:rStyle w:val="FootnoteAnchor"/>
          <w:rtl w:val="true"/>
        </w:rPr>
        <w:footnoteReference w:id="940"/>
      </w:r>
      <w:r>
        <w:rPr>
          <w:rFonts w:ascii="IRNazanin" w:hAnsi="IRNazanin" w:eastAsia="IRNazanin"/>
          <w:color w:val="111111"/>
          <w:sz w:val="28"/>
          <w:sz w:val="28"/>
          <w:szCs w:val="28"/>
          <w:rtl w:val="true"/>
          <w:lang w:bidi="fa-IR"/>
        </w:rPr>
        <w:t>، و أمّا الشافعیّة و الحنفیّة و المالکیّة و أحمد فی قوله الآخر فقالوا بعدم وجوب الخمس فیه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الأصناف الثلاثة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أرباح التجارات و الزراعات، و المال الحلال المختلط بالحرام، و الأرض التی اشتراها الذمّی من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یعتقدون بوجوب الخمس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نذکر آراءهم فی خمس الأصناف الأربعة بالنسبة إلی الصبیّ</w:t>
      </w:r>
      <w:r>
        <w:rPr>
          <w:rFonts w:eastAsia="IRNazanin" w:cs="IRNazanin"/>
          <w:color w:val="111111"/>
          <w:sz w:val="28"/>
          <w:szCs w:val="28"/>
          <w:rtl w:val="true"/>
          <w:lang w:bidi="fa-IR"/>
        </w:rPr>
        <w:t>:</w:t>
      </w:r>
    </w:p>
    <w:p>
      <w:pPr>
        <w:pStyle w:val="Heading4"/>
        <w:numPr>
          <w:ilvl w:val="3"/>
          <w:numId w:val="1"/>
        </w:numPr>
        <w:rPr/>
      </w:pPr>
      <w:bookmarkStart w:id="360" w:name="__RefHeading___Toc9643681_73709187"/>
      <w:bookmarkStart w:id="361" w:name="_Toc135"/>
      <w:bookmarkEnd w:id="360"/>
      <w:r>
        <w:rPr>
          <w:rtl w:val="true"/>
        </w:rPr>
        <w:t>آراء فی خمس الاصناف الاربعة بالنسبة إلی الصبیّ</w:t>
      </w:r>
      <w:r>
        <w:rPr>
          <w:rtl w:val="true"/>
        </w:rPr>
        <w:t>:</w:t>
      </w:r>
      <w:bookmarkEnd w:id="361"/>
    </w:p>
    <w:p>
      <w:pPr>
        <w:pStyle w:val="Heading5"/>
        <w:numPr>
          <w:ilvl w:val="4"/>
          <w:numId w:val="1"/>
        </w:numPr>
        <w:rPr/>
      </w:pPr>
      <w:bookmarkStart w:id="362" w:name="__RefHeading___Toc9643683_73709187"/>
      <w:bookmarkStart w:id="363" w:name="_Toc136"/>
      <w:bookmarkEnd w:id="362"/>
      <w:r>
        <w:rPr>
          <w:rtl w:val="true"/>
        </w:rPr>
        <w:t>الأوّل</w:t>
      </w:r>
      <w:r>
        <w:rPr>
          <w:rtl w:val="true"/>
        </w:rPr>
        <w:t xml:space="preserve">: </w:t>
      </w:r>
      <w:r>
        <w:rPr>
          <w:rtl w:val="true"/>
        </w:rPr>
        <w:t>خمس الغنیمة للصبیّ</w:t>
      </w:r>
      <w:bookmarkEnd w:id="3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اختلفوا فی ثبوت السهم للصبیّ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المطیق للقتال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الإسهام، و نفیه، و التفصیل بین أن یقاتل فیسهم له،</w:t>
      </w:r>
    </w:p>
    <w:p>
      <w:pPr>
        <w:pStyle w:val="BookText"/>
        <w:rPr/>
      </w:pPr>
      <w:r>
        <w:rPr>
          <w:rFonts w:ascii="IRNazanin" w:hAnsi="IRNazanin" w:eastAsia="IRNazanin"/>
          <w:color w:val="111111"/>
          <w:sz w:val="28"/>
          <w:sz w:val="28"/>
          <w:szCs w:val="28"/>
          <w:rtl w:val="true"/>
          <w:lang w:bidi="fa-IR"/>
        </w:rPr>
        <w:t>أو لا یقاتل فلا یسهم له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حلیة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یرضخ</w:t>
      </w:r>
      <w:r>
        <w:rPr>
          <w:rStyle w:val="FootnoteAnchor"/>
          <w:rtl w:val="true"/>
        </w:rPr>
        <w:footnoteReference w:id="943"/>
      </w:r>
      <w:r>
        <w:rPr>
          <w:rFonts w:ascii="IRNazanin" w:hAnsi="IRNazanin" w:eastAsia="IRNazanin"/>
          <w:color w:val="111111"/>
          <w:sz w:val="28"/>
          <w:sz w:val="28"/>
          <w:szCs w:val="28"/>
          <w:rtl w:val="true"/>
          <w:lang w:bidi="fa-IR"/>
        </w:rPr>
        <w:t>للصبیّ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یسهم لهم، و حکی عن الأوزاعی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یسهم للنساء و الصبیان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بأنّ النبیّ صلّی اللّه علیه و آله أسهم للصبیان بخیبر، و أسهم أئمّة المسلمین لکلّ مولود ولد فی دار الحرب</w:t>
      </w:r>
      <w:r>
        <w:rPr>
          <w:rStyle w:val="FootnoteAnchor"/>
          <w:rtl w:val="true"/>
        </w:rPr>
        <w:footnoteReference w:id="944"/>
      </w:r>
      <w:r>
        <w:rPr>
          <w:rFonts w:ascii="IRNazanin" w:hAnsi="IRNazanin" w:eastAsia="IRNazanin"/>
          <w:color w:val="111111"/>
          <w:sz w:val="28"/>
          <w:sz w:val="28"/>
          <w:szCs w:val="28"/>
          <w:rtl w:val="true"/>
          <w:lang w:bidi="fa-IR"/>
        </w:rPr>
        <w:t>،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للصبیّ المراهق إذا أطاق القتال</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أوجز المسالک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سهم فی الغنیمة للصبیّ</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و الحنفیّة و الحنابلة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یسهم من الغنائم للصبیّ و العبد و المرأة، لکن یرضخ لهم علی حسب ما یری الإمام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المرأة و الصبیّ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لهم سهم کامل؛ لأنّهم لیسوا من أهل القتال</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یرضخ و لا یسهم له، و به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حنیفة و الشافعی</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شرح الإقناع</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364" w:name="pg11756_103990"/>
    </w:p>
    <w:p>
      <w:pPr>
        <w:pStyle w:val="BookText"/>
        <w:rPr/>
      </w:pPr>
      <w:bookmarkEnd w:id="364"/>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أکثر أهل العلم أنّ العبید و الصبیان و النسوان إذا حضروا القتال یرضخ لهم و لا یسهم لهم</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بأنّ الصبیّ یسهم له، فحیث إنّ الغنیمة تقسّم إلی خمسة أسهم فبالطبع یؤخذ منها الخمس قبل أن تقع فی ید الصبیّ، و أمّا علی القول بأنّه لا یسهم فالصبیّ خارج عن موضوع المسألة</w:t>
      </w:r>
      <w:r>
        <w:rPr>
          <w:rFonts w:eastAsia="IRNazanin" w:cs="IRNazanin"/>
          <w:color w:val="111111"/>
          <w:sz w:val="28"/>
          <w:szCs w:val="28"/>
          <w:rtl w:val="true"/>
          <w:lang w:bidi="fa-IR"/>
        </w:rPr>
        <w:t>.</w:t>
      </w:r>
    </w:p>
    <w:p>
      <w:pPr>
        <w:pStyle w:val="Heading5"/>
        <w:numPr>
          <w:ilvl w:val="4"/>
          <w:numId w:val="1"/>
        </w:numPr>
        <w:rPr/>
      </w:pPr>
      <w:bookmarkStart w:id="365" w:name="__RefHeading___Toc9643685_73709187"/>
      <w:bookmarkStart w:id="366" w:name="_Toc137"/>
      <w:bookmarkEnd w:id="365"/>
      <w:r>
        <w:rPr>
          <w:rtl w:val="true"/>
        </w:rPr>
        <w:t>الثانی</w:t>
      </w:r>
      <w:r>
        <w:rPr>
          <w:rtl w:val="true"/>
        </w:rPr>
        <w:t xml:space="preserve">: </w:t>
      </w:r>
      <w:r>
        <w:rPr>
          <w:rtl w:val="true"/>
        </w:rPr>
        <w:t>خمس المعادن و الرکاز و الغوص للصبیّ</w:t>
      </w:r>
      <w:bookmarkEnd w:id="366"/>
    </w:p>
    <w:p>
      <w:pPr>
        <w:pStyle w:val="BookText"/>
        <w:rPr/>
      </w:pPr>
      <w:r>
        <w:rPr>
          <w:rFonts w:ascii="IRNazanin" w:hAnsi="IRNazanin" w:eastAsia="IRNazanin"/>
          <w:color w:val="111111"/>
          <w:sz w:val="28"/>
          <w:sz w:val="28"/>
          <w:szCs w:val="28"/>
          <w:rtl w:val="true"/>
          <w:lang w:bidi="fa-IR"/>
        </w:rPr>
        <w:t>ذهب جمهور الفقهاء من الحنابلة و المالکیة و الحنفیّة إلی أنّ الذی یجب علیه الخمس هو کلّ من وجد 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الخمس فی الرکاز هو کلّ من وجده من مسلم و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کبیر و صغیر، و عاقل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صبیّا أو مجنونا فهو لهما، و یخرج عنهما ولیّهما، و هذا قول 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مالک و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العراق و أصحاب الرأی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بقول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الرکاز الخمس</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فإنّه یدلّ بعمومه علی وجوب الخمس فی کلّ رکاز یوجد، و بمفهومه علی أنّ باقیه لواجده کائنا من کان؛ و لأنّه مال کافر مظهور علیه، فکان فیه الخمس علی من وجده و باقیه لواجده کالغنیمة، و لأنّه اکتساب مال فکان لمکتسبه</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أربعة أخماس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للواجد؛ لأنّه أخذه بقوّة نفسه،</w:t>
      </w:r>
    </w:p>
    <w:p>
      <w:pPr>
        <w:pStyle w:val="BookText"/>
        <w:rPr/>
      </w:pPr>
      <w:r>
        <w:rPr>
          <w:rFonts w:ascii="IRNazanin" w:hAnsi="IRNazanin" w:eastAsia="IRNazanin"/>
          <w:color w:val="111111"/>
          <w:sz w:val="28"/>
          <w:sz w:val="28"/>
          <w:szCs w:val="28"/>
          <w:rtl w:val="true"/>
          <w:lang w:bidi="fa-IR"/>
        </w:rPr>
        <w:t>و سواء کان الواجد حرّا أو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أو صغیرا؛ لأنّ ما روینا من الحدیث لا یفصّل بین واجد و واجد، و لأنّ هذا المال بمنزلة الغنیمة، أ لا تری أنّه وجب فیه الخمس، و العبد و الصبیّ و الذمّی من أهل الغنیمة</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فقالوا لا یجب الخمس إلاّ علی من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إلاّ علی من علیه الزکاة، سواء کان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صبیّا</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المغنی و الشرح الکبیر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وجده من رجل أو امرأة، بالغ أو غیر بالغ، عاقل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یملک الرکاز إلاّ رجل عاقل، فأمّا امرأة أو صبیّ أو مجنون فلا یملکون، قال المارودی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لأنّ الرکاز کسب لواجده کاکتسابه بالاصطیاد و غیره، فوجب أن یستوی فی تملّکه الرجل و المرأة، و الصبیّ و المجنون، کما یستوون فی الاصطیاد و الاحتشاش، و إذا ملکوه فعلیهم خمسه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الکنز، و أمّا المعدن فلم یصرّحوا بثبوت خمس المعدن علی الصبیّ، و لکن یستفاد ذلک من إطلاق کلماتهم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وجد المعدن فی دار الإسلام فی أرض غیر مملوکة ممّا یذوب بالإذابة، و ینطبع بالحلّیّة یجب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w:t>
      </w:r>
    </w:p>
    <w:p>
      <w:pPr>
        <w:pStyle w:val="BookText"/>
        <w:rPr/>
      </w:pPr>
      <w:r>
        <w:rPr>
          <w:rFonts w:ascii="IRNazanin" w:hAnsi="IRNazanin" w:eastAsia="IRNazanin"/>
          <w:color w:val="111111"/>
          <w:sz w:val="28"/>
          <w:sz w:val="28"/>
          <w:szCs w:val="28"/>
          <w:rtl w:val="true"/>
          <w:lang w:bidi="fa-IR"/>
        </w:rPr>
        <w:t>أخماسه للواجد کائنا من کان إلاّ الحربی المستأمن، فإنّه یستردّ منه الکلّ</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کائنا من کان مطلق یشمل البالغ و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حرّ مسلم نال من المعادن نصابا من النقدین ففیه ربع العشر، إلاّ أن توجد فیه ندرة، و هی التی لا یتکلّف فیها عمل ففیها الخمس</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لم یصرّح فی کلمات من قال بوجوب الخمس فی الغوص بثبوته علی الصبیّ، و لکن کلماتهم مطلقة تشمل البالغ و غیر البالغ</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الحاوی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العنبر و حلیة البحر الخمس، و به قال من التابعین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الفقهاء عبد اللّه بن الحسن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Style w:val="FootnoteAnchor"/>
          <w:rtl w:val="true"/>
        </w:rPr>
        <w:footnoteReference w:id="961"/>
      </w:r>
      <w:r>
        <w:rPr>
          <w:rFonts w:ascii="IRNazanin" w:hAnsi="IRNazanin" w:eastAsia="IRNazanin"/>
          <w:color w:val="111111"/>
          <w:sz w:val="28"/>
          <w:sz w:val="28"/>
          <w:szCs w:val="28"/>
          <w:rtl w:val="true"/>
          <w:lang w:bidi="fa-IR"/>
        </w:rPr>
        <w:t>، و لأنّه نماء یتکامل عاجلا، فاقتضی أن یجب فیه الخمس کالرکاز</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bookmarkStart w:id="367" w:name="pg11756_103994"/>
    </w:p>
    <w:p>
      <w:pPr>
        <w:pStyle w:val="Heading2"/>
        <w:numPr>
          <w:ilvl w:val="1"/>
          <w:numId w:val="1"/>
        </w:numPr>
        <w:rPr/>
      </w:pPr>
      <w:bookmarkStart w:id="368" w:name="__RefHeading___Toc9643687_73709187"/>
      <w:bookmarkStart w:id="369" w:name="_Toc138"/>
      <w:bookmarkEnd w:id="367"/>
      <w:bookmarkEnd w:id="368"/>
      <w:r>
        <w:rPr>
          <w:rtl w:val="true"/>
        </w:rPr>
        <w:t>الفصل الخامس</w:t>
      </w:r>
      <w:r>
        <w:rPr>
          <w:rtl w:val="true"/>
        </w:rPr>
        <w:t xml:space="preserve">: </w:t>
      </w:r>
      <w:r>
        <w:rPr>
          <w:rtl w:val="true"/>
        </w:rPr>
        <w:t>حجّ الصبیّ و فیه مباحث</w:t>
      </w:r>
      <w:bookmarkEnd w:id="36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9643689_73709187"/>
      <w:bookmarkStart w:id="371" w:name="_Toc139"/>
      <w:bookmarkEnd w:id="370"/>
      <w:r>
        <w:rPr>
          <w:rtl w:val="true"/>
        </w:rPr>
        <w:t>اشارة</w:t>
      </w:r>
      <w:bookmarkStart w:id="372" w:name="pg11756_103996"/>
      <w:bookmarkEnd w:id="371"/>
    </w:p>
    <w:p>
      <w:pPr>
        <w:pStyle w:val="Heading3"/>
        <w:numPr>
          <w:ilvl w:val="2"/>
          <w:numId w:val="1"/>
        </w:numPr>
        <w:rPr/>
      </w:pPr>
      <w:bookmarkStart w:id="373" w:name="__RefHeading___Toc9643691_73709187"/>
      <w:bookmarkStart w:id="374" w:name="_Toc140"/>
      <w:bookmarkEnd w:id="372"/>
      <w:bookmarkEnd w:id="373"/>
      <w:r>
        <w:rPr>
          <w:rtl w:val="true"/>
        </w:rPr>
        <w:t>المبحث الأوّل</w:t>
      </w:r>
      <w:r>
        <w:rPr>
          <w:rtl w:val="true"/>
        </w:rPr>
        <w:t xml:space="preserve">: </w:t>
      </w:r>
      <w:r>
        <w:rPr>
          <w:rtl w:val="true"/>
        </w:rPr>
        <w:t>حکم حجّ الصبیّ</w:t>
      </w:r>
      <w:bookmarkEnd w:id="374"/>
    </w:p>
    <w:p>
      <w:pPr>
        <w:pStyle w:val="Heading4"/>
        <w:numPr>
          <w:ilvl w:val="3"/>
          <w:numId w:val="1"/>
        </w:numPr>
        <w:rPr/>
      </w:pPr>
      <w:bookmarkStart w:id="375" w:name="__RefHeading___Toc9643693_73709187"/>
      <w:bookmarkStart w:id="376" w:name="_Toc141"/>
      <w:bookmarkEnd w:id="375"/>
      <w:r>
        <w:rPr>
          <w:rtl w:val="true"/>
        </w:rPr>
        <w:t>اشارة</w:t>
      </w:r>
      <w:bookmarkEnd w:id="3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واجب علی کلّ من اجتمعت فیه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الکتاب و السنّة و الإجماع، بل بضرورة من الدّین</w:t>
      </w:r>
      <w:r>
        <w:rPr>
          <w:rStyle w:val="FootnoteAnchor"/>
          <w:rtl w:val="true"/>
        </w:rPr>
        <w:footnoteReference w:id="964"/>
      </w:r>
      <w:r>
        <w:rPr>
          <w:rFonts w:ascii="IRNazanin" w:hAnsi="IRNazanin" w:eastAsia="IRNazanin"/>
          <w:color w:val="111111"/>
          <w:sz w:val="28"/>
          <w:sz w:val="28"/>
          <w:szCs w:val="28"/>
          <w:rtl w:val="true"/>
          <w:lang w:bidi="fa-IR"/>
        </w:rPr>
        <w:t>، و من شرائطه البلوغ، و أمّا غیر البالغ فلا خلاف بین الأصحاب علی ذلک، فی عدم وجوبه علیه و إن کان ممیّزا مراهقا و کان واجدا لجمیع الشرائط سوی البلوغ، بل ثبت الإجماع القطعی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فأوجب تعالی الحجّ، و فرضه علی کلّ حرّ بالغ مستطیع إلیه السبیل</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الشیخ فی النهایة</w:t>
      </w:r>
      <w:r>
        <w:rPr>
          <w:rStyle w:val="FootnoteAnchor"/>
          <w:rtl w:val="true"/>
        </w:rPr>
        <w:footnoteReference w:id="967"/>
      </w:r>
      <w:r>
        <w:rPr>
          <w:rFonts w:ascii="IRNazanin" w:hAnsi="IRNazanin" w:eastAsia="IRNazanin"/>
          <w:color w:val="111111"/>
          <w:sz w:val="28"/>
          <w:sz w:val="28"/>
          <w:szCs w:val="28"/>
          <w:rtl w:val="true"/>
          <w:lang w:bidi="fa-IR"/>
        </w:rPr>
        <w:t>، و المبسوط</w:t>
      </w:r>
      <w:r>
        <w:rPr>
          <w:rStyle w:val="FootnoteAnchor"/>
          <w:rtl w:val="true"/>
        </w:rPr>
        <w:footnoteReference w:id="968"/>
      </w:r>
      <w:r>
        <w:rPr>
          <w:rFonts w:ascii="IRNazanin" w:hAnsi="IRNazanin" w:eastAsia="IRNazanin"/>
          <w:color w:val="111111"/>
          <w:sz w:val="28"/>
          <w:sz w:val="28"/>
          <w:szCs w:val="28"/>
          <w:rtl w:val="true"/>
          <w:lang w:bidi="fa-IR"/>
        </w:rPr>
        <w:t>بأنّ شرائط وجوب الحجّ ثمانیة،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شرائع الإسلام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العلماء کافّة فی أنّ الصبیّ لا یجب علیه الحجّ؛ لفقد شرط التکلیف فیه</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الحدائق</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علی الصبیّ و المجنون إجماعا محقّقا و محکیّا مستفیضا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bookmarkStart w:id="377" w:name="pg11756_103998"/>
    </w:p>
    <w:p>
      <w:pPr>
        <w:pStyle w:val="BookText"/>
        <w:rPr/>
      </w:pPr>
      <w:bookmarkEnd w:id="377"/>
      <w:r>
        <w:rPr>
          <w:rFonts w:ascii="IRNazanin" w:hAnsi="IRNazanin" w:eastAsia="IRNazanin"/>
          <w:color w:val="111111"/>
          <w:sz w:val="28"/>
          <w:sz w:val="28"/>
          <w:szCs w:val="28"/>
          <w:rtl w:val="true"/>
          <w:lang w:bidi="fa-IR"/>
        </w:rPr>
        <w:t>و ادّعی الإجماع أیضا فی کشف اللّثام</w:t>
      </w:r>
      <w:r>
        <w:rPr>
          <w:rStyle w:val="FootnoteAnchor"/>
          <w:rtl w:val="true"/>
        </w:rPr>
        <w:footnoteReference w:id="973"/>
      </w:r>
      <w:r>
        <w:rPr>
          <w:rFonts w:ascii="IRNazanin" w:hAnsi="IRNazanin" w:eastAsia="IRNazanin"/>
          <w:color w:val="111111"/>
          <w:sz w:val="28"/>
          <w:sz w:val="28"/>
          <w:szCs w:val="28"/>
          <w:rtl w:val="true"/>
          <w:lang w:bidi="fa-IR"/>
        </w:rPr>
        <w:t>و ریاض المسائل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حجّ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بشرعیّة عبادته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یجزئ عن حجّة الإسلام إجماعا بقسمیه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بضرورة من المذهب إن لم یکن من الدّین</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علی الصبیّ و إن کان مراهقا</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978"/>
      </w:r>
      <w:r>
        <w:rPr>
          <w:rFonts w:ascii="IRNazanin" w:hAnsi="IRNazanin" w:eastAsia="IRNazanin"/>
          <w:color w:val="111111"/>
          <w:sz w:val="28"/>
          <w:sz w:val="28"/>
          <w:szCs w:val="28"/>
          <w:rtl w:val="true"/>
          <w:lang w:bidi="fa-IR"/>
        </w:rPr>
        <w:t>، و غیرها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9643695_73709187"/>
      <w:bookmarkStart w:id="379" w:name="_Toc142"/>
      <w:bookmarkEnd w:id="378"/>
      <w:r>
        <w:rPr>
          <w:rtl w:val="true"/>
        </w:rPr>
        <w:t>أدلّة عدم وجوب الحجّ علی الصبیّ</w:t>
      </w:r>
      <w:bookmarkEnd w:id="379"/>
    </w:p>
    <w:p>
      <w:pPr>
        <w:pStyle w:val="BookText"/>
        <w:rPr/>
      </w:pPr>
      <w:r>
        <w:rPr>
          <w:rFonts w:ascii="IRNazanin" w:hAnsi="IRNazanin" w:eastAsia="IRNazanin"/>
          <w:color w:val="111111"/>
          <w:sz w:val="28"/>
          <w:sz w:val="28"/>
          <w:szCs w:val="28"/>
          <w:rtl w:val="true"/>
          <w:lang w:bidi="fa-IR"/>
        </w:rPr>
        <w:t>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بقسمیه کما تقدّم، بل هو من الضروری فی الفقه، کما فی شرح العروة الوثقی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 علی جمیع المعانی التی ذکرناها فی بحث مسائل خمس أموال الصبیّ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اشتراط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طلحة بن زید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 عشرة سنة کتبت</w:t>
      </w:r>
      <w:r>
        <w:rPr>
          <w:rStyle w:val="FootnoteAnchor"/>
          <w:rtl w:val="true"/>
        </w:rPr>
        <w:footnoteReference w:id="982"/>
      </w:r>
      <w:r>
        <w:rPr>
          <w:rFonts w:ascii="IRNazanin" w:hAnsi="IRNazanin" w:eastAsia="IRNazanin"/>
          <w:color w:val="111111"/>
          <w:sz w:val="28"/>
          <w:sz w:val="28"/>
          <w:szCs w:val="28"/>
          <w:rtl w:val="true"/>
          <w:lang w:bidi="fa-IR"/>
        </w:rPr>
        <w:t>لهم الحسنات، فإذا بلغوا الحلم کتبت علیهم السیّئات</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تدلّ علی أنّهم قبل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علیهم السیّئات، و هذا کنایة عن عدم تکلیفهم بالوجوب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التهذیب عن عمّار الساباطی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الغلام متی تجب علیه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 جری علیه القلم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جری القلم التکلیف الوجوبی، فتدلّ علی أنّ الصبیّ قبل البلوغ لیس علیه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الحرّ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محمول علی حصول الاحتلام أو الإنبات للغلام فی الثلاث عشرة سنة</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حجّة الإسلام لا تصدق علی حجّ الصبیّ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w:t>
      </w:r>
    </w:p>
    <w:p>
      <w:pPr>
        <w:pStyle w:val="BookText"/>
        <w:rPr/>
      </w:pPr>
      <w:r>
        <w:rPr>
          <w:rFonts w:ascii="IRNazanin" w:hAnsi="IRNazanin" w:eastAsia="IRNazanin"/>
          <w:color w:val="111111"/>
          <w:sz w:val="28"/>
          <w:sz w:val="28"/>
          <w:szCs w:val="28"/>
          <w:rtl w:val="true"/>
          <w:lang w:bidi="fa-IR"/>
        </w:rPr>
        <w:t>إذا طمثت</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شهاب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مسمع بن عبد الملک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الأخیرتان ضعیفتان بسهل بن زیاد، فهما مؤیّدان إلاّ 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فالعمدة هو الصحیحة، 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منها أنّ حجّة الإسلام و فریضة الإسلام لا تصدق علی حجّ الصبیّ، و هذه الفریضة باقیة علیه، فإذا بلغ یجب علیه أداؤها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الروایات الثلاثة مشترکة فی الدلالة علی عدم کون حجّ الصبیّ حجّة الإسلام، و أنّه لا یجزی عنه بعد البلوغ و لو کان حجّه واجدا لجمیع الشرائط و الخصوصیّات سوی البلوغ</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علی حجّ الصبیّ حجّة الإسلام</w:t>
      </w:r>
      <w:r>
        <w:rPr>
          <w:rStyle w:val="FootnoteAnchor"/>
          <w:rtl w:val="true"/>
        </w:rPr>
        <w:footnoteReference w:id="991"/>
      </w:r>
      <w:r>
        <w:rPr>
          <w:rFonts w:ascii="IRNazanin" w:hAnsi="IRNazanin" w:eastAsia="IRNazanin"/>
          <w:color w:val="111111"/>
          <w:sz w:val="28"/>
          <w:sz w:val="28"/>
          <w:szCs w:val="28"/>
          <w:rtl w:val="true"/>
          <w:lang w:bidi="fa-IR"/>
        </w:rPr>
        <w:t>فی روایة أبان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 به فقد قضی حجّة الإسلام</w:t>
      </w:r>
    </w:p>
    <w:p>
      <w:pPr>
        <w:pStyle w:val="BookText"/>
        <w:rPr/>
      </w:pPr>
      <w:r>
        <w:rPr>
          <w:rFonts w:ascii="IRNazanin" w:hAnsi="IRNazanin" w:eastAsia="IRNazanin"/>
          <w:color w:val="111111"/>
          <w:sz w:val="28"/>
          <w:sz w:val="28"/>
          <w:szCs w:val="28"/>
          <w:rtl w:val="true"/>
          <w:lang w:bidi="fa-IR"/>
        </w:rPr>
        <w:t>حتّی یکبر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الروایات أنّ الحجّ له حقائق مختلفة، و المراد به فی المقام حجّة إسلام الصبیّ التی قضاها و أتی بها، فلا ینافی ذلک بقاء حجّة الإسلام التی بنی علیها الإسلام حتّی یبلغ و یکبر، کما أنّه قد اطلق حجّ الإسلام علی حجّ المنوب عنه فی موثّقة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حجّ عن غیره، یجزیه ذلک عن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لا إشکال فی بقاء حجّة الإسلام علی النائب لو استطاع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التقیید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أیضا فی عدم إجزائه عن الحجّ بعد الکبر، و هذا یصیر قرینة علی أنّ الإطلاق المذکور لیس مبتنیا علی الاصطلاح المعروف فی حجّة الإسلام، بل المراد هو الحجّ المشروع فی الإسلام أو الحجّ الواقع فی حال الإسلام</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bookmarkStart w:id="380" w:name="pg11756_104002"/>
    </w:p>
    <w:p>
      <w:pPr>
        <w:pStyle w:val="BookText"/>
        <w:rPr/>
      </w:pPr>
      <w:bookmarkEnd w:id="380"/>
      <w:r>
        <w:rPr>
          <w:rFonts w:ascii="IRNazanin" w:hAnsi="IRNazanin" w:eastAsia="IRNazanin"/>
          <w:color w:val="111111"/>
          <w:sz w:val="28"/>
          <w:sz w:val="28"/>
          <w:szCs w:val="28"/>
          <w:rtl w:val="true"/>
          <w:lang w:bidi="fa-IR"/>
        </w:rPr>
        <w:t xml:space="preserve">و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حجّ الإسلام الحجّ المشروع فی حقّه، أو ثواب حجّ الإسلام</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9643697_73709187"/>
      <w:bookmarkStart w:id="382" w:name="_Toc143"/>
      <w:bookmarkEnd w:id="381"/>
      <w:r>
        <w:rPr>
          <w:rtl w:val="true"/>
        </w:rPr>
        <w:t>رأی أهل السنّة فی حکم الحجّ علی الصبیّ</w:t>
      </w:r>
      <w:bookmarkEnd w:id="382"/>
    </w:p>
    <w:p>
      <w:pPr>
        <w:pStyle w:val="BookText"/>
        <w:rPr/>
      </w:pPr>
      <w:r>
        <w:rPr>
          <w:rFonts w:ascii="IRNazanin" w:hAnsi="IRNazanin" w:eastAsia="IRNazanin"/>
          <w:color w:val="111111"/>
          <w:sz w:val="28"/>
          <w:sz w:val="28"/>
          <w:szCs w:val="28"/>
          <w:rtl w:val="true"/>
          <w:lang w:bidi="fa-IR"/>
        </w:rPr>
        <w:t>اتّفقت المذاهب الأربعة علی أنّ الحجّ لا یجب علی الصبیّ و لو کان ممیّزا مراهقا و اجتمعت فیه الشرائط سوی البلوغ، حیث صرّحوا بأنّ من شرائط وجوب الحجّ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 إنّما یجب بخمس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العقل و البلوغ و الحرّیّة و الاستطاعة، لا نعلم فی هذا کلّه اختلافا، فأمّا الصبیّ و المجنون فلیسا بمکلّفین، و قد روی علیّ بن أبی طالب علیه السّلام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الصبیّ حتّی یشبّ</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إلاّ من شذّ عنهم ممّن لا یعتدّ بخلافه علی أنّ الصبیّ إذا حجّ فی حال صغره ثمّ بلغ فعلیه حجّة الإسلام إذا وجد إلیها سبیلا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شرائطه البلوغ و العقل، فلا حجّ علی الصبیّ و المجنون؛ لأنّه لا خطاب علیهما فلا یلزمهما الحجّ، حتّی لو حجّا ثمّ بلغ الصبیّ و أفاق المجنون فعلیهما حجّة الإسلام، و ما فعله الصبیّ قبل البلوغ یکون تطوّعا، و قد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صبیّ حجّ عشر حجج ثمّ بلغ فعلیه حجّة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IRNazanin" w:hAnsi="IRNazanin" w:eastAsia="IRNazanin"/>
          <w:color w:val="111111"/>
          <w:sz w:val="28"/>
          <w:sz w:val="28"/>
          <w:szCs w:val="28"/>
          <w:rtl w:val="true"/>
          <w:lang w:bidi="fa-IR"/>
        </w:rPr>
        <w:t>و کذا فی حاشیة ردّ المحتار</w:t>
      </w:r>
      <w:r>
        <w:rPr>
          <w:rStyle w:val="FootnoteAnchor"/>
          <w:rtl w:val="true"/>
        </w:rPr>
        <w:footnoteReference w:id="1001"/>
      </w:r>
      <w:r>
        <w:rPr>
          <w:rFonts w:ascii="IRNazanin" w:hAnsi="IRNazanin" w:eastAsia="IRNazanin"/>
          <w:color w:val="111111"/>
          <w:sz w:val="28"/>
          <w:sz w:val="28"/>
          <w:szCs w:val="28"/>
          <w:rtl w:val="true"/>
          <w:lang w:bidi="fa-IR"/>
        </w:rPr>
        <w:t>و البنایة</w:t>
      </w:r>
      <w:r>
        <w:rPr>
          <w:rStyle w:val="FootnoteAnchor"/>
          <w:rtl w:val="true"/>
        </w:rPr>
        <w:footnoteReference w:id="1002"/>
      </w:r>
      <w:r>
        <w:rPr>
          <w:rFonts w:ascii="IRNazanin" w:hAnsi="IRNazanin" w:eastAsia="IRNazanin"/>
          <w:color w:val="111111"/>
          <w:sz w:val="28"/>
          <w:sz w:val="28"/>
          <w:szCs w:val="28"/>
          <w:rtl w:val="true"/>
          <w:lang w:bidi="fa-IR"/>
        </w:rPr>
        <w:t>و مغنی المحتاج</w:t>
      </w:r>
      <w:r>
        <w:rPr>
          <w:rStyle w:val="FootnoteAnchor"/>
          <w:rtl w:val="true"/>
        </w:rPr>
        <w:footnoteReference w:id="1003"/>
      </w:r>
      <w:r>
        <w:rPr>
          <w:rFonts w:ascii="IRNazanin" w:hAnsi="IRNazanin" w:eastAsia="IRNazanin"/>
          <w:color w:val="111111"/>
          <w:sz w:val="28"/>
          <w:sz w:val="28"/>
          <w:szCs w:val="28"/>
          <w:rtl w:val="true"/>
          <w:lang w:bidi="fa-IR"/>
        </w:rPr>
        <w:t>و مواهب الجلیل</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الصبیّ فلا یجب علیه الحجّ؛ 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رفع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الحجّ من عبادات البدن فلا یجب علیه، کالصلاة و الصوم</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فی المهذّب</w:t>
      </w:r>
      <w:r>
        <w:rPr>
          <w:rStyle w:val="FootnoteAnchor"/>
          <w:rtl w:val="true"/>
        </w:rPr>
        <w:footnoteReference w:id="1006"/>
      </w:r>
      <w:r>
        <w:rPr>
          <w:rFonts w:ascii="IRNazanin" w:hAnsi="IRNazanin" w:eastAsia="IRNazanin"/>
          <w:color w:val="111111"/>
          <w:sz w:val="28"/>
          <w:sz w:val="28"/>
          <w:szCs w:val="28"/>
          <w:rtl w:val="true"/>
          <w:lang w:bidi="fa-IR"/>
        </w:rPr>
        <w:t>و المجموع</w:t>
      </w:r>
      <w:r>
        <w:rPr>
          <w:rStyle w:val="FootnoteAnchor"/>
          <w:rtl w:val="true"/>
        </w:rPr>
        <w:footnoteReference w:id="1007"/>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1008"/>
      </w:r>
      <w:r>
        <w:rPr>
          <w:rFonts w:ascii="IRNazanin" w:hAnsi="IRNazanin" w:eastAsia="IRNazanin"/>
          <w:color w:val="111111"/>
          <w:sz w:val="28"/>
          <w:sz w:val="28"/>
          <w:szCs w:val="28"/>
          <w:rtl w:val="true"/>
          <w:lang w:bidi="fa-IR"/>
        </w:rPr>
        <w:t>و المدوّنة الکبری</w:t>
      </w:r>
      <w:r>
        <w:rPr>
          <w:rStyle w:val="FootnoteAnchor"/>
          <w:rtl w:val="true"/>
        </w:rPr>
        <w:footnoteReference w:id="1009"/>
      </w:r>
      <w:r>
        <w:rPr>
          <w:rFonts w:ascii="IRNazanin" w:hAnsi="IRNazanin" w:eastAsia="IRNazanin"/>
          <w:color w:val="111111"/>
          <w:sz w:val="28"/>
          <w:sz w:val="28"/>
          <w:szCs w:val="28"/>
          <w:rtl w:val="true"/>
          <w:lang w:bidi="fa-IR"/>
        </w:rPr>
        <w:t>و غیرها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bookmarkStart w:id="383" w:name="pg11756_104004"/>
    </w:p>
    <w:p>
      <w:pPr>
        <w:pStyle w:val="Heading3"/>
        <w:numPr>
          <w:ilvl w:val="2"/>
          <w:numId w:val="1"/>
        </w:numPr>
        <w:rPr/>
      </w:pPr>
      <w:bookmarkStart w:id="384" w:name="__RefHeading___Toc9643699_73709187"/>
      <w:bookmarkStart w:id="385" w:name="_Toc144"/>
      <w:bookmarkEnd w:id="383"/>
      <w:bookmarkEnd w:id="384"/>
      <w:r>
        <w:rPr>
          <w:rtl w:val="true"/>
        </w:rPr>
        <w:t>المبحث الثانی</w:t>
      </w:r>
      <w:r>
        <w:rPr>
          <w:rtl w:val="true"/>
        </w:rPr>
        <w:t xml:space="preserve">: </w:t>
      </w:r>
      <w:r>
        <w:rPr>
          <w:rtl w:val="true"/>
        </w:rPr>
        <w:t>نذر الصبیّ للحجّ</w:t>
      </w:r>
      <w:bookmarkEnd w:id="385"/>
    </w:p>
    <w:p>
      <w:pPr>
        <w:pStyle w:val="Heading4"/>
        <w:numPr>
          <w:ilvl w:val="3"/>
          <w:numId w:val="1"/>
        </w:numPr>
        <w:rPr/>
      </w:pPr>
      <w:bookmarkStart w:id="386" w:name="__RefHeading___Toc9643701_73709187"/>
      <w:bookmarkStart w:id="387" w:name="_Toc14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ثبت ممّا تقدّم عدم وجوب الحجّ علی غیر البالغ بالأصالة، و لکن هل یجب علیه بالنذر و شبهه من العهد أو الیمین، أم لا؟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بین الأصحاب، بل ثبت الإجماع علی أنّه لا یجب علی غیر البالغ الحجّ و إن نذره، حیث صرّحوا بأنّ انعقاد النذر و العهد و الیمین منوط بالبلوغ و کمال العقل، فمن فقدهما أو أحدهما لم یتحقّق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النذر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بالحجّ 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کامل العقل حرّ، فأمّا من لیس کذلک فلا ینعقد نذره</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شرائطها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یجب بالنذر و الیمین 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فلا ینعقد نذر الصبیّ، و لا المجنون</w:t>
      </w:r>
      <w:r>
        <w:rPr>
          <w:rFonts w:eastAsia="IRNazanin" w:cs="IRNazanin"/>
          <w:color w:val="111111"/>
          <w:sz w:val="28"/>
          <w:szCs w:val="28"/>
          <w:rtl w:val="true"/>
          <w:lang w:bidi="fa-IR"/>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العلاّمة</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ابن إدریس</w:t>
      </w:r>
      <w:r>
        <w:rPr>
          <w:rStyle w:val="FootnoteAnchor"/>
          <w:rtl w:val="true"/>
        </w:rPr>
        <w:footnoteReference w:id="1014"/>
      </w:r>
      <w:r>
        <w:rPr>
          <w:rFonts w:ascii="IRNazanin" w:hAnsi="IRNazanin" w:eastAsia="IRNazanin"/>
          <w:color w:val="111111"/>
          <w:sz w:val="28"/>
          <w:sz w:val="28"/>
          <w:szCs w:val="28"/>
          <w:rtl w:val="true"/>
          <w:lang w:bidi="fa-IR"/>
        </w:rPr>
        <w:t>، و کذا فی الوسیلة</w:t>
      </w:r>
      <w:r>
        <w:rPr>
          <w:rStyle w:val="FootnoteAnchor"/>
          <w:rtl w:val="true"/>
        </w:rPr>
        <w:footnoteReference w:id="1015"/>
      </w:r>
      <w:r>
        <w:rPr>
          <w:rFonts w:ascii="IRNazanin" w:hAnsi="IRNazanin" w:eastAsia="IRNazanin"/>
          <w:color w:val="111111"/>
          <w:sz w:val="28"/>
          <w:sz w:val="28"/>
          <w:szCs w:val="28"/>
          <w:rtl w:val="true"/>
          <w:lang w:bidi="fa-IR"/>
        </w:rPr>
        <w:t>و الجامع للشرائع</w:t>
      </w:r>
      <w:r>
        <w:rPr>
          <w:rStyle w:val="FootnoteAnchor"/>
          <w:rtl w:val="true"/>
        </w:rPr>
        <w:footnoteReference w:id="1016"/>
      </w:r>
      <w:r>
        <w:rPr>
          <w:rFonts w:ascii="IRNazanin" w:hAnsi="IRNazanin" w:eastAsia="IRNazanin"/>
          <w:color w:val="111111"/>
          <w:sz w:val="28"/>
          <w:sz w:val="28"/>
          <w:szCs w:val="28"/>
          <w:rtl w:val="true"/>
          <w:lang w:bidi="fa-IR"/>
        </w:rPr>
        <w:t>و غیرها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لا خلاف فیه بین العلماء</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w:t>
      </w:r>
      <w:r>
        <w:rPr>
          <w:rStyle w:val="FootnoteAnchor"/>
          <w:rtl w:val="true"/>
        </w:rPr>
        <w:footnoteReference w:id="1019"/>
      </w:r>
      <w:r>
        <w:rPr>
          <w:rFonts w:ascii="IRNazanin" w:hAnsi="IRNazanin" w:eastAsia="IRNazanin"/>
          <w:color w:val="111111"/>
          <w:sz w:val="28"/>
          <w:sz w:val="28"/>
          <w:szCs w:val="28"/>
          <w:rtl w:val="true"/>
          <w:lang w:bidi="fa-IR"/>
        </w:rPr>
        <w:t>و الجواهر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تنعقد من الصبیّ و إن بلغ عشرا و إن صحّت العبادات منه</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022"/>
      </w:r>
      <w:r>
        <w:rPr>
          <w:rFonts w:ascii="IRNazanin" w:hAnsi="IRNazanin" w:eastAsia="IRNazanin"/>
          <w:color w:val="111111"/>
          <w:sz w:val="28"/>
          <w:sz w:val="28"/>
          <w:szCs w:val="28"/>
          <w:rtl w:val="true"/>
          <w:lang w:bidi="fa-IR"/>
        </w:rPr>
        <w:t>، و ادّعی الإجماع فی المستمسک</w:t>
      </w:r>
      <w:r>
        <w:rPr>
          <w:rStyle w:val="FootnoteAnchor"/>
          <w:rtl w:val="true"/>
        </w:rPr>
        <w:footnoteReference w:id="1023"/>
      </w:r>
      <w:r>
        <w:rPr>
          <w:rFonts w:ascii="Amiri" w:hAnsi="Amiri" w:eastAsia="Amiri" w:cs="Amiri"/>
          <w:color w:val="111111"/>
          <w:sz w:val="28"/>
          <w:sz w:val="28"/>
          <w:szCs w:val="28"/>
          <w:rtl w:val="true"/>
          <w:lang w:bidi="ar-SA"/>
        </w:rPr>
        <w:t>، و المهذّب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اعتبار 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الواضحات</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لعدم انعقاد نذر الصبیّ و عهده و یمینه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مرّ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w:t>
      </w:r>
      <w:r>
        <w:rPr>
          <w:rStyle w:val="FootnoteAnchor"/>
          <w:rtl w:val="true"/>
        </w:rPr>
        <w:footnoteReference w:id="1026"/>
      </w:r>
      <w:r>
        <w:rPr>
          <w:rFonts w:ascii="IRNazanin" w:hAnsi="IRNazanin" w:eastAsia="IRNazanin"/>
          <w:color w:val="111111"/>
          <w:sz w:val="28"/>
          <w:sz w:val="28"/>
          <w:szCs w:val="28"/>
          <w:rtl w:val="true"/>
          <w:lang w:bidi="fa-IR"/>
        </w:rPr>
        <w:t>، کما استدلّ به فی المدارک</w:t>
      </w:r>
      <w:r>
        <w:rPr>
          <w:rStyle w:val="FootnoteAnchor"/>
          <w:rtl w:val="true"/>
        </w:rPr>
        <w:footnoteReference w:id="1027"/>
      </w:r>
      <w:r>
        <w:rPr>
          <w:rFonts w:ascii="Amiri" w:hAnsi="Amiri" w:eastAsia="Amiri" w:cs="Amiri"/>
          <w:color w:val="111111"/>
          <w:sz w:val="28"/>
          <w:sz w:val="28"/>
          <w:szCs w:val="28"/>
          <w:rtl w:val="true"/>
          <w:lang w:bidi="ar-SA"/>
        </w:rPr>
        <w:t>و العروة</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غیرهما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الحکیم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اشتهر الاستدلال به علی نفی سببیّة الأسباب إذا کانت صادرة من الصبیّ عقدا أو إیقاعا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کالنذر 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کالیمین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فیه ظاهر، فإنّ نفی الوجوب فی العقد و الإیقاع أعمّ من ترتّب المضمون، و لذا یصحّ من الولیّ و یترتّب مضمونه و إن لم یجب علی الصبیّ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نفی الوجوب فی حال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الإیقاع 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نفی الوجوب بعد البلوغ</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الحدیث رفع قلم الإلزام و التکلیف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فالکلام فیه إنّما هو فی السببیّة التی هی حکم وضعی، و قد ثبت فی محلّه عدم اختصاص الأحکام الوضعیّة بالبالغین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حینئذ أن یکون العقد أو الإیقاع الصادر من الصبیّ مؤثّرا فی حصول مقتضاه، سواء کان المقتضی عبارة عن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کالملکیّة المترتّبة علی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الحکم التکلیفی، کالنذر الذی یکون سببا لوجوب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فمقتضی سببیّة الإیقاع النذری لوجوب الوفاء به صحّة وقوعه من الصبیّ، کالجنابة الاختیاریّة الحاصلة له، التی تکون سببا لوجوب الغسل و لو بعد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ثبت کونه بعنوان الضابطة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حینئذ الحکم بالبطلان فی مثل المقام؛ لأنّ النذر الواقع عن غیر القاصد و غیر الملتفت لا یکاد یترتّب علیه أثر</w:t>
      </w:r>
      <w:bookmarkStart w:id="388" w:name="pg11756_104007"/>
    </w:p>
    <w:p>
      <w:pPr>
        <w:pStyle w:val="BookText"/>
        <w:rPr/>
      </w:pPr>
      <w:bookmarkEnd w:id="388"/>
      <w:r>
        <w:rPr>
          <w:rFonts w:ascii="IRNazanin" w:hAnsi="IRNazanin" w:eastAsia="IRNazanin"/>
          <w:color w:val="111111"/>
          <w:sz w:val="28"/>
          <w:sz w:val="28"/>
          <w:szCs w:val="28"/>
          <w:rtl w:val="true"/>
          <w:lang w:bidi="fa-IR"/>
        </w:rPr>
        <w:t>لأجل شرطیّة القصد، فالعمدة فی المسألة الإجماع علی بطلان إنشاءات الصبیّ، عقدا أو إیقاعا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المهذّب</w:t>
      </w:r>
      <w:r>
        <w:rPr>
          <w:rStyle w:val="FootnoteAnchor"/>
          <w:rtl w:val="true"/>
        </w:rPr>
        <w:footnoteReference w:id="1032"/>
      </w:r>
      <w:r>
        <w:rPr>
          <w:rFonts w:ascii="IRNazanin" w:hAnsi="IRNazanin" w:eastAsia="IRNazanin"/>
          <w:color w:val="111111"/>
          <w:sz w:val="28"/>
          <w:sz w:val="28"/>
          <w:szCs w:val="28"/>
          <w:rtl w:val="true"/>
          <w:lang w:bidi="fa-IR"/>
        </w:rPr>
        <w:t>و المستمسک</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زیادة توضیح فی الفصل الذی یبحث فیه عن نذر الصبیّ علی نحو الإطلاق إن شاء اللّه تعالی</w:t>
      </w:r>
      <w:r>
        <w:rPr>
          <w:rFonts w:eastAsia="IRNazanin" w:cs="IRNazanin"/>
          <w:color w:val="111111"/>
          <w:sz w:val="28"/>
          <w:szCs w:val="28"/>
          <w:rtl w:val="true"/>
          <w:lang w:bidi="fa-IR"/>
        </w:rPr>
        <w:t>.</w:t>
      </w:r>
    </w:p>
    <w:p>
      <w:pPr>
        <w:pStyle w:val="Heading4"/>
        <w:numPr>
          <w:ilvl w:val="3"/>
          <w:numId w:val="1"/>
        </w:numPr>
        <w:rPr/>
      </w:pPr>
      <w:bookmarkStart w:id="389" w:name="__RefHeading___Toc9643703_73709187"/>
      <w:bookmarkStart w:id="390" w:name="_Toc146"/>
      <w:bookmarkEnd w:id="389"/>
      <w:r>
        <w:rPr>
          <w:rtl w:val="true"/>
        </w:rPr>
        <w:t>نذر الصبیّ للحجّ عند أهل السنّة</w:t>
      </w:r>
      <w:bookmarkEnd w:id="390"/>
    </w:p>
    <w:p>
      <w:pPr>
        <w:pStyle w:val="Heading5"/>
        <w:numPr>
          <w:ilvl w:val="4"/>
          <w:numId w:val="1"/>
        </w:numPr>
        <w:rPr/>
      </w:pPr>
      <w:bookmarkStart w:id="391" w:name="__RefHeading___Toc9643705_73709187"/>
      <w:bookmarkStart w:id="392" w:name="_Toc147"/>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 xml:space="preserve">لم نعثر فی فقه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التی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 فی المسألة، إلاّ أنّه یستفاد من إطلاق کلماتهم فی شرائط الناذر أنّه لا یجب علی الصبیّ الحجّ بالنذر؛ لأنّهم صرّحوا بأنّ انعقاد النذر منوط بالبلوغ 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أرکان النذر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الناذر فیشترط فیه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غیر مکلّف، کصبیّ و مجنون؛ لعدم أهلیّتها للالتزام</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یتعلّق بالناذر فشرائط الأهلیّة،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فلا یصحّ نذر المجنون و الصبیّ الذی لا یعقل؛ لأنّ حکم النذر، وجوب المنذور به، و هما لیسا من أهل الوجوب، و کذا الصبیّ العاقل؛ لأنّه لیس من أهل وجوب الشرائع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لا یجب علیهما شیء من الشرائع بإیجاب الشرع ابتداء، فکذا</w:t>
      </w:r>
      <w:bookmarkStart w:id="393" w:name="pg11756_104008"/>
    </w:p>
    <w:p>
      <w:pPr>
        <w:pStyle w:val="BookText"/>
        <w:rPr/>
      </w:pPr>
      <w:bookmarkEnd w:id="393"/>
      <w:r>
        <w:rPr>
          <w:rFonts w:ascii="IRNazanin" w:hAnsi="IRNazanin" w:eastAsia="IRNazanin"/>
          <w:color w:val="111111"/>
          <w:sz w:val="28"/>
          <w:sz w:val="28"/>
          <w:szCs w:val="28"/>
          <w:rtl w:val="true"/>
          <w:lang w:bidi="fa-IR"/>
        </w:rPr>
        <w:t>بالنذر؛ إذ الوجوب عند وجود الصیغة من الأهل فی المحلّ بإیجاب اللّه تعالی لا بإیجاب العبد</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9643707_73709187"/>
      <w:bookmarkStart w:id="395" w:name="_Toc148"/>
      <w:bookmarkEnd w:id="394"/>
      <w:r>
        <w:rPr>
          <w:rtl w:val="true"/>
        </w:rPr>
        <w:t>إیضاح</w:t>
      </w:r>
      <w:bookmarkEnd w:id="395"/>
    </w:p>
    <w:p>
      <w:pPr>
        <w:pStyle w:val="BookText"/>
        <w:rPr/>
      </w:pPr>
      <w:r>
        <w:rPr>
          <w:rFonts w:ascii="IRNazanin" w:hAnsi="IRNazanin" w:eastAsia="IRNazanin"/>
          <w:color w:val="111111"/>
          <w:sz w:val="28"/>
          <w:sz w:val="28"/>
          <w:szCs w:val="28"/>
          <w:rtl w:val="true"/>
          <w:lang w:bidi="fa-IR"/>
        </w:rPr>
        <w:t xml:space="preserve">ینبغی التنبیه علی أنّ الوجوب المتعلّق بعنوان الحجّ، یکون ثابتا فی الکتاب و السنّة، بالإضافة إلی حجّة الإسلام فقط، فهی الواجبة بأصل الشرع، و أمّا الحجّ الواجب بالنذر و أخویه و کذا الحجّ الاستیجاری فالوجوب فیها لا یکون متعلّقا بعنوان الحجّ، بل بعنوان الوفاء بالنذر، أو الوفاء بعقد الإجارة مثلا، و تحقّق هذا العنوان و إن کان بإیجاد الحجّ فی الخارج إلاّ أنّه لا یوجب سرایة الحکم عن عنوان الوفاء إلی عنوان الحجّ، و هذا کما فی نذر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النذر یوجب أن یکون الوفاء به واجبا، و لا یوجب سرایة الوجوب إلی صلاة اللیل، بحیث تصیر صلاة اللیل واجبة بعد کونها مستحبّة، و کان اللازم فیها قصد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فتوصیف الحجّ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إنّما یکون علی سبیل المسامحة و العنایة، کما فی تفصیل الشریعة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9643709_73709187"/>
      <w:bookmarkStart w:id="397" w:name="_Toc149"/>
      <w:bookmarkEnd w:id="396"/>
      <w:r>
        <w:rPr>
          <w:rtl w:val="true"/>
        </w:rPr>
        <w:t>التحقیق فی عدم وصف الحجّ النذری و نحوه بالوجوب</w:t>
      </w:r>
      <w:bookmarkEnd w:id="3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مستند هذا القول ما بنی علیه فی تهذیب الاصول و غیره؛ من أنّ الأمر بالنذر إنّما تعلّق بعنوان الوفاء به، و هو عنوان مغایر لعنوان الصلاة و الصوم و الحجّ و غیرها، و إنّما یجتمع معها فی الخارج، الذی لم یکن ظرفا لتعلّق الأمر،</w:t>
      </w:r>
    </w:p>
    <w:p>
      <w:pPr>
        <w:pStyle w:val="BookText"/>
        <w:rPr/>
      </w:pPr>
      <w:r>
        <w:rPr>
          <w:rFonts w:ascii="IRNazanin" w:hAnsi="IRNazanin" w:eastAsia="IRNazanin"/>
          <w:color w:val="111111"/>
          <w:sz w:val="28"/>
          <w:sz w:val="28"/>
          <w:szCs w:val="28"/>
          <w:rtl w:val="true"/>
          <w:lang w:bidi="fa-IR"/>
        </w:rPr>
        <w:t xml:space="preserve">فإذا نذر أن یأتی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الوفاء بالنذر، فالإتیان بصلاة اللیل مصداق لوفاء النذر فی الخارج و للصلاة، و هما عنوانان منطبقان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بالنذر لا یتجاوز عنوان الوفاء به إلی عنوان آخر، فالواجب فی النذر هو الوفاء به، لا وجود المنذور المتّحد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الحجّ الاستیجاری؛ لأنّ الأمر الوجوبی لا یکون متعلّقا بعنوان الحجّ، بل بعنوان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تحقّق عنوان الوفاء بالعقد و إن کان بإیجاد الحجّ فی الخارج، إلاّ أنّه لا یوجب سرایة الحکم من عنوان الوفاء إلی عنوان الحجّ، فالواجب فی النذر و أخویه هو الوفاء بها، لا الحجّ المنذور المتّحد معه وجودا، لا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یوجب تعلّق النذر و العهد و غیرهما بالحجّ انقلابه عمّا هو علیه؛ ضرورة أنّ متعلّق وجوب النذر هو عنوان الوفاء، لا عنوان الحجّ و إن اتّحد العنوانان فی الخارج، و الاتّحاد فی ظرف العین لا یمکن أن یکون موجبا لسرایة الوجوب من عنوان إلی عنوان آخر، هذا ما بنی علیه الإمام الخمینی فی کتبه الفقهیّة و الاصولیّة</w:t>
      </w:r>
      <w:r>
        <w:rPr>
          <w:rStyle w:val="FootnoteAnchor"/>
          <w:rtl w:val="true"/>
        </w:rPr>
        <w:footnoteReference w:id="1037"/>
      </w:r>
      <w:r>
        <w:rPr>
          <w:rFonts w:ascii="IRNazanin" w:hAnsi="IRNazanin" w:eastAsia="IRNazanin"/>
          <w:color w:val="111111"/>
          <w:sz w:val="28"/>
          <w:sz w:val="28"/>
          <w:szCs w:val="28"/>
          <w:rtl w:val="true"/>
          <w:lang w:bidi="fa-IR"/>
        </w:rPr>
        <w:t>، و تبعه فی ذلک تلمیذه المحقّق الشیخ الفاضل اللنکرانی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 ذلک بأنّ الوفاء بالنذر کالوفاء بالبیع، و لیس إلاّ عبارة عن إنهاء التزامه، أی الإتیان بما تعلّق به نذره و ما التزم به، فلیس الوفاء بالنذر عنوانا زائدا علی نفس الفعل الخارجی، و کما أنّ الوفاء بالعقد لیس</w:t>
      </w:r>
    </w:p>
    <w:p>
      <w:pPr>
        <w:pStyle w:val="BookText"/>
        <w:rPr/>
      </w:pPr>
      <w:r>
        <w:rPr>
          <w:rFonts w:ascii="IRNazanin" w:hAnsi="IRNazanin" w:eastAsia="IRNazanin"/>
          <w:color w:val="111111"/>
          <w:sz w:val="28"/>
          <w:sz w:val="28"/>
          <w:szCs w:val="28"/>
          <w:rtl w:val="true"/>
          <w:lang w:bidi="fa-IR"/>
        </w:rPr>
        <w:t>معناه إلاّ العمل بمقتضاه و القیام به و إنهاء العقد و عدم الفسخ، و لا یتضمّن عنوانا آخر وراء العمل الخارجی، فکذا الوفاء بالنذر لا یراد به إلاّ الإتیان بما تعهّد به و ألزمه علی نفسه، فلو فعل ذلک فقد وفی بنذره؛ إذ الانطباق قهری و الإجزاء عقلی، و أنّ الخطاب الدالّ علی وجوب الوفاء بالنذر یدلّ علی وجوب ما التزم به الناذر بعنوانه الخاصّ علی ما التزم به بجمیع قیوده و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إنّما یجب بهذا الخطاب ما یصدق علیه الوفاء بالحمل الشائع، و ما یصدق علیه الوفاء بهذا الحمل لیس إلاّ ما التزم به بعنوانه و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w:t>
      </w:r>
      <w:r>
        <w:rPr>
          <w:rStyle w:val="FootnoteAnchor"/>
          <w:rtl w:val="true"/>
        </w:rPr>
        <w:footnoteReference w:id="1039"/>
      </w:r>
      <w:r>
        <w:rPr>
          <w:rFonts w:ascii="IRNazanin" w:hAnsi="IRNazanin" w:eastAsia="IRNazanin"/>
          <w:color w:val="111111"/>
          <w:sz w:val="28"/>
          <w:sz w:val="28"/>
          <w:szCs w:val="28"/>
          <w:rtl w:val="true"/>
          <w:lang w:bidi="fa-IR"/>
        </w:rPr>
        <w:t>سریان الحکم من عنوان الوفاء بالنذر و شبهه إلی تلک العناوین الخاصّة المتعلّق بها أحد هذه الامور،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الوفاء لیس إلاّ أمرا منتزعا عنها، و تحقّقه یکون بتحقّقها، و إنّما اخذ فی موضوع الخطاب الوفاء دونها؛ لأنّ الوفاء جامع لتلک العناوین مع شتاتها و عدم انضباطها بحیث لا تکاد تندرج تحت میزان، أو یحکی عنها بعنوان آخر کان جامعا و مانعا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حال کلّ عنوان منتزع من العناوین المختلفة المتّفقة فی الملاک للحکم</w:t>
      </w:r>
    </w:p>
    <w:p>
      <w:pPr>
        <w:pStyle w:val="BookText"/>
        <w:rPr/>
      </w:pPr>
      <w:r>
        <w:rPr>
          <w:rFonts w:ascii="IRNazanin" w:hAnsi="IRNazanin" w:eastAsia="IRNazanin"/>
          <w:color w:val="111111"/>
          <w:sz w:val="28"/>
          <w:sz w:val="28"/>
          <w:szCs w:val="28"/>
          <w:rtl w:val="true"/>
          <w:lang w:bidi="fa-IR"/>
        </w:rPr>
        <w:t>علیها، المصحّح لانتزاعه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یعیّنه و یؤکّده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بالوفاء لیس حکما ابتدائیّا مجعولا من قبل الشارع لکی یدّعی أحد أنّ الأمر تعلّق بعنوان الوفاء، فالواجب فی النذر و أخویه هو الوفاء، و لا یسری الحکم من متعلّقه إلی عنوان آخر، و ما تحقّق هنا إنّما التزام من قبل المکلّف نفسه، فالتزم بشیء و ألزمه اللّه سبحانه بالعمل بما التزم و أقرّ مقرّه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المکلّف إنّما التزم بالإتیان بذات العبادات المستحبّة، لا بعنوان الوفاء، فلا یکون الواجب علیه أیضا إلاّ هو الذی تعلّق به التزامه، نظیر الوفاء بالشرط فی ضمن العقد کالخیاطة، فلیس الوفاء بالنذر عنوانا خاصّا و أمرا زائدا علی الإتیان بما تعلّق به النذر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bookmarkStart w:id="398" w:name="pg11756_104012"/>
    </w:p>
    <w:p>
      <w:pPr>
        <w:pStyle w:val="Heading3"/>
        <w:numPr>
          <w:ilvl w:val="2"/>
          <w:numId w:val="1"/>
        </w:numPr>
        <w:rPr/>
      </w:pPr>
      <w:bookmarkStart w:id="399" w:name="__RefHeading___Toc9643711_73709187"/>
      <w:bookmarkStart w:id="400" w:name="_Toc150"/>
      <w:bookmarkEnd w:id="398"/>
      <w:bookmarkEnd w:id="399"/>
      <w:r>
        <w:rPr>
          <w:rtl w:val="true"/>
        </w:rPr>
        <w:t>المبحث الثالث</w:t>
      </w:r>
      <w:r>
        <w:rPr>
          <w:rtl w:val="true"/>
        </w:rPr>
        <w:t xml:space="preserve">: </w:t>
      </w:r>
      <w:r>
        <w:rPr>
          <w:rtl w:val="true"/>
        </w:rPr>
        <w:t>مشروعیّة حجّ الصبیّ</w:t>
      </w:r>
      <w:bookmarkEnd w:id="400"/>
    </w:p>
    <w:p>
      <w:pPr>
        <w:pStyle w:val="Heading4"/>
        <w:numPr>
          <w:ilvl w:val="3"/>
          <w:numId w:val="1"/>
        </w:numPr>
        <w:rPr/>
      </w:pPr>
      <w:bookmarkStart w:id="401" w:name="__RefHeading___Toc9643713_73709187"/>
      <w:bookmarkStart w:id="402" w:name="_Toc151"/>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 xml:space="preserve">تقدّم الکلام فی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عامّ</w:t>
      </w:r>
      <w:r>
        <w:rPr>
          <w:rStyle w:val="FootnoteAnchor"/>
          <w:rtl w:val="true"/>
        </w:rPr>
        <w:footnoteReference w:id="1041"/>
      </w:r>
      <w:r>
        <w:rPr>
          <w:rFonts w:ascii="IRNazanin" w:hAnsi="IRNazanin" w:eastAsia="IRNazanin"/>
          <w:color w:val="111111"/>
          <w:sz w:val="28"/>
          <w:sz w:val="28"/>
          <w:szCs w:val="28"/>
          <w:rtl w:val="true"/>
          <w:lang w:bidi="fa-IR"/>
        </w:rPr>
        <w:t>، و لکن یلزم فی المقام أن یبحث عن خصوص الحجّ؛ لأهمّیّته، و لما ورد فیه من روایات عن الأئمّة المعصومین علیهم السّلام، و لذلک تعرّض الفقهاء لحکمه بخصوصه، و نحن نتّبع طریقتهم، فنقول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أنّه لا یجب الحجّ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بالأصالة و لا بسبب من الأسباب، کالنذر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منه الحجّ و یستحبّ له و یترتّب علیه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بقائه علی الإحرام لو لم یکمل المناسک، و وجوب کفّه عن ارتکاب ما یحرم علی المحرم، و وجوب الکفّارة علیه إن ارتکب المحرّمات، و وجوب القضاء علیه لو أفسد الحجّ، و غیر ذلک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یصحّ منه و لکن لا تترتّب علیه الآثار، أم لا یصحّ، بل یقع تمرینا و یستحبّ للولی إحجاجه؟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الثانی، من أنّه تمرین،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من الممیّز مباشرة الحجّ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المراد صحّته تمرینا لا أنّه شرعیّ، و یحتمل أنّه یرید به الصحّة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التحقیق أنّه تمرین</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حیث کان المختار عندنا صحّة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وجه التمرین لا علی کیفیّة أمر المکلّف بالنافلة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عمله علی جهة التمرین مشروعا</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و قریب من هذا ما فی المسالک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المحقّق القمّی فی مناهج الأحکام</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المحقّق الداماد، حیث قال فی بحثه عدم صحّة نیابة الصبیّ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فی الحجّ فلم یوجد ما یدلّ علی مشروعیّته مطلقا حتّی یصحّ للصبیّ أیضا، مع أنّ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بالتلبیة أو القصد و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یحرم تکلیفا علی المحرم امور، فلا یعقل مثل ذلک لمن رفع قلم التکلیف عنه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الأدلّة التی یمکن أن یستدلّ بها لإثبات هذا القول و الجواب عنها تفصیلا فی بحث عن مشروعیّة عبادات الصبیّ بنحو عامّ، فلا نعیدها خوف الإطالة، فراجع هناک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403" w:name="pg11756_104014"/>
    </w:p>
    <w:p>
      <w:pPr>
        <w:pStyle w:val="Heading4"/>
        <w:numPr>
          <w:ilvl w:val="3"/>
          <w:numId w:val="1"/>
        </w:numPr>
        <w:rPr/>
      </w:pPr>
      <w:bookmarkStart w:id="404" w:name="__RefHeading___Toc9643715_73709187"/>
      <w:bookmarkStart w:id="405" w:name="_Toc152"/>
      <w:bookmarkEnd w:id="403"/>
      <w:bookmarkEnd w:id="404"/>
      <w:r>
        <w:rPr>
          <w:rtl w:val="true"/>
        </w:rPr>
        <w:t>استحباب حجّ الصبیّ الممیّز</w:t>
      </w:r>
      <w:bookmarkEnd w:id="405"/>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الفقهاء من أنّه یصحّ حجّ الصبیّ الممیّز، فقد تقدّم أنّ عباداته مشروعة</w:t>
      </w:r>
      <w:r>
        <w:rPr>
          <w:rStyle w:val="FootnoteAnchor"/>
          <w:rtl w:val="true"/>
        </w:rPr>
        <w:footnoteReference w:id="1048"/>
      </w:r>
      <w:r>
        <w:rPr>
          <w:rFonts w:ascii="IRNazanin" w:hAnsi="IRNazanin" w:eastAsia="IRNazanin"/>
          <w:color w:val="111111"/>
          <w:sz w:val="28"/>
          <w:sz w:val="28"/>
          <w:szCs w:val="28"/>
          <w:rtl w:val="true"/>
          <w:lang w:bidi="fa-IR"/>
        </w:rPr>
        <w:t>، و یترتّب علیها الآثار، فیکون الحجّ مستحبّا له أیضا و إن لم یکن مجزئا عن حجّة الإسلام،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إحرام الصبیّ عندنا جائز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الحجّ تطوّعا، و لا یجزی عن حجّة الإسلام بلا خلاف</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ممیّزا مراهقا جاز أن یأذن له، فیحرم هو بنفسه</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الجامع للشرائع</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إحرام الصبیّ الممیّز و إن لم یجب علیه</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w:t>
      </w:r>
      <w:r>
        <w:rPr>
          <w:rStyle w:val="FootnoteAnchor"/>
          <w:rtl w:val="true"/>
        </w:rPr>
        <w:footnoteReference w:id="1053"/>
      </w:r>
      <w:r>
        <w:rPr>
          <w:rFonts w:ascii="IRNazanin" w:hAnsi="IRNazanin" w:eastAsia="IRNazanin"/>
          <w:color w:val="111111"/>
          <w:sz w:val="28"/>
          <w:sz w:val="28"/>
          <w:szCs w:val="28"/>
          <w:rtl w:val="true"/>
          <w:lang w:bidi="fa-IR"/>
        </w:rPr>
        <w:t>و المعتبر</w:t>
      </w:r>
      <w:r>
        <w:rPr>
          <w:rStyle w:val="FootnoteAnchor"/>
          <w:rtl w:val="true"/>
        </w:rPr>
        <w:footnoteReference w:id="1054"/>
      </w:r>
      <w:r>
        <w:rPr>
          <w:rFonts w:ascii="IRNazanin" w:hAnsi="IRNazanin" w:eastAsia="IRNazanin"/>
          <w:color w:val="111111"/>
          <w:sz w:val="28"/>
          <w:sz w:val="28"/>
          <w:szCs w:val="28"/>
          <w:rtl w:val="true"/>
          <w:lang w:bidi="fa-IR"/>
        </w:rPr>
        <w:t>و القواعد</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الفقهاء علی صحّة إحرامه و حجّه إن کان ممیّزا</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الروضة</w:t>
      </w:r>
      <w:r>
        <w:rPr>
          <w:rStyle w:val="FootnoteAnchor"/>
          <w:rtl w:val="true"/>
        </w:rPr>
        <w:footnoteReference w:id="1057"/>
      </w:r>
      <w:r>
        <w:rPr>
          <w:rFonts w:ascii="IRNazanin" w:hAnsi="IRNazanin" w:eastAsia="IRNazanin"/>
          <w:color w:val="111111"/>
          <w:sz w:val="28"/>
          <w:sz w:val="28"/>
          <w:szCs w:val="28"/>
          <w:rtl w:val="true"/>
          <w:lang w:bidi="fa-IR"/>
        </w:rPr>
        <w:t>و المسالک</w:t>
      </w:r>
      <w:r>
        <w:rPr>
          <w:rStyle w:val="FootnoteAnchor"/>
          <w:rtl w:val="true"/>
        </w:rPr>
        <w:footnoteReference w:id="1058"/>
      </w:r>
      <w:r>
        <w:rPr>
          <w:rFonts w:ascii="IRNazanin" w:hAnsi="IRNazanin" w:eastAsia="IRNazanin"/>
          <w:color w:val="111111"/>
          <w:sz w:val="28"/>
          <w:sz w:val="28"/>
          <w:szCs w:val="28"/>
          <w:rtl w:val="true"/>
          <w:lang w:bidi="fa-IR"/>
        </w:rPr>
        <w:t>و الذخیرة</w:t>
      </w:r>
      <w:r>
        <w:rPr>
          <w:rStyle w:val="FootnoteAnchor"/>
          <w:rtl w:val="true"/>
        </w:rPr>
        <w:footnoteReference w:id="1059"/>
      </w:r>
      <w:r>
        <w:rPr>
          <w:rFonts w:ascii="IRNazanin" w:hAnsi="IRNazanin" w:eastAsia="IRNazanin"/>
          <w:color w:val="111111"/>
          <w:sz w:val="28"/>
          <w:sz w:val="28"/>
          <w:szCs w:val="28"/>
          <w:rtl w:val="true"/>
          <w:lang w:bidi="fa-IR"/>
        </w:rPr>
        <w:t>و الکفایة</w:t>
      </w:r>
      <w:r>
        <w:rPr>
          <w:rStyle w:val="FootnoteAnchor"/>
          <w:rtl w:val="true"/>
        </w:rPr>
        <w:footnoteReference w:id="1060"/>
      </w:r>
      <w:bookmarkStart w:id="406" w:name="pg11756_104015"/>
    </w:p>
    <w:p>
      <w:pPr>
        <w:pStyle w:val="BookText"/>
        <w:rPr/>
      </w:pPr>
      <w:bookmarkEnd w:id="406"/>
      <w:r>
        <w:rPr>
          <w:rFonts w:ascii="IRNazanin" w:hAnsi="IRNazanin" w:eastAsia="IRNazanin"/>
          <w:color w:val="111111"/>
          <w:sz w:val="28"/>
          <w:sz w:val="28"/>
          <w:szCs w:val="28"/>
          <w:rtl w:val="true"/>
          <w:lang w:bidi="fa-IR"/>
        </w:rPr>
        <w:t>و الحدائق</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حجّ عنهما أو حجّ بهما الولیّ صحّ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الصبیّ فلا نعرف فیه خلافا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المدارک</w:t>
      </w:r>
      <w:r>
        <w:rPr>
          <w:rStyle w:val="FootnoteAnchor"/>
          <w:rtl w:val="true"/>
        </w:rPr>
        <w:footnoteReference w:id="1063"/>
      </w:r>
      <w:r>
        <w:rPr>
          <w:rFonts w:ascii="IRNazanin" w:hAnsi="IRNazanin" w:eastAsia="IRNazanin"/>
          <w:color w:val="111111"/>
          <w:sz w:val="28"/>
          <w:sz w:val="28"/>
          <w:szCs w:val="28"/>
          <w:rtl w:val="true"/>
          <w:lang w:bidi="fa-IR"/>
        </w:rPr>
        <w:t>، و ادّعی فی الریاض</w:t>
      </w:r>
      <w:r>
        <w:rPr>
          <w:rStyle w:val="FootnoteAnchor"/>
          <w:rtl w:val="true"/>
        </w:rPr>
        <w:footnoteReference w:id="1064"/>
      </w:r>
      <w:r>
        <w:rPr>
          <w:rFonts w:ascii="IRNazanin" w:hAnsi="IRNazanin" w:eastAsia="IRNazanin"/>
          <w:color w:val="111111"/>
          <w:sz w:val="28"/>
          <w:sz w:val="28"/>
          <w:szCs w:val="28"/>
          <w:rtl w:val="true"/>
          <w:lang w:bidi="fa-IR"/>
        </w:rPr>
        <w:t>الإجماع علیه، و کذا فی المستند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أنّه یصحّ إحرام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شرعیّة عبادته</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کثیر من أعلام العصر</w:t>
      </w:r>
      <w:r>
        <w:rPr>
          <w:rStyle w:val="FootnoteAnchor"/>
          <w:rtl w:val="true"/>
        </w:rPr>
        <w:footnoteReference w:id="1067"/>
      </w:r>
      <w:r>
        <w:rPr>
          <w:rFonts w:ascii="IRNazanin" w:hAnsi="IRNazanin" w:eastAsia="IRNazanin"/>
          <w:color w:val="111111"/>
          <w:sz w:val="28"/>
          <w:sz w:val="28"/>
          <w:szCs w:val="28"/>
          <w:rtl w:val="true"/>
          <w:lang w:bidi="fa-IR"/>
        </w:rPr>
        <w:t>،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للصبیّ الممیّز أن یحجّ و إن لم یکن مجزئا عن حجّة الإسلام</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643717_73709187"/>
      <w:bookmarkStart w:id="408" w:name="_Toc153"/>
      <w:bookmarkEnd w:id="407"/>
      <w:r>
        <w:rPr>
          <w:rtl w:val="true"/>
        </w:rPr>
        <w:t>أدلّة صحّة حجّ الصبیّ الممیّز</w:t>
      </w:r>
      <w:bookmarkEnd w:id="408"/>
    </w:p>
    <w:p>
      <w:pPr>
        <w:pStyle w:val="Heading5"/>
        <w:numPr>
          <w:ilvl w:val="4"/>
          <w:numId w:val="1"/>
        </w:numPr>
        <w:rPr/>
      </w:pPr>
      <w:bookmarkStart w:id="409" w:name="__RefHeading___Toc9643719_73709187"/>
      <w:bookmarkStart w:id="410" w:name="_Toc154"/>
      <w:bookmarkEnd w:id="409"/>
      <w:r>
        <w:rPr>
          <w:rtl w:val="true"/>
        </w:rPr>
        <w:t>اشارة</w:t>
      </w:r>
      <w:bookmarkEnd w:id="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الأدلّة المتقدّمة التی استدلّ بها علی مشروعیّة عبادات الصبیّ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 کما فی التذکرة و کشف اللثام</w:t>
      </w:r>
      <w:r>
        <w:rPr>
          <w:rStyle w:val="FootnoteAnchor"/>
          <w:rtl w:val="true"/>
        </w:rPr>
        <w:footnoteReference w:id="1070"/>
      </w:r>
      <w:r>
        <w:rPr>
          <w:rFonts w:ascii="IRNazanin" w:hAnsi="IRNazanin" w:eastAsia="IRNazanin"/>
          <w:color w:val="111111"/>
          <w:sz w:val="28"/>
          <w:sz w:val="28"/>
          <w:szCs w:val="28"/>
          <w:rtl w:val="true"/>
          <w:lang w:bidi="fa-IR"/>
        </w:rPr>
        <w:t>، بل ادّعی علیه الإجماع فی المستند</w:t>
      </w:r>
      <w:r>
        <w:rPr>
          <w:rStyle w:val="FootnoteAnchor"/>
          <w:rtl w:val="true"/>
        </w:rPr>
        <w:footnoteReference w:id="1071"/>
      </w:r>
      <w:r>
        <w:rPr>
          <w:rFonts w:ascii="Amiri" w:hAnsi="Amiri" w:eastAsia="Amiri" w:cs="Amiri"/>
          <w:color w:val="111111"/>
          <w:sz w:val="28"/>
          <w:sz w:val="28"/>
          <w:szCs w:val="28"/>
          <w:rtl w:val="true"/>
          <w:lang w:bidi="ar-SA"/>
        </w:rPr>
        <w:t>و المهذّب</w:t>
      </w:r>
      <w:r>
        <w:rPr>
          <w:rStyle w:val="FootnoteAnchor"/>
          <w:rtl w:val="true"/>
        </w:rPr>
        <w:footnoteReference w:id="1072"/>
      </w:r>
      <w:r>
        <w:rPr>
          <w:rFonts w:ascii="IRNazanin" w:hAnsi="IRNazanin" w:eastAsia="IRNazanin"/>
          <w:color w:val="111111"/>
          <w:sz w:val="28"/>
          <w:sz w:val="28"/>
          <w:szCs w:val="28"/>
          <w:rtl w:val="true"/>
          <w:lang w:bidi="fa-IR"/>
        </w:rPr>
        <w:t>و المستمسک</w:t>
      </w:r>
      <w:r>
        <w:rPr>
          <w:rStyle w:val="FootnoteAnchor"/>
          <w:rtl w:val="true"/>
        </w:rPr>
        <w:footnoteReference w:id="1073"/>
      </w:r>
      <w:r>
        <w:rPr>
          <w:rFonts w:ascii="IRNazanin" w:hAnsi="IRNazanin" w:eastAsia="IRNazanin"/>
          <w:color w:val="111111"/>
          <w:sz w:val="28"/>
          <w:sz w:val="28"/>
          <w:szCs w:val="28"/>
          <w:rtl w:val="true"/>
          <w:lang w:bidi="fa-IR"/>
        </w:rPr>
        <w:t>، و لکن حیث یحتمل أن یکون مستند المجمعین بعض الوجوه الآتیة یخرج الإجماع عن الأصالة، و لا تکون له کاشفیّة بنفسه، کما فی تفصیل الشریعة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فضل الحجّ</w:t>
      </w:r>
      <w:r>
        <w:rPr>
          <w:rStyle w:val="FootnoteAnchor"/>
          <w:rtl w:val="true"/>
        </w:rPr>
        <w:footnoteReference w:id="1075"/>
      </w:r>
      <w:r>
        <w:rPr>
          <w:rFonts w:ascii="IRNazanin" w:hAnsi="IRNazanin" w:eastAsia="IRNazanin"/>
          <w:color w:val="111111"/>
          <w:sz w:val="28"/>
          <w:sz w:val="28"/>
          <w:szCs w:val="28"/>
          <w:rtl w:val="true"/>
          <w:lang w:bidi="fa-IR"/>
        </w:rPr>
        <w:t>علی سبیل الإطلاق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و اعتمروا تصحّ أبدانکم، تتّسع أرزاقکم</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الکافی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إبراهیم و إسماعیل علیهما السّلام ببناء البیت و تمّ بناؤه قعد إبراهیم علی رکن،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الحجّ، فلو 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إلی الحجّ لم یحجّ إلاّ من کان یومئذ إنسیّا مخلوقا، و لکنّه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فلبّی الناس فی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لبّی عشرا یحجّ عشرا</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الکافی عنه علیه السّلام 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عقد فی الوسائل بابا جمع فیه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رجحان الحجّ و استحبابه، و أنّ لمن فعل الحجّ فوائد کثیرة اخرویة و دنیویة، کقول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الحاجّ إذا أخذ فی جهازه لم یخط خطوة فی شیء من جهازه إلاّ کتب اللّه عزّ و جلّ 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له عشر درجات حتّی یفرغ من جهازه</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هذا البیت و هو یعلم أنّه البیت الذی أمره اللّه به، و عرفنا أهل البیت حقّ معرفتنا، کان آمنا فی الدّنیا و الآخرة</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و غیرهما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bookmarkStart w:id="411" w:name="pg11756_104018"/>
    </w:p>
    <w:p>
      <w:pPr>
        <w:pStyle w:val="BookText"/>
        <w:rPr/>
      </w:pPr>
      <w:bookmarkEnd w:id="411"/>
      <w:r>
        <w:rPr>
          <w:rFonts w:ascii="IRNazanin" w:hAnsi="IRNazanin" w:eastAsia="IRNazanin"/>
          <w:color w:val="111111"/>
          <w:sz w:val="28"/>
          <w:sz w:val="28"/>
          <w:szCs w:val="28"/>
          <w:rtl w:val="true"/>
          <w:lang w:bidi="fa-IR"/>
        </w:rPr>
        <w:t>فإنّها بعمومها أو إطلاقها تشمل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رضوان اللّه تعالی و الطریق إلی غفرانه و غیرهما من الامور الهامّة التی اشیر إلیها فی هذه النصوص تختصّ بالمکلّفین، و یمنع الصبیان الممیّزون عن 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المجیبون لدعوة إبراهیم علیه السّلام هم البالغون فقط، بل الظاهر أنّ هذه الدعوة تشمل الصبیان، و الفوائد المترتّبة غیر مختصّة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رفع عنهم الإلزام بحدیث الرفع؛ امتنانا لهم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أن یستدلّ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مشروعیّة عمل الصبیّ الممیّز و صحّة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ما دلّ علی فضل مثل الحجّ و الصلاة و غیرهما، و ترتّب الثواب من دون تقیید، غایة الأمر رفع القلم و المؤاخذة عنه</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مجال لتخصیصها أو تقییدها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رفع القلم عن الصبیّ بعد ظهوره فی نفسه بلحاظ کلمة الرفع و تعدیته بعن، و بلحاظ وقوعه فی مقام الامتنان فی رفع خصوص التکالیف الإلزامیّة؛ لعدم ثبوت الکلفة و المشقّة فی غیرها، و عدم کون رفعه ملائما للامتنان بوجه، فتبقی دلالة هذه الروایات باقیة علی عمومها و إطلاقها، شاملة للصبیّ أیضا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9643721_73709187"/>
      <w:bookmarkStart w:id="413" w:name="_Toc155"/>
      <w:bookmarkEnd w:id="412"/>
      <w:r>
        <w:rPr>
          <w:rtl w:val="true"/>
        </w:rPr>
        <w:t>حج الصبیّ لا یجزی عن حجّة الإسلام</w:t>
      </w:r>
      <w:bookmarkEnd w:id="4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المتقدّمة</w:t>
      </w:r>
      <w:r>
        <w:rPr>
          <w:rStyle w:val="FootnoteAnchor"/>
          <w:rtl w:val="true"/>
        </w:rPr>
        <w:footnoteReference w:id="1084"/>
      </w:r>
      <w:r>
        <w:rPr>
          <w:rFonts w:ascii="Amiri" w:hAnsi="Amiri" w:eastAsia="Amiri" w:cs="Amiri"/>
          <w:color w:val="111111"/>
          <w:sz w:val="28"/>
          <w:sz w:val="28"/>
          <w:szCs w:val="28"/>
          <w:rtl w:val="true"/>
          <w:lang w:bidi="ar-SA"/>
        </w:rPr>
        <w:t>الدالّة علی أنّ حجّ الصبیّ لا یجزی عن حجّة الإسلام، فإنّه لا بدّ من فرض صحّة حجّه حتّی یقال بالإجزاء أو بعدم</w:t>
      </w:r>
    </w:p>
    <w:p>
      <w:pPr>
        <w:pStyle w:val="BookText"/>
        <w:rPr/>
      </w:pPr>
      <w:r>
        <w:rPr>
          <w:rFonts w:ascii="Amiri" w:hAnsi="Amiri" w:eastAsia="Amiri" w:cs="Amiri"/>
          <w:color w:val="111111"/>
          <w:sz w:val="28"/>
          <w:sz w:val="28"/>
          <w:szCs w:val="28"/>
          <w:rtl w:val="true"/>
          <w:lang w:bidi="ar-SA"/>
        </w:rPr>
        <w:t>الإجزاء، و إلاّ فالحجّ الباطل لا مجال لإجزائه عن حجّة الإسلام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استحباب إحجاج الصبیّ 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سنذکرها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إحجاج الصبیّ غیر الممیّز مستحبّا، فحجّ الصبیّ الممیّز مستحبّ بالأولویّة القطعیّة، بل بعض تلک الأخبار یشمل الممیّز أیضا، کصحیحة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 به، و یصلّی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 و یصوم الکبار، و یتّقی علیهم ما یتّقی علی المحرم من الثیاب و الطیب، و إن قتل صیدا فعلی أبیه</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صریحة فی أنّه یحجّ بالصبیّ إن لم یقدر أن یحجّ بنفسه، و إلاّ حجّ هو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التمرین غیر مناسب لصلاة الأب عنه</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 به فقد قضی حجّة الإسلام حتّی یکبر، و العبد إذا حجّ به فقد قضی حجّة الإسلام حتّی یعتق</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فإنّ الذیل قرینة علی أنّ المراد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بالحجّ و الإذن له فیه؛ لأنّه لا معنی لإحجاج العبد فی مقابل الصبیّ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المستند فی شرحهما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یوجبه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 الإحرام و التلبیة، أو الإشعار، أو التقلید، فإنّ الصبیّ فی تلک الأخبار أعمّ من</w:t>
      </w:r>
    </w:p>
    <w:p>
      <w:pPr>
        <w:pStyle w:val="BookText"/>
        <w:rPr/>
      </w:pPr>
      <w:r>
        <w:rPr>
          <w:rFonts w:ascii="IRNazanin" w:hAnsi="IRNazanin" w:eastAsia="IRNazanin"/>
          <w:color w:val="111111"/>
          <w:sz w:val="28"/>
          <w:sz w:val="28"/>
          <w:szCs w:val="28"/>
          <w:rtl w:val="true"/>
          <w:lang w:bidi="fa-IR"/>
        </w:rPr>
        <w:t>الممیّز و غیره بل فی الأخیرة تصریح بکلّ منهما، و لا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أعمّ من الأمر بمباشرته أو جعله مباشرا، بقرینة قوله فی روایة أبان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العبد إذا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قوله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وجوب الحجّ علی البالغین</w:t>
      </w:r>
      <w:r>
        <w:rPr>
          <w:rStyle w:val="FootnoteAnchor"/>
          <w:rtl w:val="true"/>
        </w:rPr>
        <w:footnoteReference w:id="1090"/>
      </w:r>
      <w:r>
        <w:rPr>
          <w:rFonts w:ascii="IRNazanin" w:hAnsi="IRNazanin" w:eastAsia="IRNazanin"/>
          <w:color w:val="111111"/>
          <w:sz w:val="28"/>
          <w:sz w:val="28"/>
          <w:szCs w:val="28"/>
          <w:rtl w:val="true"/>
          <w:lang w:bidi="fa-IR"/>
        </w:rPr>
        <w:t>؛ إذ المرفوع عن الصبیّ هو الإلزام الثابت علی البالغین، لا أصل الرجحان؛ إذ لیس فی رفع أصل الرجحان امتنان، بل هو خلاف الامتنان، کما فی مصباح الهدی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حثّ الصبیان علی العبادات، إمّا مستقیما، أو من جانب الأولیاء، بل صدور أمثال تلک الروایات شاهد علی کون حجّ الصبیان معمولا بین المسلمین کما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لعلّه یستفاد منه أنّ مناط العبادات علی الصبیّ ذلک، أی کونها عبادة من دون خصوصیّة للصلاة، خصوصا بضمیمة ما ورد</w:t>
      </w:r>
      <w:r>
        <w:rPr>
          <w:rStyle w:val="FootnoteAnchor"/>
          <w:rtl w:val="true"/>
        </w:rPr>
        <w:footnoteReference w:id="1093"/>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 فیمکن دعوی استحباب الطواف للصبیّ بملاحظة هذا الخبر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کشف هذا الملاک و الحکم بأنّ الحجّ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یستحبّ</w:t>
      </w:r>
      <w:bookmarkStart w:id="414" w:name="pg11756_104021"/>
    </w:p>
    <w:p>
      <w:pPr>
        <w:pStyle w:val="BookText"/>
        <w:rPr/>
      </w:pPr>
      <w:bookmarkEnd w:id="414"/>
      <w:r>
        <w:rPr>
          <w:rFonts w:ascii="IRNazanin" w:hAnsi="IRNazanin" w:eastAsia="IRNazanin"/>
          <w:color w:val="111111"/>
          <w:sz w:val="28"/>
          <w:sz w:val="28"/>
          <w:szCs w:val="28"/>
          <w:rtl w:val="true"/>
          <w:lang w:bidi="fa-IR"/>
        </w:rPr>
        <w:t xml:space="preserve">للصبیّ الممیّز إتیان الصلاة إذا کان ابن سبع سنین یستحبّ له الحجّ بنفس ما ورد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جدّا؛ لأنّ الحجّ و الصلاة حقیقتان مختلفتان و إن اشترکتا فی أصل العبادیّة، فقیاس الحجّ بالصلاة لا دلیل علیه کما هو ظاهر، و لکن الطوائف المتقدّمة من الروایات تکفی فی إثبات الحکم، فصحّة حجّ الصبیّ الممیّز و استحبابه له ممّا لا إشکال فیه نصّا و فتوی</w:t>
      </w:r>
      <w:r>
        <w:rPr>
          <w:rFonts w:eastAsia="IRNazanin" w:cs="IRNazanin"/>
          <w:color w:val="111111"/>
          <w:sz w:val="28"/>
          <w:szCs w:val="28"/>
          <w:rtl w:val="true"/>
          <w:lang w:bidi="fa-IR"/>
        </w:rPr>
        <w:t>.</w:t>
      </w:r>
    </w:p>
    <w:p>
      <w:pPr>
        <w:pStyle w:val="Heading4"/>
        <w:numPr>
          <w:ilvl w:val="3"/>
          <w:numId w:val="1"/>
        </w:numPr>
        <w:rPr/>
      </w:pPr>
      <w:bookmarkStart w:id="415" w:name="__RefHeading___Toc9643723_73709187"/>
      <w:bookmarkStart w:id="416" w:name="_Toc156"/>
      <w:bookmarkEnd w:id="415"/>
      <w:r>
        <w:rPr>
          <w:rtl w:val="true"/>
        </w:rPr>
        <w:t>استحباب إحجاج الصبیّ غیر الممیّز</w:t>
      </w:r>
      <w:bookmarkEnd w:id="416"/>
    </w:p>
    <w:p>
      <w:pPr>
        <w:pStyle w:val="BookText"/>
        <w:rPr/>
      </w:pPr>
      <w:r>
        <w:rPr>
          <w:rFonts w:ascii="IRNazanin" w:hAnsi="IRNazanin" w:eastAsia="IRNazanin"/>
          <w:color w:val="111111"/>
          <w:sz w:val="28"/>
          <w:sz w:val="28"/>
          <w:szCs w:val="28"/>
          <w:rtl w:val="true"/>
          <w:lang w:bidi="fa-IR"/>
        </w:rPr>
        <w:t>المشهور بین الأصحاب استحباب إحجاج الصبیّ للولیّ، بل ادّعی الإجماع علیه</w:t>
      </w:r>
      <w:r>
        <w:rPr>
          <w:rStyle w:val="FootnoteAnchor"/>
          <w:rtl w:val="true"/>
        </w:rPr>
        <w:footnoteReference w:id="1096"/>
      </w:r>
      <w:r>
        <w:rPr>
          <w:rFonts w:ascii="IRNazanin" w:hAnsi="IRNazanin" w:eastAsia="IRNazanin"/>
          <w:color w:val="111111"/>
          <w:sz w:val="28"/>
          <w:sz w:val="28"/>
          <w:szCs w:val="28"/>
          <w:rtl w:val="true"/>
          <w:lang w:bidi="fa-IR"/>
        </w:rPr>
        <w:t>، و لا فرق فی ذلک بین کون الصبیّ ممیّزا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بینهما أنّه إن کان ممیّزا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للولیّ أمره بأن یفعل الحجّ، و أن یعلّمه مناسکه حتّی حجّ بنفسه، و الحجّ یکون مستحبّا للصبیّ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الممیّز فحیث لا یدرک العبادة و لم یکن قابلا للتکلیف و لو استحبابا، و لا یمکنه قصد العبادة فلا معنی لاستحباب الحجّ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إحجاجه، بمعنی أنّه یستحبّ لولیّه ذلک، بأن یلبسه ثوبی الإحرام و یحرمه،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أحرمت بابنی هذا، إلی آخر النیّة، و یلقّنه إن أمکن، و إلاّ یلبّی عنه و یجنّبه من محرّمات الإحرام و یطوف به، و هکذا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ثواب حجّه یکون لولیّه، و هو الذی یکون مأجورا عند اللّه تعالی، و یکون بالنسبة إلی الصبیّ تمرینا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للصبیّ أیضا أجر، من دون أن ینقص من أجر الولیّ شیئا؛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فی بعض</w:t>
      </w:r>
    </w:p>
    <w:p>
      <w:pPr>
        <w:pStyle w:val="BookText"/>
        <w:rPr/>
      </w:pPr>
      <w:r>
        <w:rPr>
          <w:rFonts w:ascii="IRNazanin" w:hAnsi="IRNazanin" w:eastAsia="IRNazanin"/>
          <w:color w:val="111111"/>
          <w:sz w:val="28"/>
          <w:sz w:val="28"/>
          <w:szCs w:val="28"/>
          <w:rtl w:val="true"/>
          <w:lang w:bidi="fa-IR"/>
        </w:rPr>
        <w:t xml:space="preserve">النصوص بإحرام الطفل الصغیر الذی لا یدرک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صورة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تمرینا و فضل اللّه علی العباد کثیر، صغیرهم و کبیرهم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استحباب إحجاج الصبیّ للولیّ، و لو کان غیر ممیّز من مسلّمات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له الحجّ بإحرام ولیّه عنه إن لم یکن ممیّزا</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طفلا لا یمیّز جاز أن یحرم عنه الولیّ</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أن یحرم عن غیر الممیّز ولیّه ندبا</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100"/>
      </w:r>
      <w:r>
        <w:rPr>
          <w:rFonts w:ascii="IRNazanin" w:hAnsi="IRNazanin" w:eastAsia="IRNazanin"/>
          <w:color w:val="111111"/>
          <w:sz w:val="28"/>
          <w:sz w:val="28"/>
          <w:szCs w:val="28"/>
          <w:rtl w:val="true"/>
          <w:lang w:bidi="fa-IR"/>
        </w:rPr>
        <w:t>و المعتبر</w:t>
      </w:r>
      <w:r>
        <w:rPr>
          <w:rStyle w:val="FootnoteAnchor"/>
          <w:rtl w:val="true"/>
        </w:rPr>
        <w:footnoteReference w:id="1101"/>
      </w:r>
      <w:r>
        <w:rPr>
          <w:rFonts w:ascii="IRNazanin" w:hAnsi="IRNazanin" w:eastAsia="IRNazanin"/>
          <w:color w:val="111111"/>
          <w:sz w:val="28"/>
          <w:sz w:val="28"/>
          <w:szCs w:val="28"/>
          <w:rtl w:val="true"/>
          <w:lang w:bidi="fa-IR"/>
        </w:rPr>
        <w:t>و التحریر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غیر ممیّز جاز لولیّه أن یحرم عنه، و یکون إحرامه شرعیّا</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الروضة</w:t>
      </w:r>
      <w:r>
        <w:rPr>
          <w:rStyle w:val="FootnoteAnchor"/>
          <w:rtl w:val="true"/>
        </w:rPr>
        <w:footnoteReference w:id="1104"/>
      </w:r>
      <w:r>
        <w:rPr>
          <w:rFonts w:ascii="IRNazanin" w:hAnsi="IRNazanin" w:eastAsia="IRNazanin"/>
          <w:color w:val="111111"/>
          <w:sz w:val="28"/>
          <w:sz w:val="28"/>
          <w:szCs w:val="28"/>
          <w:rtl w:val="true"/>
          <w:lang w:bidi="fa-IR"/>
        </w:rPr>
        <w:t>و الذخیرة</w:t>
      </w:r>
      <w:r>
        <w:rPr>
          <w:rStyle w:val="FootnoteAnchor"/>
          <w:rtl w:val="true"/>
        </w:rPr>
        <w:footnoteReference w:id="1105"/>
      </w:r>
      <w:r>
        <w:rPr>
          <w:rFonts w:ascii="IRNazanin" w:hAnsi="IRNazanin" w:eastAsia="IRNazanin"/>
          <w:color w:val="111111"/>
          <w:sz w:val="28"/>
          <w:sz w:val="28"/>
          <w:szCs w:val="28"/>
          <w:rtl w:val="true"/>
          <w:lang w:bidi="fa-IR"/>
        </w:rPr>
        <w:t>و الحدائق</w:t>
      </w:r>
      <w:r>
        <w:rPr>
          <w:rStyle w:val="FootnoteAnchor"/>
          <w:rtl w:val="true"/>
        </w:rPr>
        <w:footnoteReference w:id="1106"/>
      </w:r>
      <w:r>
        <w:rPr>
          <w:rFonts w:ascii="IRNazanin" w:hAnsi="IRNazanin" w:eastAsia="IRNazanin"/>
          <w:color w:val="111111"/>
          <w:sz w:val="28"/>
          <w:sz w:val="28"/>
          <w:szCs w:val="28"/>
          <w:rtl w:val="true"/>
          <w:lang w:bidi="fa-IR"/>
        </w:rPr>
        <w:t>و المستند</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بلا خلاف</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المراد بإحرام الولیّ عن غیر الممیّز و المجنون کونه نائبا عنهما فی ذلک، بل جعلهما محرمین، سواء کان هو محلاّ أو محرما کما صرّح به الأصحاب</w:t>
      </w:r>
      <w:r>
        <w:rPr>
          <w:rFonts w:eastAsia="IRNazanin" w:cs="IRNazanin"/>
          <w:color w:val="111111"/>
          <w:sz w:val="28"/>
          <w:szCs w:val="28"/>
          <w:rtl w:val="true"/>
          <w:lang w:bidi="fa-IR"/>
        </w:rPr>
        <w:t>»</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 أصل مشروعیّة ذلک للولیّ، بل یمکن تحصیل 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ظاهر النصّ و الفتوی کون الإحرام بالصبیّ علی معنی جعله محرما بفعله، لا أنّه ینوب عنه فی الإحرام</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أیضا فی العروة</w:t>
      </w:r>
      <w:r>
        <w:rPr>
          <w:rStyle w:val="FootnoteAnchor"/>
          <w:rtl w:val="true"/>
        </w:rPr>
        <w:footnoteReference w:id="1112"/>
      </w:r>
      <w:r>
        <w:rPr>
          <w:rFonts w:ascii="Amiri" w:hAnsi="Amiri" w:eastAsia="Amiri" w:cs="Amiri"/>
          <w:color w:val="111111"/>
          <w:sz w:val="28"/>
          <w:sz w:val="28"/>
          <w:szCs w:val="28"/>
          <w:rtl w:val="true"/>
          <w:lang w:bidi="ar-SA"/>
        </w:rPr>
        <w:t>و المهذّب</w:t>
      </w:r>
      <w:r>
        <w:rPr>
          <w:rStyle w:val="FootnoteAnchor"/>
          <w:rtl w:val="true"/>
        </w:rPr>
        <w:footnoteReference w:id="1113"/>
      </w:r>
      <w:r>
        <w:rPr>
          <w:rFonts w:ascii="IRNazanin" w:hAnsi="IRNazanin" w:eastAsia="IRNazanin"/>
          <w:color w:val="111111"/>
          <w:sz w:val="28"/>
          <w:sz w:val="28"/>
          <w:szCs w:val="28"/>
          <w:rtl w:val="true"/>
          <w:lang w:bidi="fa-IR"/>
        </w:rPr>
        <w:t>و المعتمد فی شرح العروة الوثقی</w:t>
      </w:r>
      <w:r>
        <w:rPr>
          <w:rStyle w:val="FootnoteAnchor"/>
          <w:rtl w:val="true"/>
        </w:rPr>
        <w:footnoteReference w:id="1114"/>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للولیّ أن یحرم بالصبیّ غیر الممیّز، فیجعله محرما و یلبسه ثوبی الإحرام، و ینوی عنه، و یلقّنه التلبیة إن أمکن، و إلاّ یلبّی عنه، و یجنّبه عن محرّمات الإحرام، و یأمره بکلّ من أفعاله، و إن لم یتمکّن شیئا منها ینوب عنه، و یطوف به</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bookmarkStart w:id="417" w:name="pg11756_104024"/>
    </w:p>
    <w:p>
      <w:pPr>
        <w:pStyle w:val="Heading4"/>
        <w:numPr>
          <w:ilvl w:val="3"/>
          <w:numId w:val="1"/>
        </w:numPr>
        <w:rPr/>
      </w:pPr>
      <w:bookmarkStart w:id="418" w:name="__RefHeading___Toc9643725_73709187"/>
      <w:bookmarkStart w:id="419" w:name="_Toc157"/>
      <w:bookmarkEnd w:id="417"/>
      <w:bookmarkEnd w:id="418"/>
      <w:r>
        <w:rPr>
          <w:rtl w:val="true"/>
        </w:rPr>
        <w:t>أدلّة استحباب إحجاج الصبیّ للولیّ</w:t>
      </w:r>
      <w:bookmarkEnd w:id="419"/>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عدم الخلاف کما تقدّم، إلاّ أنّه مدرکیّ، أو محتمل المدرکیّة، فلا یکون دلیلا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امّه تلقی حمیدة فتسألها کیف تصنع بصبیانها؟ فأتتها فسألتها کیف تصنع؟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فأحرموا عنه، و جرّدوه و غسّلوه کما یجرّد المحرم، وقفوا به المواقف، فإذا کان یوم النحر فارموا عنه، و أحلقوا رأسه، ثمّ زوروا به البیت، و مری الجاریة أن تطوف به بالبیت بین الصفا و المروة</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حمیدة زوجة الإمام أبی عبد اللّه الصادق علیه السّلام، و امّ موسی بن جعفر علیهما السّلام، و کانت تقیّة صالحة عالمة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 یصنع بهم ما یصنع بالمحرم، یطاف بهم و یرمی عنهم، و من لا یجد الهدی منهم فلیصم عنه ولیّه</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w:t>
      </w:r>
    </w:p>
    <w:p>
      <w:pPr>
        <w:pStyle w:val="BookText"/>
        <w:rPr/>
      </w:pPr>
      <w:r>
        <w:rPr>
          <w:rFonts w:ascii="IRNazanin" w:hAnsi="IRNazanin" w:eastAsia="IRNazanin"/>
          <w:color w:val="111111"/>
          <w:sz w:val="28"/>
          <w:sz w:val="28"/>
          <w:szCs w:val="28"/>
          <w:rtl w:val="true"/>
          <w:lang w:bidi="fa-IR"/>
        </w:rPr>
        <w:t>به و یصلّی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 و یصوم الکبار، و یتّقی علیهم ما یتّقی علی المحرم من الثیاب و الطیب، و إن قتل صیدا فعلی أبیه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w:t>
      </w:r>
      <w:r>
        <w:rPr>
          <w:rStyle w:val="FootnoteAnchor"/>
          <w:rtl w:val="true"/>
        </w:rPr>
        <w:footnoteReference w:id="1120"/>
      </w:r>
      <w:r>
        <w:rPr>
          <w:rFonts w:ascii="IRNazanin" w:hAnsi="IRNazanin" w:eastAsia="IRNazanin"/>
          <w:color w:val="111111"/>
          <w:sz w:val="28"/>
          <w:sz w:val="28"/>
          <w:szCs w:val="28"/>
          <w:rtl w:val="true"/>
          <w:lang w:bidi="fa-IR"/>
        </w:rPr>
        <w:t>الدالّة علیه، و قد عقد فی الوسائل بابا مستقلاّ لذلک، جمع فیه الصحاح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هذه الروایات کفتاوی الأصحاب إطلاق الحکم فی الصبیّ، و أنّه لا یکون له حدّ، فالطفل الذی ولد من یومه یجری فی ولیّه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روایة واحدة ظاهرة فی التحدید، و هی روایة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الثانی علیه السّلام عن الصبیّ متی یحرم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من باب الإفعال بمعنی سقوط رواضع الصبیّ، و یحتمل أن یکون من باب الافتعال بالتاء و الثاء،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اثتغر، قلبت التاء ثاء، فصار اثّغر بالتشدید، و هو ما تقدّم من الأسنان، کما فی النهایة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سقطت رواضع الصبیّ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 فهو مثغور، و إذا نبتت أسنانه بعد السقوط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اثّغر، بالتشدید الثاء</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کلا التقدیرین فمقتضی ورود الروایة فی مقام التحدید، و ظهورها فی مفروغیّة ثبوت الحدّ عند السائل، و التقریر له فی الجواب ببیان الحدّ، أن تکون الروایة مخالفة للروایات المتقدّمة</w:t>
      </w:r>
      <w:r>
        <w:rPr>
          <w:rFonts w:eastAsia="IRNazanin" w:cs="IRNazanin"/>
          <w:color w:val="111111"/>
          <w:sz w:val="28"/>
          <w:szCs w:val="28"/>
          <w:rtl w:val="true"/>
          <w:lang w:bidi="fa-IR"/>
        </w:rPr>
        <w:t>.</w:t>
      </w:r>
      <w:bookmarkStart w:id="420" w:name="pg11756_104026"/>
    </w:p>
    <w:p>
      <w:pPr>
        <w:pStyle w:val="BookText"/>
        <w:rPr/>
      </w:pPr>
      <w:bookmarkEnd w:id="420"/>
      <w:r>
        <w:rPr>
          <w:rFonts w:ascii="IRNazanin" w:hAnsi="IRNazanin" w:eastAsia="IRNazanin"/>
          <w:color w:val="111111"/>
          <w:sz w:val="28"/>
          <w:sz w:val="28"/>
          <w:szCs w:val="28"/>
          <w:rtl w:val="true"/>
          <w:lang w:bidi="fa-IR"/>
        </w:rPr>
        <w:t>و لا مجال لدعوی عدم المعارضة و لو بالإطلاق و التقیید؛ لکونهما مثبتین، و ذلک لأجل اقتضاء مقام التحدید لذلک، غایة الأمر أنّ ما دلّ من الروایات المتقدّمة بالإطلاق تکون قابلة للتقیید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صحیحة ابن الحجّاج الذی ورد فی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 صبیّا مولودا لا تجتمع مع هذه الروایة بوجه، سواء کانت من باب الإفعال أو من باب الافتعال؛ لأنّ الصبیّ مع وصف کونه مولودا یکون المتفاهم منه عند العرف هو الصبیّ الذی یکون قریب العهد بالولادة، و لم یمض من ولادته إلاّ زمان قلیل، مع أنّ الاثّغار لا یتحقّق إلاّ بمضیّ أشهر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فتقع المعارضة بینها و بین هذه الروایة، و الترجیح مع الصحیحة؛ لموافقة المشهور، کما فی تفصیل الشریعة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أمکن الجمع بینهما بتأکّد الاستحباب إذا أثغر، لا فی أصل الاستحباب، کما لیس ببعید؛ لأنّه جمع عرفی لا یحتاج إلی شاهد، و إن لم یکن الجمع بینهما، فالمرجع العمومات الشاملة للصبیّ قبل ستّة أشهر</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9643727_73709187"/>
      <w:bookmarkStart w:id="422" w:name="_Toc158"/>
      <w:bookmarkEnd w:id="421"/>
      <w:r>
        <w:rPr>
          <w:rtl w:val="true"/>
        </w:rPr>
        <w:t>عدم اختصاص الحکم بالصبیّ</w:t>
      </w:r>
      <w:bookmarkEnd w:id="422"/>
    </w:p>
    <w:p>
      <w:pPr>
        <w:pStyle w:val="Heading5"/>
        <w:numPr>
          <w:ilvl w:val="4"/>
          <w:numId w:val="1"/>
        </w:numPr>
        <w:rPr/>
      </w:pPr>
      <w:bookmarkStart w:id="423" w:name="__RefHeading___Toc9643729_73709187"/>
      <w:bookmarkStart w:id="424" w:name="_Toc159"/>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هل یختصّ هذا الحکم بالصبیّ، أو یشمل الصبیّة أیضا؟ فیه قولان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فی المستند</w:t>
      </w:r>
      <w:r>
        <w:rPr>
          <w:rStyle w:val="FootnoteAnchor"/>
          <w:rtl w:val="true"/>
        </w:rPr>
        <w:footnoteReference w:id="1126"/>
      </w:r>
      <w:r>
        <w:rPr>
          <w:rFonts w:ascii="IRNazanin" w:hAnsi="IRNazanin" w:eastAsia="IRNazanin"/>
          <w:color w:val="111111"/>
          <w:sz w:val="28"/>
          <w:sz w:val="28"/>
          <w:szCs w:val="28"/>
          <w:rtl w:val="true"/>
          <w:lang w:bidi="fa-IR"/>
        </w:rPr>
        <w:t>من اختصاص الحکم بالصبیّ، و استشکل</w:t>
      </w:r>
      <w:bookmarkStart w:id="425" w:name="pg11756_104027"/>
    </w:p>
    <w:p>
      <w:pPr>
        <w:pStyle w:val="BookText"/>
        <w:rPr/>
      </w:pPr>
      <w:bookmarkEnd w:id="425"/>
      <w:r>
        <w:rPr>
          <w:rFonts w:ascii="IRNazanin" w:hAnsi="IRNazanin" w:eastAsia="IRNazanin"/>
          <w:color w:val="111111"/>
          <w:sz w:val="28"/>
          <w:sz w:val="28"/>
          <w:szCs w:val="28"/>
          <w:rtl w:val="true"/>
          <w:lang w:bidi="fa-IR"/>
        </w:rPr>
        <w:t>فی الصبیّة، و فی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هو الأقرب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بأنّ النصوص تختصّ بالصبیّ، و إلحاق الصبیّة به یحتاج إلی دلیل،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الاقتصار فی الحکم المخالف للأصل علی القدر المتیقّن، فإنّ استحباب الإحجاج حکم مخالف للقاعدة، لا یکون معهودا فی شیء من العبادات الاخری، فإنّ موضع الاختلاف فی شرعیّة عبادات الصبیّ و تمرینیّتها هو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القدر المتیقّن فلدلالة الروایات المتقدّمة علی حکم الابن، أو الصبیّ، أو الصبیان الذی هو جمع الصبیّ، فلا یظهر منها حکم الصبیّة بوجه، کما فی تفصیل الشریعة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9643731_73709187"/>
      <w:bookmarkStart w:id="427" w:name="_Toc160"/>
      <w:bookmarkEnd w:id="426"/>
      <w:r>
        <w:rPr>
          <w:rtl w:val="true"/>
        </w:rPr>
        <w:t>رأی مشهور الفقهاء باشتراک الصبیّة و الصبیّ</w:t>
      </w:r>
      <w:bookmarkEnd w:id="427"/>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الفقهاء</w:t>
      </w:r>
      <w:r>
        <w:rPr>
          <w:rStyle w:val="FootnoteAnchor"/>
          <w:rtl w:val="true"/>
        </w:rPr>
        <w:footnoteReference w:id="1129"/>
      </w:r>
      <w:r>
        <w:rPr>
          <w:rFonts w:ascii="IRNazanin" w:hAnsi="IRNazanin" w:eastAsia="IRNazanin"/>
          <w:color w:val="111111"/>
          <w:sz w:val="28"/>
          <w:sz w:val="28"/>
          <w:szCs w:val="28"/>
          <w:rtl w:val="true"/>
          <w:lang w:bidi="fa-IR"/>
        </w:rPr>
        <w:t>، من اشتراک الصبیّة و الصبیّ فی هذا الحکم و عدم الفرق بینهما،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أنّ الصبیّة فی معناه</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أی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العروة</w:t>
      </w:r>
      <w:r>
        <w:rPr>
          <w:rStyle w:val="FootnoteAnchor"/>
          <w:rtl w:val="true"/>
        </w:rPr>
        <w:footnoteReference w:id="1131"/>
      </w:r>
      <w:r>
        <w:rPr>
          <w:rFonts w:ascii="IRNazanin" w:hAnsi="IRNazanin" w:eastAsia="IRNazanin"/>
          <w:color w:val="111111"/>
          <w:sz w:val="28"/>
          <w:sz w:val="28"/>
          <w:szCs w:val="28"/>
          <w:rtl w:val="true"/>
          <w:lang w:bidi="fa-IR"/>
        </w:rPr>
        <w:t>و تفصیل الشریعة</w:t>
      </w:r>
      <w:r>
        <w:rPr>
          <w:rStyle w:val="FootnoteAnchor"/>
          <w:rtl w:val="true"/>
        </w:rPr>
        <w:footnoteReference w:id="1132"/>
      </w:r>
      <w:r>
        <w:rPr>
          <w:rFonts w:ascii="IRNazanin" w:hAnsi="IRNazanin" w:eastAsia="IRNazanin"/>
          <w:color w:val="111111"/>
          <w:sz w:val="28"/>
          <w:sz w:val="28"/>
          <w:szCs w:val="28"/>
          <w:rtl w:val="true"/>
          <w:lang w:bidi="fa-IR"/>
        </w:rPr>
        <w:t>و غیرها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للقول المشهور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استحباب إحجاج الولیّ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یونس بن یعقوب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صبیة صغارا و أنا أخاف علیهم البرد، فمن أین یحرمون؟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 بهم العرج</w:t>
      </w:r>
      <w:r>
        <w:rPr>
          <w:rStyle w:val="FootnoteAnchor"/>
          <w:rtl w:val="true"/>
        </w:rPr>
        <w:footnoteReference w:id="1134"/>
      </w:r>
      <w:r>
        <w:rPr>
          <w:rFonts w:ascii="IRNazanin" w:hAnsi="IRNazanin" w:eastAsia="IRNazanin"/>
          <w:color w:val="111111"/>
          <w:sz w:val="28"/>
          <w:sz w:val="28"/>
          <w:szCs w:val="28"/>
          <w:rtl w:val="true"/>
          <w:lang w:bidi="fa-IR"/>
        </w:rPr>
        <w:t xml:space="preserve">، فلیحرموا منها، فإنّک إذا أتیت بهم العرج وقعت فی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خفت علیهم فایت بهم الجحفة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6"/>
      </w:r>
      <w:r>
        <w:rPr>
          <w:rFonts w:ascii="IRNazanin" w:hAnsi="IRNazanin" w:eastAsia="IRNazanin"/>
          <w:color w:val="111111"/>
          <w:sz w:val="28"/>
          <w:sz w:val="28"/>
          <w:szCs w:val="28"/>
          <w:rtl w:val="true"/>
          <w:lang w:bidi="fa-IR"/>
        </w:rPr>
        <w:t>، و غیرها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الصبیة و إن کانت جمعا للصبیّ و جمع الصبیّة الصبایا، إلاّ أنّ المتفاهم العرفی من الصبیة الصغار من الأولاد أعمّ من الذکور و الإناث، مضافا إلی أنّ الظاهر أنّ ذکر الصبیّ فی هذه الأخبار من باب المثال لا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عنها فی المستند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الثابت من هذه الروایة هو حجّ الصبیة، و هو یثبت من العمومات أیضا، لا الحجّ به</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تلک الروایات رجحان حجّ الصبیة بأنفسهم، و الروایات الواردة فی الإحجاج موردها الصبیّ، و لا تشمل الصبیّة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مخالف لقوله علیه السّلام فی 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بهم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 علیهم فائت بهم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وجوب الحجّ علی الصبیّ و الصبیّة بعد الاحتلام و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شهاب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 ما رواه 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أنّه قال فی الصبیّ یحجّ به و 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یجزئ ذلک عنه، و علیه الحجّ إذا بلغ، و کذلک المرأة إذا حجّ بها و هی طفلة</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یستفاد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موثّقة إسحاق بن عمّار و روایة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بالصبیّة أو حجّها کالصبیّ</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مصباح الهدی فی وجه دلالة روایة 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بعدم إجزاء الحجّ الذی أحجّ بها و هی طفلة یکشف عن صحّة الإحجاج بها، و إلاّ لم یکن محلّ لذکر عدم إجزائه؛ لعدم صحّته فی نفسه</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الإنصاف</w:t>
      </w:r>
      <w:r>
        <w:rPr>
          <w:rStyle w:val="FootnoteAnchor"/>
          <w:rtl w:val="true"/>
        </w:rPr>
        <w:footnoteReference w:id="1146"/>
      </w:r>
      <w:r>
        <w:rPr>
          <w:rFonts w:ascii="IRNazanin" w:hAnsi="IRNazanin" w:eastAsia="IRNazanin"/>
          <w:color w:val="111111"/>
          <w:sz w:val="28"/>
          <w:sz w:val="28"/>
          <w:szCs w:val="28"/>
          <w:rtl w:val="true"/>
          <w:lang w:bidi="fa-IR"/>
        </w:rPr>
        <w:t>أنّه لا یظهر من الموثّقة و خبر شهاب صحّة إحجاج الصبیّة؛ لاحتمال کون السؤال عن وجوب الحجّ، فأجاب بأنّه بعد الاحتلام و الطمث، لا أن یکون السؤال عن الحجّ الواقع حتّی یمکن التمسّک بهما، مع ما فی التشبیه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صحّة الحجّ عن الجاریة البالغة عشر سنین، فیخرج عن الصبیّة غیر الممیّزة التی هی موضوع الحکم فی استحباب الإحجاج بها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الدعائم فضعیف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Style w:val="FootnoteAnchor"/>
          <w:rtl w:val="true"/>
        </w:rPr>
        <w:footnoteReference w:id="1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إلحاق الإناث بالذکور فیما لهم و علیهم،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اختصاصها بخصوص التکالیف المتوجّهة إلی نفسهم و لا یعمّ الخطاب الموجّه إلی الولیّ بإحجاج الصبیّ فی المقام، مخالف لظهور الإطلاق، کما فی المهذّب</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الروایات و نحوها و إن اختصّت</w:t>
      </w:r>
      <w:r>
        <w:rPr>
          <w:rStyle w:val="FootnoteAnchor"/>
          <w:rtl w:val="true"/>
        </w:rPr>
        <w:footnoteReference w:id="1150"/>
      </w:r>
      <w:r>
        <w:rPr>
          <w:rFonts w:ascii="Amiri" w:hAnsi="Amiri" w:eastAsia="Amiri" w:cs="Amiri"/>
          <w:color w:val="111111"/>
          <w:sz w:val="28"/>
          <w:sz w:val="28"/>
          <w:szCs w:val="28"/>
          <w:rtl w:val="true"/>
          <w:lang w:bidi="ar-SA"/>
        </w:rPr>
        <w:t>بالصبیان إلاّ أنّ</w:t>
      </w:r>
      <w:bookmarkStart w:id="428" w:name="pg11756_104031"/>
    </w:p>
    <w:p>
      <w:pPr>
        <w:pStyle w:val="BookText"/>
        <w:rPr/>
      </w:pPr>
      <w:bookmarkEnd w:id="428"/>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یفرّقوا فی هذه الأحکام بین 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فإنّ أکثر الأحکام فی جمیع أبواب الفقه إنّما خرجت فی الرجال مع أنّه لا خلاف فی إجرائها فی النساء، و لا إشکال</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مورد الروایات و إن کان هو الصبیّ أو الابن أو مثلهما، إلاّ أنّ العرف لا یری له خصوصیّة، بل یستفید من نفسها شمول الحکم للصبیّة أیضا، و هذا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أدلّة شکوک الصلاة الذی تکون خصوصیّته ملغاة بنظر العرف</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فی معتمد العروة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9643733_73709187"/>
      <w:bookmarkStart w:id="430" w:name="_Toc161"/>
      <w:bookmarkEnd w:id="429"/>
      <w:r>
        <w:rPr>
          <w:rtl w:val="true"/>
        </w:rPr>
        <w:t>استحباب العمرة للصبیّ</w:t>
      </w:r>
      <w:bookmarkEnd w:id="430"/>
    </w:p>
    <w:p>
      <w:pPr>
        <w:pStyle w:val="BookText"/>
        <w:rPr/>
      </w:pPr>
      <w:r>
        <w:rPr>
          <w:rFonts w:ascii="IRNazanin" w:hAnsi="IRNazanin" w:eastAsia="IRNazanin"/>
          <w:color w:val="111111"/>
          <w:sz w:val="28"/>
          <w:sz w:val="28"/>
          <w:szCs w:val="28"/>
          <w:rtl w:val="true"/>
          <w:lang w:bidi="fa-IR"/>
        </w:rPr>
        <w:t>الظاهر أنّه لا فرق فی الاستحباب بین الحجّ و العمرة المفردة، فکما أنّ الحجّ مستحبّ للصبیّ الممیّز، و یستحبّ للولیّ إحجاج غیر الممیّز، کذلک تستحبّ للصبیّ الممیّز العمرة المفردة، و یستحبّ للولیّ أن یحرم غیر الممیّز لها، کما صرّح به بعض الأعلام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یونس بن یعقوب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صبیة صغارا، و أنا أخاف علیهم البرد، فمن أین یحرمون؟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 بهم العرج، فلیحرموا منها</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أیّوب أخی أدیم،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من أین یجرّد الصبیان؟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یجرّدهم من فخّ</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الثانی علیه السّلام عن الصبیّ، متی یحرم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و غیرها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 الإحرام فیها یشمل الإحرام للحجّ و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w:t>
      </w:r>
      <w:r>
        <w:rPr>
          <w:rStyle w:val="FootnoteAnchor"/>
          <w:rtl w:val="true"/>
        </w:rPr>
        <w:footnoteReference w:id="1159"/>
      </w:r>
      <w:r>
        <w:rPr>
          <w:rFonts w:ascii="IRNazanin" w:hAnsi="IRNazanin" w:eastAsia="IRNazanin"/>
          <w:color w:val="111111"/>
          <w:sz w:val="28"/>
          <w:sz w:val="28"/>
          <w:szCs w:val="28"/>
          <w:rtl w:val="true"/>
          <w:lang w:bidi="fa-IR"/>
        </w:rPr>
        <w:t>المستفادة من الروایات المتقدّمة، فإنّها تدلّ علی استحباب الحجّ للصبیّ الممیّز، و علی أنّه یصحّ للولیّ إحجاج الصبیّ غیر الممیّز، فیستفاد منها أنّه یصحّ للولیّ أن یحرم الصبیّ غیر الممیّز للعمرة المفردة، و استحبابها للصبیّ الممیّز بالأولویّة، حیث إنّ مناسک العمرة أخفّ من الحجّ</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أیضا الأدلّة العامّة التی تدلّ علی استحباب العمرة المفردة</w:t>
      </w:r>
      <w:r>
        <w:rPr>
          <w:rStyle w:val="FootnoteAnchor"/>
          <w:rtl w:val="true"/>
        </w:rPr>
        <w:footnoteReference w:id="1160"/>
      </w:r>
      <w:r>
        <w:rPr>
          <w:rFonts w:ascii="IRNazanin" w:hAnsi="IRNazanin" w:eastAsia="IRNazanin"/>
          <w:color w:val="111111"/>
          <w:sz w:val="28"/>
          <w:sz w:val="28"/>
          <w:szCs w:val="28"/>
          <w:rtl w:val="true"/>
          <w:lang w:bidi="fa-IR"/>
        </w:rPr>
        <w:t>، فإنّ إطلاقها یشمل الطفل الممیّز</w:t>
      </w:r>
      <w:r>
        <w:rPr>
          <w:rFonts w:eastAsia="IRNazanin" w:cs="IRNazanin"/>
          <w:color w:val="111111"/>
          <w:sz w:val="28"/>
          <w:szCs w:val="28"/>
          <w:rtl w:val="true"/>
          <w:lang w:bidi="fa-IR"/>
        </w:rPr>
        <w:t>.</w:t>
      </w:r>
      <w:bookmarkStart w:id="431" w:name="pg11756_104033"/>
    </w:p>
    <w:p>
      <w:pPr>
        <w:pStyle w:val="Heading4"/>
        <w:numPr>
          <w:ilvl w:val="3"/>
          <w:numId w:val="1"/>
        </w:numPr>
        <w:rPr/>
      </w:pPr>
      <w:bookmarkStart w:id="432" w:name="__RefHeading___Toc9643735_73709187"/>
      <w:bookmarkStart w:id="433" w:name="_Toc162"/>
      <w:bookmarkEnd w:id="431"/>
      <w:bookmarkEnd w:id="432"/>
      <w:r>
        <w:rPr>
          <w:rtl w:val="true"/>
        </w:rPr>
        <w:t>صحّة حجّ الصبیّ عند أهل السنّة</w:t>
      </w:r>
      <w:bookmarkEnd w:id="433"/>
    </w:p>
    <w:p>
      <w:pPr>
        <w:pStyle w:val="BookText"/>
        <w:rPr/>
      </w:pPr>
      <w:r>
        <w:rPr>
          <w:rFonts w:ascii="Amiri" w:hAnsi="Amiri" w:eastAsia="Amiri" w:cs="Amiri"/>
          <w:color w:val="111111"/>
          <w:sz w:val="28"/>
          <w:sz w:val="28"/>
          <w:szCs w:val="28"/>
          <w:rtl w:val="true"/>
          <w:lang w:bidi="ar-SA"/>
        </w:rPr>
        <w:t>ذهب جمهور الفقهاء من الحنابلة و الشافعیّة و المالکیّة إلی أنّه یصحّ حجّ الصبیّ، سواء کان ممیّزا أو غیر ممیّز حتّی الطفل الرضیع، إلاّ أنّ الصبیّ الممیّز یحجّ بنفسه، و أمّا غیر الممیّز فیحرم عنه ولیّه، و إلیک نصّ کلماتهم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فیصحّ منه، فإن کان ممیّزا فأحرم بإذن الولیّ صحّ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ممیّز جاز لأمّه أن تحرم عنه؛ لحدیث ابن عبّاس</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لأبیه قیاسا علی الامّ</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الصورتین الصغیر کابن یوم و المراهق، ثمّ إن کان ممیّزا أحرم بنفسه بإذن ولیّه، و یصحّ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الصبیّ الذی لا یمیّز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عنه ولیّه، سواء کان الولیّ محرما عن نفسه أو عن غیره، أو حلالا، و سواء کان حجّ عن نفسه أم لا</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مغنی المحتاج</w:t>
      </w:r>
      <w:r>
        <w:rPr>
          <w:rStyle w:val="FootnoteAnchor"/>
          <w:rtl w:val="true"/>
        </w:rPr>
        <w:footnoteReference w:id="1164"/>
      </w:r>
      <w:r>
        <w:rPr>
          <w:rFonts w:ascii="IRNazanin" w:hAnsi="IRNazanin" w:eastAsia="IRNazanin"/>
          <w:color w:val="111111"/>
          <w:sz w:val="28"/>
          <w:sz w:val="28"/>
          <w:szCs w:val="28"/>
          <w:rtl w:val="true"/>
          <w:lang w:bidi="fa-IR"/>
        </w:rPr>
        <w:t>و البیان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 من فقهاء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الصبیّ یصحّ حجّه، فإن کان ممیّزا أحرم بإذن ولیّه، و إن کان غیر ممیّز أحرم عنه ولیّه، فیصیر محرما بذلک، و به قال مالک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إحرامه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یعقد له الإحرام، فیصحّ للصبیّ دون الولیّ، کما یعقد النکاح له</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 الإنصاف</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 من فقهاء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لصحّة الحجّ إلاّ الإسلام؛ إذ یصحّ للولیّ أن یحرم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لصحّته المباشرة إلاّ الإسلام و التمییز؛ فإنّ الممیّز لو حجّ بإذن الولیّ جاز</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المدوّنة الکبری</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الإحرام بالحجّ و العمرة عن الصبیّ و لو کان رضیعا؛ لأنّه محکوم له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فی المذهب، و فی الموازیة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یحجّ بالرضیع، و أمّا ابن أربع سنین أو خمس فنعم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 الممیّز یحرم عن نفسه لکن بإذن ولیّه</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لهذا الحکم بما رواه ابن عبّاس عن النبیّ صلّی اللّه علیه و آله أنّه لقی رکبا بالرّوحاء</w:t>
      </w:r>
      <w:r>
        <w:rPr>
          <w:rStyle w:val="FootnoteAnchor"/>
          <w:rtl w:val="true"/>
        </w:rPr>
        <w:footnoteReference w:id="117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إلیه امرأة صبیّا،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لهذا 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لک أجر</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امرأة فأخذت بعضد صبیّ، فأخرجته من محفّتها</w:t>
      </w:r>
      <w:r>
        <w:rPr>
          <w:rStyle w:val="FootnoteAnchor"/>
          <w:rtl w:val="true"/>
        </w:rPr>
        <w:footnoteReference w:id="11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لهذا 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لک أجر</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الدلالة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الذی یحمل بعضده و یخرج من المحفّة لا تمیّز له</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 آله و معنا النساء و الصبیان، فلبّینا عن الصبیان و رمینا عنهم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فی البیان علی صحّة حجّ الصبیّ الممیّز بأنّ الحجّ عبادة یصحّ التنفّل بها، فصحّت من الصبیّ کالطهارة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الحنفیّة فذکر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الصبیّ و لا یصیر محرما بإحرام ولیّه؛ لأنّ الإحرام سبب یلزم به حکم، فلم یصحّ من الصبیّ کالنذر</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الحجّ من الصبیّ، و إنّما یأذن له الولیّ فی الإحرام؛ لیتعلّم أفعال الحجّ، و یجتنب ما یجتنب المحرم</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الکاسانی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فعله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البلوغ یکون تطوّعا</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جاز، و إن کان یعقل الأداء بنفسه یقضی المناسک کلّها، یفعل مثل ما یفعله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کالصریح فی أنّ إحرامه عنه إنّما یصحّ إذا کان لا یعقل</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علی صحّة حجّ الصبیّ و عمرته، و أنّ ما یؤدّیه من حجّ أو من عمرة یکون تطوّعا، فإذا بلغ وجب علیه حجّة فرض الإسلام</w:t>
      </w:r>
      <w:r>
        <w:rPr>
          <w:rFonts w:eastAsia="IRNazanin" w:cs="IRNazanin"/>
          <w:color w:val="111111"/>
          <w:sz w:val="28"/>
          <w:szCs w:val="28"/>
          <w:rtl w:val="true"/>
          <w:lang w:bidi="fa-IR"/>
        </w:rPr>
        <w:t>.</w:t>
      </w:r>
      <w:bookmarkStart w:id="434" w:name="pg11756_104037"/>
    </w:p>
    <w:p>
      <w:pPr>
        <w:pStyle w:val="Heading3"/>
        <w:numPr>
          <w:ilvl w:val="2"/>
          <w:numId w:val="1"/>
        </w:numPr>
        <w:rPr/>
      </w:pPr>
      <w:bookmarkStart w:id="435" w:name="__RefHeading___Toc9643737_73709187"/>
      <w:bookmarkStart w:id="436" w:name="_Toc163"/>
      <w:bookmarkEnd w:id="434"/>
      <w:bookmarkEnd w:id="435"/>
      <w:r>
        <w:rPr>
          <w:rtl w:val="true"/>
        </w:rPr>
        <w:t>المبحث الرابع</w:t>
      </w:r>
      <w:r>
        <w:rPr>
          <w:rtl w:val="true"/>
        </w:rPr>
        <w:t xml:space="preserve">: </w:t>
      </w:r>
      <w:r>
        <w:rPr>
          <w:rtl w:val="true"/>
        </w:rPr>
        <w:t>أولیاء الأطفال فی الحجّ</w:t>
      </w:r>
      <w:bookmarkEnd w:id="436"/>
    </w:p>
    <w:p>
      <w:pPr>
        <w:pStyle w:val="Heading4"/>
        <w:numPr>
          <w:ilvl w:val="3"/>
          <w:numId w:val="1"/>
        </w:numPr>
        <w:rPr/>
      </w:pPr>
      <w:bookmarkStart w:id="437" w:name="__RefHeading___Toc9643739_73709187"/>
      <w:bookmarkStart w:id="438" w:name="_Toc164"/>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اختلف الفقهاء فی الولیّ الذی یحرم الطفل علی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الولیّ الشرعی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له ولایة المال، کالأب و الجدّ للأب و الوصیّ</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الولیّ الذی یصحّ إحرامه عنه الأب و الجدّ و إن علا، فإن کان غیرهما، فإن کان وصیّا أو له ولایة علیه ولیّها، فهو بمنزلة الأب</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القواعد</w:t>
      </w:r>
      <w:r>
        <w:rPr>
          <w:rStyle w:val="FootnoteAnchor"/>
          <w:rtl w:val="true"/>
        </w:rPr>
        <w:footnoteReference w:id="1185"/>
      </w:r>
      <w:r>
        <w:rPr>
          <w:rFonts w:ascii="IRNazanin" w:hAnsi="IRNazanin" w:eastAsia="IRNazanin"/>
          <w:color w:val="111111"/>
          <w:sz w:val="28"/>
          <w:sz w:val="28"/>
          <w:szCs w:val="28"/>
          <w:rtl w:val="true"/>
          <w:lang w:bidi="fa-IR"/>
        </w:rPr>
        <w:t>، و کذا فی المستمسک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9643741_73709187"/>
      <w:bookmarkStart w:id="440" w:name="_Toc165"/>
      <w:bookmarkEnd w:id="439"/>
      <w:r>
        <w:rPr>
          <w:rtl w:val="true"/>
        </w:rPr>
        <w:t>أدلّة هذا القول أی القول بالولی الذی یحرم الطفل بانه هو الولی الشرعی</w:t>
      </w:r>
      <w:bookmarkEnd w:id="44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ولایة الولیّ الشرعی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1187"/>
      </w:r>
      <w:r>
        <w:rPr>
          <w:rFonts w:ascii="IRNazanin" w:hAnsi="IRNazanin" w:eastAsia="IRNazanin"/>
          <w:color w:val="111111"/>
          <w:sz w:val="28"/>
          <w:sz w:val="28"/>
          <w:szCs w:val="28"/>
          <w:rtl w:val="true"/>
          <w:lang w:bidi="fa-IR"/>
        </w:rPr>
        <w:t>الذی ثبت بالنسبة إلی ولایة الأب و الجدّ، و لم یحک الخلاف فی ولایتهما عن أحد،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و الأجداد للآباء لهم ولایة الإحرام بإجماع من سوّغ الحجّ للصبیان، و هو قول علمائنا أجمع</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الوصیّ لأحدهما فیما إذا کان وصیّا لذلک فهو أیضا ولیّ کالموصی نفسه؛ و ذلک لقبول الإحجاج للوکالة عن الولیّ و عدم اعتبار مباشرة الولیّ له بنفسه، و کلّما کانت الوکالة فیه یصحّ عمّن له الفعل بالمباشرة فی حال حیاته تصحّ للوصیّ بعد وفاته؛ إذ الإیصاء لیس إلاّ تفویض العمل إلی غیره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تصحّ ولایة الوصی فیما إذا أوصی له بالولایة علی الإحجاج، و هکذا ولایة الوکیل عن الأب أو الجدّ بعد فرض عدم اعتبار مباشرة الولیّ بنفسه للإحجاج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الحاکم ففی ولایته و عدمها وجهان مبنیّان علی عموم ولایته علی القصّر، و جواز جمیع التصرّفات منه،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و الجدّ، أو عدمه إلاّ ما تیقّن ثبوتها فیه،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ولایة الوصیّ فمقطوع بها فی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ظهر من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 من له ولایة المال، ثبوت الولایة فی ذلک للحاکم أیضا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أشبعنا الکلام فی بحث ولایة الأب و الجدّ و الوصیّ لهما، و الحاکم و عدول المؤمنین علی نکاح الصغار و أموالهم، فراجع</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w:t>
      </w:r>
      <w:r>
        <w:rPr>
          <w:rStyle w:val="FootnoteAnchor"/>
          <w:rtl w:val="true"/>
        </w:rPr>
        <w:footnoteReference w:id="1191"/>
      </w:r>
      <w:r>
        <w:rPr>
          <w:rFonts w:ascii="IRNazanin" w:hAnsi="IRNazanin" w:eastAsia="IRNazanin"/>
          <w:color w:val="111111"/>
          <w:sz w:val="28"/>
          <w:sz w:val="28"/>
          <w:szCs w:val="28"/>
          <w:rtl w:val="true"/>
          <w:lang w:bidi="fa-IR"/>
        </w:rPr>
        <w:t>من ثبوت الحکم الاستحبابی بالإضافة إلی الإحجاج هو الولیّ الشرعی الشامل لما ذکرناهم، کما فی تفصیل الشریعة</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الشرعی هو المنساق من الأدلّة فی هذا العمل المشتمل علی الکلفة، بحیث لا یتحمّلها غیر الولیّ، کما فی المهذّب</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w:t>
      </w:r>
      <w:r>
        <w:rPr>
          <w:rStyle w:val="FootnoteAnchor"/>
          <w:rtl w:val="true"/>
        </w:rPr>
        <w:footnoteReference w:id="1194"/>
      </w:r>
      <w:r>
        <w:rPr>
          <w:rFonts w:ascii="IRNazanin" w:hAnsi="IRNazanin" w:eastAsia="IRNazanin"/>
          <w:color w:val="111111"/>
          <w:sz w:val="28"/>
          <w:sz w:val="28"/>
          <w:szCs w:val="28"/>
          <w:rtl w:val="true"/>
          <w:lang w:bidi="fa-IR"/>
        </w:rPr>
        <w:t>، و یصنع بهم ما یصنع بالمحرم، و یطاف بهم، و یرمی عنهم، و من لا یجد الهدی منهم فلیصم عنه ولیّه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أعین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یصوم عنه ولیّه إذا لم یجد هدیا</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فأحرمنا و معنا صبیان فأحرموا و لبّوا کما لبّینا و لم یقدروا علی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 عن کلّ صبیّ ولیّه</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أو صحیح ثالث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سنة و معنا صبیان،</w:t>
      </w:r>
      <w:bookmarkStart w:id="441" w:name="pg11756_104040"/>
    </w:p>
    <w:p>
      <w:pPr>
        <w:pStyle w:val="BookText"/>
        <w:rPr/>
      </w:pPr>
      <w:bookmarkEnd w:id="441"/>
      <w:r>
        <w:rPr>
          <w:rFonts w:ascii="IRNazanin" w:hAnsi="IRNazanin" w:eastAsia="IRNazanin"/>
          <w:color w:val="111111"/>
          <w:sz w:val="28"/>
          <w:sz w:val="28"/>
          <w:szCs w:val="28"/>
          <w:rtl w:val="true"/>
          <w:lang w:bidi="fa-IR"/>
        </w:rPr>
        <w:t>فعزّت الأضاحی، فأصبنا شاة بعد شاة، فذبحنا لأنفسنا و ترکنا صبیاننا، فأتی بکیر أبا عبد اللّه علیه السّلام فسأله،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ینبغی أن تذبحوا عن الصبیان و تصوموا أنتم عن أنفسکم، فإذا لم تفعلوا فلیصم عن کلّ صبیّ منکم ولیّه</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لفظ الولیّ فی هذه النصوص ینصرف إلی الولیّ الشرعی، لا الولیّ العرفی</w:t>
      </w:r>
      <w:r>
        <w:rPr>
          <w:rFonts w:eastAsia="IRNazanin" w:cs="IRNazanin"/>
          <w:color w:val="111111"/>
          <w:sz w:val="28"/>
          <w:szCs w:val="28"/>
          <w:rtl w:val="true"/>
          <w:lang w:bidi="fa-IR"/>
        </w:rPr>
        <w:t>.</w:t>
      </w:r>
    </w:p>
    <w:p>
      <w:pPr>
        <w:pStyle w:val="Heading4"/>
        <w:numPr>
          <w:ilvl w:val="3"/>
          <w:numId w:val="1"/>
        </w:numPr>
        <w:rPr/>
      </w:pPr>
      <w:bookmarkStart w:id="442" w:name="__RefHeading___Toc9643743_73709187"/>
      <w:bookmarkStart w:id="443" w:name="_Toc166"/>
      <w:bookmarkEnd w:id="442"/>
      <w:r>
        <w:rPr>
          <w:rtl w:val="true"/>
        </w:rPr>
        <w:t>الولایة فی الحجّ تشمل الامّ أیضا</w:t>
      </w:r>
      <w:bookmarkEnd w:id="443"/>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الفقهاء من أنّ ولیّ الطفل فی الحجّ هو الولیّ الشرعی مع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الولیّ الّذی یصحّ إحرامه عنه و إذنه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إن علا، فإن کان غیرهم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و ابن الأخ و العمّ و ابن العمّ و إن کان وصیّا أوله ولایة علیه ولیّها، فهو بمنزلة الأب، و إن لم یکن ولیّا و لا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ولایة له علیه، و هو و الأجنبیّ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 لها ولایة علیه بغیر تولیة</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للامّ أن تحرم عن ولدها الصغیر</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و اختاره فی المختلف</w:t>
      </w:r>
      <w:r>
        <w:rPr>
          <w:rStyle w:val="FootnoteAnchor"/>
          <w:rtl w:val="true"/>
        </w:rPr>
        <w:footnoteReference w:id="1200"/>
      </w:r>
      <w:r>
        <w:rPr>
          <w:rFonts w:ascii="IRNazanin" w:hAnsi="IRNazanin" w:eastAsia="IRNazanin"/>
          <w:color w:val="111111"/>
          <w:sz w:val="28"/>
          <w:sz w:val="28"/>
          <w:szCs w:val="28"/>
          <w:rtl w:val="true"/>
          <w:lang w:bidi="fa-IR"/>
        </w:rPr>
        <w:t>و المعتبر</w:t>
      </w:r>
      <w:r>
        <w:rPr>
          <w:rStyle w:val="FootnoteAnchor"/>
          <w:rtl w:val="true"/>
        </w:rPr>
        <w:footnoteReference w:id="1201"/>
      </w:r>
      <w:r>
        <w:rPr>
          <w:rFonts w:ascii="IRNazanin" w:hAnsi="IRNazanin" w:eastAsia="IRNazanin"/>
          <w:color w:val="111111"/>
          <w:sz w:val="28"/>
          <w:sz w:val="28"/>
          <w:szCs w:val="28"/>
          <w:rtl w:val="true"/>
          <w:lang w:bidi="fa-IR"/>
        </w:rPr>
        <w:t>و الدروس</w:t>
      </w:r>
      <w:r>
        <w:rPr>
          <w:rStyle w:val="FootnoteAnchor"/>
          <w:rtl w:val="true"/>
        </w:rPr>
        <w:footnoteReference w:id="1202"/>
      </w:r>
      <w:r>
        <w:rPr>
          <w:rFonts w:ascii="IRNazanin" w:hAnsi="IRNazanin" w:eastAsia="IRNazanin"/>
          <w:color w:val="111111"/>
          <w:sz w:val="28"/>
          <w:sz w:val="28"/>
          <w:szCs w:val="28"/>
          <w:rtl w:val="true"/>
          <w:lang w:bidi="fa-IR"/>
        </w:rPr>
        <w:t>، و به قال فی الإیضاح</w:t>
      </w:r>
      <w:r>
        <w:rPr>
          <w:rStyle w:val="FootnoteAnchor"/>
          <w:rtl w:val="true"/>
        </w:rPr>
        <w:footnoteReference w:id="1203"/>
      </w:r>
      <w:r>
        <w:rPr>
          <w:rFonts w:ascii="IRNazanin" w:hAnsi="IRNazanin" w:eastAsia="IRNazanin"/>
          <w:color w:val="111111"/>
          <w:sz w:val="28"/>
          <w:sz w:val="28"/>
          <w:szCs w:val="28"/>
          <w:rtl w:val="true"/>
          <w:lang w:bidi="fa-IR"/>
        </w:rPr>
        <w:t>و المدارک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bookmarkStart w:id="444" w:name="pg11756_104041"/>
    </w:p>
    <w:p>
      <w:pPr>
        <w:pStyle w:val="BookText"/>
        <w:rPr/>
      </w:pPr>
      <w:bookmarkEnd w:id="444"/>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الفتوی</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الأصحّ</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 و ذهب إلیه فی مصباح الهدی</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أن یقتصر فی الإحرام بغیر الممیّز علی الولیّ الشرعیّ من الأب و الجدّ، و الوصیّ لأحدهما، و الحاکم و أمینه، أو الوکیل منهم، و الامّ و إن لم تکن ولیّا</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الولیّ الشرعی، فإن کان هو الامّ فالظاهر ثبوت هذه الولایة لها</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9643745_73709187"/>
      <w:bookmarkStart w:id="446" w:name="_Toc167"/>
      <w:bookmarkEnd w:id="445"/>
      <w:r>
        <w:rPr>
          <w:rtl w:val="true"/>
        </w:rPr>
        <w:t>أدلّة شمول الولایة فی الحجّ للامّ أیضا</w:t>
      </w:r>
      <w:bookmarkEnd w:id="446"/>
    </w:p>
    <w:p>
      <w:pPr>
        <w:pStyle w:val="BookText"/>
        <w:rPr/>
      </w:pPr>
      <w:r>
        <w:rPr>
          <w:rFonts w:ascii="IRNazanin" w:hAnsi="IRNazanin" w:eastAsia="IRNazanin"/>
          <w:color w:val="111111"/>
          <w:sz w:val="28"/>
          <w:sz w:val="28"/>
          <w:szCs w:val="28"/>
          <w:rtl w:val="true"/>
          <w:lang w:bidi="fa-IR"/>
        </w:rPr>
        <w:t>و یمکن أن یستدلّ لولایة الامّ علی إحجاج الطفل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طاعة و فعل مرغوب إلیه شرعا، فساغ للامّ فعله، کما فی المختلف</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الطاعة لا یثبت الولایة لها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برویثة</w:t>
      </w:r>
      <w:r>
        <w:rPr>
          <w:rStyle w:val="FootnoteAnchor"/>
          <w:rtl w:val="true"/>
        </w:rPr>
        <w:footnoteReference w:id="1211"/>
      </w:r>
      <w:r>
        <w:rPr>
          <w:rFonts w:ascii="IRNazanin" w:hAnsi="IRNazanin" w:eastAsia="IRNazanin"/>
          <w:color w:val="111111"/>
          <w:sz w:val="28"/>
          <w:sz w:val="28"/>
          <w:szCs w:val="28"/>
          <w:rtl w:val="true"/>
          <w:lang w:bidi="fa-IR"/>
        </w:rPr>
        <w:t>و هو حاجّ، فقامت إلیه امرأة و معها صبیّ لها،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 یحجّ عن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 أجره</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1213"/>
      </w:r>
      <w:r>
        <w:rPr>
          <w:rFonts w:ascii="IRNazanin" w:hAnsi="IRNazanin" w:eastAsia="IRNazanin"/>
          <w:color w:val="111111"/>
          <w:sz w:val="28"/>
          <w:sz w:val="28"/>
          <w:szCs w:val="28"/>
          <w:rtl w:val="true"/>
          <w:lang w:bidi="fa-IR"/>
        </w:rPr>
        <w:t>فی جواز تصدّی الامّ للإحجاج و ثبوت الأجر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السؤال عن الأجر مطلق یشمل ما إذا کان إحجاجه بإذن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المتقدّمة المشتملة علی أمر الإمام علیه السّلام بأن تلقی امّ المولود حمیدة، فتسألها کیف تصنع بصبیانها؟ فأتتها فسألتها</w:t>
      </w:r>
      <w:r>
        <w:rPr>
          <w:rStyle w:val="FootnoteAnchor"/>
          <w:rtl w:val="true"/>
        </w:rPr>
        <w:footnoteReference w:id="1214"/>
      </w:r>
      <w:r>
        <w:rPr>
          <w:rFonts w:ascii="IRNazanin" w:hAnsi="IRNazanin" w:eastAsia="IRNazanin"/>
          <w:color w:val="111111"/>
          <w:sz w:val="28"/>
          <w:sz w:val="28"/>
          <w:szCs w:val="28"/>
          <w:rtl w:val="true"/>
          <w:lang w:bidi="fa-IR"/>
        </w:rPr>
        <w:t>، الخبر بالتقریر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بانتفاء الولایة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و النکاح فینتفی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المنع من الملازمة،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الطاعة هنا، بخلاف المال و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ولایة المال و النکاح تفتقر إلی تمامیّة النظر و التطلّع علی المصالح، و المرأة بمعزل من ذلک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دلالة الصحیحة علی ولایتها لا یحتاج إلی الوجوه الظنّیة التی تشبه الاستحسانات العقلیّة، بل هی عینها</w:t>
      </w:r>
      <w:r>
        <w:rPr>
          <w:rFonts w:eastAsia="IRNazanin" w:cs="IRNazanin"/>
          <w:color w:val="111111"/>
          <w:sz w:val="28"/>
          <w:szCs w:val="28"/>
          <w:rtl w:val="true"/>
          <w:lang w:bidi="fa-IR"/>
        </w:rPr>
        <w:t>.</w:t>
      </w:r>
      <w:bookmarkStart w:id="447" w:name="pg11756_104043"/>
    </w:p>
    <w:p>
      <w:pPr>
        <w:pStyle w:val="Heading4"/>
        <w:numPr>
          <w:ilvl w:val="3"/>
          <w:numId w:val="1"/>
        </w:numPr>
        <w:rPr/>
      </w:pPr>
      <w:bookmarkStart w:id="448" w:name="__RefHeading___Toc9643747_73709187"/>
      <w:bookmarkStart w:id="449" w:name="_Toc168"/>
      <w:bookmarkEnd w:id="447"/>
      <w:bookmarkEnd w:id="448"/>
      <w:r>
        <w:rPr>
          <w:rtl w:val="true"/>
        </w:rPr>
        <w:t>الولایة فی الحجّ تشمل لمن یتکفّل أمر الطفل</w:t>
      </w:r>
      <w:bookmarkEnd w:id="449"/>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آخر من الفقهاء، من أنّ ولیّ الطفل فی الحجّ هو الولیّ الشرعی مع الامّ، و کلّ من یتکفّل أمره مع عدمهم،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یکن إجماع لأمکن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الأولیاء الشرعیّین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عدم الضرر و عدمهم</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المستند،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غایة الأمر أنّه لا یتعلّق أمر مالیّ بالطفل، بل یکون علی المباشر</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کون المراد الأعمّ منهم و ممّن یتولّی أمر الصبیّ و یتکفّله و إن لم یکن ولیّا شرعیّا</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و جعله أحد الاحتمالین فی المهذّب</w:t>
      </w:r>
      <w:r>
        <w:rPr>
          <w:rStyle w:val="FootnoteAnchor"/>
          <w:rtl w:val="true"/>
        </w:rPr>
        <w:footnoteReference w:id="1220"/>
      </w:r>
      <w:r>
        <w:rPr>
          <w:rFonts w:ascii="IRNazanin" w:hAnsi="IRNazanin" w:eastAsia="IRNazanin"/>
          <w:color w:val="111111"/>
          <w:sz w:val="28"/>
          <w:sz w:val="28"/>
          <w:szCs w:val="28"/>
          <w:rtl w:val="true"/>
          <w:lang w:bidi="fa-IR"/>
        </w:rPr>
        <w:t>، و به قال السیّدان الخوئی</w:t>
      </w:r>
      <w:r>
        <w:rPr>
          <w:rStyle w:val="FootnoteAnchor"/>
          <w:rtl w:val="true"/>
        </w:rPr>
        <w:footnoteReference w:id="1221"/>
      </w:r>
      <w:r>
        <w:rPr>
          <w:rFonts w:ascii="IRNazanin" w:hAnsi="IRNazanin" w:eastAsia="IRNazanin"/>
          <w:color w:val="111111"/>
          <w:sz w:val="28"/>
          <w:sz w:val="28"/>
          <w:szCs w:val="28"/>
          <w:rtl w:val="true"/>
          <w:lang w:bidi="fa-IR"/>
        </w:rPr>
        <w:t>و الکلبایکانی</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الإسراء إلی غیر الولیّ الشرعی ممّن یتولّی أمر الصبیّ و یتکفّله مشکل و إن لا یخلو من قرب</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bookmarkStart w:id="450" w:name="pg11756_104044"/>
    </w:p>
    <w:p>
      <w:pPr>
        <w:pStyle w:val="Heading4"/>
        <w:numPr>
          <w:ilvl w:val="3"/>
          <w:numId w:val="1"/>
        </w:numPr>
        <w:rPr/>
      </w:pPr>
      <w:bookmarkStart w:id="451" w:name="__RefHeading___Toc9643749_73709187"/>
      <w:bookmarkStart w:id="452" w:name="_Toc169"/>
      <w:bookmarkEnd w:id="450"/>
      <w:bookmarkEnd w:id="451"/>
      <w:r>
        <w:rPr>
          <w:rtl w:val="true"/>
        </w:rPr>
        <w:t>أدلّة ولایة من یتکفّل أمر الطفل فی الحجّ</w:t>
      </w:r>
      <w:bookmarkEnd w:id="452"/>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دلیل علی حرمة التصرّف بالصبیّ ما لم یستلزم تصرّفا مالیّا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التصرّف بالصبیّ إلی التصرّف فی أمواله فیحتاج إلی إذن الولیّ، و أمّا إذا لم یستلزم التصرّف فیه تصرّفا فی ماله</w:t>
      </w:r>
      <w:r>
        <w:rPr>
          <w:rStyle w:val="FootnoteAnchor"/>
          <w:rtl w:val="true"/>
        </w:rPr>
        <w:footnoteReference w:id="1224"/>
      </w:r>
      <w:r>
        <w:rPr>
          <w:rFonts w:ascii="IRNazanin" w:hAnsi="IRNazanin" w:eastAsia="IRNazanin"/>
          <w:color w:val="111111"/>
          <w:sz w:val="28"/>
          <w:sz w:val="28"/>
          <w:szCs w:val="28"/>
          <w:rtl w:val="true"/>
          <w:lang w:bidi="fa-IR"/>
        </w:rPr>
        <w:t>فلا دلیل علی توقّف جوازه علی إذن الولیّ کما فی المعتمد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یدفع المانع فقط، و أمّا أصل الجواز و استحبابه فیستفاد من إطلاق بعض النصوص،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w:t>
      </w:r>
      <w:r>
        <w:rPr>
          <w:rStyle w:val="FootnoteAnchor"/>
          <w:rtl w:val="true"/>
        </w:rPr>
        <w:footnoteReference w:id="1226"/>
      </w:r>
      <w:r>
        <w:rPr>
          <w:rFonts w:ascii="IRNazanin" w:hAnsi="IRNazanin" w:eastAsia="IRNazanin"/>
          <w:color w:val="111111"/>
          <w:sz w:val="28"/>
          <w:sz w:val="28"/>
          <w:szCs w:val="28"/>
          <w:rtl w:val="true"/>
          <w:lang w:bidi="fa-IR"/>
        </w:rPr>
        <w:t>البحث فی الجواز من جهة کونه تصرّفا فی الصبیّ حتّی یتکلّم بمثل ما ذکر، بل البحث إنّما هو فی ثبوت الاستحباب المستفاد من الأدلّة المتقدّمة، و أنّه هل یختصّ بالولیّ أو یعمّ غیره أیضا؟</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الولیّ فی الروایات من یتولّی أمر الصبیّ فی إحرامه و إتیان النسک و النظارة فی أعماله، و إنّما ذکر الأب من باب المثال؛ لغلبة مباشرته أمر ابنه، کما صرّح به السیّد الکلبایکانی</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 الروایات الخصوصیّة، سیّما بعد ورود النصّ فی الامّ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لیست ولیّا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تجوّز، خصوصا بملاحظة قوله صلّی اللّه علیه و آله فی صحیحة عبد اللّه بن سنان</w:t>
      </w:r>
      <w:r>
        <w:rPr>
          <w:rStyle w:val="FootnoteAnchor"/>
          <w:rtl w:val="true"/>
        </w:rPr>
        <w:footnoteReference w:id="1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مشعر بأنّ الإحجاج موجب للأجر، لا أنّ کونها امّا للصبیّ اقتضی ذلک کما لا یخفی</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عدم الخصوصیّة فی الروایات، و کون ذکر الأب من باب المثال یحتاج إلی دلیل، و الأصل أنّ تعلّق الحکم بموضوع مشعر بالخصوصیّة، و أنّه دائر مدار موضوعه، و ینتفی بانتفائه، و کون الإحجاج موجبا للأجر لا یثبت الولایة لکلّ من یتکفّل أمر الصبیّ و لو لم یکن ولیّا و لم یکن مأذونا من قبل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ممّن کان مع ولیّه أو غیره، کما فی المستند</w:t>
      </w:r>
      <w:r>
        <w:rPr>
          <w:rStyle w:val="FootnoteAnchor"/>
          <w:rtl w:val="true"/>
        </w:rPr>
        <w:footnoteReference w:id="1232"/>
      </w:r>
      <w:r>
        <w:rPr>
          <w:rFonts w:ascii="Amiri" w:hAnsi="Amiri" w:eastAsia="Amiri" w:cs="Amiri"/>
          <w:color w:val="111111"/>
          <w:sz w:val="28"/>
          <w:sz w:val="28"/>
          <w:szCs w:val="28"/>
          <w:rtl w:val="true"/>
          <w:lang w:bidi="ar-SA"/>
        </w:rPr>
        <w:t>و العروة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 بأنّه حیث یکون المراد هو الصبیان غیر الممیّزین، و من المعلوم أنّ مثلهم یکونون مع أولیائهم؛ لأنّ استصحاب صبیّ الغیر مع فرض کونه غیر ممیّز خلاف المتعارف، خصوصا فی سفر الحجّ، فلا دلالة للروایة علی</w:t>
      </w:r>
    </w:p>
    <w:p>
      <w:pPr>
        <w:pStyle w:val="BookText"/>
        <w:rPr/>
      </w:pPr>
      <w:r>
        <w:rPr>
          <w:rFonts w:ascii="IRNazanin" w:hAnsi="IRNazanin" w:eastAsia="IRNazanin"/>
          <w:color w:val="111111"/>
          <w:sz w:val="28"/>
          <w:sz w:val="28"/>
          <w:szCs w:val="28"/>
          <w:rtl w:val="true"/>
          <w:lang w:bidi="fa-IR"/>
        </w:rPr>
        <w:t>تصدّی غیر الولیّ للتقدیم إلی الجحفة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الصبیان مطلق یشمل غیر الممیّز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تعارف استصحاب صبیّ غیر ممیّز مع غیر الولیّ فی الحجّ أوّل الکلام، فإنّ من لیس له ولد یتکفّل إحجاج غیر الممیّز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المتعارف لا یوجب المنع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 به</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الإتیان بصیغة الجمع مع کون المفروض فی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الرجل بابنه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صغیر لا یناسب إلاّ مع جواز تلبیة غیر الولیّ من الحجّاج المتعدّدین؛ لأنّه لا معنی للزوم تلبیة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الروایة بلحاظ هذا التعبیر تعدّد الحاجّ، فإضافة التلبیة إلی الجمیع لا یکاد یصحّ إلاّ مع تلبیة غیر الولیّ</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صراحة علی أنّه یجوز لکلّ من الحجّاج أن یلبّوا عن الصغیر، فحمله علی أنّ کلّ ولیّ یتصدّی لتلبیة صغیره خلاف الظاهر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ناقش فی الاستدلال بالصحیحتین فی مصباح الهدی؛ بأنّ الأخبار المذکورة فی مقام بیان استحباب الإحجاج بالصبیّ و کیفیّته، و محلّ إحرامه،</w:t>
      </w:r>
    </w:p>
    <w:p>
      <w:pPr>
        <w:pStyle w:val="BookText"/>
        <w:rPr/>
      </w:pPr>
      <w:r>
        <w:rPr>
          <w:rFonts w:ascii="IRNazanin" w:hAnsi="IRNazanin" w:eastAsia="IRNazanin"/>
          <w:color w:val="111111"/>
          <w:sz w:val="28"/>
          <w:sz w:val="28"/>
          <w:szCs w:val="28"/>
          <w:rtl w:val="true"/>
          <w:lang w:bidi="fa-IR"/>
        </w:rPr>
        <w:t>و لیس فی مقام بیان من یستحبّ ذلک منه حتّی یتمسّک بإطلاقه لإثبات استحبابه لغیر الولیّ، مع أنّ استحبابه لغیره لا ینافی لزوم الإذن عن الولیّ، کما فی تجهیز المیّت، حیث إنّه واجب علی الجمیع، لکن مع اعتبار إذن الولیّ فی مباشرة غیر الولیّ</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التعابیر الواردة فی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بالتقریب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إحجاج الصبیّ لغیر الولیّ، و لا نقصد من ولایة غیر الولیّ فی المقام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یشمل غیر الولیّ، فیجوز له ذلک، و هو مساوق لولایته فیه، فقیاس المقام علی وجوب تجهیز المیّت الذی یعتبر فیه إذن الولیّ قیاس مع الفارق،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Style w:val="FootnoteAnchor"/>
          <w:rtl w:val="true"/>
        </w:rPr>
        <w:footnoteReference w:id="1238"/>
      </w:r>
      <w:r>
        <w:rPr>
          <w:rFonts w:ascii="IRNazanin" w:hAnsi="IRNazanin" w:eastAsia="IRNazanin"/>
          <w:color w:val="111111"/>
          <w:sz w:val="28"/>
          <w:sz w:val="28"/>
          <w:szCs w:val="28"/>
          <w:rtl w:val="true"/>
          <w:lang w:bidi="fa-IR"/>
        </w:rPr>
        <w:t>أنّ دلالة الصحیحتین علی شمول الولایة فی إحجاج الصبیّ لغیر ولیّه الشرعی و من تکفّل أمر الصغیر تامّة لا إشکال فیها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المتقدّمة نظرا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فقامت إلیه</w:t>
      </w:r>
      <w:bookmarkStart w:id="453" w:name="pg11756_104048"/>
    </w:p>
    <w:p>
      <w:pPr>
        <w:pStyle w:val="BookText"/>
        <w:rPr/>
      </w:pPr>
      <w:bookmarkEnd w:id="453"/>
      <w:r>
        <w:rPr>
          <w:rFonts w:ascii="IRNazanin" w:hAnsi="IRNazanin" w:eastAsia="IRNazanin"/>
          <w:color w:val="111111"/>
          <w:sz w:val="28"/>
          <w:sz w:val="28"/>
          <w:szCs w:val="28"/>
          <w:rtl w:val="true"/>
          <w:lang w:bidi="fa-IR"/>
        </w:rPr>
        <w:t>امرأة و معها صبیّ لها</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لاحتمال أن تکون المرأة مرضعة، لا أن تکون امّا نسبیّة، و قد کانت المراضع کثیرة جدّا فی تلک العصور، کما فی المهذّب</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643751_73709187"/>
      <w:bookmarkStart w:id="455" w:name="_Toc170"/>
      <w:bookmarkEnd w:id="454"/>
      <w:r>
        <w:rPr>
          <w:rtl w:val="true"/>
        </w:rPr>
        <w:t>امور ینبغی ذکرها</w:t>
      </w:r>
      <w:bookmarkEnd w:id="4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مفاتیح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الولیّ هنا هو الأولی به رحما، و الأشدّ به علاقة، کما هو المتبادر منه بحسب اللغة و العرف، فإنّ اشتقاقه من الولیّ، و هو القرب</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اللغة و العرف، و أمّا بحسب النصوص فیشمل الولیّ الشرعی و من یتکفّل أمر إحجاج الصبیّ،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بجواز إحجاج الصبیّ غیر الممیّز لکلّ من یتکفّله یترتّب علیه ما کان علی الولیّ فی مثل الهدی و الکفّارة و المئونة، کما صرّح به فی المستند،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الأمر أنّه لا یتعلّق أمر مالیّ بالطفل، بل یکون علی المباشر</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الکفّارة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من یتکفّل أمر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جهة کونه السبب</w:t>
      </w:r>
      <w:r>
        <w:rPr>
          <w:rStyle w:val="FootnoteAnchor"/>
          <w:rtl w:val="true"/>
        </w:rPr>
        <w:footnoteReference w:id="1243"/>
      </w:r>
      <w:r>
        <w:rPr>
          <w:rFonts w:ascii="IRNazanin" w:hAnsi="IRNazanin" w:eastAsia="IRNazanin"/>
          <w:color w:val="111111"/>
          <w:sz w:val="28"/>
          <w:sz w:val="28"/>
          <w:szCs w:val="28"/>
          <w:rtl w:val="true"/>
          <w:lang w:bidi="fa-IR"/>
        </w:rPr>
        <w:t>فی ذلک؛ لأنّه أحرم به و فرض الحجّ</w:t>
      </w:r>
    </w:p>
    <w:p>
      <w:pPr>
        <w:pStyle w:val="BookText"/>
        <w:rPr/>
      </w:pPr>
      <w:r>
        <w:rPr>
          <w:rFonts w:ascii="IRNazanin" w:hAnsi="IRNazanin" w:eastAsia="IRNazanin"/>
          <w:color w:val="111111"/>
          <w:sz w:val="28"/>
          <w:sz w:val="28"/>
          <w:szCs w:val="28"/>
          <w:rtl w:val="true"/>
          <w:lang w:bidi="fa-IR"/>
        </w:rPr>
        <w:t>علیه، لا من جهة الولایة الشرعیّة</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ینحصر فی الأولیاء الشرعیّین فقط، فأذنوا للغیر أو وکّلوه فی إحجاج الصبیّ غیر الممیّز، فتکون المئونة و ما یترتّب علی فعل الصبیّ علی الولیّ الشرعی، لا المأذون أو الوکیل؛ لأنّهما نائبان عن الولیّ فی الإحجاج، فلا یجب علیهما بما یترتّب علی فعل الصبیّ، بل یجب علی الولیّ الذی یستند الإحجاج إلیه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 لها الولایة فی إحجاج الصبیّ غیر الممیّز فقط، أمّا بالنسبة إلی الممیّز فلا ولایة لها؛ لأنّ ولایتها علی خلاف الأصل، فیقتصر علی القدر المتیقّن، و هو إحجاج الصبیّ غیر الممیّز، کما هو المستفاد من النصوص المتقدّمة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 للامّ الولایة فی الإحجاج فلا یجوز لها الإذن أو التوکیل للغیر؛ لأنّ هذا الحکم مخالف للأصل فیکتفی بالقدر المتیقّن منه، و هو ما إذا کانت بنفسها متولّیة، بخلاف الأولیاء الشرعیّین، فإنّه قد ثبت فی محلّه أنّهم یجوز لهم الإذن أو التوکیل فیما لهم فیه الولایة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النصوص التی تدلّ علی جواز إحجاج الامّ للصبیّ حتّی بالنسبة إلی الغیر، بأن یکون مأذونا عن الامّ أو وکیلا عنها، و لا أقلّ من الشکّ فی ذلک، فیکتفی بالقدر المتیقّن</w:t>
      </w:r>
      <w:r>
        <w:rPr>
          <w:rFonts w:eastAsia="IRNazanin" w:cs="IRNazanin"/>
          <w:color w:val="111111"/>
          <w:sz w:val="28"/>
          <w:szCs w:val="28"/>
          <w:rtl w:val="true"/>
          <w:lang w:bidi="fa-IR"/>
        </w:rPr>
        <w:t>.</w:t>
      </w:r>
      <w:bookmarkStart w:id="456" w:name="pg11756_104050"/>
    </w:p>
    <w:p>
      <w:pPr>
        <w:pStyle w:val="Heading4"/>
        <w:numPr>
          <w:ilvl w:val="3"/>
          <w:numId w:val="1"/>
        </w:numPr>
        <w:rPr/>
      </w:pPr>
      <w:bookmarkStart w:id="457" w:name="__RefHeading___Toc9643753_73709187"/>
      <w:bookmarkStart w:id="458" w:name="_Toc171"/>
      <w:bookmarkEnd w:id="456"/>
      <w:bookmarkEnd w:id="457"/>
      <w:r>
        <w:rPr>
          <w:rtl w:val="true"/>
        </w:rPr>
        <w:t>أولیاء الأطفال فی الحجّ عند أهل السنّة</w:t>
      </w:r>
      <w:bookmarkEnd w:id="458"/>
    </w:p>
    <w:p>
      <w:pPr>
        <w:pStyle w:val="BookText"/>
        <w:rPr/>
      </w:pPr>
      <w:r>
        <w:rPr>
          <w:rFonts w:ascii="IRNazanin" w:hAnsi="IRNazanin" w:eastAsia="IRNazanin"/>
          <w:color w:val="111111"/>
          <w:sz w:val="28"/>
          <w:sz w:val="28"/>
          <w:szCs w:val="28"/>
          <w:rtl w:val="true"/>
          <w:lang w:bidi="fa-IR"/>
        </w:rPr>
        <w:t xml:space="preserve">فقد اتّفقوا علی أنّ ولیّ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یجوز أن یحرمه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ولایة علی ماله، کالأب و الوصیّ و أمین الحاکم، و اختلفوا فی الامّ، فقال بعضهم بولایتها، و الآخرون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اختلفوا فی غیرهم من العصبات، کالأخ و ابن الأخ و العمّ و ابن العمّ، و إلیک نصّ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غیر ممیّز فأحرم عنه من له ولایة علی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و الوصیّ و أمین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و کذا فی المبسوط</w:t>
      </w:r>
      <w:r>
        <w:rPr>
          <w:rStyle w:val="FootnoteAnchor"/>
          <w:rtl w:val="true"/>
        </w:rPr>
        <w:footnoteReference w:id="1246"/>
      </w:r>
      <w:r>
        <w:rPr>
          <w:rFonts w:ascii="IRNazanin" w:hAnsi="IRNazanin" w:eastAsia="IRNazanin"/>
          <w:color w:val="111111"/>
          <w:sz w:val="28"/>
          <w:sz w:val="28"/>
          <w:szCs w:val="28"/>
          <w:rtl w:val="true"/>
          <w:lang w:bidi="fa-IR"/>
        </w:rPr>
        <w:t>و البحر الرائق</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الولیّ الذی یحرم عنه،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الولیّ أبا أو جدّا جاز له أن یحرم عنه إن کان غیر ممیّز، و یأذن له فی الإحرام إن کان ممیّزا؛ لأنّهما یلیان علی ماله بغیر تولیة، فأمّا غیرهما من العصبات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کالأخ و ابن الأخ و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العمّ فإنّ لهم حقّا فی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یملکون التصرّف فی ماله بأنفسهم، إلاّ بوصیّة من الأب أو الجدّ أو تولیة من الحاکم، فإن جعل لهم التصرّف بماله کان لهم أن یحرموا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یجعل إلیهم التصرّف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ذلک؛ لأنّه لمّا کان لهم تعلیمه و تأدیبه و الإنفاق علی تلک الأشیاء من ماله فکذلک الإحرام بالحجّ</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لأنّهم لا یملکون التصرّف فی ماله،</w:t>
      </w:r>
    </w:p>
    <w:p>
      <w:pPr>
        <w:pStyle w:val="BookText"/>
        <w:rPr/>
      </w:pPr>
      <w:r>
        <w:rPr>
          <w:rFonts w:ascii="IRNazanin" w:hAnsi="IRNazanin" w:eastAsia="IRNazanin"/>
          <w:color w:val="111111"/>
          <w:sz w:val="28"/>
          <w:sz w:val="28"/>
          <w:szCs w:val="28"/>
          <w:rtl w:val="true"/>
          <w:lang w:bidi="fa-IR"/>
        </w:rPr>
        <w:t>فلم یکن لهم الإحرام عنه</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بلغة السالک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فیحرم الولیّ أی ولیّ الصبیّ أو المجنون، أب أو غیره، و غیر الأب یشمل الوصیّ و مقدّم القاضی و الامّ و الغاصب و إن لم یکن لهم نظر فی المال</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غیر ممیّز جاز لأمّه أن تحرم عنه؛ لحدیث ابن عبّاس، و یجوز لأبیه قیاسا علی الامّ، و لا یجوز للأخ و العمّ أن یحرما عنه؛ لأنّه لا ولایة لهما علی الصغیر</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ابن قدامة، و استدلّ علیه بقول النبیّ صلّی اللّه علیه و آله فی حدیث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أجر</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یضاف الأجر إلیها إلاّ لکونه تبعا لها فی الإحرام</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فی مغنی المحتاج ولایة الامّ،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أجابوا عمّا یوهمه الحدیث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إحرام الامّ عنه باحتمال أنّها کانت وصیّة أو أنّ الأجر الحاصل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أجر الحمل و النفقة؛ إذ لیس فی الحدیث تصریح بأنّها التی أحرمت به أو أنّ الولیّ أذن لها</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المجموع</w:t>
      </w:r>
      <w:r>
        <w:rPr>
          <w:rStyle w:val="FootnoteAnchor"/>
          <w:rtl w:val="true"/>
        </w:rPr>
        <w:footnoteReference w:id="1254"/>
      </w:r>
      <w:r>
        <w:rPr>
          <w:rFonts w:ascii="IRNazanin" w:hAnsi="IRNazanin" w:eastAsia="IRNazanin"/>
          <w:color w:val="111111"/>
          <w:sz w:val="28"/>
          <w:sz w:val="28"/>
          <w:szCs w:val="28"/>
          <w:rtl w:val="true"/>
          <w:lang w:bidi="fa-IR"/>
        </w:rPr>
        <w:t>، و کذا فی البیان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أحرم عنه ولیّه، و إنّما جعل لها الأجر بحملها له و معونتها له علی مناسک الحجّ و الإنفاق علیه</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bookmarkStart w:id="459" w:name="pg11756_104052"/>
    </w:p>
    <w:p>
      <w:pPr>
        <w:pStyle w:val="Heading3"/>
        <w:numPr>
          <w:ilvl w:val="2"/>
          <w:numId w:val="1"/>
        </w:numPr>
        <w:rPr/>
      </w:pPr>
      <w:bookmarkStart w:id="460" w:name="__RefHeading___Toc9643755_73709187"/>
      <w:bookmarkStart w:id="461" w:name="_Toc172"/>
      <w:bookmarkEnd w:id="459"/>
      <w:bookmarkEnd w:id="460"/>
      <w:r>
        <w:rPr>
          <w:rtl w:val="true"/>
        </w:rPr>
        <w:t>المبحث الخامس</w:t>
      </w:r>
      <w:r>
        <w:rPr>
          <w:rtl w:val="true"/>
        </w:rPr>
        <w:t xml:space="preserve">: </w:t>
      </w:r>
      <w:r>
        <w:rPr>
          <w:rtl w:val="true"/>
        </w:rPr>
        <w:t>اشتراط إذن الولیّ فی صحّة حجّ الصبیّ</w:t>
      </w:r>
      <w:bookmarkEnd w:id="461"/>
    </w:p>
    <w:p>
      <w:pPr>
        <w:pStyle w:val="Heading4"/>
        <w:numPr>
          <w:ilvl w:val="3"/>
          <w:numId w:val="1"/>
        </w:numPr>
        <w:rPr/>
      </w:pPr>
      <w:bookmarkStart w:id="462" w:name="__RefHeading___Toc9643757_73709187"/>
      <w:bookmarkStart w:id="463" w:name="_Toc173"/>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هل یشترط فی صحّة حجّ الصبیّ الممیّز إذن الولیّ؟ فیه وجوه، بل أقوال</w:t>
      </w:r>
      <w:r>
        <w:rPr>
          <w:rFonts w:eastAsia="IRNazanin" w:cs="IRNazanin"/>
          <w:color w:val="111111"/>
          <w:sz w:val="28"/>
          <w:szCs w:val="28"/>
          <w:rtl w:val="true"/>
          <w:lang w:bidi="fa-IR"/>
        </w:rPr>
        <w:t>:</w:t>
      </w:r>
    </w:p>
    <w:p>
      <w:pPr>
        <w:pStyle w:val="Heading4"/>
        <w:numPr>
          <w:ilvl w:val="3"/>
          <w:numId w:val="1"/>
        </w:numPr>
        <w:rPr/>
      </w:pPr>
      <w:bookmarkStart w:id="464" w:name="__RefHeading___Toc9643759_73709187"/>
      <w:bookmarkStart w:id="465" w:name="_Toc174"/>
      <w:bookmarkEnd w:id="464"/>
      <w:r>
        <w:rPr>
          <w:rtl w:val="true"/>
        </w:rPr>
        <w:t>اعتبار إذن الولیّ</w:t>
      </w:r>
      <w:bookmarkEnd w:id="4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بین الفقهاء توقّف صحّة حجّ الصبیّ الممیّز علی إذن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یصحّ منه بإذن ولیّه إذا کان ممیّزا، و یصحّ له الحجّ بإحرام ولیّه عنه إن لم یکن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إحرام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قادر علی الاستقلال بأفعاله، لکن یشترط إذن الولیّ</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الممیّز لا یصحّ حجّه إلاّ بإذن ولیّه، فإذا کان مراهقا مطیقا أذن له الولیّ فی الإحرام، و إن کان طفلا غیر ممیّز أحرم عنه الولیّ، فإن أحرم الصبیّ الممیّز بغیر إذن ولیّه لم یصحّ إحرامه</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466" w:name="pg11756_104053"/>
    </w:p>
    <w:p>
      <w:pPr>
        <w:pStyle w:val="BookText"/>
        <w:rPr/>
      </w:pPr>
      <w:bookmarkEnd w:id="466"/>
      <w:r>
        <w:rPr>
          <w:rFonts w:ascii="IRNazanin" w:hAnsi="IRNazanin" w:eastAsia="IRNazanin"/>
          <w:color w:val="111111"/>
          <w:sz w:val="28"/>
          <w:sz w:val="28"/>
          <w:szCs w:val="28"/>
          <w:rtl w:val="true"/>
          <w:lang w:bidi="fa-IR"/>
        </w:rPr>
        <w:t>و کذا فی التحریر</w:t>
      </w:r>
      <w:r>
        <w:rPr>
          <w:rStyle w:val="FootnoteAnchor"/>
          <w:rtl w:val="true"/>
        </w:rPr>
        <w:footnoteReference w:id="1259"/>
      </w:r>
      <w:r>
        <w:rPr>
          <w:rFonts w:ascii="IRNazanin" w:hAnsi="IRNazanin" w:eastAsia="IRNazanin"/>
          <w:color w:val="111111"/>
          <w:sz w:val="28"/>
          <w:sz w:val="28"/>
          <w:szCs w:val="28"/>
          <w:rtl w:val="true"/>
          <w:lang w:bidi="fa-IR"/>
        </w:rPr>
        <w:t>، و هو اختیار الشهیدین</w:t>
      </w:r>
      <w:r>
        <w:rPr>
          <w:rStyle w:val="FootnoteAnchor"/>
          <w:rtl w:val="true"/>
        </w:rPr>
        <w:footnoteReference w:id="1260"/>
      </w:r>
      <w:r>
        <w:rPr>
          <w:rFonts w:ascii="IRNazanin" w:hAnsi="IRNazanin" w:eastAsia="IRNazanin"/>
          <w:color w:val="111111"/>
          <w:sz w:val="28"/>
          <w:sz w:val="28"/>
          <w:szCs w:val="28"/>
          <w:rtl w:val="true"/>
          <w:lang w:bidi="fa-IR"/>
        </w:rPr>
        <w:t>و المحقّق العاملی</w:t>
      </w:r>
      <w:r>
        <w:rPr>
          <w:rStyle w:val="FootnoteAnchor"/>
          <w:rtl w:val="true"/>
        </w:rPr>
        <w:footnoteReference w:id="1261"/>
      </w:r>
      <w:r>
        <w:rPr>
          <w:rFonts w:ascii="IRNazanin" w:hAnsi="IRNazanin" w:eastAsia="IRNazanin"/>
          <w:color w:val="111111"/>
          <w:sz w:val="28"/>
          <w:sz w:val="28"/>
          <w:szCs w:val="28"/>
          <w:rtl w:val="true"/>
          <w:lang w:bidi="fa-IR"/>
        </w:rPr>
        <w:t>و المحدّث البحرانی</w:t>
      </w:r>
      <w:r>
        <w:rPr>
          <w:rStyle w:val="FootnoteAnchor"/>
          <w:rtl w:val="true"/>
        </w:rPr>
        <w:footnoteReference w:id="1262"/>
      </w:r>
      <w:r>
        <w:rPr>
          <w:rFonts w:ascii="IRNazanin" w:hAnsi="IRNazanin" w:eastAsia="IRNazanin"/>
          <w:color w:val="111111"/>
          <w:sz w:val="28"/>
          <w:sz w:val="28"/>
          <w:szCs w:val="28"/>
          <w:rtl w:val="true"/>
          <w:lang w:bidi="fa-IR"/>
        </w:rPr>
        <w:t>و الصیمری</w:t>
      </w:r>
      <w:r>
        <w:rPr>
          <w:rStyle w:val="FootnoteAnchor"/>
          <w:rtl w:val="true"/>
        </w:rPr>
        <w:footnoteReference w:id="1263"/>
      </w:r>
      <w:r>
        <w:rPr>
          <w:rFonts w:ascii="IRNazanin" w:hAnsi="IRNazanin" w:eastAsia="IRNazanin"/>
          <w:color w:val="111111"/>
          <w:sz w:val="28"/>
          <w:sz w:val="28"/>
          <w:szCs w:val="28"/>
          <w:rtl w:val="true"/>
          <w:lang w:bidi="fa-IR"/>
        </w:rPr>
        <w:t>، و نسبه فی الریاض</w:t>
      </w:r>
      <w:r>
        <w:rPr>
          <w:rStyle w:val="FootnoteAnchor"/>
          <w:rtl w:val="true"/>
        </w:rPr>
        <w:footnoteReference w:id="1264"/>
      </w:r>
      <w:r>
        <w:rPr>
          <w:rFonts w:ascii="IRNazanin" w:hAnsi="IRNazanin" w:eastAsia="IRNazanin"/>
          <w:color w:val="111111"/>
          <w:sz w:val="28"/>
          <w:sz w:val="28"/>
          <w:szCs w:val="28"/>
          <w:rtl w:val="true"/>
          <w:lang w:bidi="fa-IR"/>
        </w:rPr>
        <w:t xml:space="preserve">إلی الأکثر، و استظهر فی الجواهر من نفی الخلاف فیه بین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المنتهی</w:t>
      </w:r>
      <w:r>
        <w:rPr>
          <w:rStyle w:val="FootnoteAnchor"/>
          <w:rtl w:val="true"/>
        </w:rPr>
        <w:footnoteReference w:id="1265"/>
      </w:r>
      <w:r>
        <w:rPr>
          <w:rFonts w:ascii="IRNazanin" w:hAnsi="IRNazanin" w:eastAsia="IRNazanin"/>
          <w:color w:val="111111"/>
          <w:sz w:val="28"/>
          <w:sz w:val="28"/>
          <w:szCs w:val="28"/>
          <w:rtl w:val="true"/>
          <w:lang w:bidi="fa-IR"/>
        </w:rPr>
        <w:t xml:space="preserve">و التذکرة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9643761_73709187"/>
      <w:bookmarkStart w:id="468" w:name="_Toc175"/>
      <w:bookmarkEnd w:id="467"/>
      <w:r>
        <w:rPr>
          <w:rtl w:val="true"/>
        </w:rPr>
        <w:t>أدلّة اشتراط صحّة حجّ الصبیّ بإذن الولیّ</w:t>
      </w:r>
      <w:bookmarkEnd w:id="468"/>
    </w:p>
    <w:p>
      <w:pPr>
        <w:pStyle w:val="BookText"/>
        <w:rPr/>
      </w:pPr>
      <w:r>
        <w:rPr>
          <w:rFonts w:ascii="IRNazanin" w:hAnsi="IRNazanin" w:eastAsia="IRNazanin"/>
          <w:color w:val="111111"/>
          <w:sz w:val="28"/>
          <w:sz w:val="28"/>
          <w:szCs w:val="28"/>
          <w:rtl w:val="true"/>
          <w:lang w:bidi="fa-IR"/>
        </w:rPr>
        <w:t>و استدلّ للقول المشهور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الإحرام یتضمّن إنفاق المال</w:t>
      </w:r>
      <w:r>
        <w:rPr>
          <w:rStyle w:val="FootnoteAnchor"/>
          <w:rtl w:val="true"/>
        </w:rPr>
        <w:footnoteReference w:id="1268"/>
      </w:r>
      <w:r>
        <w:rPr>
          <w:rFonts w:ascii="IRNazanin" w:hAnsi="IRNazanin" w:eastAsia="IRNazanin"/>
          <w:color w:val="111111"/>
          <w:sz w:val="28"/>
          <w:sz w:val="28"/>
          <w:szCs w:val="28"/>
          <w:rtl w:val="true"/>
          <w:lang w:bidi="fa-IR"/>
        </w:rPr>
        <w:t>و التصرّف فیه؛ لأنّ الإحرام عقد یؤدّی إلی لزوم مال، فجری مجری سائر أمواله و سائر عقوده التی لا تصحّ إلاّ بإذن ولیّه</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 یتضمّن غرم المال، و تصرّف الصبیّ فی ماله غیر ماض</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قرّره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بعض أحکام الحجّ مستتبع للتصرّف فی المال، فلا بدّ له من إذن الولیّ کالکفّارات و ثمن الهدی</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الحجّ لیس کسائر العبادات؛ لأنّه مستلزم لصرف المال، و هذا هو الفارق بینها و بینه، فنقول باعتبار إذن الولیّ فی مفروض البحث دون سائر العبادات؛ إذ جواز التصرّف المالی منوط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الصبیّ لیس مستلزما لصرف ماله مطلقا؛ إذ قد یبذل</w:t>
      </w:r>
      <w:r>
        <w:rPr>
          <w:rStyle w:val="FootnoteAnchor"/>
          <w:rtl w:val="true"/>
        </w:rPr>
        <w:footnoteReference w:id="1272"/>
      </w:r>
      <w:r>
        <w:rPr>
          <w:rFonts w:ascii="IRNazanin" w:hAnsi="IRNazanin" w:eastAsia="IRNazanin"/>
          <w:color w:val="111111"/>
          <w:sz w:val="28"/>
          <w:sz w:val="28"/>
          <w:szCs w:val="28"/>
          <w:rtl w:val="true"/>
          <w:lang w:bidi="fa-IR"/>
        </w:rPr>
        <w:t>مصارف حجّه بعض أقاربه مثلا، فلا یکون حجّه مستلزما لتصرّفه فی ماله کی یقال باعتبار الإذن، فالدلیل أخصّ من المدّعی،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سلّمنا استلزامه لصرف ماله مطلقا إلاّ أنّه لا مانع منه بعد إذن الشارع له، کما هو مقتضی الإطلاقات الواردة فی المقام، فلا حاجة حینئذ إلی إذن الولیّ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الاستحباب مطلقا مستلزم</w:t>
      </w:r>
      <w:r>
        <w:rPr>
          <w:rStyle w:val="FootnoteAnchor"/>
          <w:rtl w:val="true"/>
        </w:rPr>
        <w:footnoteReference w:id="1273"/>
      </w:r>
      <w:r>
        <w:rPr>
          <w:rFonts w:ascii="IRNazanin" w:hAnsi="IRNazanin" w:eastAsia="IRNazanin"/>
          <w:color w:val="111111"/>
          <w:sz w:val="28"/>
          <w:sz w:val="28"/>
          <w:szCs w:val="28"/>
          <w:rtl w:val="true"/>
          <w:lang w:bidi="fa-IR"/>
        </w:rPr>
        <w:t>لجواز صرف المال، و قد دلّ الدلیل علی الاستحباب کذلک کما تقدّم، فلا بدّ من کون الصبیّ مأذونا فی التصرّف فی ماله بمقدار یحجّ به، و إلاّ فلا معنی لتشریع الاستحباب فی حقّه بعد توقّفه علی صرف المال؛ لعدم تمکّنه من أداء هذا المستحبّ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یسوغ له بإذن ولیّه، فلا یلزم لغویة جعل الاستحباب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إذن الولیّ فی کلّ تصرّف مالی موقوف علی کون ذلک غبطة له علی ما ثبت فی محلّه، و إلاّ فلا یجوز له الإذن أصلا، و من المعلوم عدم کون الحجّ غبطة دنیویّة للصبیّ غالبا، و لا دلیل علی تقیید إطلاق دلیل الاستحباب بالفرد النادر، و هو کون الحجّ مصلحة له، فمقتضی إطلاق دلیل الاستحباب حصول إذن من الشارع للصبیّ فی التصرّف فی ماله بمقدار یحجّ به، و معه لا حاجة إلی إذن الولیّ، بل یدفع احتمال اعتباره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سلّم استلزام حجّ الصبیّ لصرف مال نفسه مطلقا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مقابل ما یدلّ علی اعتبار إذن الولیّ فی التصرّفات المالیّة الصادرة من الصغیر الأدلّة الدالّة علی استحباب الحجّ و مشروعیّته بالإضافة إلیه، غایة الأمر أنّک عرفت أنّ فی هذا المجال طائفة تدلّ بعمومها، أو إطلاقها علی الاستحباب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 أنّه لا معارضة بین الطائفتین و بین أدلّة اعتبار الإذن بوجه، فإنّ مفادهما ثبوت الاستحباب و المشروعیّة و صحّة العمل من الصبیّ، و مفادها اعتبار الإذن فی جواز التصرّف المالی، و لا منافاة بین الأمرین،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تصرّفه یتوقّف علی الإذن و لکن حجّه لا یکون مشروطا به، و الکلام إنّما هو فی الحجّ لا فی المال، فلو لم یستأذن من الولیّ و صرف مقدارا کثیرا من ماله، فذلک لا یضرّ بحجّه الذی لم یقم دلیل علی کونه مشروطا بالإذن</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بالنسبة إلی الکفّارات و ثمن الهدی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w:t>
      </w:r>
      <w:r>
        <w:rPr>
          <w:rStyle w:val="FootnoteAnchor"/>
          <w:rtl w:val="true"/>
        </w:rPr>
        <w:footnoteReference w:id="1276"/>
      </w:r>
      <w:r>
        <w:rPr>
          <w:rFonts w:ascii="IRNazanin" w:hAnsi="IRNazanin" w:eastAsia="IRNazanin"/>
          <w:color w:val="111111"/>
          <w:sz w:val="28"/>
          <w:sz w:val="28"/>
          <w:szCs w:val="28"/>
          <w:rtl w:val="true"/>
          <w:lang w:bidi="fa-IR"/>
        </w:rPr>
        <w:t>الکفّارات علیه؛ لأنّ عمد الصبیّ و خطأه واحد، و إتیانه ببعض المحرّمات لا یوجب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سلّمنا ثبوت الکفّارة، و أنّه لا فرق فی ثبوتها بفعل البالغ و الصبیّ، فإن أمکن الاستئذان من الولیّ فهو، و إلاّ فیدخل فی العاجز، و مجرّد ذلک لا یوجب سقوط الحجّ و توقّفه علی إذن الولیّ، بل یمکن الالتزام بأنّه یأتی بالکفّارة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ثمن الهدی إن أمکن الاستئذان من الولیّ فهو، و إلاّ فیکون عاجزا عن الهدی، کما فی المعتمد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التصرّف المالی الذی یستتبعه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الهدی 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الصبیّ فیه حکم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إلی البدل مع الإمکان، و مع عدمه یسقط</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التی استدلّ بها علی حجر الصغیر من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التعرّض لها فی کتاب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حجره فی کلّ عمل یتوقّف علی صرف المال، و حیث إنّ الحجّ کذلک فاشترط فیه إذن الولیّ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مجموع ما ورد فی حجر الصغیر أنّه محجور فی صرف المال فیما لا ینبغی فعله، کما هو الغالب فی الصغار، حیث لا یرون لأنفسهم تکلیفا</w:t>
      </w:r>
    </w:p>
    <w:p>
      <w:pPr>
        <w:pStyle w:val="BookText"/>
        <w:rPr/>
      </w:pPr>
      <w:r>
        <w:rPr>
          <w:rFonts w:ascii="IRNazanin" w:hAnsi="IRNazanin" w:eastAsia="IRNazanin"/>
          <w:color w:val="111111"/>
          <w:sz w:val="28"/>
          <w:sz w:val="28"/>
          <w:szCs w:val="28"/>
          <w:rtl w:val="true"/>
          <w:lang w:bidi="fa-IR"/>
        </w:rPr>
        <w:t>و لا عقوبة، و لا یتوجّهون إلی العواقب و المصالح و المفاسد، و هذا الشأن موجود فی الغافلین من الکبار فضلا عن الصغار، و لکن لا یشمل دلیل الحجر ما إذا کان صرف الصغیر لماله فیما ینبغی له و کما ینبغی عند المتشرّعة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عبادة متلقّاة من الشرع مخالف للأصل، فیجب الاقتصار علی القدر المتیقّن، و هو الصبیّ المأذون</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المقام من الشکّ فی اعتبار قید وجودی أو عدمی فی الأعمال المشروعة، کموارد دوران الأمر بین الأقلّ و الأکثر الارتباطیّین، حیث یرجع فیها عند عدم الإطلاق إلی أصالة البراءة عن وجوب الزائد، و الوجه فیه کون أصل المشروعیّة فی المقام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کذلک، و لکن یکفی فی مشروعیّته و رجحانه إطلاق ما تقدّم من الروایات الدالّة علی استحباب الحجّ و رجحانه و صحّته للصبیّ، و قد حقّق فی محلّه عدم الفرق فی جریان الأصل و التمسّک بالإطلاقات بین أن یکون الشکّ فی دخل شیء فی المتعلّق أو متعلّق المتعلّق، و بین الشکّ فی موضوع الخطابات</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 به، و یصلّی عنه</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الروایة تدلّ علی أنّ صحّة حجّ الصبیّ یتوقّف علی أمر الولیّ به و إذنه له</w:t>
      </w:r>
      <w:r>
        <w:rPr>
          <w:rFonts w:eastAsia="Amiri" w:cs="Amiri" w:ascii="Amiri" w:hAnsi="Amiri"/>
          <w:color w:val="111111"/>
          <w:sz w:val="28"/>
          <w:szCs w:val="28"/>
          <w:rtl w:val="true"/>
          <w:lang w:bidi="ar-SA"/>
        </w:rPr>
        <w:t>.</w:t>
      </w:r>
      <w:bookmarkStart w:id="469" w:name="pg11756_104058"/>
    </w:p>
    <w:p>
      <w:pPr>
        <w:pStyle w:val="BookText"/>
        <w:rPr/>
      </w:pPr>
      <w:bookmarkEnd w:id="46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فی مقام بیان تعلیم الولی للتلبیة، و لیست فی مقام بیان لزوم الإذن فی الحجّ،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یأمره أن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یأذنه أن یلبّی، مع أنّ الإذن علی القول بلزومه معتبر فی الحجّ، لا فی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أو عدم الخلاف فی خصوص المقام، کما یمکن أن یستظهر ذلک من الخلاف</w:t>
      </w:r>
      <w:r>
        <w:rPr>
          <w:rStyle w:val="FootnoteAnchor"/>
          <w:rtl w:val="true"/>
        </w:rPr>
        <w:footnoteReference w:id="1283"/>
      </w:r>
      <w:r>
        <w:rPr>
          <w:rFonts w:ascii="IRNazanin" w:hAnsi="IRNazanin" w:eastAsia="IRNazanin"/>
          <w:color w:val="111111"/>
          <w:sz w:val="28"/>
          <w:sz w:val="28"/>
          <w:szCs w:val="28"/>
          <w:rtl w:val="true"/>
          <w:lang w:bidi="fa-IR"/>
        </w:rPr>
        <w:t>، و التذکرة</w:t>
      </w:r>
      <w:r>
        <w:rPr>
          <w:rStyle w:val="FootnoteAnchor"/>
          <w:rtl w:val="true"/>
        </w:rPr>
        <w:footnoteReference w:id="1284"/>
      </w:r>
      <w:r>
        <w:rPr>
          <w:rFonts w:ascii="IRNazanin" w:hAnsi="IRNazanin" w:eastAsia="IRNazanin"/>
          <w:color w:val="111111"/>
          <w:sz w:val="28"/>
          <w:sz w:val="28"/>
          <w:szCs w:val="28"/>
          <w:rtl w:val="true"/>
          <w:lang w:bidi="fa-IR"/>
        </w:rPr>
        <w:t>و المنتهی</w:t>
      </w:r>
      <w:r>
        <w:rPr>
          <w:rStyle w:val="FootnoteAnchor"/>
          <w:rtl w:val="true"/>
        </w:rPr>
        <w:footnoteReference w:id="1285"/>
      </w:r>
      <w:r>
        <w:rPr>
          <w:rFonts w:ascii="IRNazanin" w:hAnsi="IRNazanin" w:eastAsia="IRNazanin"/>
          <w:color w:val="111111"/>
          <w:sz w:val="28"/>
          <w:sz w:val="28"/>
          <w:szCs w:val="28"/>
          <w:rtl w:val="true"/>
          <w:lang w:bidi="fa-IR"/>
        </w:rPr>
        <w:t>، و احتمله فی الجواهر</w:t>
      </w:r>
      <w:r>
        <w:rPr>
          <w:rStyle w:val="FootnoteAnchor"/>
          <w:rtl w:val="true"/>
        </w:rPr>
        <w:footnoteReference w:id="1286"/>
      </w:r>
      <w:r>
        <w:rPr>
          <w:rFonts w:ascii="IRNazanin" w:hAnsi="IRNazanin" w:eastAsia="IRNazanin"/>
          <w:color w:val="111111"/>
          <w:sz w:val="28"/>
          <w:sz w:val="28"/>
          <w:szCs w:val="28"/>
          <w:rtl w:val="true"/>
          <w:lang w:bidi="fa-IR"/>
        </w:rPr>
        <w:t>، و نسبه فی العروة إلی قول</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إثباته مع وجود المخالف فی المسألة کما هو ظاهر، و لذا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 من نفی الخلاف فیه</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9643763_73709187"/>
      <w:bookmarkStart w:id="471" w:name="_Toc176"/>
      <w:bookmarkEnd w:id="470"/>
      <w:r>
        <w:rPr>
          <w:rtl w:val="true"/>
        </w:rPr>
        <w:t>اعتبار إذن الأبوین</w:t>
      </w:r>
      <w:bookmarkEnd w:id="471"/>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فی المسالک من اعتبار إذن الأبوین، قال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صحّة إحرام الممیّز من حیث هو ممیّز و إن کانت الصحّة متوقّفة علی أمر آخر کإذن الأبوین؛ لأنّ الحجّ المندوب متوقّف علی إذنهما علی الأقوی</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 ما رواه فی العلل عن نشیط بن صالح، عن أبی عبد اللّه، عن</w:t>
      </w:r>
    </w:p>
    <w:p>
      <w:pPr>
        <w:pStyle w:val="BookText"/>
        <w:rPr/>
      </w:pPr>
      <w:r>
        <w:rPr>
          <w:rFonts w:ascii="IRNazanin" w:hAnsi="IRNazanin" w:eastAsia="IRNazanin"/>
          <w:color w:val="111111"/>
          <w:sz w:val="28"/>
          <w:sz w:val="28"/>
          <w:szCs w:val="28"/>
          <w:rtl w:val="true"/>
          <w:lang w:bidi="fa-IR"/>
        </w:rPr>
        <w:t>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الضیف أن لا یصوم تطوّعا إلاّ بإذن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الولد أن لا یصوم تطوّعا و لا یحجّ تطوّعا و لا یصلّی تطوّعا إلاّ بإذن أبویه و أمرهما،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الولد عاقّا</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قصور سنده بأحمد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قاصر الدلالة عن إثبات الحرمة؛ إذ العقوق له مراتب کثیرة و لا تحرم جمیع مراتبه، بل المتیقّن منها، و هی المشتملة علی الإیذاء من حیث الشفقة علی النحو المتعارف، لا الشفقة علی نحو الخیال و الوسوسة و بلا داع عقلائی صحیح</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الخبر اعتبار الأمر</w:t>
      </w:r>
      <w:r>
        <w:rPr>
          <w:rStyle w:val="FootnoteAnchor"/>
          <w:rtl w:val="true"/>
        </w:rPr>
        <w:footnoteReference w:id="1292"/>
      </w:r>
      <w:r>
        <w:rPr>
          <w:rFonts w:ascii="IRNazanin" w:hAnsi="IRNazanin" w:eastAsia="IRNazanin"/>
          <w:color w:val="111111"/>
          <w:sz w:val="28"/>
          <w:sz w:val="28"/>
          <w:szCs w:val="28"/>
          <w:rtl w:val="true"/>
          <w:lang w:bidi="fa-IR"/>
        </w:rPr>
        <w:t>مع الإذن، و بدون الأمر یکون الحجّ عقوقا و لو مع الإذن، و هو ممّا لم یقل به أحد، فیتعیّن حمله علی إرادة بیان المرتبة العالیة من البرّ، و یکون المراد من العقوق ما یقابلها، فیکون الخبر واردا فی مقام بیان الآداب الأخلاقیّة التی ینبغی أن یکون الولد علیها</w:t>
      </w:r>
      <w:r>
        <w:rPr>
          <w:rStyle w:val="FootnoteAnchor"/>
          <w:rtl w:val="true"/>
        </w:rPr>
        <w:footnoteReference w:id="1293"/>
      </w:r>
      <w:r>
        <w:rPr>
          <w:rFonts w:ascii="IRNazanin" w:hAnsi="IRNazanin" w:eastAsia="IRNazanin"/>
          <w:color w:val="111111"/>
          <w:sz w:val="28"/>
          <w:sz w:val="28"/>
          <w:szCs w:val="28"/>
          <w:rtl w:val="true"/>
          <w:lang w:bidi="fa-IR"/>
        </w:rPr>
        <w:t>بالنسبة إلی والده، فلا مجال للبناء علی اعتبار الإذن فی الحجّ و لا فی غیره، و لا سیّما بملاحظة عدم اعتبار إذنه فی سائر الأفعال المباحة و المکروهة، فکیف یعتبر فی مثل هذه الأفعال التی هی من أفضل الطاعات و أعظم القربات؟</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bookmarkStart w:id="472" w:name="pg11756_104060"/>
    </w:p>
    <w:p>
      <w:pPr>
        <w:pStyle w:val="Heading4"/>
        <w:numPr>
          <w:ilvl w:val="3"/>
          <w:numId w:val="1"/>
        </w:numPr>
        <w:rPr/>
      </w:pPr>
      <w:bookmarkStart w:id="473" w:name="__RefHeading___Toc9643765_73709187"/>
      <w:bookmarkStart w:id="474" w:name="_Toc177"/>
      <w:bookmarkEnd w:id="472"/>
      <w:bookmarkEnd w:id="473"/>
      <w:r>
        <w:rPr>
          <w:rtl w:val="true"/>
        </w:rPr>
        <w:t>عدم اشتراط إذن الولیّ فی صحّة حجّ الصبیّ</w:t>
      </w:r>
      <w:bookmarkEnd w:id="474"/>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المتأخّرین و کثیر من أعلامنا المعاصرین، من أنّه لا یشترط فی صحّة حجّ الصبیّ الممیّز إذن ولیّه، بل یصحّ و لو مع عدم الإذن،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بالعدم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توقّف حجّ الصبیّ علی إذن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الأصل و عموم بعض ما یدلّ علی جواز الامور لهم</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کشف اللّثام</w:t>
      </w:r>
      <w:r>
        <w:rPr>
          <w:rStyle w:val="FootnoteAnchor"/>
          <w:rtl w:val="true"/>
        </w:rPr>
        <w:footnoteReference w:id="1296"/>
      </w:r>
      <w:r>
        <w:rPr>
          <w:rFonts w:ascii="IRNazanin" w:hAnsi="IRNazanin" w:eastAsia="IRNazanin"/>
          <w:color w:val="111111"/>
          <w:sz w:val="28"/>
          <w:sz w:val="28"/>
          <w:szCs w:val="28"/>
          <w:rtl w:val="true"/>
          <w:lang w:bidi="fa-IR"/>
        </w:rPr>
        <w:t>و المستند</w:t>
      </w:r>
      <w:r>
        <w:rPr>
          <w:rStyle w:val="FootnoteAnchor"/>
          <w:rtl w:val="true"/>
        </w:rPr>
        <w:footnoteReference w:id="1297"/>
      </w:r>
      <w:r>
        <w:rPr>
          <w:rFonts w:ascii="IRNazanin" w:hAnsi="IRNazanin" w:eastAsia="IRNazanin"/>
          <w:color w:val="111111"/>
          <w:sz w:val="28"/>
          <w:sz w:val="28"/>
          <w:szCs w:val="28"/>
          <w:rtl w:val="true"/>
          <w:lang w:bidi="fa-IR"/>
        </w:rPr>
        <w:t>و جامع المدارک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عدم الاشتراط فی صحّته</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کثیر من الأعلام الذین علّقوا علیها</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301"/>
      </w:r>
      <w:r>
        <w:rPr>
          <w:rFonts w:ascii="IRNazanin" w:hAnsi="IRNazanin" w:eastAsia="IRNazanin"/>
          <w:color w:val="111111"/>
          <w:sz w:val="28"/>
          <w:sz w:val="28"/>
          <w:szCs w:val="28"/>
          <w:rtl w:val="true"/>
          <w:lang w:bidi="fa-IR"/>
        </w:rPr>
        <w:t>و تفصیل الشریعة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السادة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Style w:val="FootnoteAnchor"/>
          <w:rtl w:val="true"/>
        </w:rPr>
        <w:footnoteReference w:id="1303"/>
      </w:r>
      <w:r>
        <w:rPr>
          <w:rFonts w:ascii="IRNazanin" w:hAnsi="IRNazanin" w:eastAsia="IRNazanin"/>
          <w:color w:val="111111"/>
          <w:sz w:val="28"/>
          <w:sz w:val="28"/>
          <w:szCs w:val="28"/>
          <w:rtl w:val="true"/>
          <w:lang w:bidi="fa-IR"/>
        </w:rPr>
        <w:t>و الخوئی</w:t>
      </w:r>
      <w:r>
        <w:rPr>
          <w:rStyle w:val="FootnoteAnchor"/>
          <w:rtl w:val="true"/>
        </w:rPr>
        <w:footnoteReference w:id="1304"/>
      </w:r>
      <w:r>
        <w:rPr>
          <w:rFonts w:ascii="IRNazanin" w:hAnsi="IRNazanin" w:eastAsia="IRNazanin"/>
          <w:color w:val="111111"/>
          <w:sz w:val="28"/>
          <w:sz w:val="28"/>
          <w:szCs w:val="28"/>
          <w:rtl w:val="true"/>
          <w:lang w:bidi="fa-IR"/>
        </w:rPr>
        <w:t>و الشاهرودی</w:t>
      </w:r>
      <w:r>
        <w:rPr>
          <w:rStyle w:val="FootnoteAnchor"/>
          <w:rtl w:val="true"/>
        </w:rPr>
        <w:footnoteReference w:id="1305"/>
      </w:r>
      <w:r>
        <w:rPr>
          <w:rFonts w:ascii="IRNazanin" w:hAnsi="IRNazanin" w:eastAsia="IRNazanin"/>
          <w:color w:val="111111"/>
          <w:sz w:val="28"/>
          <w:sz w:val="28"/>
          <w:szCs w:val="28"/>
          <w:rtl w:val="true"/>
          <w:lang w:bidi="fa-IR"/>
        </w:rPr>
        <w:t>و السبزواری</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bookmarkStart w:id="475" w:name="pg11756_104061"/>
    </w:p>
    <w:p>
      <w:pPr>
        <w:pStyle w:val="Heading4"/>
        <w:numPr>
          <w:ilvl w:val="3"/>
          <w:numId w:val="1"/>
        </w:numPr>
        <w:rPr/>
      </w:pPr>
      <w:bookmarkStart w:id="476" w:name="__RefHeading___Toc9643767_73709187"/>
      <w:bookmarkStart w:id="477" w:name="_Toc178"/>
      <w:bookmarkEnd w:id="475"/>
      <w:bookmarkEnd w:id="476"/>
      <w:r>
        <w:rPr>
          <w:rtl w:val="true"/>
        </w:rPr>
        <w:t>أدلّة عدم اشتراط إذن الولیّ فی حجّ الصبیّ</w:t>
      </w:r>
      <w:bookmarkEnd w:id="477"/>
    </w:p>
    <w:p>
      <w:pPr>
        <w:pStyle w:val="BookText"/>
        <w:rPr/>
      </w:pPr>
      <w:r>
        <w:rPr>
          <w:rFonts w:ascii="IRNazanin" w:hAnsi="IRNazanin" w:eastAsia="IRNazanin"/>
          <w:color w:val="111111"/>
          <w:sz w:val="28"/>
          <w:sz w:val="28"/>
          <w:szCs w:val="28"/>
          <w:rtl w:val="true"/>
          <w:lang w:bidi="fa-IR"/>
        </w:rPr>
        <w:t>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الأصل و العمومات، کما فی المستند</w:t>
      </w:r>
      <w:r>
        <w:rPr>
          <w:rStyle w:val="FootnoteAnchor"/>
          <w:rtl w:val="true"/>
        </w:rPr>
        <w:footnoteReference w:id="1307"/>
      </w:r>
      <w:r>
        <w:rPr>
          <w:rFonts w:ascii="IRNazanin" w:hAnsi="IRNazanin" w:eastAsia="IRNazanin"/>
          <w:color w:val="111111"/>
          <w:sz w:val="28"/>
          <w:sz w:val="28"/>
          <w:szCs w:val="28"/>
          <w:rtl w:val="true"/>
          <w:lang w:bidi="fa-IR"/>
        </w:rPr>
        <w:t>، بمعنی أنّ الأصل عدم اعتبار إذن الولیّ فی صحّة حجّ الصبیّ، و المفروض أنّه لم یقم دلیل خاصّ تعبّدی علی اعتباره فی ذلک، کما لا دلیل علی اعتباره فی سائر عباداته من الصوم و الصلاة و غیرهما، و أمّا استحبابه له فیکفی فیه العمومات المرغّبة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العمومات کافیة فی صحّته و شرعیّته له مطلقا</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و قد بیّن فی الاصول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حجّه و إجزاؤها عن حجّة الإسلام لو أدرک المشعر کاملا دلیل واضح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بالصحّة مع توقّف صحّة الإحرام و باقی الأفعال علی الإذن بعید جدّا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تقسیم تصرّفات الصبیّ فی المال و النفس، و أنّ تصرّفاته المالیّة إن استلزمت حکما وضعیّا تکون مشروطة بالإذن قطعا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القسم الثانی من التصرّفات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موضوعا للحکم الوضعی من الصحّة و الفساد، و حجّ الصبیّ یکون من هذا القسم</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فاشتراطه بإذن الولیّ بحیث لا یترتّب الأثر علیه، و لا یکون صحیحا إلاّ به،</w:t>
      </w:r>
    </w:p>
    <w:p>
      <w:pPr>
        <w:pStyle w:val="BookText"/>
        <w:rPr/>
      </w:pPr>
      <w:r>
        <w:rPr>
          <w:rFonts w:ascii="IRNazanin" w:hAnsi="IRNazanin" w:eastAsia="IRNazanin"/>
          <w:color w:val="111111"/>
          <w:sz w:val="28"/>
          <w:sz w:val="28"/>
          <w:szCs w:val="28"/>
          <w:rtl w:val="true"/>
          <w:lang w:bidi="fa-IR"/>
        </w:rPr>
        <w:t>یتوقّف علی دلیل یدلّ علی عموم ولایة الولیّ علی النفس، و لم یتّضح لدینا ذلک، غیر ما ورد عن النبیّ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 لکنّه وارد فی الکبیر لا فی الصغیر، و أیضا یدلّ هذا الحدیث علی جواز التصرّف ذاتا لا بعنوان الولایة</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ثبوت المشروعیّة من قبل الشارع و صحّة الحجّ و لو لم یأذن الولیّ، لا بدّ للولیّ من صرف المال له لتتمیم العمل کما لو أتلف الصبیّ مال الغیر</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الأحوط تحصیل الإذن؛ لموافقة المشهور، و لأنّ المستفاد من حدیث العلل المتقدّم أنّ عدمه عقوق و قطع للرحم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سفر الصبیّ للحجّ مستلزما للخطر علیه، أو موجبا لإیذاء الأبوین أو هتکهما، أو هتک مؤمن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و إلاّ لم یصحّ حجّه، و علی الولیّ أن یمنعه عن الحجّ، و لعلّه أشار إلی ذلک فی العروة،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عدم الاشتراط فی صحّته و إن وجب الاستئذان فی بعض الصور</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ذلک کلّه خلاف الفرض؛ لأنّها عناوین ثانویّة، و لا دخل لها بالعناوین الأوّلیّة التی هی محطّ البحث و النزاع، کما أشار إلیه بعض الأعلام</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bookmarkStart w:id="478" w:name="pg11756_104063"/>
    </w:p>
    <w:p>
      <w:pPr>
        <w:pStyle w:val="Heading4"/>
        <w:numPr>
          <w:ilvl w:val="3"/>
          <w:numId w:val="1"/>
        </w:numPr>
        <w:rPr/>
      </w:pPr>
      <w:bookmarkStart w:id="479" w:name="__RefHeading___Toc9643769_73709187"/>
      <w:bookmarkStart w:id="480" w:name="_Toc179"/>
      <w:bookmarkEnd w:id="478"/>
      <w:bookmarkEnd w:id="479"/>
      <w:r>
        <w:rPr>
          <w:rtl w:val="true"/>
        </w:rPr>
        <w:t>اشتراط إذن الولیّ فی صحّة حجّ الصبیّ عند أهل السنّة</w:t>
      </w:r>
      <w:bookmarkEnd w:id="480"/>
    </w:p>
    <w:p>
      <w:pPr>
        <w:pStyle w:val="BookText"/>
        <w:rPr/>
      </w:pPr>
      <w:r>
        <w:rPr>
          <w:rFonts w:ascii="IRNazanin" w:hAnsi="IRNazanin" w:eastAsia="IRNazanin"/>
          <w:color w:val="111111"/>
          <w:sz w:val="28"/>
          <w:sz w:val="28"/>
          <w:szCs w:val="28"/>
          <w:rtl w:val="true"/>
          <w:lang w:bidi="fa-IR"/>
        </w:rPr>
        <w:t>ذهب جمهور الفقهاء من الشافعیّة و الحنابلة و المالکیّة إلی أنّه یشترط فی صحّة حجّ الصبیّ الممیّز إذن ولیّه، و إلیک نصّ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الصبیّ ممیّزا و أحرم بإذن الولیّ صحّ إحرامه، و إن أحرم بغیر إذن الولیّ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عبادة فصحّ إحرامه فیها بغیر إذن الولیّ، کالصلاة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هو الصحیح؛ لأنّ الحجّ یتعلّق أداؤه بإنفاق المال، و الصبیّ لا یملک إنفاق المال بغیر إذن الولیّ، کالبیع و الشراء، بخلاف الصلاة و الصوم</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1318"/>
      </w:r>
      <w:r>
        <w:rPr>
          <w:rFonts w:ascii="IRNazanin" w:hAnsi="IRNazanin" w:eastAsia="IRNazanin"/>
          <w:color w:val="111111"/>
          <w:sz w:val="28"/>
          <w:sz w:val="28"/>
          <w:szCs w:val="28"/>
          <w:rtl w:val="true"/>
          <w:lang w:bidi="fa-IR"/>
        </w:rPr>
        <w:t>و المجموع</w:t>
      </w:r>
      <w:r>
        <w:rPr>
          <w:rStyle w:val="FootnoteAnchor"/>
          <w:rtl w:val="true"/>
        </w:rPr>
        <w:footnoteReference w:id="1319"/>
      </w:r>
      <w:r>
        <w:rPr>
          <w:rFonts w:ascii="IRNazanin" w:hAnsi="IRNazanin" w:eastAsia="IRNazanin"/>
          <w:color w:val="111111"/>
          <w:sz w:val="28"/>
          <w:sz w:val="28"/>
          <w:szCs w:val="28"/>
          <w:rtl w:val="true"/>
          <w:lang w:bidi="fa-IR"/>
        </w:rPr>
        <w:t>، و اختاره فی مغنی المحتاج</w:t>
      </w:r>
      <w:r>
        <w:rPr>
          <w:rStyle w:val="FootnoteAnchor"/>
          <w:rtl w:val="true"/>
        </w:rPr>
        <w:footnoteReference w:id="1320"/>
      </w:r>
      <w:r>
        <w:rPr>
          <w:rFonts w:ascii="Amiri" w:hAnsi="Amiri" w:eastAsia="Amiri" w:cs="Amiri"/>
          <w:color w:val="111111"/>
          <w:sz w:val="28"/>
          <w:sz w:val="28"/>
          <w:szCs w:val="28"/>
          <w:rtl w:val="true"/>
          <w:lang w:bidi="ar-SA"/>
        </w:rPr>
        <w:t>و تحفة المحتاج</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ممیّزا أحرم بإذن ولیّه، و لا یصحّ بغیر إذنه؛ لأنّه عقد یؤدّی إلی لزوم مال، فلم ینعقد من الصبیّ بنفسه کالبیع</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من المذهب أنّ الصبیّ الممیّز لا یصحّ إحرامه إلاّ</w:t>
      </w:r>
    </w:p>
    <w:p>
      <w:pPr>
        <w:pStyle w:val="BookText"/>
        <w:rPr/>
      </w:pPr>
      <w:r>
        <w:rPr>
          <w:rFonts w:ascii="IRNazanin" w:hAnsi="IRNazanin" w:eastAsia="IRNazanin"/>
          <w:color w:val="111111"/>
          <w:sz w:val="28"/>
          <w:sz w:val="28"/>
          <w:szCs w:val="28"/>
          <w:rtl w:val="true"/>
          <w:lang w:bidi="fa-IR"/>
        </w:rPr>
        <w:t>بإذن ولیّه و علیه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إحرامه بدون إذن ولیّه</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کشّاف القناع</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الممیّز لو حجّ بإذن الولیّ جاز</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مواهب الجلیل</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یفهم الخطاب و یحسن ردّ الجواب و مقاصد الکلام و لا ینضبط بسنّ مخصوص، بل یختلف باختلاف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یحرم عن نفسه من أوّل المیقات بإذن ولیّه و یباشر لنفسه، فإن خالف و أحرم بغیر إذن ولیّه فللولیّ تحلیله بحسب ما یراه مصلحة</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للحنفیّة نصّا فی المسألة</w:t>
      </w:r>
      <w:r>
        <w:rPr>
          <w:rFonts w:eastAsia="IRNazanin" w:cs="IRNazanin"/>
          <w:color w:val="111111"/>
          <w:sz w:val="28"/>
          <w:szCs w:val="28"/>
          <w:rtl w:val="true"/>
          <w:lang w:bidi="fa-IR"/>
        </w:rPr>
        <w:t>.</w:t>
      </w:r>
      <w:bookmarkStart w:id="481" w:name="pg11756_104065"/>
    </w:p>
    <w:p>
      <w:pPr>
        <w:pStyle w:val="Heading3"/>
        <w:numPr>
          <w:ilvl w:val="2"/>
          <w:numId w:val="1"/>
        </w:numPr>
        <w:rPr/>
      </w:pPr>
      <w:bookmarkStart w:id="482" w:name="__RefHeading___Toc9643771_73709187"/>
      <w:bookmarkStart w:id="483" w:name="_Toc180"/>
      <w:bookmarkEnd w:id="481"/>
      <w:bookmarkEnd w:id="482"/>
      <w:r>
        <w:rPr>
          <w:rtl w:val="true"/>
        </w:rPr>
        <w:t>المبحث السادس</w:t>
      </w:r>
      <w:r>
        <w:rPr>
          <w:rtl w:val="true"/>
        </w:rPr>
        <w:t xml:space="preserve">: </w:t>
      </w:r>
      <w:r>
        <w:rPr>
          <w:rtl w:val="true"/>
        </w:rPr>
        <w:t>مئونة حجّ الصبیّ</w:t>
      </w:r>
      <w:bookmarkEnd w:id="483"/>
    </w:p>
    <w:p>
      <w:pPr>
        <w:pStyle w:val="Heading4"/>
        <w:numPr>
          <w:ilvl w:val="3"/>
          <w:numId w:val="1"/>
        </w:numPr>
        <w:rPr/>
      </w:pPr>
      <w:bookmarkStart w:id="484" w:name="__RefHeading___Toc9643773_73709187"/>
      <w:bookmarkStart w:id="485" w:name="_Toc181"/>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هل أنّ مئونة حجّ الصبیّ فی ماله، أو علی ولیّه، أو فیها تفصیل؟ للمسألة صور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الولیّ هو السبب للسفر، فالظاهر أنّه لا خلاف بین الفقهاء، فی أنّ مئونة سفره و نفقته الزائدة علی الولیّ، بل ثبت فیه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ما یغرمه زائدا علی مئونة الصبیّ فی الحضر؛ لأنّه لا ریب فی أنّ نفقة الصبیّ من المأکل و المشرب و المسکن و نحو ذلک ممّا یتوقّف علیه حیاته تکون من ماله، سواء کان فی السفر أو الحضر، و أمّا الزائدة کآلات السفر و المرکب و غیرهما ممّا یحتاج إلیه فی السفر و مستغنیا عنه فی الحضر فعلی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النفقة الزائدة علی نفقته فی الحضر یلزم ولیّه دونه</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نفقته الزائدة تلزم الولیّ دون الطفل</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المعتبر</w:t>
      </w:r>
      <w:r>
        <w:rPr>
          <w:rStyle w:val="FootnoteAnchor"/>
          <w:rtl w:val="true"/>
        </w:rPr>
        <w:footnoteReference w:id="1331"/>
      </w:r>
      <w:r>
        <w:rPr>
          <w:rFonts w:ascii="IRNazanin" w:hAnsi="IRNazanin" w:eastAsia="IRNazanin"/>
          <w:color w:val="111111"/>
          <w:sz w:val="28"/>
          <w:sz w:val="28"/>
          <w:szCs w:val="28"/>
          <w:rtl w:val="true"/>
          <w:lang w:bidi="fa-IR"/>
        </w:rPr>
        <w:t>،</w:t>
      </w:r>
      <w:bookmarkStart w:id="486" w:name="pg11756_104066"/>
    </w:p>
    <w:p>
      <w:pPr>
        <w:pStyle w:val="BookText"/>
        <w:rPr/>
      </w:pPr>
      <w:bookmarkEnd w:id="486"/>
      <w:r>
        <w:rPr>
          <w:rFonts w:ascii="IRNazanin" w:hAnsi="IRNazanin" w:eastAsia="IRNazanin"/>
          <w:color w:val="111111"/>
          <w:sz w:val="28"/>
          <w:sz w:val="28"/>
          <w:szCs w:val="28"/>
          <w:rtl w:val="true"/>
          <w:lang w:bidi="fa-IR"/>
        </w:rPr>
        <w:t>و هو اختیار کثیر من المتقدّمین و المتأخّرین</w:t>
      </w:r>
      <w:r>
        <w:rPr>
          <w:rStyle w:val="FootnoteAnchor"/>
          <w:rtl w:val="true"/>
        </w:rPr>
        <w:footnoteReference w:id="1332"/>
      </w:r>
      <w:r>
        <w:rPr>
          <w:rFonts w:ascii="IRNazanin" w:hAnsi="IRNazanin" w:eastAsia="IRNazanin"/>
          <w:color w:val="111111"/>
          <w:sz w:val="28"/>
          <w:sz w:val="28"/>
          <w:szCs w:val="28"/>
          <w:rtl w:val="true"/>
          <w:lang w:bidi="fa-IR"/>
        </w:rPr>
        <w:t>و أعلام العصر</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النفقة الزائدة علی نفقة الحضر علی الولیّ، لا من مال الصبیّ</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تفصیل الشریعة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9643775_73709187"/>
      <w:bookmarkStart w:id="488" w:name="_Toc182"/>
      <w:bookmarkEnd w:id="487"/>
      <w:r>
        <w:rPr>
          <w:rtl w:val="true"/>
        </w:rPr>
        <w:t>الدلیل علی أنّ نفقته الزائدة علی الولیّ</w:t>
      </w:r>
      <w:bookmarkEnd w:id="488"/>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عبّر عنه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 و یمکن أن یستظهر ذلک من التذکرة</w:t>
      </w:r>
      <w:r>
        <w:rPr>
          <w:rStyle w:val="FootnoteAnchor"/>
          <w:rtl w:val="true"/>
        </w:rPr>
        <w:footnoteReference w:id="1337"/>
      </w:r>
      <w:r>
        <w:rPr>
          <w:rFonts w:ascii="IRNazanin" w:hAnsi="IRNazanin" w:eastAsia="IRNazanin"/>
          <w:color w:val="111111"/>
          <w:sz w:val="28"/>
          <w:sz w:val="28"/>
          <w:szCs w:val="28"/>
          <w:rtl w:val="true"/>
          <w:lang w:bidi="fa-IR"/>
        </w:rPr>
        <w:t>و الحدائق</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أصالة عدم ولایته علی التصرّف فی مال الصبیّ فی هذه الامور</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الإذن بالتصرّف فی مال الصبیّ علی الوجه المذکور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غرم</w:t>
      </w:r>
      <w:r>
        <w:rPr>
          <w:rStyle w:val="FootnoteAnchor"/>
          <w:rtl w:val="true"/>
        </w:rPr>
        <w:footnoteReference w:id="1341"/>
      </w:r>
      <w:r>
        <w:rPr>
          <w:rFonts w:ascii="IRNazanin" w:hAnsi="IRNazanin" w:eastAsia="IRNazanin"/>
          <w:color w:val="111111"/>
          <w:sz w:val="28"/>
          <w:sz w:val="28"/>
          <w:szCs w:val="28"/>
          <w:rtl w:val="true"/>
          <w:lang w:bidi="fa-IR"/>
        </w:rPr>
        <w:t>أدخله علیه، فلزمه بالتسبیب</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سببه الولیّ فیکون ضامنا</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إحجاج الصبیّ عمل یصدر من الولیّ بعنوان الاستحباب، و ما یترتّب علیه من الثواب إنّما یکون عائدا</w:t>
      </w:r>
      <w:r>
        <w:rPr>
          <w:rStyle w:val="FootnoteAnchor"/>
          <w:rtl w:val="true"/>
        </w:rPr>
        <w:footnoteReference w:id="1345"/>
      </w:r>
      <w:r>
        <w:rPr>
          <w:rFonts w:ascii="IRNazanin" w:hAnsi="IRNazanin" w:eastAsia="IRNazanin"/>
          <w:color w:val="111111"/>
          <w:sz w:val="28"/>
          <w:sz w:val="28"/>
          <w:szCs w:val="28"/>
          <w:rtl w:val="true"/>
          <w:lang w:bidi="fa-IR"/>
        </w:rPr>
        <w:t>إلی الولیّ لا إلی الصبیّ، و علیه فإذا کان الإحجاج متوقّفا علی السفر المستلزم لثبوت نفقه زائدة علی الحضر، فلا وجه لثبوتها فی مال الصبیّ بوجه، بعد عدم کونها غبطة له دنیویّة و لا مصلحة له اخرویّة أصلا، و إن کان مجرّد المصلحة الاخرویّة أیضا غیر کاف ظاهرا، فإنّ التصدّق بمال الطفل لا یجوز</w:t>
      </w:r>
      <w:r>
        <w:rPr>
          <w:rStyle w:val="FootnoteAnchor"/>
          <w:rtl w:val="true"/>
        </w:rPr>
        <w:footnoteReference w:id="1346"/>
      </w:r>
      <w:r>
        <w:rPr>
          <w:rFonts w:ascii="IRNazanin" w:hAnsi="IRNazanin" w:eastAsia="IRNazanin"/>
          <w:color w:val="111111"/>
          <w:sz w:val="28"/>
          <w:sz w:val="28"/>
          <w:szCs w:val="28"/>
          <w:rtl w:val="true"/>
          <w:lang w:bidi="fa-IR"/>
        </w:rPr>
        <w:t>و إن کان له</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فرق فی ذلک بین عود نفع إلی الصبیّ أم لا، مضافا إلی اشتراط المصلحة للصبیّ فی تصرّفات الولیّ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صرفه فی نفقة سفره و الحجّ به کذلک</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حجّ الرجل بابنه و هو صغیر فإنّه یأمره أن یلبّی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یتّقی علیهم ما یتّقی علی المحرم من</w:t>
      </w:r>
      <w:bookmarkStart w:id="489" w:name="pg11756_104068"/>
    </w:p>
    <w:p>
      <w:pPr>
        <w:pStyle w:val="BookText"/>
        <w:rPr/>
      </w:pPr>
      <w:bookmarkEnd w:id="489"/>
      <w:r>
        <w:rPr>
          <w:rFonts w:ascii="IRNazanin" w:hAnsi="IRNazanin" w:eastAsia="IRNazanin"/>
          <w:color w:val="111111"/>
          <w:sz w:val="28"/>
          <w:sz w:val="28"/>
          <w:szCs w:val="28"/>
          <w:rtl w:val="true"/>
          <w:lang w:bidi="fa-IR"/>
        </w:rPr>
        <w:t>الثیاب و الطیب، و إن قتل صیدا فعلی أبیه</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نصّ فی أنّ کفّارة صید الصبیّ علی الولیّ، فتدلّ بالأولویّة علی أنّ مئونة سفره إذا کان هو السبب للسفر علیه أیضا، کما صرّح فی المدارک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الولی یلزمه کفّارة الصید علی ما تضمّنته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فالنفقة أولی</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لأنّه أولی</w:t>
      </w:r>
      <w:r>
        <w:rPr>
          <w:rStyle w:val="FootnoteAnchor"/>
          <w:rtl w:val="true"/>
        </w:rPr>
        <w:footnoteReference w:id="1351"/>
      </w:r>
      <w:r>
        <w:rPr>
          <w:rFonts w:ascii="IRNazanin" w:hAnsi="IRNazanin" w:eastAsia="IRNazanin"/>
          <w:color w:val="111111"/>
          <w:sz w:val="28"/>
          <w:sz w:val="28"/>
          <w:szCs w:val="28"/>
          <w:rtl w:val="true"/>
          <w:lang w:bidi="fa-IR"/>
        </w:rPr>
        <w:t>من فداء الصید الذی نصّ علیه فی خبر زرارة</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9643777_73709187"/>
      <w:bookmarkStart w:id="491" w:name="_Toc183"/>
      <w:bookmarkEnd w:id="490"/>
      <w:r>
        <w:rPr>
          <w:rtl w:val="true"/>
        </w:rPr>
        <w:t>مناقشة ما ذهب إلیه المشهور</w:t>
      </w:r>
      <w:bookmarkEnd w:id="491"/>
    </w:p>
    <w:p>
      <w:pPr>
        <w:pStyle w:val="Heading5"/>
        <w:numPr>
          <w:ilvl w:val="4"/>
          <w:numId w:val="1"/>
        </w:numPr>
        <w:rPr/>
      </w:pPr>
      <w:bookmarkStart w:id="492" w:name="__RefHeading___Toc9643779_73709187"/>
      <w:bookmarkStart w:id="493" w:name="_Toc184"/>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استشکل السیّد الخوانساری علی رأی المشهور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إشکال؛ لإمکان أن یکون نظیر إخراج الزکاة من مال التجارة للصبیّ، فإذن الشارع فی إحجاجه إذن فی لوازمه</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إذن الشارع فی إحجاجه لا یستلزم</w:t>
      </w:r>
      <w:r>
        <w:rPr>
          <w:rStyle w:val="FootnoteAnchor"/>
          <w:rtl w:val="true"/>
        </w:rPr>
        <w:footnoteReference w:id="1354"/>
      </w:r>
      <w:r>
        <w:rPr>
          <w:rFonts w:ascii="IRNazanin" w:hAnsi="IRNazanin" w:eastAsia="IRNazanin"/>
          <w:color w:val="111111"/>
          <w:sz w:val="28"/>
          <w:sz w:val="28"/>
          <w:szCs w:val="28"/>
          <w:rtl w:val="true"/>
          <w:lang w:bidi="fa-IR"/>
        </w:rPr>
        <w:t>الإذن فی صرف ماله لمئونة</w:t>
      </w:r>
      <w:bookmarkStart w:id="494" w:name="pg11756_104069"/>
    </w:p>
    <w:p>
      <w:pPr>
        <w:pStyle w:val="BookText"/>
        <w:rPr/>
      </w:pPr>
      <w:bookmarkEnd w:id="494"/>
      <w:r>
        <w:rPr>
          <w:rFonts w:ascii="IRNazanin" w:hAnsi="IRNazanin" w:eastAsia="IRNazanin"/>
          <w:color w:val="111111"/>
          <w:sz w:val="28"/>
          <w:sz w:val="28"/>
          <w:szCs w:val="28"/>
          <w:rtl w:val="true"/>
          <w:lang w:bidi="fa-IR"/>
        </w:rPr>
        <w:t>حجّه، و المفروض أنّ ما یترتّب علی حجّ الصبیّ من الثواب یکون عائدا إلی الولیّ، و لیس حفظ الطفل متوقّفا علی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الشارع لإحجاج الطفل أمر، و جواز أخذ ماله فی الحجّ أمر آخر، و المفروض أنّه لا دلیل للتّالی کما تقدم، و جواز إخراج الزکاة من مال التجارة للطفل لا یمکن أن یکون دلیلا فی المقام؛ إذ لا نعلم باستواء مناط الحکم فیهما، و لا أقل من الشکّ فی ذلک، فیکون من القیاس الظنّی الذی لا یصلح لإثبات الحکم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اهتمام الشارع بأمر الیتیم، و عدم جواز التصرّف فی أمواله إلاّ مع الغبطة و المصلحة، و المفروض أنّ المقام لیس من ذلک</w:t>
      </w:r>
      <w:r>
        <w:rPr>
          <w:rFonts w:eastAsia="IRNazanin" w:cs="IRNazanin"/>
          <w:color w:val="111111"/>
          <w:sz w:val="28"/>
          <w:szCs w:val="28"/>
          <w:rtl w:val="true"/>
          <w:lang w:bidi="fa-IR"/>
        </w:rPr>
        <w:t>.</w:t>
      </w:r>
    </w:p>
    <w:p>
      <w:pPr>
        <w:pStyle w:val="Heading5"/>
        <w:numPr>
          <w:ilvl w:val="4"/>
          <w:numId w:val="1"/>
        </w:numPr>
        <w:rPr/>
      </w:pPr>
      <w:bookmarkStart w:id="495" w:name="__RefHeading___Toc9643781_73709187"/>
      <w:bookmarkStart w:id="496" w:name="_Toc185"/>
      <w:bookmarkEnd w:id="495"/>
      <w:r>
        <w:rPr>
          <w:rtl w:val="true"/>
        </w:rPr>
        <w:t>فرع</w:t>
      </w:r>
      <w:bookmarkEnd w:id="496"/>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یلزمه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 الولیّ النفقة الزائدة علی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نفقة مأکله و نحوه علی ما کان، أمّا لو نقصت فی السفر نقصانا یقابل الزائد من وجه آخر أو بعضه، ففی غرامة المقابل نظر، أظهره مقابلة المجموع بالمجموع لا الأفراد الخاصّة، فلا یغرم المقابل مطلقا</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توقّف حفظ الصبیّ و کفالته و تربیته علی السفر، أو یکون السفر مصلحة له، فالمئونة فی مال الصبیّ، کما صرّح به فی الجواهر،</w:t>
      </w:r>
    </w:p>
    <w:p>
      <w:pPr>
        <w:pStyle w:val="BookText"/>
        <w:rPr/>
      </w:pPr>
      <w:r>
        <w:rPr>
          <w:rFonts w:ascii="IRNazanin" w:hAnsi="IRNazanin" w:eastAsia="IRNazanin"/>
          <w:color w:val="111111"/>
          <w:sz w:val="28"/>
          <w:sz w:val="28"/>
          <w:szCs w:val="28"/>
          <w:rtl w:val="true"/>
          <w:lang w:bidi="fa-IR"/>
        </w:rPr>
        <w:t>و زاد أنّ إطلاق الأصحاب بأنّ مئونة السفر علی الولیّ منزّل علی غیر ذلک</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حفظه موقوفا علی السفر به، أو یکون السفر مصلحة له</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کثیر من الأعلام الّذین علّقوا علیها</w:t>
      </w:r>
      <w:r>
        <w:rPr>
          <w:rStyle w:val="FootnoteAnchor"/>
          <w:rtl w:val="true"/>
        </w:rPr>
        <w:footnoteReference w:id="1358"/>
      </w:r>
      <w:r>
        <w:rPr>
          <w:rFonts w:ascii="IRNazanin" w:hAnsi="IRNazanin" w:eastAsia="IRNazanin"/>
          <w:color w:val="111111"/>
          <w:sz w:val="28"/>
          <w:sz w:val="28"/>
          <w:szCs w:val="28"/>
          <w:rtl w:val="true"/>
          <w:lang w:bidi="fa-IR"/>
        </w:rPr>
        <w:t>، و کذا فی المستمسک</w:t>
      </w:r>
      <w:r>
        <w:rPr>
          <w:rStyle w:val="FootnoteAnchor"/>
          <w:rtl w:val="true"/>
        </w:rPr>
        <w:footnoteReference w:id="1359"/>
      </w:r>
      <w:r>
        <w:rPr>
          <w:rFonts w:ascii="IRNazanin" w:hAnsi="IRNazanin" w:eastAsia="IRNazanin"/>
          <w:color w:val="111111"/>
          <w:sz w:val="28"/>
          <w:sz w:val="28"/>
          <w:szCs w:val="28"/>
          <w:rtl w:val="true"/>
          <w:lang w:bidi="fa-IR"/>
        </w:rPr>
        <w:t>و المعتمد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تقییده بما إذا کان حفظه موقوفا علی السفر به، و أن لا تکون نفقة الحجّ به زائدة علی نفقة مطلق السفر، و إلاّ فلا یجوز له أخذ الزائد؛ للأصل</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إذا توقّف حفظ الطفل علی السفر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فرضنا أنّه لم یجد شخصا أمینا یطمئن به فی بلده حتّی یودع الطفل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یأخذه معه؛ حفظا له، فصرف المال الزائد علی الحضر حینئذ مصلحة للصبیّ، و یحسب من ماله، فتشمله الإطلاقات و العمومات التی تدلّ علی جواز تصرّف الولیّ فی أموال الطفل مع الغبطة و المصلحة؛ لأنّ المعیار فی جواز کلّ تصرّف یرجع إلی الصبیّ هو کونه مصلحة له و بدونها یکون حراما، و المراد من الغبطة هی المصلحة الدنیویّة، و المفروض کون إحجاجه و صرف ماله، و کذلک إذنه للحجّ مع توقّفه علی صرف المال من نفسه ذا مصلحة دنیویة للصبیّ؛ لتوقّف حفظه علیه، و عدم خروجه إلی السفر مفسدة له و ضررا علیه</w:t>
      </w:r>
      <w:r>
        <w:rPr>
          <w:rFonts w:eastAsia="IRNazanin" w:cs="IRNazanin"/>
          <w:color w:val="111111"/>
          <w:sz w:val="28"/>
          <w:szCs w:val="28"/>
          <w:rtl w:val="true"/>
          <w:lang w:bidi="fa-IR"/>
        </w:rPr>
        <w:t>.</w:t>
      </w:r>
      <w:bookmarkStart w:id="497" w:name="pg11756_104071"/>
    </w:p>
    <w:p>
      <w:pPr>
        <w:pStyle w:val="BookText"/>
        <w:rPr/>
      </w:pPr>
      <w:bookmarkEnd w:id="497"/>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حجّ الصبیّ بنفسه بدون إذن الولیّ، فلیس شیء من نفقة حجّه علی الولیّ، بل جمیعها من ماله؛ لما تقدّم من أنّه مأذون التصرّف فی ماله بمقدار مئونة الحجّ من قبل الشارع بمقتضی إطلاق أدلّة استحباب الحجّ له، کما صرّح به بعض الأعلام</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9643783_73709187"/>
      <w:bookmarkStart w:id="499" w:name="_Toc186"/>
      <w:bookmarkEnd w:id="498"/>
      <w:r>
        <w:rPr>
          <w:rtl w:val="true"/>
        </w:rPr>
        <w:t>نفقة حجّ الصبیّ فی فقه أهل السنّة</w:t>
      </w:r>
      <w:bookmarkEnd w:id="499"/>
    </w:p>
    <w:p>
      <w:pPr>
        <w:pStyle w:val="BookText"/>
        <w:rPr/>
      </w:pPr>
      <w:r>
        <w:rPr>
          <w:rFonts w:ascii="IRNazanin" w:hAnsi="IRNazanin" w:eastAsia="IRNazanin"/>
          <w:color w:val="111111"/>
          <w:sz w:val="28"/>
          <w:sz w:val="28"/>
          <w:szCs w:val="28"/>
          <w:rtl w:val="true"/>
          <w:lang w:bidi="fa-IR"/>
        </w:rPr>
        <w:t>ذهب جمهور الفقهاء من الشافعیّة و الحنابلة و المالکیّة إلی أنّ نفقة الصبیّ فی سفره فی الحجّ یحسب منها قدر نفقته فی الحضر من مال الصبیّ، و فی الزائد عندهم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بأنّه یجب فی مال الولیّ؛ لأنّه هو السبب لسفر الصبیّ، و القول الآخر یجب فی مال الصبیّ؛ لأنّ السفر وقع لمصلحته، فکان فی ماله کاجرة المعلّم، و إلیک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نفقة الصبیّ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یختلف المذهب أنّ القدر الذی یحتاج إلیه من النفقة فی الحضر یکون من ماله، و ما زاد علی ذلک لأجل الحجّ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بمال الصبیّ؛ لأنّه یتعلّق بمصلحته فهو کاجرة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الولیّ، و هو الصحیح؛ لأنّه أدخله فیما له منه بدّ</w:t>
      </w:r>
      <w:r>
        <w:rPr>
          <w:rFonts w:eastAsia="IRNazanin" w:cs="IRNazanin"/>
          <w:color w:val="111111"/>
          <w:sz w:val="28"/>
          <w:szCs w:val="28"/>
          <w:rtl w:val="true"/>
          <w:lang w:bidi="fa-IR"/>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1365"/>
      </w:r>
      <w:r>
        <w:rPr>
          <w:rFonts w:ascii="IRNazanin" w:hAnsi="IRNazanin" w:eastAsia="IRNazanin"/>
          <w:color w:val="111111"/>
          <w:sz w:val="28"/>
          <w:sz w:val="28"/>
          <w:szCs w:val="28"/>
          <w:rtl w:val="true"/>
          <w:lang w:bidi="fa-IR"/>
        </w:rPr>
        <w:t>و المجموع</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النفقة الزائدة بسبب السفر فی مال الولیّ فی الأصحّ؛</w:t>
      </w:r>
    </w:p>
    <w:p>
      <w:pPr>
        <w:pStyle w:val="BookText"/>
        <w:rPr/>
      </w:pPr>
      <w:r>
        <w:rPr>
          <w:rFonts w:ascii="IRNazanin" w:hAnsi="IRNazanin" w:eastAsia="IRNazanin"/>
          <w:color w:val="111111"/>
          <w:sz w:val="28"/>
          <w:sz w:val="28"/>
          <w:szCs w:val="28"/>
          <w:rtl w:val="true"/>
          <w:lang w:bidi="fa-IR"/>
        </w:rPr>
        <w:t>لأنّه المورّط له فی ذلک، و هذا بخلاف ما لو قبل للممیّز نکاحا؛ إذ المنکوحة قد تفوت، و النسک یمکن تأخیره إلی البلوغ</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علی نفقة الحضر فهو من مال الولیّ؛ لأنّه کلّفه ذلک عن غیر حاجة بالصبیّ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جمیع النفقة علی الصبیّ؛ لأنّ الحجّ له، فنفقته علیه کالبالغ، و لأنّ له فیه مصلحة بتحصیل الثواب له و یتمرّن علیه، فصار کأجر المعلّم و الطبیب، و الصحیح الأوّل</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یلزمه من النفقة بقدر نفقة الحضر فهو من ماله؛ لأنّ الولیّ لم یکلّفه ذلک، و ما زاد ففی محلّه روایتان کالفدیة سواء</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کشّاف القناع</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ولیّ الصبیّ إذا خرج به إلی الحجّ فزادت نفقته فی السفر علی نفقته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فی مال الصبیّ إن کان الولیّ یخاف علیه الضیعة إذا ترکه، و لم یستصحبه معه، و إن کان لا یخاف علیه الضیعة بعده فالزیادة فی مال الولیّ</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التاج و الإکلیل</w:t>
      </w:r>
      <w:r>
        <w:rPr>
          <w:rStyle w:val="FootnoteAnchor"/>
          <w:rtl w:val="true"/>
        </w:rPr>
        <w:footnoteReference w:id="1372"/>
      </w:r>
      <w:r>
        <w:rPr>
          <w:rFonts w:ascii="IRNazanin" w:hAnsi="IRNazanin" w:eastAsia="IRNazanin"/>
          <w:color w:val="111111"/>
          <w:sz w:val="28"/>
          <w:sz w:val="28"/>
          <w:szCs w:val="28"/>
          <w:rtl w:val="true"/>
          <w:lang w:bidi="fa-IR"/>
        </w:rPr>
        <w:t>، و اختاره فی بلغة السالک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للحنفیة نصّا فی المسألة</w:t>
      </w:r>
      <w:r>
        <w:rPr>
          <w:rFonts w:eastAsia="IRNazanin" w:cs="IRNazanin"/>
          <w:color w:val="111111"/>
          <w:sz w:val="28"/>
          <w:szCs w:val="28"/>
          <w:rtl w:val="true"/>
          <w:lang w:bidi="fa-IR"/>
        </w:rPr>
        <w:t>.</w:t>
      </w:r>
      <w:bookmarkStart w:id="500" w:name="pg11756_104073"/>
    </w:p>
    <w:p>
      <w:pPr>
        <w:pStyle w:val="Heading3"/>
        <w:numPr>
          <w:ilvl w:val="2"/>
          <w:numId w:val="1"/>
        </w:numPr>
        <w:rPr/>
      </w:pPr>
      <w:bookmarkStart w:id="501" w:name="__RefHeading___Toc9643785_73709187"/>
      <w:bookmarkStart w:id="502" w:name="_Toc187"/>
      <w:bookmarkEnd w:id="500"/>
      <w:bookmarkEnd w:id="501"/>
      <w:r>
        <w:rPr>
          <w:rtl w:val="true"/>
        </w:rPr>
        <w:t>المبحث السابع</w:t>
      </w:r>
      <w:r>
        <w:rPr>
          <w:rtl w:val="true"/>
        </w:rPr>
        <w:t xml:space="preserve">: </w:t>
      </w:r>
      <w:r>
        <w:rPr>
          <w:rtl w:val="true"/>
        </w:rPr>
        <w:t>مواقیت إحرام الصبیان</w:t>
      </w:r>
      <w:bookmarkEnd w:id="502"/>
    </w:p>
    <w:p>
      <w:pPr>
        <w:pStyle w:val="Heading4"/>
        <w:numPr>
          <w:ilvl w:val="3"/>
          <w:numId w:val="1"/>
        </w:numPr>
        <w:rPr/>
      </w:pPr>
      <w:bookmarkStart w:id="503" w:name="__RefHeading___Toc9643787_73709187"/>
      <w:bookmarkStart w:id="504" w:name="_Toc188"/>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میقات، و هو الوقت المضروب للفعل و الموضع المعیّن له</w:t>
      </w:r>
      <w:r>
        <w:rPr>
          <w:rStyle w:val="FootnoteAnchor"/>
          <w:rtl w:val="true"/>
        </w:rPr>
        <w:footnoteReference w:id="1374"/>
      </w:r>
      <w:r>
        <w:rPr>
          <w:rFonts w:ascii="IRNazanin" w:hAnsi="IRNazanin" w:eastAsia="IRNazanin"/>
          <w:color w:val="111111"/>
          <w:sz w:val="28"/>
          <w:sz w:val="28"/>
          <w:szCs w:val="28"/>
          <w:rtl w:val="true"/>
          <w:lang w:bidi="fa-IR"/>
        </w:rPr>
        <w:t>، و المراد منها فی المقام الأمکنة المعیّنة شرعا للإحرام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الإحرام الذی هو أوّل أفعال الحجّ و العمرة یجب إیقاعه فی موضع معیّن، و قد قرّر الشارع لکلّ طائفة موضعا خاصّا یجب علیها الإحرام منه، و باعتبار تعدّد تلک الطوائف تکثّرت المواقیت، فمن أصحابنا من جعلها خمسة،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سبعة، أو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الاختلاف اختلاف النصوص الواردة لتعیینها، و المعروف أنّها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أجمع الأصحاب علی أنّ هذه المواقیت الستّة منصوصة من الرسول صلّی اللّه علیه و آله، و أخبارهم ناطقة بذلک</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الأصحاب بأنّ کلّ من حجّ من المکلّفین علی طریق فمیقاته</w:t>
      </w:r>
      <w:bookmarkStart w:id="505" w:name="pg11756_104074"/>
    </w:p>
    <w:p>
      <w:pPr>
        <w:pStyle w:val="BookText"/>
        <w:rPr/>
      </w:pPr>
      <w:bookmarkEnd w:id="505"/>
      <w:r>
        <w:rPr>
          <w:rFonts w:ascii="IRNazanin" w:hAnsi="IRNazanin" w:eastAsia="IRNazanin"/>
          <w:color w:val="111111"/>
          <w:sz w:val="28"/>
          <w:sz w:val="28"/>
          <w:szCs w:val="28"/>
          <w:rtl w:val="true"/>
          <w:lang w:bidi="fa-IR"/>
        </w:rPr>
        <w:t>میقات أهل ذلک الطریق، فلو حجّ الشامی علی طریق المدینة أو العراق وجب علیه الإحرام</w:t>
      </w:r>
      <w:r>
        <w:rPr>
          <w:rStyle w:val="FootnoteAnchor"/>
          <w:rtl w:val="true"/>
        </w:rPr>
        <w:footnoteReference w:id="1376"/>
      </w:r>
      <w:r>
        <w:rPr>
          <w:rFonts w:ascii="IRNazanin" w:hAnsi="IRNazanin" w:eastAsia="IRNazanin"/>
          <w:color w:val="111111"/>
          <w:sz w:val="28"/>
          <w:sz w:val="28"/>
          <w:szCs w:val="28"/>
          <w:rtl w:val="true"/>
          <w:lang w:bidi="fa-IR"/>
        </w:rPr>
        <w:t>من ذی الحلیفة مثلا،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المکلّفین، و أمّا الأطفال، فهل حکمهم حکم البالغین، حیث إنّه لا فرق فی الطبیعة الصادرة من البالغین و غیرهم، إلاّ من حیث الوجوب و الندب، أو أنّه رخّص لهم فی تأخیر إحرامهم من المواقیت المعیّنة للبالغین؟ فیه قولان</w:t>
      </w:r>
      <w:r>
        <w:rPr>
          <w:rFonts w:eastAsia="IRNazanin" w:cs="IRNazanin"/>
          <w:color w:val="111111"/>
          <w:sz w:val="28"/>
          <w:szCs w:val="28"/>
          <w:rtl w:val="true"/>
          <w:lang w:bidi="fa-IR"/>
        </w:rPr>
        <w:t>:</w:t>
      </w:r>
    </w:p>
    <w:p>
      <w:pPr>
        <w:pStyle w:val="Heading4"/>
        <w:numPr>
          <w:ilvl w:val="3"/>
          <w:numId w:val="1"/>
        </w:numPr>
        <w:rPr/>
      </w:pPr>
      <w:bookmarkStart w:id="506" w:name="__RefHeading___Toc9643789_73709187"/>
      <w:bookmarkStart w:id="507" w:name="_Toc189"/>
      <w:bookmarkEnd w:id="506"/>
      <w:r>
        <w:rPr>
          <w:rtl w:val="true"/>
        </w:rPr>
        <w:t>الأوّل</w:t>
      </w:r>
      <w:r>
        <w:rPr>
          <w:rtl w:val="true"/>
        </w:rPr>
        <w:t xml:space="preserve">: </w:t>
      </w:r>
      <w:r>
        <w:rPr>
          <w:rtl w:val="true"/>
        </w:rPr>
        <w:t>إحرامهم من فخّ</w:t>
      </w:r>
      <w:bookmarkEnd w:id="507"/>
    </w:p>
    <w:p>
      <w:pPr>
        <w:pStyle w:val="Heading5"/>
        <w:numPr>
          <w:ilvl w:val="4"/>
          <w:numId w:val="1"/>
        </w:numPr>
        <w:rPr/>
      </w:pPr>
      <w:bookmarkStart w:id="508" w:name="__RefHeading___Toc9643791_73709187"/>
      <w:bookmarkStart w:id="509" w:name="_Toc190"/>
      <w:bookmarkEnd w:id="508"/>
      <w:r>
        <w:rPr>
          <w:rtl w:val="true"/>
        </w:rPr>
        <w:t>اشارة</w:t>
      </w:r>
      <w:bookmarkEnd w:id="5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 تشدید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بمکّة، یبعد عنها بمقدار فرسخ واحد، و استشهد فیه أبو عبد اللّه الحسین بن علیّ بن الحسن بن الحسن بن الحسن بن علیّ بن أبی طالب علیهم السّلام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Style w:val="FootnoteAnchor"/>
          <w:rtl w:val="true"/>
        </w:rPr>
        <w:footnoteReference w:id="1377"/>
      </w:r>
      <w:r>
        <w:rPr>
          <w:rFonts w:ascii="IRNazanin" w:hAnsi="IRNazanin" w:eastAsia="IRNazanin"/>
          <w:color w:val="111111"/>
          <w:sz w:val="28"/>
          <w:sz w:val="28"/>
          <w:szCs w:val="28"/>
          <w:rtl w:val="true"/>
          <w:lang w:bidi="fa-IR"/>
        </w:rPr>
        <w:t>، و هو أحد دعاة الزیدیة، قتل فی زمن موسی الهادی بن المهدی العبّاسی، و حمل رأسه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الجواد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أصل تجرّد الصبیان من فخّ ممّا لا إشکال فیه نصّا و فتوی، إنّما الخلاف فی أنّ الإحرام من المیقات و التجرّد من فخّ، أو أنّ أصل إحرامهم إنّما هو من فخّ؟</w:t>
      </w:r>
    </w:p>
    <w:p>
      <w:pPr>
        <w:pStyle w:val="BookText"/>
        <w:rPr/>
      </w:pPr>
      <w:r>
        <w:rPr>
          <w:rFonts w:ascii="IRNazanin" w:hAnsi="IRNazanin" w:eastAsia="IRNazanin"/>
          <w:color w:val="111111"/>
          <w:sz w:val="28"/>
          <w:sz w:val="28"/>
          <w:szCs w:val="28"/>
          <w:rtl w:val="true"/>
          <w:lang w:bidi="fa-IR"/>
        </w:rPr>
        <w:t>ذهب الأکثر إلی الثانی،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یجرّد الصبیان للإحرام من فخّ، بذلک جاءت السنّة</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الشیخ فی النهایة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یجرّد الصبیان من فخّ إذا أرادوا الحجّ بهم</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تجرّد الصبیان من فخّ، قاله الشیخ، و لا ریب أنّه یجوز أن یحرم بهم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خصّ فی تأخّر الإحرام بهم، حتّی یصیروا إلی فخّ، فیجرّدوا، و لا یتجاوز بهم فخّ</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العلاّمة فی أکثر کتبه</w:t>
      </w:r>
      <w:r>
        <w:rPr>
          <w:rStyle w:val="FootnoteAnchor"/>
          <w:rtl w:val="true"/>
        </w:rPr>
        <w:footnoteReference w:id="1383"/>
      </w:r>
      <w:r>
        <w:rPr>
          <w:rFonts w:ascii="IRNazanin" w:hAnsi="IRNazanin" w:eastAsia="IRNazanin"/>
          <w:color w:val="111111"/>
          <w:sz w:val="28"/>
          <w:sz w:val="28"/>
          <w:szCs w:val="28"/>
          <w:rtl w:val="true"/>
          <w:lang w:bidi="fa-IR"/>
        </w:rPr>
        <w:t>و الشهیدین</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w:t>
      </w:r>
      <w:r>
        <w:rPr>
          <w:rStyle w:val="FootnoteAnchor"/>
          <w:rtl w:val="true"/>
        </w:rPr>
        <w:footnoteReference w:id="1385"/>
      </w:r>
      <w:r>
        <w:rPr>
          <w:rFonts w:ascii="IRNazanin" w:hAnsi="IRNazanin" w:eastAsia="IRNazanin"/>
          <w:color w:val="111111"/>
          <w:sz w:val="28"/>
          <w:sz w:val="28"/>
          <w:szCs w:val="28"/>
          <w:rtl w:val="true"/>
          <w:lang w:bidi="fa-IR"/>
        </w:rPr>
        <w:t>، و اختاره فی غایة المراد</w:t>
      </w:r>
      <w:r>
        <w:rPr>
          <w:rStyle w:val="FootnoteAnchor"/>
          <w:rtl w:val="true"/>
        </w:rPr>
        <w:footnoteReference w:id="1386"/>
      </w:r>
      <w:r>
        <w:rPr>
          <w:rFonts w:ascii="IRNazanin" w:hAnsi="IRNazanin" w:eastAsia="IRNazanin"/>
          <w:color w:val="111111"/>
          <w:sz w:val="28"/>
          <w:sz w:val="28"/>
          <w:szCs w:val="28"/>
          <w:rtl w:val="true"/>
          <w:lang w:bidi="fa-IR"/>
        </w:rPr>
        <w:t>، و نسبه فی الحدائق</w:t>
      </w:r>
      <w:r>
        <w:rPr>
          <w:rStyle w:val="FootnoteAnchor"/>
          <w:rtl w:val="true"/>
        </w:rPr>
        <w:footnoteReference w:id="1387"/>
      </w:r>
      <w:r>
        <w:rPr>
          <w:rFonts w:ascii="IRNazanin" w:hAnsi="IRNazanin" w:eastAsia="IRNazanin"/>
          <w:color w:val="111111"/>
          <w:sz w:val="28"/>
          <w:sz w:val="28"/>
          <w:szCs w:val="28"/>
          <w:rtl w:val="true"/>
          <w:lang w:bidi="fa-IR"/>
        </w:rPr>
        <w:t>إلی الأکثر، بل أشار فی المفاتیح إلی عدم الخلاف فیه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bookmarkStart w:id="510" w:name="pg11756_104076"/>
    </w:p>
    <w:p>
      <w:pPr>
        <w:pStyle w:val="Heading5"/>
        <w:numPr>
          <w:ilvl w:val="4"/>
          <w:numId w:val="1"/>
        </w:numPr>
        <w:rPr/>
      </w:pPr>
      <w:bookmarkStart w:id="511" w:name="__RefHeading___Toc9643793_73709187"/>
      <w:bookmarkStart w:id="512" w:name="_Toc191"/>
      <w:bookmarkEnd w:id="510"/>
      <w:bookmarkEnd w:id="511"/>
      <w:r>
        <w:rPr>
          <w:rtl w:val="true"/>
        </w:rPr>
        <w:t>أدلّة القول بأنّ میقات الصبیان هو فخّ</w:t>
      </w:r>
      <w:bookmarkEnd w:id="512"/>
    </w:p>
    <w:p>
      <w:pPr>
        <w:pStyle w:val="BookText"/>
        <w:rPr/>
      </w:pPr>
      <w:r>
        <w:rPr>
          <w:rFonts w:ascii="IRNazanin" w:hAnsi="IRNazanin" w:eastAsia="IRNazanin"/>
          <w:color w:val="111111"/>
          <w:sz w:val="28"/>
          <w:sz w:val="28"/>
          <w:szCs w:val="28"/>
          <w:rtl w:val="true"/>
          <w:lang w:bidi="fa-IR"/>
        </w:rPr>
        <w:t>استدلّ للقول المذکور ببعض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أیّوب أخی أدیم المتقدّمة التی رواها المشایخ الثلاثة،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یجرّد الصبیان؟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علیه السّلام یجرّدهم من فخّ</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 و مثلها صحیحة علیّ بن جعفر عن أخیه موسی علیه السّلام</w:t>
      </w:r>
      <w:r>
        <w:rPr>
          <w:rStyle w:val="FootnoteAnchor"/>
          <w:rtl w:val="true"/>
        </w:rPr>
        <w:footnoteReference w:id="1390"/>
      </w:r>
      <w:r>
        <w:rPr>
          <w:rFonts w:ascii="IRNazanin" w:hAnsi="IRNazanin" w:eastAsia="IRNazanin"/>
          <w:color w:val="111111"/>
          <w:sz w:val="28"/>
          <w:sz w:val="28"/>
          <w:szCs w:val="28"/>
          <w:rtl w:val="true"/>
          <w:lang w:bidi="fa-IR"/>
        </w:rPr>
        <w:t>،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التجرید هو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بالتجرید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الشیخ</w:t>
      </w:r>
      <w:r>
        <w:rPr>
          <w:rStyle w:val="FootnoteAnchor"/>
          <w:rtl w:val="true"/>
        </w:rPr>
        <w:footnoteReference w:id="1391"/>
      </w:r>
      <w:r>
        <w:rPr>
          <w:rFonts w:ascii="IRNazanin" w:hAnsi="IRNazanin" w:eastAsia="IRNazanin"/>
          <w:color w:val="111111"/>
          <w:sz w:val="28"/>
          <w:sz w:val="28"/>
          <w:szCs w:val="28"/>
          <w:rtl w:val="true"/>
          <w:lang w:bidi="fa-IR"/>
        </w:rPr>
        <w:t>و غیره</w:t>
      </w:r>
      <w:r>
        <w:rPr>
          <w:rStyle w:val="FootnoteAnchor"/>
          <w:rtl w:val="true"/>
        </w:rPr>
        <w:footnoteReference w:id="1392"/>
      </w:r>
      <w:r>
        <w:rPr>
          <w:rFonts w:ascii="IRNazanin" w:hAnsi="IRNazanin" w:eastAsia="IRNazanin"/>
          <w:color w:val="111111"/>
          <w:sz w:val="28"/>
          <w:sz w:val="28"/>
          <w:szCs w:val="28"/>
          <w:rtl w:val="true"/>
          <w:lang w:bidi="fa-IR"/>
        </w:rPr>
        <w:t>علی أنّ الأفضل الإحرام بالصبیان من المیقات، لکن رخّص فی تأخیر الإحرام بهم حتّی یصیروا إلی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للأفضلیّة و الترخیص بالروایات</w:t>
      </w:r>
      <w:r>
        <w:rPr>
          <w:rStyle w:val="FootnoteAnchor"/>
          <w:rtl w:val="true"/>
        </w:rPr>
        <w:footnoteReference w:id="1393"/>
      </w:r>
      <w:r>
        <w:rPr>
          <w:rFonts w:ascii="IRNazanin" w:hAnsi="IRNazanin" w:eastAsia="IRNazanin"/>
          <w:color w:val="111111"/>
          <w:sz w:val="28"/>
          <w:sz w:val="28"/>
          <w:szCs w:val="28"/>
          <w:rtl w:val="true"/>
          <w:lang w:bidi="fa-IR"/>
        </w:rPr>
        <w:t>الصحیحة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التجرید الواقع فی الأخبار کنایة عنه</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أی عن الإحرام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التجرید إنّما هو نزع شیء من شیء،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جرّدته عن ثیابه، و أصل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الإحرام امور عدیدة لا یدخل منها شیء</w:t>
      </w:r>
      <w:bookmarkStart w:id="513" w:name="pg11756_104077"/>
    </w:p>
    <w:p>
      <w:pPr>
        <w:pStyle w:val="BookText"/>
        <w:rPr/>
      </w:pPr>
      <w:bookmarkEnd w:id="513"/>
      <w:r>
        <w:rPr>
          <w:rFonts w:ascii="IRNazanin" w:hAnsi="IRNazanin" w:eastAsia="IRNazanin"/>
          <w:color w:val="111111"/>
          <w:sz w:val="28"/>
          <w:sz w:val="28"/>
          <w:szCs w:val="28"/>
          <w:rtl w:val="true"/>
          <w:lang w:bidi="fa-IR"/>
        </w:rPr>
        <w:t>تحت هذا اللفظ سوی نزع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الخبرین إلاّ التجرید الذی 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طریق المدینة، أمّا لو کان غیره فلا رخصة لهم فی تجاوز المیقات بلا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حمل أدنی الحلّ من سائر الطرق علی فخّ الذی هو أدناه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التجرید و نزع الثیاب من جملة أحکام الإحرام، و قد دلّت الصحیحتان علی عدم إجراء هذا الحکم بخصوصه علی الصبیان إلی فخّ، و جوّز لهم لبس المخیط، فحالهم من هذه الجهة کالنساء فی جواز لبس المخیط، غایة الأمر النّساء یجوز لهنّ لبس المخیط إلی الأخیر، و الصبیان یجوز لهم لبس المخیط، إلی فخّ، و منه یجرّدون من ثیابهم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9643795_73709187"/>
      <w:bookmarkStart w:id="515" w:name="_Toc192"/>
      <w:bookmarkEnd w:id="514"/>
      <w:r>
        <w:rPr>
          <w:rtl w:val="true"/>
        </w:rPr>
        <w:t>القول الثانی</w:t>
      </w:r>
      <w:r>
        <w:rPr>
          <w:rtl w:val="true"/>
        </w:rPr>
        <w:t xml:space="preserve">: </w:t>
      </w:r>
      <w:r>
        <w:rPr>
          <w:rtl w:val="true"/>
        </w:rPr>
        <w:t>میقات الأطفال میقات المکلّفین</w:t>
      </w:r>
      <w:bookmarkEnd w:id="515"/>
    </w:p>
    <w:p>
      <w:pPr>
        <w:pStyle w:val="Heading5"/>
        <w:numPr>
          <w:ilvl w:val="4"/>
          <w:numId w:val="1"/>
        </w:numPr>
        <w:rPr/>
      </w:pPr>
      <w:bookmarkStart w:id="516" w:name="__RefHeading___Toc9643797_73709187"/>
      <w:bookmarkStart w:id="517" w:name="_Toc193"/>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آخر من الفقهاء من أنّ میقات الأطفال هو میقات المکلّفین، إلاّ أنّه رخّص لهم فی التجرید من المخیط حتّی یصیروا إلی فخّ، و هو الأحوط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یجرّد الصبیان من لبس المخیط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بهم علی طریق المدینة؛ لأنّ فخّا علی هذا الطریق، فأمّا إذا کان إحرامهم من غیر میقات أهل المدینة فلا یجوز لبس المخیط لهم، بل یجرّدون من المخیط وقت الإحرام</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التنقیح الرائع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یجرّد الصبیان من فخّ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مع عقد الإحرام بهم من المیقات، و تأخیر التجرید رخصة من الشارع؛ لضعفهم عن الحرّ و البرد</w:t>
      </w:r>
      <w:r>
        <w:rPr>
          <w:rStyle w:val="FootnoteAnchor"/>
          <w:rtl w:val="true"/>
        </w:rPr>
        <w:footnoteReference w:id="1400"/>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بعض کتب العلاّمة</w:t>
      </w:r>
      <w:r>
        <w:rPr>
          <w:rStyle w:val="FootnoteAnchor"/>
          <w:rtl w:val="true"/>
        </w:rPr>
        <w:footnoteReference w:id="1402"/>
      </w:r>
      <w:r>
        <w:rPr>
          <w:rFonts w:ascii="IRNazanin" w:hAnsi="IRNazanin" w:eastAsia="IRNazanin"/>
          <w:color w:val="111111"/>
          <w:sz w:val="28"/>
          <w:sz w:val="28"/>
          <w:szCs w:val="28"/>
          <w:rtl w:val="true"/>
          <w:lang w:bidi="fa-IR"/>
        </w:rPr>
        <w:t>، و اختاره المحقّق الثانی</w:t>
      </w:r>
      <w:r>
        <w:rPr>
          <w:rStyle w:val="FootnoteAnchor"/>
          <w:rtl w:val="true"/>
        </w:rPr>
        <w:footnoteReference w:id="1403"/>
      </w:r>
      <w:r>
        <w:rPr>
          <w:rFonts w:ascii="IRNazanin" w:hAnsi="IRNazanin" w:eastAsia="IRNazanin"/>
          <w:color w:val="111111"/>
          <w:sz w:val="28"/>
          <w:sz w:val="28"/>
          <w:szCs w:val="28"/>
          <w:rtl w:val="true"/>
          <w:lang w:bidi="fa-IR"/>
        </w:rPr>
        <w:t>، و کذا فی الجواهر</w:t>
      </w:r>
      <w:r>
        <w:rPr>
          <w:rStyle w:val="FootnoteAnchor"/>
          <w:rtl w:val="true"/>
        </w:rPr>
        <w:footnoteReference w:id="1404"/>
      </w:r>
      <w:r>
        <w:rPr>
          <w:rFonts w:ascii="IRNazanin" w:hAnsi="IRNazanin" w:eastAsia="IRNazanin"/>
          <w:color w:val="111111"/>
          <w:sz w:val="28"/>
          <w:sz w:val="28"/>
          <w:szCs w:val="28"/>
          <w:rtl w:val="true"/>
          <w:lang w:bidi="fa-IR"/>
        </w:rPr>
        <w:t>و الحدائق</w:t>
      </w:r>
      <w:r>
        <w:rPr>
          <w:rStyle w:val="FootnoteAnchor"/>
          <w:rtl w:val="true"/>
        </w:rPr>
        <w:footnoteReference w:id="1405"/>
      </w:r>
      <w:r>
        <w:rPr>
          <w:rFonts w:ascii="IRNazanin" w:hAnsi="IRNazanin" w:eastAsia="IRNazanin"/>
          <w:color w:val="111111"/>
          <w:sz w:val="28"/>
          <w:sz w:val="28"/>
          <w:szCs w:val="28"/>
          <w:rtl w:val="true"/>
          <w:lang w:bidi="fa-IR"/>
        </w:rPr>
        <w:t>، و تردّد فی کشف اللثام</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أحوط</w:t>
      </w:r>
      <w:r>
        <w:rPr>
          <w:rStyle w:val="FootnoteAnchor"/>
          <w:rtl w:val="true"/>
        </w:rPr>
        <w:footnoteReference w:id="1407"/>
      </w:r>
      <w:r>
        <w:rPr>
          <w:rStyle w:val="FootnoteAnchor"/>
          <w:rtl w:val="true"/>
        </w:rPr>
        <w:footnoteReference w:id="1408"/>
      </w:r>
      <w:r>
        <w:rPr>
          <w:rFonts w:ascii="IRNazanin" w:hAnsi="IRNazanin" w:eastAsia="IRNazanin"/>
          <w:color w:val="111111"/>
          <w:sz w:val="28"/>
          <w:sz w:val="28"/>
          <w:szCs w:val="28"/>
          <w:rtl w:val="true"/>
          <w:lang w:bidi="fa-IR"/>
        </w:rPr>
        <w:t>، و به قال بعض الأعلام من المعاصرین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ما عن آخرین، من وجوب کون إحرامهم من</w:t>
      </w:r>
    </w:p>
    <w:p>
      <w:pPr>
        <w:pStyle w:val="BookText"/>
        <w:rPr/>
      </w:pPr>
      <w:r>
        <w:rPr>
          <w:rFonts w:ascii="IRNazanin" w:hAnsi="IRNazanin" w:eastAsia="IRNazanin"/>
          <w:color w:val="111111"/>
          <w:sz w:val="28"/>
          <w:sz w:val="28"/>
          <w:szCs w:val="28"/>
          <w:rtl w:val="true"/>
          <w:lang w:bidi="fa-IR"/>
        </w:rPr>
        <w:t>المیقات، لکن لا یجرّدون إلاّ فی فخّ، ثمّ إنّ جواز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مرّوا علی طریق المدینة، و أمّا إذا سلکوا طریقا لا یصل إلی فخّ فاللازم إحرامهم من میقات البالغین</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جماعة ممّن علّقوا علیها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إطلاق نصوص المواقیت، و النهی عن تأخیر الإحرام عنها</w:t>
      </w:r>
      <w:r>
        <w:rPr>
          <w:rStyle w:val="FootnoteAnchor"/>
          <w:rtl w:val="true"/>
        </w:rPr>
        <w:footnoteReference w:id="1412"/>
      </w:r>
      <w:r>
        <w:rPr>
          <w:rFonts w:ascii="IRNazanin" w:hAnsi="IRNazanin" w:eastAsia="IRNazanin"/>
          <w:color w:val="111111"/>
          <w:sz w:val="28"/>
          <w:sz w:val="28"/>
          <w:szCs w:val="28"/>
          <w:rtl w:val="true"/>
          <w:lang w:bidi="fa-IR"/>
        </w:rPr>
        <w:t>،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أن تحرم من المواقیت التی وقّتها رسول اللّه صلّی اللّه علیه و آله، لا تجاوزها إلاّ و أنت محرم</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الإحرام من مواقیت خمسة، وقّتها رسول اللّه صلّی اللّه علیه و آله لا ینبغی لحاجّ و لا لمعتمر أن یحرم قبلها و لا بعدها</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 و غیرهما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 الاستدلال بالنصوص فی المقام بمنع العموم فیها بحیث یتناول غیر المکلّف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المستند بأنّه إن ارید بالعموم الممنوع عموم عدم التجاوز عن المیقات فلا بأس بمنعه، و لکن لا حاجة إلیه، بل عدم توقیف غیر المیقات کاف فی عدم صحّة إحرام الصبیّ عن غیره؛ لکونه حکما وضعیّا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عموم توقیت المواقیت فهو فاسد قطعا؛ لاشتمال نصوصها علی أهل فلان و فلان، الصادق علی البالغ و غیره، و عدم کونه تکلیفا مخصوصا</w:t>
      </w:r>
    </w:p>
    <w:p>
      <w:pPr>
        <w:pStyle w:val="BookText"/>
        <w:rPr/>
      </w:pPr>
      <w:r>
        <w:rPr>
          <w:rFonts w:ascii="IRNazanin" w:hAnsi="IRNazanin" w:eastAsia="IRNazanin"/>
          <w:color w:val="111111"/>
          <w:sz w:val="28"/>
          <w:sz w:val="28"/>
          <w:szCs w:val="28"/>
          <w:rtl w:val="true"/>
          <w:lang w:bidi="fa-IR"/>
        </w:rPr>
        <w:t>بالبالغین</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استدلّ فی الحدائق</w:t>
      </w:r>
      <w:r>
        <w:rPr>
          <w:rStyle w:val="FootnoteAnchor"/>
          <w:rtl w:val="true"/>
        </w:rPr>
        <w:footnoteReference w:id="1417"/>
      </w:r>
      <w:r>
        <w:rPr>
          <w:rFonts w:ascii="IRNazanin" w:hAnsi="IRNazanin" w:eastAsia="IRNazanin"/>
          <w:color w:val="111111"/>
          <w:sz w:val="28"/>
          <w:sz w:val="28"/>
          <w:szCs w:val="28"/>
          <w:rtl w:val="true"/>
          <w:lang w:bidi="fa-IR"/>
        </w:rPr>
        <w:t>للقول الثانی بصحیحة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w:t>
      </w:r>
      <w:r>
        <w:rPr>
          <w:rStyle w:val="FootnoteAnchor"/>
          <w:rtl w:val="true"/>
        </w:rPr>
        <w:footnoteReference w:id="1418"/>
      </w:r>
      <w:r>
        <w:rPr>
          <w:rFonts w:ascii="IRNazanin" w:hAnsi="IRNazanin" w:eastAsia="IRNazanin"/>
          <w:color w:val="111111"/>
          <w:sz w:val="28"/>
          <w:sz w:val="28"/>
          <w:szCs w:val="28"/>
          <w:rtl w:val="true"/>
          <w:lang w:bidi="fa-IR"/>
        </w:rPr>
        <w:t>، و یصنع بهم ما یصنع بالمحرم، یطاف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419"/>
      </w:r>
      <w:r>
        <w:rPr>
          <w:rFonts w:ascii="IRNazanin" w:hAnsi="IRNazanin" w:eastAsia="IRNazanin"/>
          <w:color w:val="111111"/>
          <w:sz w:val="28"/>
          <w:sz w:val="28"/>
          <w:szCs w:val="28"/>
          <w:rtl w:val="true"/>
          <w:lang w:bidi="fa-IR"/>
        </w:rPr>
        <w:t>، بناء علی أنّ بطن مرّ غیر خارج عن المیقات، کما فی الجواهر</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 خلافه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قویّة الإشکال، و حیث إنّ المستفاد من جماعة عدم إشکال</w:t>
      </w:r>
      <w:r>
        <w:rPr>
          <w:rStyle w:val="FootnoteAnchor"/>
          <w:rtl w:val="true"/>
        </w:rPr>
        <w:footnoteReference w:id="1421"/>
      </w:r>
      <w:r>
        <w:rPr>
          <w:rFonts w:ascii="IRNazanin" w:hAnsi="IRNazanin" w:eastAsia="IRNazanin"/>
          <w:color w:val="111111"/>
          <w:sz w:val="28"/>
          <w:sz w:val="28"/>
          <w:szCs w:val="28"/>
          <w:rtl w:val="true"/>
          <w:lang w:bidi="fa-IR"/>
        </w:rPr>
        <w:t>فی جواز الإحرام بهم من المیقات، بل و أفضلیّته، و أنّ التأخیر إلی فخّ إنّما هو علی سبیل الجواز، کان الإحرام بهم من المیقات أولی و أحوط</w:t>
      </w:r>
      <w:r>
        <w:rPr>
          <w:rFonts w:eastAsia="IRNazanin" w:cs="IRNazanin"/>
          <w:color w:val="111111"/>
          <w:sz w:val="28"/>
          <w:szCs w:val="28"/>
          <w:rtl w:val="true"/>
          <w:lang w:bidi="fa-IR"/>
        </w:rPr>
        <w:t>»</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ذلک فی کشف اللثام</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مفاد هذه الصحیحة یشبه مضمون صحیحة أیّوب المتقدّمة الدالّة</w:t>
      </w:r>
      <w:r>
        <w:rPr>
          <w:rStyle w:val="FootnoteAnchor"/>
          <w:rtl w:val="true"/>
        </w:rPr>
        <w:footnoteReference w:id="1424"/>
      </w:r>
      <w:r>
        <w:rPr>
          <w:rFonts w:ascii="IRNazanin" w:hAnsi="IRNazanin" w:eastAsia="IRNazanin"/>
          <w:color w:val="111111"/>
          <w:sz w:val="28"/>
          <w:sz w:val="28"/>
          <w:szCs w:val="28"/>
          <w:rtl w:val="true"/>
          <w:lang w:bidi="fa-IR"/>
        </w:rPr>
        <w:t>علی مجرّد نزع الثیاب و تجریدهم عنها، و ترتیب لوازم الإحرام</w:t>
      </w:r>
      <w:bookmarkStart w:id="518" w:name="pg11756_104081"/>
    </w:p>
    <w:p>
      <w:pPr>
        <w:pStyle w:val="BookText"/>
        <w:rPr/>
      </w:pPr>
      <w:bookmarkEnd w:id="518"/>
      <w:r>
        <w:rPr>
          <w:rFonts w:ascii="IRNazanin" w:hAnsi="IRNazanin" w:eastAsia="IRNazanin"/>
          <w:color w:val="111111"/>
          <w:sz w:val="28"/>
          <w:sz w:val="28"/>
          <w:szCs w:val="28"/>
          <w:rtl w:val="true"/>
          <w:lang w:bidi="fa-IR"/>
        </w:rPr>
        <w:t xml:space="preserve">و إجراء أحکامه علی الصبیان من هذه المواضع، لا الإحرام بهم منها، و ذلک 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غیر المیقات جزما، فیکون ذکره قرینة علی أنّه لا نظر فی هذه الروایات إلی الإحرام بهم من هذه المواضع</w:t>
      </w:r>
      <w:r>
        <w:rPr>
          <w:rFonts w:eastAsia="IRNazanin" w:cs="IRNazanin"/>
          <w:color w:val="111111"/>
          <w:sz w:val="28"/>
          <w:szCs w:val="28"/>
          <w:rtl w:val="true"/>
          <w:lang w:bidi="fa-IR"/>
        </w:rPr>
        <w:t>.</w:t>
      </w:r>
    </w:p>
    <w:p>
      <w:pPr>
        <w:pStyle w:val="Heading5"/>
        <w:numPr>
          <w:ilvl w:val="4"/>
          <w:numId w:val="1"/>
        </w:numPr>
        <w:rPr/>
      </w:pPr>
      <w:bookmarkStart w:id="519" w:name="__RefHeading___Toc9643799_73709187"/>
      <w:bookmarkStart w:id="520" w:name="_Toc194"/>
      <w:bookmarkEnd w:id="519"/>
      <w:r>
        <w:rPr>
          <w:rtl w:val="true"/>
        </w:rPr>
        <w:t>هل یکون الصبیّ ملزما بإجراء أحکام الإحرام من الأوّل</w:t>
      </w:r>
      <w:bookmarkEnd w:id="520"/>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الصحاح أنّ الصبیّ لم یکن ملزما بإجراء أحکام الإحرام من الأوّل، و من مسجد الشجرة، بل یجوز له تأخیر نزع الثیاب إلی الجحفة أو إلی بطن مرّ أو إلی فخّ، و ذلک لا ینافی الإحرام به من المیقات کمسجد الشجرة، و لو لا هذه النصوص لکان إحرام الصبیّ کإحرام سائر الناس من البالغین، إلاّ أنّ هذه الروایات تدلّ علی جواز لبس المخیط للصبیّ إلی الجحفة أو إلی فخّ بطن مرّ؛ رعایة لحاله و عدم تحمّله للبرد و نحوه من المشاقّ، فلیست الروایات فی مقام بیان میقات خاصّ للصبیان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خبر یونس بن یعقوب عن أبیه صریح فی جواز إحرامهم من العرج</w:t>
      </w:r>
      <w:r>
        <w:rPr>
          <w:rStyle w:val="FootnoteAnchor"/>
          <w:rtl w:val="true"/>
        </w:rPr>
        <w:footnoteReference w:id="1425"/>
      </w:r>
      <w:r>
        <w:rPr>
          <w:rFonts w:ascii="IRNazanin" w:hAnsi="IRNazanin" w:eastAsia="IRNazanin"/>
          <w:color w:val="111111"/>
          <w:sz w:val="28"/>
          <w:sz w:val="28"/>
          <w:szCs w:val="28"/>
          <w:rtl w:val="true"/>
          <w:lang w:bidi="fa-IR"/>
        </w:rPr>
        <w:t>أو 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صبیة صغارا و أنا أخاف علیهم البرد، فمن أین یحرمون؟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بهم العرج، فلیحرموا منها، فإنّک إذا أتیت بهم العرج وقعت فی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 علیهم فائت بهم الجحفة</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 یقل أحد بکون العرج میقاتا للصبیان، و ذلک قرینة علی عدم جواز تأخیر الإحرام إلی العرج، کما صرّح به بعض الأعلام</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أنّه لا تعارض بین النصوص المتقدّمة بوجه علی کلا القولین، بل یستفاد منها التخییر، بمعنی أنّ أولیاء الأطفال کانوا مخیّرین فی</w:t>
      </w:r>
    </w:p>
    <w:p>
      <w:pPr>
        <w:pStyle w:val="BookText"/>
        <w:rPr/>
      </w:pPr>
      <w:r>
        <w:rPr>
          <w:rFonts w:ascii="IRNazanin" w:hAnsi="IRNazanin" w:eastAsia="IRNazanin"/>
          <w:color w:val="111111"/>
          <w:sz w:val="28"/>
          <w:sz w:val="28"/>
          <w:szCs w:val="28"/>
          <w:rtl w:val="true"/>
          <w:lang w:bidi="fa-IR"/>
        </w:rPr>
        <w:t>تجریدهم من المخیط أو الإحرام بهم من المواضع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روایة یونس بن یعقوب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 ما دلّ علی تجریدهم من فخّ علی شدّة البرد؛ للجمع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الحمل علی التخییر أیضا أو علی أصل الإحرام و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هذا لمن کان طریقه إلیها، و أمّا من لم یکن کذلک فیحتمل کون إحرام الصبیان من موضع یکون بعده إلی مکّة بالمقدار المذکور؛ للأصل، و عدم ثبوت الإحرام لهم قبل هذه المسافة، و سهولة الأمر لهم، و یحتمل من المیقات</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 الأعلام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الخبر المذکور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ظاهر فی مراعات المیقات، و لو میقات الاضطرار، و لعلّ التخییر بین الجحفة و بطن مرّ و غیرهما لاختلاف الأزمنة و اختلاف حال الصبیان، کما أنّه قد یطلق الإحرام بهم من غیر المیقات علی إرادة التجرید مجازا</w:t>
      </w:r>
      <w:r>
        <w:rPr>
          <w:rFonts w:eastAsia="IRNazanin" w:cs="IRNazanin"/>
          <w:color w:val="111111"/>
          <w:sz w:val="28"/>
          <w:szCs w:val="28"/>
          <w:rtl w:val="true"/>
          <w:lang w:bidi="fa-IR"/>
        </w:rPr>
        <w:t>»</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المنساق من هذه الأخبار مراعاة المصلحة فی إحرام الصبیان بحسب الحالات و الأزمنة، و لا وجه لتوهّم المعارضة بینها</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جواز تأخیر الإحرام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بمن یمرّ علی فخّ، و أمّا من لا یمرّ به کما إذا سلکوا طریقا لا یصل إلی فخّ فاللازم إحرامهم من</w:t>
      </w:r>
      <w:bookmarkStart w:id="521" w:name="pg11756_104083"/>
    </w:p>
    <w:p>
      <w:pPr>
        <w:pStyle w:val="BookText"/>
        <w:rPr/>
      </w:pPr>
      <w:bookmarkEnd w:id="521"/>
      <w:r>
        <w:rPr>
          <w:rFonts w:ascii="IRNazanin" w:hAnsi="IRNazanin" w:eastAsia="IRNazanin"/>
          <w:color w:val="111111"/>
          <w:sz w:val="28"/>
          <w:sz w:val="28"/>
          <w:szCs w:val="28"/>
          <w:rtl w:val="true"/>
          <w:lang w:bidi="fa-IR"/>
        </w:rPr>
        <w:t>میقات البالغین؛ لاختصاص الدلیل بذلک</w:t>
      </w:r>
      <w:r>
        <w:rPr>
          <w:rFonts w:eastAsia="IRNazanin" w:cs="IRNazanin"/>
          <w:color w:val="111111"/>
          <w:sz w:val="28"/>
          <w:szCs w:val="28"/>
          <w:rtl w:val="true"/>
          <w:lang w:bidi="fa-IR"/>
        </w:rPr>
        <w:t>.</w:t>
      </w:r>
    </w:p>
    <w:p>
      <w:pPr>
        <w:pStyle w:val="Heading4"/>
        <w:numPr>
          <w:ilvl w:val="3"/>
          <w:numId w:val="1"/>
        </w:numPr>
        <w:rPr/>
      </w:pPr>
      <w:bookmarkStart w:id="522" w:name="__RefHeading___Toc9643801_73709187"/>
      <w:bookmarkStart w:id="523" w:name="_Toc195"/>
      <w:bookmarkEnd w:id="522"/>
      <w:r>
        <w:rPr>
          <w:rtl w:val="true"/>
        </w:rPr>
        <w:t>رأی أهل السنّة فی میقات الصبیّ</w:t>
      </w:r>
      <w:bookmarkEnd w:id="523"/>
    </w:p>
    <w:p>
      <w:pPr>
        <w:pStyle w:val="BookText"/>
        <w:rPr/>
      </w:pPr>
      <w:r>
        <w:rPr>
          <w:rFonts w:ascii="IRNazanin" w:hAnsi="IRNazanin" w:eastAsia="IRNazanin"/>
          <w:color w:val="111111"/>
          <w:sz w:val="28"/>
          <w:sz w:val="28"/>
          <w:szCs w:val="28"/>
          <w:rtl w:val="true"/>
          <w:lang w:bidi="fa-IR"/>
        </w:rPr>
        <w:t>لم نعثر علی نصّ لهم فی أنّ للصبیان میقاتا خاصّا غیر میقات البالغین، بل المستفاد من إطلاق کلماتهم أنّ میقاتهم هو میقات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المواقیت التی وقّتها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المواقیت لأهلها و لکلّ من أتی علیها من غیر أهلها ممّن أراد الحجّ و العمرة</w:t>
      </w:r>
      <w:r>
        <w:rPr>
          <w:rFonts w:eastAsia="IRNazanin" w:cs="IRNazanin"/>
          <w:color w:val="111111"/>
          <w:sz w:val="28"/>
          <w:szCs w:val="28"/>
          <w:rtl w:val="true"/>
          <w:lang w:bidi="fa-IR"/>
        </w:rPr>
        <w:t>»</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w:t>
      </w:r>
      <w:r>
        <w:rPr>
          <w:rStyle w:val="FootnoteAnchor"/>
          <w:rtl w:val="true"/>
        </w:rPr>
        <w:footnoteReference w:id="1434"/>
      </w:r>
      <w:r>
        <w:rPr>
          <w:rFonts w:ascii="IRNazanin" w:hAnsi="IRNazanin" w:eastAsia="IRNazanin"/>
          <w:color w:val="111111"/>
          <w:sz w:val="28"/>
          <w:sz w:val="28"/>
          <w:szCs w:val="28"/>
          <w:rtl w:val="true"/>
          <w:lang w:bidi="fa-IR"/>
        </w:rPr>
        <w:t>و البیان</w:t>
      </w:r>
      <w:r>
        <w:rPr>
          <w:rStyle w:val="FootnoteAnchor"/>
          <w:rtl w:val="true"/>
        </w:rPr>
        <w:footnoteReference w:id="1435"/>
      </w:r>
      <w:r>
        <w:rPr>
          <w:rFonts w:ascii="IRNazanin" w:hAnsi="IRNazanin" w:eastAsia="IRNazanin"/>
          <w:color w:val="111111"/>
          <w:sz w:val="28"/>
          <w:sz w:val="28"/>
          <w:szCs w:val="28"/>
          <w:rtl w:val="true"/>
          <w:lang w:bidi="fa-IR"/>
        </w:rPr>
        <w:t>، و قریب من هذا فی مغنی المحتاج</w:t>
      </w:r>
      <w:r>
        <w:rPr>
          <w:rStyle w:val="FootnoteAnchor"/>
          <w:rtl w:val="true"/>
        </w:rPr>
        <w:footnoteReference w:id="1436"/>
      </w:r>
      <w:r>
        <w:rPr>
          <w:rFonts w:ascii="IRNazanin" w:hAnsi="IRNazanin" w:eastAsia="IRNazanin"/>
          <w:color w:val="111111"/>
          <w:sz w:val="28"/>
          <w:sz w:val="28"/>
          <w:szCs w:val="28"/>
          <w:rtl w:val="true"/>
          <w:lang w:bidi="fa-IR"/>
        </w:rPr>
        <w:t>و المغنی و الشرح الکبیر</w:t>
      </w:r>
      <w:r>
        <w:rPr>
          <w:rStyle w:val="FootnoteAnchor"/>
          <w:rtl w:val="true"/>
        </w:rPr>
        <w:footnoteReference w:id="1437"/>
      </w:r>
      <w:r>
        <w:rPr>
          <w:rFonts w:ascii="IRNazanin" w:hAnsi="IRNazanin" w:eastAsia="IRNazanin"/>
          <w:color w:val="111111"/>
          <w:sz w:val="28"/>
          <w:sz w:val="28"/>
          <w:szCs w:val="28"/>
          <w:rtl w:val="true"/>
          <w:lang w:bidi="fa-IR"/>
        </w:rPr>
        <w:t>و الدرّ المختار</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جاء فی الفقه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الصبیان فی ذلک مختلفون، منهم الکبیر قد ناهز، و منهم الصغیر ابن سبع سنین و ثمان سنین الذی لا یجتنب ما یؤمر، فذلک یقرب من الحرم، ثمّ یحرم، و الذی قد ناهز فمن المیقات؛ لأنّه یدع ما یؤمر بترکه</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إحرام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یجاوز المیقات إلاّ محرما لکن یجرّد الطفل الصغیر جدّا من المیقات؛ للمشقّة و خوف الاضطرار به حتّی یقارب الحرم</w:t>
      </w:r>
      <w:r>
        <w:rPr>
          <w:rFonts w:eastAsia="IRNazanin" w:cs="IRNazanin"/>
          <w:color w:val="111111"/>
          <w:sz w:val="28"/>
          <w:szCs w:val="28"/>
          <w:rtl w:val="true"/>
          <w:lang w:bidi="fa-IR"/>
        </w:rPr>
        <w:t>»</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الخرشی</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bookmarkStart w:id="524" w:name="pg11756_104084"/>
    </w:p>
    <w:p>
      <w:pPr>
        <w:pStyle w:val="Heading3"/>
        <w:numPr>
          <w:ilvl w:val="2"/>
          <w:numId w:val="1"/>
        </w:numPr>
        <w:rPr/>
      </w:pPr>
      <w:bookmarkStart w:id="525" w:name="__RefHeading___Toc9643803_73709187"/>
      <w:bookmarkStart w:id="526" w:name="_Toc196"/>
      <w:bookmarkEnd w:id="524"/>
      <w:bookmarkEnd w:id="525"/>
      <w:r>
        <w:rPr>
          <w:rtl w:val="true"/>
        </w:rPr>
        <w:t>المبحث الثامن</w:t>
      </w:r>
      <w:r>
        <w:rPr>
          <w:rtl w:val="true"/>
        </w:rPr>
        <w:t xml:space="preserve">: </w:t>
      </w:r>
      <w:r>
        <w:rPr>
          <w:rtl w:val="true"/>
        </w:rPr>
        <w:t>محظورات الإحرام و الکفّارات للصبیّ</w:t>
      </w:r>
      <w:bookmarkEnd w:id="526"/>
    </w:p>
    <w:p>
      <w:pPr>
        <w:pStyle w:val="Heading4"/>
        <w:numPr>
          <w:ilvl w:val="3"/>
          <w:numId w:val="1"/>
        </w:numPr>
        <w:rPr/>
      </w:pPr>
      <w:bookmarkStart w:id="527" w:name="__RefHeading___Toc9643805_73709187"/>
      <w:bookmarkStart w:id="528" w:name="_Toc19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4"/>
        <w:numPr>
          <w:ilvl w:val="3"/>
          <w:numId w:val="1"/>
        </w:numPr>
        <w:rPr/>
      </w:pPr>
      <w:bookmarkStart w:id="529" w:name="__RefHeading___Toc9643807_73709187"/>
      <w:bookmarkStart w:id="530" w:name="_Toc198"/>
      <w:bookmarkEnd w:id="529"/>
      <w:r>
        <w:rPr>
          <w:rtl w:val="true"/>
        </w:rPr>
        <w:t>الأوّل</w:t>
      </w:r>
      <w:r>
        <w:rPr>
          <w:rtl w:val="true"/>
        </w:rPr>
        <w:t xml:space="preserve">: </w:t>
      </w:r>
      <w:r>
        <w:rPr>
          <w:rtl w:val="true"/>
        </w:rPr>
        <w:t>منع الولیّ الصبیّ من ارتکاب المحظورات</w:t>
      </w:r>
      <w:bookmarkEnd w:id="530"/>
    </w:p>
    <w:p>
      <w:pPr>
        <w:pStyle w:val="Heading5"/>
        <w:numPr>
          <w:ilvl w:val="4"/>
          <w:numId w:val="1"/>
        </w:numPr>
        <w:rPr/>
      </w:pPr>
      <w:bookmarkStart w:id="531" w:name="__RefHeading___Toc9643809_73709187"/>
      <w:bookmarkStart w:id="532" w:name="_Toc199"/>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المشهور بین الأصحاب أنّ کلّ ما یحرم علی المحرم البالغ حین الإحرام یجب علی الصبیّ اجتنابه عنه، و حیث لا تکلیف علیه، فیجب علی الولیّ أن یجنّبه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محظورات الإحرام فکلّ ما یحرم علی المحرم البالغ یحرم علی الصبیّ</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یحرم علی البالغ فعله یمنع منه الصبیّ، فلا یجوز أن یعقد له عقد نکاح، و لا أن یأکل لحم صید، و لا غیره من المحرّمات علی المحرم</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الصبیّ کلّ ما یحرم علی البالغ من محظورات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الولیّ یجنّبه جمیع ما یجتنبه المحرم</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446"/>
      </w:r>
      <w:r>
        <w:rPr>
          <w:rFonts w:ascii="IRNazanin" w:hAnsi="IRNazanin" w:eastAsia="IRNazanin"/>
          <w:color w:val="111111"/>
          <w:sz w:val="28"/>
          <w:sz w:val="28"/>
          <w:szCs w:val="28"/>
          <w:rtl w:val="true"/>
          <w:lang w:bidi="fa-IR"/>
        </w:rPr>
        <w:t>، و هو الظاهر من الدروس</w:t>
      </w:r>
      <w:r>
        <w:rPr>
          <w:rStyle w:val="FootnoteAnchor"/>
          <w:rtl w:val="true"/>
        </w:rPr>
        <w:footnoteReference w:id="1447"/>
      </w:r>
      <w:r>
        <w:rPr>
          <w:rFonts w:ascii="IRNazanin" w:hAnsi="IRNazanin" w:eastAsia="IRNazanin"/>
          <w:color w:val="111111"/>
          <w:sz w:val="28"/>
          <w:sz w:val="28"/>
          <w:szCs w:val="28"/>
          <w:rtl w:val="true"/>
          <w:lang w:bidi="fa-IR"/>
        </w:rPr>
        <w:t>و المسالک</w:t>
      </w:r>
      <w:r>
        <w:rPr>
          <w:rStyle w:val="FootnoteAnchor"/>
          <w:rtl w:val="true"/>
        </w:rPr>
        <w:footnoteReference w:id="1448"/>
      </w:r>
      <w:r>
        <w:rPr>
          <w:rFonts w:ascii="IRNazanin" w:hAnsi="IRNazanin" w:eastAsia="IRNazanin"/>
          <w:color w:val="111111"/>
          <w:sz w:val="28"/>
          <w:sz w:val="28"/>
          <w:szCs w:val="28"/>
          <w:rtl w:val="true"/>
          <w:lang w:bidi="fa-IR"/>
        </w:rPr>
        <w:t>و المدارک</w:t>
      </w:r>
      <w:r>
        <w:rPr>
          <w:rStyle w:val="FootnoteAnchor"/>
          <w:rtl w:val="true"/>
        </w:rPr>
        <w:footnoteReference w:id="1449"/>
      </w:r>
      <w:r>
        <w:rPr>
          <w:rFonts w:ascii="IRNazanin" w:hAnsi="IRNazanin" w:eastAsia="IRNazanin"/>
          <w:color w:val="111111"/>
          <w:sz w:val="28"/>
          <w:sz w:val="28"/>
          <w:szCs w:val="28"/>
          <w:rtl w:val="true"/>
          <w:lang w:bidi="fa-IR"/>
        </w:rPr>
        <w:t>و کشف اللثام</w:t>
      </w:r>
      <w:r>
        <w:rPr>
          <w:rStyle w:val="FootnoteAnchor"/>
          <w:rtl w:val="true"/>
        </w:rPr>
        <w:footnoteReference w:id="1450"/>
      </w:r>
      <w:r>
        <w:rPr>
          <w:rFonts w:ascii="IRNazanin" w:hAnsi="IRNazanin" w:eastAsia="IRNazanin"/>
          <w:color w:val="111111"/>
          <w:sz w:val="28"/>
          <w:sz w:val="28"/>
          <w:szCs w:val="28"/>
          <w:rtl w:val="true"/>
          <w:lang w:bidi="fa-IR"/>
        </w:rPr>
        <w:t>، و صرّح به فی مجمع الفائدة</w:t>
      </w:r>
      <w:r>
        <w:rPr>
          <w:rStyle w:val="FootnoteAnchor"/>
          <w:rtl w:val="true"/>
        </w:rPr>
        <w:footnoteReference w:id="1451"/>
      </w:r>
      <w:r>
        <w:rPr>
          <w:rFonts w:ascii="IRNazanin" w:hAnsi="IRNazanin" w:eastAsia="IRNazanin"/>
          <w:color w:val="111111"/>
          <w:sz w:val="28"/>
          <w:sz w:val="28"/>
          <w:szCs w:val="28"/>
          <w:rtl w:val="true"/>
          <w:lang w:bidi="fa-IR"/>
        </w:rPr>
        <w:t>و الحدائق</w:t>
      </w:r>
      <w:r>
        <w:rPr>
          <w:rStyle w:val="FootnoteAnchor"/>
          <w:rtl w:val="true"/>
        </w:rPr>
        <w:footnoteReference w:id="1452"/>
      </w:r>
      <w:r>
        <w:rPr>
          <w:rFonts w:ascii="IRNazanin" w:hAnsi="IRNazanin" w:eastAsia="IRNazanin"/>
          <w:color w:val="111111"/>
          <w:sz w:val="28"/>
          <w:sz w:val="28"/>
          <w:szCs w:val="28"/>
          <w:rtl w:val="true"/>
          <w:lang w:bidi="fa-IR"/>
        </w:rPr>
        <w:t>و الذخیرة</w:t>
      </w:r>
      <w:r>
        <w:rPr>
          <w:rStyle w:val="FootnoteAnchor"/>
          <w:rtl w:val="true"/>
        </w:rPr>
        <w:footnoteReference w:id="1453"/>
      </w:r>
      <w:r>
        <w:rPr>
          <w:rFonts w:ascii="IRNazanin" w:hAnsi="IRNazanin" w:eastAsia="IRNazanin"/>
          <w:color w:val="111111"/>
          <w:sz w:val="28"/>
          <w:sz w:val="28"/>
          <w:szCs w:val="28"/>
          <w:rtl w:val="true"/>
          <w:lang w:bidi="fa-IR"/>
        </w:rPr>
        <w:t>و الجواهر</w:t>
      </w:r>
      <w:r>
        <w:rPr>
          <w:rStyle w:val="FootnoteAnchor"/>
          <w:rtl w:val="true"/>
        </w:rPr>
        <w:footnoteReference w:id="1454"/>
      </w:r>
      <w:r>
        <w:rPr>
          <w:rFonts w:ascii="IRNazanin" w:hAnsi="IRNazanin" w:eastAsia="IRNazanin"/>
          <w:color w:val="111111"/>
          <w:sz w:val="28"/>
          <w:sz w:val="28"/>
          <w:szCs w:val="28"/>
          <w:rtl w:val="true"/>
          <w:lang w:bidi="fa-IR"/>
        </w:rPr>
        <w:t>، و به قال بعض أعلام العصر</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یجنّبه عن کلّ ما یجب علی المحرم الاجتناب عنه</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457"/>
      </w:r>
      <w:r>
        <w:rPr>
          <w:rFonts w:ascii="IRNazanin" w:hAnsi="IRNazanin" w:eastAsia="IRNazanin"/>
          <w:color w:val="111111"/>
          <w:sz w:val="28"/>
          <w:sz w:val="28"/>
          <w:szCs w:val="28"/>
          <w:rtl w:val="true"/>
          <w:lang w:bidi="fa-IR"/>
        </w:rPr>
        <w:t>و تفصیل الشریعة</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إحرام الصبیّ شرعی فتترتّب علیه أحکامه، و حیث إنّه لا تکلیف علیه، و لا یترتّب علی فعله العقاب، فالولیّ یجنّبه محرّمات الإحرام،</w:t>
      </w:r>
      <w:bookmarkStart w:id="533" w:name="pg11756_104086"/>
    </w:p>
    <w:p>
      <w:pPr>
        <w:pStyle w:val="BookText"/>
        <w:rPr/>
      </w:pPr>
      <w:bookmarkEnd w:id="533"/>
      <w:r>
        <w:rPr>
          <w:rFonts w:ascii="IRNazanin" w:hAnsi="IRNazanin" w:eastAsia="IRNazanin"/>
          <w:color w:val="111111"/>
          <w:sz w:val="28"/>
          <w:sz w:val="28"/>
          <w:szCs w:val="28"/>
          <w:rtl w:val="true"/>
          <w:lang w:bidi="fa-IR"/>
        </w:rPr>
        <w:t>کما فی التذکرة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بالصحیحة</w:t>
      </w:r>
      <w:r>
        <w:rPr>
          <w:rStyle w:val="FootnoteAnchor"/>
          <w:rtl w:val="true"/>
        </w:rPr>
        <w:footnoteReference w:id="1460"/>
      </w:r>
      <w:r>
        <w:rPr>
          <w:rFonts w:ascii="IRNazanin" w:hAnsi="IRNazanin" w:eastAsia="IRNazanin"/>
          <w:color w:val="111111"/>
          <w:sz w:val="28"/>
          <w:sz w:val="28"/>
          <w:szCs w:val="28"/>
          <w:rtl w:val="true"/>
          <w:lang w:bidi="fa-IR"/>
        </w:rPr>
        <w:t>المتقدّمة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یتّقی علیهم ما یتّقی علی المحرم من الثیاب و الطیب</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معاویة بن عمّار،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یصنع بهم ما یصنع بالمحرم</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9643811_73709187"/>
      <w:bookmarkStart w:id="535" w:name="_Toc200"/>
      <w:bookmarkEnd w:id="534"/>
      <w:r>
        <w:rPr>
          <w:rtl w:val="true"/>
        </w:rPr>
        <w:t>جواز الاستظلال للصبیّ حین الإحرام</w:t>
      </w:r>
      <w:bookmarkEnd w:id="535"/>
    </w:p>
    <w:p>
      <w:pPr>
        <w:pStyle w:val="BookText"/>
        <w:rPr/>
      </w:pPr>
      <w:r>
        <w:rPr>
          <w:rFonts w:ascii="IRNazanin" w:hAnsi="IRNazanin" w:eastAsia="IRNazanin"/>
          <w:color w:val="111111"/>
          <w:sz w:val="28"/>
          <w:sz w:val="28"/>
          <w:szCs w:val="28"/>
          <w:rtl w:val="true"/>
          <w:lang w:bidi="fa-IR"/>
        </w:rPr>
        <w:t>الظاهر أنّه لا خلاف بین الفقهاء فی أنّه استثنی من محرّمات الإحرام للصبیّ الاستظلال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للمرأة التظلیل علی نفسها حالة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 یجوز له التظلیل</w:t>
      </w:r>
      <w:r>
        <w:rPr>
          <w:rFonts w:eastAsia="IRNazanin" w:cs="IRNazanin"/>
          <w:color w:val="111111"/>
          <w:sz w:val="28"/>
          <w:szCs w:val="28"/>
          <w:rtl w:val="true"/>
          <w:lang w:bidi="fa-IR"/>
        </w:rPr>
        <w:t>»</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الجامع للشرائع</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و لا إشکال فی جواز تظلیل النساء و الصبیان</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مفاتیح الشرائع</w:t>
      </w:r>
      <w:r>
        <w:rPr>
          <w:rStyle w:val="FootnoteAnchor"/>
          <w:rtl w:val="true"/>
        </w:rPr>
        <w:footnoteReference w:id="1466"/>
      </w:r>
      <w:r>
        <w:rPr>
          <w:rFonts w:ascii="IRNazanin" w:hAnsi="IRNazanin" w:eastAsia="IRNazanin"/>
          <w:color w:val="111111"/>
          <w:sz w:val="28"/>
          <w:sz w:val="28"/>
          <w:szCs w:val="28"/>
          <w:rtl w:val="true"/>
          <w:lang w:bidi="fa-IR"/>
        </w:rPr>
        <w:t>و المسالک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bookmarkStart w:id="536" w:name="pg11756_104087"/>
    </w:p>
    <w:p>
      <w:pPr>
        <w:pStyle w:val="BookText"/>
        <w:rPr/>
      </w:pPr>
      <w:bookmarkEnd w:id="536"/>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للصبیّ اتّفاقا</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حرمة التظلیل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بالرجل، فیجوز الاستظلال بمعنییه للمرأة و الصبیان بلا خلاف، و علیه الإجماع فی کلام جماعة</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بینهم</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 للارتیاب فی الاختصاص بالرجال و عدم شموله للنساء و الصبیان</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9643813_73709187"/>
      <w:bookmarkStart w:id="538" w:name="_Toc201"/>
      <w:bookmarkEnd w:id="537"/>
      <w:r>
        <w:rPr>
          <w:rtl w:val="true"/>
        </w:rPr>
        <w:t>أدلّة جواز الاستظلال للصبیّ</w:t>
      </w:r>
      <w:bookmarkEnd w:id="538"/>
    </w:p>
    <w:p>
      <w:pPr>
        <w:pStyle w:val="BookText"/>
        <w:rPr/>
      </w:pPr>
      <w:r>
        <w:rPr>
          <w:rFonts w:ascii="IRNazanin" w:hAnsi="IRNazanin" w:eastAsia="IRNazanin"/>
          <w:color w:val="111111"/>
          <w:sz w:val="28"/>
          <w:sz w:val="28"/>
          <w:szCs w:val="28"/>
          <w:rtl w:val="true"/>
          <w:lang w:bidi="fa-IR"/>
        </w:rPr>
        <w:t>و یمکن أن یستدلّ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عدم الخلاف فی المسألة، کما تقدّم، و ادّعی بعض الأعلام أنّ الحکم متسالم علیه عند الأصحاب</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فی وجه جواز التظلیل 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لضعف مزاجها، و قبوله للانفعال بسرعة، فساغ لها التظلیل؛ دفعا للحرج</w:t>
      </w:r>
      <w:r>
        <w:rPr>
          <w:rStyle w:val="FootnoteAnchor"/>
          <w:rtl w:val="true"/>
        </w:rPr>
        <w:footnoteReference w:id="1473"/>
      </w:r>
      <w:r>
        <w:rPr>
          <w:rFonts w:ascii="IRNazanin" w:hAnsi="IRNazanin" w:eastAsia="IRNazanin"/>
          <w:color w:val="111111"/>
          <w:sz w:val="28"/>
          <w:sz w:val="28"/>
          <w:szCs w:val="28"/>
          <w:rtl w:val="true"/>
          <w:lang w:bidi="fa-IR"/>
        </w:rPr>
        <w:t xml:space="preserve">الحاصل من ترکه، فأشبهت العلیل و النازل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 یجوز له التظلیل؛ لما قلناه فی المرأة</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لضعفهم عن مقارفة</w:t>
      </w:r>
      <w:r>
        <w:rPr>
          <w:rStyle w:val="FootnoteAnchor"/>
          <w:rtl w:val="true"/>
        </w:rPr>
        <w:footnoteReference w:id="1475"/>
      </w:r>
      <w:r>
        <w:rPr>
          <w:rFonts w:ascii="IRNazanin" w:hAnsi="IRNazanin" w:eastAsia="IRNazanin"/>
          <w:color w:val="111111"/>
          <w:sz w:val="28"/>
          <w:sz w:val="28"/>
          <w:szCs w:val="28"/>
          <w:rtl w:val="true"/>
          <w:lang w:bidi="fa-IR"/>
        </w:rPr>
        <w:t>الحرّ و البرد</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التصریح به فی بعض الروایات کصحیحة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بالقبّة علی النساء و الصبیان و هم محرمون</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نصّ فی المقام لکان الجواز لهم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أمر به الصبیان نفس ما أمر به المکلّفون، و لا فرق فی نفس الطبیعی المأمور بالنسبة إلی المکلّفین و غیرهم شرطا و جزءا و مانعا إلاّ بالوجوب و الندب، فنفس المأمور به المشتمل علی جمیع الشرائط و الأجزاء واجبة علی المکلّفین و مندوبة للأطفال، أمّا غیر ذلک من الأحکام التکلیفیّة المستقلّة المحضة التی لیست شرطا و لا جزءا و لا مانعا، فمرفوعة عن الأطفال؛ لحدیث رفع القلم</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تروک الإحرام غیر الجماع غیر دخیلة فی صحّة الحجّ شرطا أو جزءا أو مانعا، و لا یضرّ ارتکابها بالحجّ أصلا سوی ارتکاب المحرم محرّما شرعیّا، فإذا کان المحرم غیر مکلّف فلا حرمة علیه؛ لأنّ دلیل رفع القلم کاف فی رفع هذه الأحکام عنه، و کما لا یجب علیه هذه الأحکام لا یجب علی الولیّ ردعه و منعه من ذلک</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الردع</w:t>
      </w:r>
      <w:r>
        <w:rPr>
          <w:rStyle w:val="FootnoteAnchor"/>
          <w:rtl w:val="true"/>
        </w:rPr>
        <w:footnoteReference w:id="1480"/>
      </w:r>
      <w:r>
        <w:rPr>
          <w:rFonts w:ascii="IRNazanin" w:hAnsi="IRNazanin" w:eastAsia="IRNazanin"/>
          <w:color w:val="111111"/>
          <w:sz w:val="28"/>
          <w:sz w:val="28"/>
          <w:szCs w:val="28"/>
          <w:rtl w:val="true"/>
          <w:lang w:bidi="fa-IR"/>
        </w:rPr>
        <w:t>و المنع علی الولیّ مخالف للنصوص فقد جاء</w:t>
      </w:r>
      <w:bookmarkStart w:id="539" w:name="pg11756_104089"/>
    </w:p>
    <w:p>
      <w:pPr>
        <w:pStyle w:val="BookText"/>
        <w:rPr/>
      </w:pPr>
      <w:bookmarkEnd w:id="539"/>
      <w:r>
        <w:rPr>
          <w:rFonts w:ascii="IRNazanin" w:hAnsi="IRNazanin" w:eastAsia="IRNazanin"/>
          <w:color w:val="111111"/>
          <w:sz w:val="28"/>
          <w:sz w:val="28"/>
          <w:szCs w:val="28"/>
          <w:rtl w:val="true"/>
          <w:lang w:bidi="fa-IR"/>
        </w:rPr>
        <w:t>فی صحیحة زرارة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یتّقی علیهم ما یتّقی علی المحرم من الثیاب و الطیب</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Heading4"/>
        <w:numPr>
          <w:ilvl w:val="3"/>
          <w:numId w:val="1"/>
        </w:numPr>
        <w:rPr/>
      </w:pPr>
      <w:bookmarkStart w:id="540" w:name="__RefHeading___Toc9643815_73709187"/>
      <w:bookmarkStart w:id="541" w:name="_Toc202"/>
      <w:bookmarkEnd w:id="540"/>
      <w:r>
        <w:rPr>
          <w:rtl w:val="true"/>
        </w:rPr>
        <w:t>المطلب الثانی</w:t>
      </w:r>
      <w:r>
        <w:rPr>
          <w:rtl w:val="true"/>
        </w:rPr>
        <w:t xml:space="preserve">: </w:t>
      </w:r>
      <w:r>
        <w:rPr>
          <w:rtl w:val="true"/>
        </w:rPr>
        <w:t>حکم الکفّارة بالنسبة إلی الصبیّ</w:t>
      </w:r>
      <w:bookmarkEnd w:id="541"/>
    </w:p>
    <w:p>
      <w:pPr>
        <w:pStyle w:val="Heading5"/>
        <w:numPr>
          <w:ilvl w:val="4"/>
          <w:numId w:val="1"/>
        </w:numPr>
        <w:rPr/>
      </w:pPr>
      <w:bookmarkStart w:id="542" w:name="__RefHeading___Toc9643817_73709187"/>
      <w:bookmarkStart w:id="543" w:name="_Toc203"/>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إذا ارتکب الصبیّ ما هو محرّم علی المحرم البالغ، فهل یوجب الکفّارة؟ و علی القول بوجوبها تجب فی مال الصبیّ، أو علی الولیّ؟</w:t>
      </w:r>
    </w:p>
    <w:p>
      <w:pPr>
        <w:pStyle w:val="BookText"/>
        <w:rPr/>
      </w:pPr>
      <w:r>
        <w:rPr>
          <w:rFonts w:ascii="IRNazanin" w:hAnsi="IRNazanin" w:eastAsia="IRNazanin"/>
          <w:color w:val="111111"/>
          <w:sz w:val="28"/>
          <w:sz w:val="28"/>
          <w:szCs w:val="28"/>
          <w:rtl w:val="true"/>
          <w:lang w:bidi="fa-IR"/>
        </w:rPr>
        <w:t>اختلف الفقهاء فی ذلک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محظورات الإحرام مختلفة، بعضها توجب الکفّارة إذا ارتکبها المحرم عمدا، لا سهوا و خطأ، و بعض آخر توجب الکفّارة مطلقا کالصید، فیقع الکلام فی مقامین</w:t>
      </w:r>
      <w:r>
        <w:rPr>
          <w:rFonts w:eastAsia="IRNazanin" w:cs="IRNazanin"/>
          <w:color w:val="111111"/>
          <w:sz w:val="28"/>
          <w:szCs w:val="28"/>
          <w:rtl w:val="true"/>
          <w:lang w:bidi="fa-IR"/>
        </w:rPr>
        <w:t>:</w:t>
      </w:r>
    </w:p>
    <w:p>
      <w:pPr>
        <w:pStyle w:val="Heading5"/>
        <w:numPr>
          <w:ilvl w:val="4"/>
          <w:numId w:val="1"/>
        </w:numPr>
        <w:rPr/>
      </w:pPr>
      <w:bookmarkStart w:id="544" w:name="__RefHeading___Toc9643819_73709187"/>
      <w:bookmarkStart w:id="545" w:name="_Toc204"/>
      <w:bookmarkEnd w:id="544"/>
      <w:r>
        <w:rPr>
          <w:rtl w:val="true"/>
        </w:rPr>
        <w:t>الأوّل</w:t>
      </w:r>
      <w:r>
        <w:rPr>
          <w:rtl w:val="true"/>
        </w:rPr>
        <w:t xml:space="preserve">: </w:t>
      </w:r>
      <w:r>
        <w:rPr>
          <w:rtl w:val="true"/>
        </w:rPr>
        <w:t>کفّارة غیر الصید</w:t>
      </w:r>
      <w:bookmarkEnd w:id="545"/>
    </w:p>
    <w:p>
      <w:pPr>
        <w:pStyle w:val="Heading6"/>
        <w:numPr>
          <w:ilvl w:val="5"/>
          <w:numId w:val="1"/>
        </w:numPr>
        <w:rPr/>
      </w:pPr>
      <w:bookmarkStart w:id="546" w:name="__RefHeading___Toc9643821_73709187"/>
      <w:bookmarkStart w:id="547" w:name="_Toc205"/>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 xml:space="preserve">لا شکّ فی أنّ ما یوجب الکفّارة عمدا لا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ککفّارة التطیّب و لبس المخیط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فعله الصبیّ سهوا أو جهلا لا کفّارة علیه قطعا؛ لأنّ البالغ لا کفّارة علیه فی مثل هذه الحالة، فالصبیّ أولی</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فعله عمدا، کما إذا لبس المخیط اختیارا أو تطیّب و نحو ذلک، فهل یوجب الکفّارة؟ فیه قولان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یوجب الکفّارة لا علی الصبیّ و لا علی ولیّه، و هو اختیار الشیخ فی بعض کتبه</w:t>
      </w:r>
      <w:r>
        <w:rPr>
          <w:rFonts w:eastAsia="IRNazanin" w:cs="IRNazanin"/>
          <w:color w:val="111111"/>
          <w:sz w:val="28"/>
          <w:szCs w:val="28"/>
          <w:rtl w:val="true"/>
          <w:lang w:bidi="fa-IR"/>
        </w:rPr>
        <w:t>.</w:t>
      </w:r>
      <w:bookmarkStart w:id="548" w:name="pg11756_104090"/>
    </w:p>
    <w:p>
      <w:pPr>
        <w:pStyle w:val="BookText"/>
        <w:rPr/>
      </w:pPr>
      <w:bookmarkEnd w:id="548"/>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محظورات الإحرام فکلّ ما یحرم علی المحرم البالغ یحرم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الوطء فیما دون الفرج، و اللباس، و الطیب، و اللمس بشهوة، و حلق الشعر، و ترجیل الشعر، و تقلیم الأظفار، فالظاهر أنّه یتعلّق به الکفّارة علی ولیّه،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قویّا</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أنّه لا یتعلّق به شیء</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الأولی</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أنّه لا کفّارة علیه فی غیر الصید</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487"/>
      </w:r>
      <w:r>
        <w:rPr>
          <w:rFonts w:ascii="IRNazanin" w:hAnsi="IRNazanin" w:eastAsia="IRNazanin"/>
          <w:color w:val="111111"/>
          <w:sz w:val="28"/>
          <w:sz w:val="28"/>
          <w:szCs w:val="28"/>
          <w:rtl w:val="true"/>
          <w:lang w:bidi="fa-IR"/>
        </w:rPr>
        <w:t>، و احتمله فی المسالک</w:t>
      </w:r>
      <w:r>
        <w:rPr>
          <w:rStyle w:val="FootnoteAnchor"/>
          <w:rtl w:val="true"/>
        </w:rPr>
        <w:footnoteReference w:id="1488"/>
      </w:r>
      <w:r>
        <w:rPr>
          <w:rFonts w:ascii="IRNazanin" w:hAnsi="IRNazanin" w:eastAsia="IRNazanin"/>
          <w:color w:val="111111"/>
          <w:sz w:val="28"/>
          <w:sz w:val="28"/>
          <w:szCs w:val="28"/>
          <w:rtl w:val="true"/>
          <w:lang w:bidi="fa-IR"/>
        </w:rPr>
        <w:t>، و اختاره فی المدارک</w:t>
      </w:r>
      <w:r>
        <w:rPr>
          <w:rStyle w:val="FootnoteAnchor"/>
          <w:rtl w:val="true"/>
        </w:rPr>
        <w:footnoteReference w:id="1489"/>
      </w:r>
      <w:r>
        <w:rPr>
          <w:rFonts w:ascii="Amiri" w:hAnsi="Amiri" w:eastAsia="Amiri" w:cs="Amiri"/>
          <w:color w:val="111111"/>
          <w:sz w:val="28"/>
          <w:sz w:val="28"/>
          <w:szCs w:val="28"/>
          <w:rtl w:val="true"/>
          <w:lang w:bidi="ar-SA"/>
        </w:rPr>
        <w:t>و مجمع الفائدة</w:t>
      </w:r>
      <w:r>
        <w:rPr>
          <w:rStyle w:val="FootnoteAnchor"/>
          <w:rtl w:val="true"/>
        </w:rPr>
        <w:footnoteReference w:id="1490"/>
      </w:r>
      <w:r>
        <w:rPr>
          <w:rFonts w:ascii="IRNazanin" w:hAnsi="IRNazanin" w:eastAsia="IRNazanin"/>
          <w:color w:val="111111"/>
          <w:sz w:val="28"/>
          <w:sz w:val="28"/>
          <w:szCs w:val="28"/>
          <w:rtl w:val="true"/>
          <w:lang w:bidi="fa-IR"/>
        </w:rPr>
        <w:t>، و به قال بعض أعلام العصر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9643823_73709187"/>
      <w:bookmarkStart w:id="550" w:name="_Toc206"/>
      <w:bookmarkEnd w:id="549"/>
      <w:r>
        <w:rPr>
          <w:rtl w:val="true"/>
        </w:rPr>
        <w:t>الأدلّة علی عدم وجوب الکفّارة فی غیر الصید</w:t>
      </w:r>
      <w:bookmarkEnd w:id="550"/>
    </w:p>
    <w:p>
      <w:pPr>
        <w:pStyle w:val="BookText"/>
        <w:rPr/>
      </w:pPr>
      <w:r>
        <w:rPr>
          <w:rFonts w:ascii="IRNazanin" w:hAnsi="IRNazanin" w:eastAsia="IRNazanin"/>
          <w:color w:val="111111"/>
          <w:sz w:val="28"/>
          <w:sz w:val="28"/>
          <w:szCs w:val="28"/>
          <w:rtl w:val="true"/>
          <w:lang w:bidi="fa-IR"/>
        </w:rPr>
        <w:t>یمکن أن یستدلّ لعدم وجوب الکفّارة فی مفروض الکلام بوجوه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انصراف أدلّة الکفّارات عن الصبیّ، و ذلک لأنّ الکفّارات</w:t>
      </w:r>
    </w:p>
    <w:p>
      <w:pPr>
        <w:pStyle w:val="BookText"/>
        <w:rPr/>
      </w:pPr>
      <w:r>
        <w:rPr>
          <w:rFonts w:ascii="IRNazanin" w:hAnsi="IRNazanin" w:eastAsia="IRNazanin"/>
          <w:color w:val="111111"/>
          <w:sz w:val="28"/>
          <w:sz w:val="28"/>
          <w:szCs w:val="28"/>
          <w:rtl w:val="true"/>
          <w:lang w:bidi="fa-IR"/>
        </w:rPr>
        <w:t>تثبت لأجل المجازات علی الذنب، و لا ذنب علی الصبیّ؛ لعدم ثبوت التکلیف علیه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الانصراف بعد فرض کون الصبیّ محرما حقیقة و ممنوعا عن ارتکاب ما یحرم علی المحرم، فإطلاق أدلّة الکفّارات شامل له؛ لأنّ موضوعها هو المحرم، سواء کان بالغا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ثبوت الکفّارة فی غیر موارد صدور الذنب</w:t>
      </w:r>
      <w:r>
        <w:rPr>
          <w:rStyle w:val="FootnoteAnchor"/>
          <w:rtl w:val="true"/>
        </w:rPr>
        <w:footnoteReference w:id="1493"/>
      </w:r>
      <w:r>
        <w:rPr>
          <w:rFonts w:ascii="IRNazanin" w:hAnsi="IRNazanin" w:eastAsia="IRNazanin"/>
          <w:color w:val="111111"/>
          <w:sz w:val="28"/>
          <w:sz w:val="28"/>
          <w:szCs w:val="28"/>
          <w:rtl w:val="true"/>
          <w:lang w:bidi="fa-IR"/>
        </w:rPr>
        <w:t>فی الأخبار مع التعبیر عنه بالکفّارة کثیر، مثل التعبیر بأن یکفّر فی المرضعة و المقرب، و المریض الذی لا یقدر علی الصوم، أو الشیخ و الشیخة، و غیر ذلک فی الصوم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یترائی فی بادئ النظر من کون إحرام الصبیّ صوریّا لا حقیقیّا حتّی تجب الکفّارة علیه بارتکاب شیء من محظورات الإحرام، و لذلک یحکم بعدم ثبوت الکفّارة علیه إذا ارتکب أحد محظورات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ظاهر الروایات؛ إذ المستفاد منها کونه محرما حقیقة، فیترتّب علیه جمیع آثار الإحرام</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جعفر عن أخیه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الصبیان، هل علیهم إحرام؟ و هل یتّقون ما یتّقی الرجال؟ 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 و ینهون عن الشیء یصنعونه ممّا لا یصلح للمحرم أن یصنعه، و لیس</w:t>
      </w:r>
    </w:p>
    <w:p>
      <w:pPr>
        <w:pStyle w:val="BookText"/>
        <w:rPr/>
      </w:pPr>
      <w:r>
        <w:rPr>
          <w:rFonts w:ascii="IRNazanin" w:hAnsi="IRNazanin" w:eastAsia="IRNazanin"/>
          <w:color w:val="111111"/>
          <w:sz w:val="28"/>
          <w:sz w:val="28"/>
          <w:szCs w:val="28"/>
          <w:rtl w:val="true"/>
          <w:lang w:bidi="fa-IR"/>
        </w:rPr>
        <w:t>علیهم فیه شیء</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یحتمل أن یکون واردا فی حجّ الصبیّ بنفسه، و یحتمل أن یکون واردا فی الإحجاج؛ و ذلک لأنّه إذا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فهو وارد فی حجّ الصبیّ، فیدلّ علی صحّة إحرامه و لزوم اتّقائه من محظورات الإحرام، و لکنّه إذا أتی ببعض المحرّمات لا تلزم الکفّارة، و أمّا إذا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فیکون مورده الإحجاج، فیحکم بعدم ترتّب الکفّارة علی فعل الصبیّ المحرم الّذی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المدّعی هو عدم لزوم الکفّارة مطلقا من دون فرق بین الحجّ و الإحجاج، و هذا الخبر ظاهر فی خصوص الإحجاج، فهو مثبت لبعض الدعوی لا تمامها، فیکون أخصّ من المدّعی، و لا أقلّ یحتمل فیه وجهان، فیصیر مجملا، فلا یصلح لإثبات المدّعی علی إطلاقه، کما هو ظاهر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 فإنّ مقتضاه أنّ الفعل العمدی الصادر من الصبیّ یترتّب علیه حکم الفعل الصادر خطأ، فإذا فرض أنّ هذه الکفّارات لا تثبت إلاّ فی صورة العمد، فمقتضی ما ذکر عدم ترتّب الکفّارة علی فعل الصبیّ و إتیانه شیئا من محرّمات الإحرام کالتظلیل العمدی و لبس المخیط، کما قوّاه الشیخ فی المبسوط</w:t>
      </w:r>
      <w:r>
        <w:rPr>
          <w:rStyle w:val="FootnoteAnchor"/>
          <w:rtl w:val="true"/>
        </w:rPr>
        <w:footnoteReference w:id="1498"/>
      </w:r>
      <w:r>
        <w:rPr>
          <w:rFonts w:ascii="IRNazanin" w:hAnsi="IRNazanin" w:eastAsia="IRNazanin"/>
          <w:color w:val="111111"/>
          <w:sz w:val="28"/>
          <w:sz w:val="28"/>
          <w:szCs w:val="28"/>
          <w:rtl w:val="true"/>
          <w:lang w:bidi="fa-IR"/>
        </w:rPr>
        <w:t>، و استقر به العلاّمة فی المختلف</w:t>
      </w:r>
      <w:r>
        <w:rPr>
          <w:rStyle w:val="FootnoteAnchor"/>
          <w:rtl w:val="true"/>
        </w:rPr>
        <w:footnoteReference w:id="1499"/>
      </w:r>
      <w:r>
        <w:rPr>
          <w:rFonts w:ascii="IRNazanin" w:hAnsi="IRNazanin" w:eastAsia="IRNazanin"/>
          <w:color w:val="111111"/>
          <w:sz w:val="28"/>
          <w:sz w:val="28"/>
          <w:szCs w:val="28"/>
          <w:rtl w:val="true"/>
          <w:lang w:bidi="fa-IR"/>
        </w:rPr>
        <w:t>و قرّره فی تفصیل الشریعة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bookmarkStart w:id="551" w:name="pg11756_104093"/>
    </w:p>
    <w:p>
      <w:pPr>
        <w:pStyle w:val="BookText"/>
        <w:rPr/>
      </w:pPr>
      <w:bookmarkEnd w:id="551"/>
      <w:r>
        <w:rPr>
          <w:rFonts w:ascii="IRNazanin" w:hAnsi="IRNazanin" w:eastAsia="IRNazanin"/>
          <w:color w:val="111111"/>
          <w:sz w:val="28"/>
          <w:sz w:val="28"/>
          <w:szCs w:val="28"/>
          <w:rtl w:val="true"/>
          <w:lang w:bidi="fa-IR"/>
        </w:rPr>
        <w:t>و لکن نقض السیّد الخوئی الاستدلال به بأنّ هذه الجملة أجنبیّة عن أمثال المقام، و إنّما تختصّ بباب الدیات و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وردت فی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 الصبیان خطأ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قرینة علی أنّ الروایة الاولی ناظرة إلی باب الدیات و الجنایات</w:t>
      </w:r>
      <w:r>
        <w:rPr>
          <w:rFonts w:eastAsia="IRNazanin" w:cs="IRNazanin"/>
          <w:color w:val="111111"/>
          <w:sz w:val="28"/>
          <w:szCs w:val="28"/>
          <w:rtl w:val="true"/>
          <w:lang w:bidi="fa-IR"/>
        </w:rPr>
        <w:t>.</w:t>
      </w:r>
    </w:p>
    <w:p>
      <w:pPr>
        <w:pStyle w:val="Heading6"/>
        <w:numPr>
          <w:ilvl w:val="5"/>
          <w:numId w:val="1"/>
        </w:numPr>
        <w:rPr/>
      </w:pPr>
      <w:bookmarkStart w:id="552" w:name="__RefHeading___Toc9643825_73709187"/>
      <w:bookmarkStart w:id="553" w:name="_Toc207"/>
      <w:bookmarkEnd w:id="552"/>
      <w:r>
        <w:rPr>
          <w:rtl w:val="true"/>
        </w:rPr>
        <w:t>«</w:t>
      </w:r>
      <w:r>
        <w:rPr>
          <w:rtl w:val="true"/>
        </w:rPr>
        <w:t>عمد الصبی خطأ</w:t>
      </w:r>
      <w:r>
        <w:rPr>
          <w:rtl w:val="true"/>
        </w:rPr>
        <w:t xml:space="preserve">» </w:t>
      </w:r>
      <w:r>
        <w:rPr>
          <w:rtl w:val="true"/>
        </w:rPr>
        <w:t>یشمل علی مورد الذی له سنخان من الحکم</w:t>
      </w:r>
      <w:bookmarkEnd w:id="553"/>
    </w:p>
    <w:p>
      <w:pPr>
        <w:pStyle w:val="BookText"/>
        <w:rPr/>
      </w:pPr>
      <w:r>
        <w:rPr>
          <w:rFonts w:ascii="IRNazanin" w:hAnsi="IRNazanin" w:eastAsia="IRNazanin"/>
          <w:color w:val="111111"/>
          <w:sz w:val="28"/>
          <w:sz w:val="28"/>
          <w:szCs w:val="28"/>
          <w:rtl w:val="true"/>
          <w:lang w:bidi="fa-IR"/>
        </w:rPr>
        <w:t>و بالجملة،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المورد الذی له سنخان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ثابت لصورة العمد، و حکم ثابت لصورة الخطأ، و هذا النحو من الأحکام إنّما هو فی باب الجنایات و الدیات، فإذا جنی الصبیّ عمدا یترتّب علی فعله أحکام الخطأ، و إذا ارتکب القتل عمدا یعامل معاملة القاتل خطأ، و أمّا المورد الذی لیس له إلاّ حکم واحد مترتّب علی صورة العمد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کأکثر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مشمول لهذه الجملة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بإطلاق الروایة مخالف لضرورة المذهب، و موجب لتأسیس فقه جدید؛ بداهة أنّ لازم إطلاقها هو أن لا یبطل صوم الصبیّ مع عدم الاجتناب عن مبطلات الصوم، و المفروض أنّ عمد الصبیّ خطأ، فإنّ ارتکاب مبطلات الصوم خطأ لا ینقض الصوم، و أیضا لزم من ذلک القول بصحّة صلاة الصبیّ إذا ترک عمدا أجزاءها التی لا یضرّ ترکها خطأ</w:t>
      </w:r>
    </w:p>
    <w:p>
      <w:pPr>
        <w:pStyle w:val="BookText"/>
        <w:rPr/>
      </w:pPr>
      <w:r>
        <w:rPr>
          <w:rFonts w:ascii="IRNazanin" w:hAnsi="IRNazanin" w:eastAsia="IRNazanin"/>
          <w:color w:val="111111"/>
          <w:sz w:val="28"/>
          <w:sz w:val="28"/>
          <w:szCs w:val="28"/>
          <w:rtl w:val="true"/>
          <w:lang w:bidi="fa-IR"/>
        </w:rPr>
        <w:t>بصلاة البالغین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فالإنصاف أنّ القرینة الخارجیّة قائمة علی اختصاص الروایة بباب الدیات، و هی ملاحظة ترتّب الآثار علی الأفعال العمدیّة الصادرة من الصبیّ و علی قصده و نیّته، فالإفطار العمدی منه فی الصوم یوجب البطلان، و کذا الإتیان عمدا بما یوجب قطع الصلاة و بطلانها من القواطع التی تقتضی البطلان فی خصوص حال العمد، و نیّة ثمانیة فراسخ من الصبیّ یترتّب علیها القصر، و لا مجال لدعوی کون نیّته کلا نیّة، و کذلک قصد الإقامة و الموارد الاخری، فهذه الامور بمنزلة القرینة الخارجیّة التی توجب التصرّف فی ظاهر الجملة، و تخصیصها بخصوص باب الدیات و الجنایات، کما فی تفصیل الشریعة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ریّان بن شبیب عن أبی جعفر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القاضی یحیی بن أکثم حیث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أصلحک اللّه، ما تقول فی محرم قتل صیدا؟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فی حلّ أو حرم؟ عالما أو جاهلا؟ عبدا أو حرّا؟ صغیرا أو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التشقیقات قال علیه السّلام عند بیان حکم کلّ قسم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أتی به العبد فکفّارته علی صاحبه مثل ما یلزم صاحبه، و کلّ ما أتی به الصغیر الذی لیس ببالغ فلا شیء علیه</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عدم وجوب الکفّارة علی الصبیّ فی الصید</w:t>
      </w:r>
    </w:p>
    <w:p>
      <w:pPr>
        <w:pStyle w:val="BookText"/>
        <w:rPr/>
      </w:pPr>
      <w:r>
        <w:rPr>
          <w:rFonts w:ascii="IRNazanin" w:hAnsi="IRNazanin" w:eastAsia="IRNazanin"/>
          <w:color w:val="111111"/>
          <w:sz w:val="28"/>
          <w:sz w:val="28"/>
          <w:szCs w:val="28"/>
          <w:rtl w:val="true"/>
          <w:lang w:bidi="fa-IR"/>
        </w:rPr>
        <w:t xml:space="preserve">الذی یوجبها علی البالغ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لو ارتکبه بغیر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عدم وجوب الکفّارة علیه فی غیر الصید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تختصّ بباب الصید الذی إذا ارتکبه الصبیّ فکفّارته علی الولیّ، کما صرّح به فی النصوص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تسریة الحکم منه إلی غیر کفّارة الصید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إلزامی مترتّب علی فعل الصبیّ مرفوع بحدیث رفع القلم</w:t>
      </w:r>
      <w:r>
        <w:rPr>
          <w:rStyle w:val="FootnoteAnchor"/>
          <w:rtl w:val="true"/>
        </w:rPr>
        <w:footnoteReference w:id="1506"/>
      </w:r>
      <w:r>
        <w:rPr>
          <w:rFonts w:ascii="IRNazanin" w:hAnsi="IRNazanin" w:eastAsia="IRNazanin"/>
          <w:color w:val="111111"/>
          <w:sz w:val="28"/>
          <w:sz w:val="28"/>
          <w:szCs w:val="28"/>
          <w:rtl w:val="true"/>
          <w:lang w:bidi="fa-IR"/>
        </w:rPr>
        <w:t>و عدم جریه علیه، و مقتضاه أنّه لا یلزم بشیء، و هذه الامور المترتّبة علی أعمال الحجّ من قبیل التکلیف و الحکم التکلیفی مرفوعة عن الصبیّ؛ لحدیث رفع القلم</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تفصیل الشریعة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أنّ مقتضی هذا الأمر عدم ثبوت الکفّارة علی الصبیّ، لا عدم ثبوتها مطلقا و لو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الکفّارة و إن کان بنحو الحکم التکلیفی، و لا مجال لتوهّم کونه بمعنی الضمان کما فی أصل ثبوت الهدی فی الحجّ؛ فإنّه مجرّد تکلیف، إلاّ أنّ الکلام لیس فی ذلک، بل الکلام فی سببیّة الإتیان بمحرّم الإحرام لهذا الحکم التکلیفی، فإنّ المستفاد من الأدلّة ثبوت هذه السببیّة شرعا، و هی بلحاظ کونها من الأحکام الوضعیّة لا تختصّ بالبالغین، بل تعمّ الصبیان کسببیّة الجنابة لوجوب الاغتسال بعد البلوغ، فإنّ کون المسبّب حکما تکلیفیّا لا ینافی کون السببیّة شرعیّة غیر مختصّة بالبالغ</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bookmarkStart w:id="554" w:name="pg11756_104096"/>
    </w:p>
    <w:p>
      <w:pPr>
        <w:pStyle w:val="Heading6"/>
        <w:numPr>
          <w:ilvl w:val="5"/>
          <w:numId w:val="1"/>
        </w:numPr>
        <w:rPr/>
      </w:pPr>
      <w:bookmarkStart w:id="555" w:name="__RefHeading___Toc9643827_73709187"/>
      <w:bookmarkStart w:id="556" w:name="_Toc208"/>
      <w:bookmarkEnd w:id="554"/>
      <w:bookmarkEnd w:id="555"/>
      <w:r>
        <w:rPr>
          <w:rtl w:val="true"/>
        </w:rPr>
        <w:t>الکفّارة علی الولیّ</w:t>
      </w:r>
      <w:bookmarkEnd w:id="556"/>
    </w:p>
    <w:p>
      <w:pPr>
        <w:pStyle w:val="BookText"/>
        <w:rPr/>
      </w:pPr>
      <w:r>
        <w:rPr>
          <w:rFonts w:ascii="IRNazanin" w:hAnsi="IRNazanin" w:eastAsia="IRNazanin"/>
          <w:color w:val="111111"/>
          <w:sz w:val="28"/>
          <w:sz w:val="28"/>
          <w:szCs w:val="28"/>
          <w:rtl w:val="true"/>
          <w:lang w:bidi="fa-IR"/>
        </w:rPr>
        <w:t>القول الثانی ما ذهب إلیه جمع آخر من الأصحاب، و هو وجوب الکفّارة علی الولیّ، و هو القول الثانی للشیخ، کما صرّح به فی المبسوط</w:t>
      </w:r>
      <w:r>
        <w:rPr>
          <w:rStyle w:val="FootnoteAnchor"/>
          <w:rtl w:val="true"/>
        </w:rPr>
        <w:footnoteReference w:id="1509"/>
      </w:r>
      <w:r>
        <w:rPr>
          <w:rFonts w:ascii="IRNazanin" w:hAnsi="IRNazanin" w:eastAsia="IRNazanin"/>
          <w:color w:val="111111"/>
          <w:sz w:val="28"/>
          <w:sz w:val="28"/>
          <w:szCs w:val="28"/>
          <w:rtl w:val="true"/>
          <w:lang w:bidi="fa-IR"/>
        </w:rPr>
        <w:t>، 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فی التهذیب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ما یلزمه فیه الکفّارة فعلی ولیّه أن یقضی عنه</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فعلوا ما یجب فیه الکفّارة کان علی أولیائهم أن یکفّروا عنهم</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فعل الصبیّ ما یجب به الکفّارة لزم ذلک الولیّ فی ماله</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أبو الصلاح الحلبیّ</w:t>
      </w:r>
      <w:r>
        <w:rPr>
          <w:rStyle w:val="FootnoteAnchor"/>
          <w:rtl w:val="true"/>
        </w:rPr>
        <w:footnoteReference w:id="1513"/>
      </w:r>
      <w:r>
        <w:rPr>
          <w:rFonts w:ascii="IRNazanin" w:hAnsi="IRNazanin" w:eastAsia="IRNazanin"/>
          <w:color w:val="111111"/>
          <w:sz w:val="28"/>
          <w:sz w:val="28"/>
          <w:szCs w:val="28"/>
          <w:rtl w:val="true"/>
          <w:lang w:bidi="fa-IR"/>
        </w:rPr>
        <w:t>و العلاّمة فی بعض کتبه</w:t>
      </w:r>
      <w:r>
        <w:rPr>
          <w:rStyle w:val="FootnoteAnchor"/>
          <w:rtl w:val="true"/>
        </w:rPr>
        <w:footnoteReference w:id="1514"/>
      </w:r>
      <w:r>
        <w:rPr>
          <w:rFonts w:ascii="IRNazanin" w:hAnsi="IRNazanin" w:eastAsia="IRNazanin"/>
          <w:color w:val="111111"/>
          <w:sz w:val="28"/>
          <w:sz w:val="28"/>
          <w:szCs w:val="28"/>
          <w:rtl w:val="true"/>
          <w:lang w:bidi="fa-IR"/>
        </w:rPr>
        <w:t>و الشهیدان</w:t>
      </w:r>
      <w:r>
        <w:rPr>
          <w:rStyle w:val="FootnoteAnchor"/>
          <w:rtl w:val="true"/>
        </w:rPr>
        <w:footnoteReference w:id="1515"/>
      </w:r>
      <w:r>
        <w:rPr>
          <w:rFonts w:ascii="IRNazanin" w:hAnsi="IRNazanin" w:eastAsia="IRNazanin"/>
          <w:color w:val="111111"/>
          <w:sz w:val="28"/>
          <w:sz w:val="28"/>
          <w:szCs w:val="28"/>
          <w:rtl w:val="true"/>
          <w:lang w:bidi="fa-IR"/>
        </w:rPr>
        <w:t>، و هو القول الثانی للمحقّق الأردبیلی</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محلّ تردّد</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bookmarkStart w:id="557" w:name="pg11756_104097"/>
    </w:p>
    <w:p>
      <w:pPr>
        <w:pStyle w:val="BookText"/>
        <w:rPr/>
      </w:pPr>
      <w:bookmarkEnd w:id="557"/>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الاحتیاط واضح</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 فی کشف اللّثام أحد الوجوه فی المسألة</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الجواهر</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تکفّل الولیّ، بل لا یترک هذا الاحتیاط، بل هو الأقوی</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الکفّارات علی الأحوط</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523"/>
      </w:r>
      <w:r>
        <w:rPr>
          <w:rFonts w:ascii="IRNazanin" w:hAnsi="IRNazanin" w:eastAsia="IRNazanin"/>
          <w:color w:val="111111"/>
          <w:sz w:val="28"/>
          <w:sz w:val="28"/>
          <w:szCs w:val="28"/>
          <w:rtl w:val="true"/>
          <w:lang w:bidi="fa-IR"/>
        </w:rPr>
        <w:t>، و به قال السادة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Style w:val="FootnoteAnchor"/>
          <w:rtl w:val="true"/>
        </w:rPr>
        <w:footnoteReference w:id="1524"/>
      </w:r>
      <w:r>
        <w:rPr>
          <w:rFonts w:ascii="IRNazanin" w:hAnsi="IRNazanin" w:eastAsia="IRNazanin"/>
          <w:color w:val="111111"/>
          <w:sz w:val="28"/>
          <w:sz w:val="28"/>
          <w:szCs w:val="28"/>
          <w:rtl w:val="true"/>
          <w:lang w:bidi="fa-IR"/>
        </w:rPr>
        <w:t>و السبزواریّ</w:t>
      </w:r>
      <w:r>
        <w:rPr>
          <w:rStyle w:val="FootnoteAnchor"/>
          <w:rtl w:val="true"/>
        </w:rPr>
        <w:footnoteReference w:id="1525"/>
      </w:r>
      <w:r>
        <w:rPr>
          <w:rFonts w:ascii="IRNazanin" w:hAnsi="IRNazanin" w:eastAsia="IRNazanin"/>
          <w:color w:val="111111"/>
          <w:sz w:val="28"/>
          <w:sz w:val="28"/>
          <w:szCs w:val="28"/>
          <w:rtl w:val="true"/>
          <w:lang w:bidi="fa-IR"/>
        </w:rPr>
        <w:t>و الکلبایکانیّ</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9643829_73709187"/>
      <w:bookmarkStart w:id="559" w:name="_Toc209"/>
      <w:bookmarkEnd w:id="558"/>
      <w:r>
        <w:rPr>
          <w:rtl w:val="true"/>
        </w:rPr>
        <w:t>أدلّة وجوب الکفّارة علی الولیّ</w:t>
      </w:r>
      <w:bookmarkEnd w:id="559"/>
    </w:p>
    <w:p>
      <w:pPr>
        <w:pStyle w:val="BookText"/>
        <w:rPr/>
      </w:pPr>
      <w:r>
        <w:rPr>
          <w:rFonts w:ascii="IRNazanin" w:hAnsi="IRNazanin" w:eastAsia="IRNazanin"/>
          <w:color w:val="111111"/>
          <w:sz w:val="28"/>
          <w:sz w:val="28"/>
          <w:szCs w:val="28"/>
          <w:rtl w:val="true"/>
          <w:lang w:bidi="fa-IR"/>
        </w:rPr>
        <w:t>مقتضی إطلاق أدلّة الکفّارات ثبوتها علی المحرم، و المفروض أنّ المحرم الحقیقی فی المقام هو الطفل، و الإتیان بما یحرم علی المحرم صدر منه، فاللازم ترتّب الکفّارة علیه، إلاّ أنّه قد تقدّم فی بیان القول الأوّل عدم تعلّقها بمال الصبیّ بمقتضی الأدلّة التی ذکرناها، فتکون علی الولیّ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أن یستدلّ به لإثبات المدّعی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بظهور کون الصید علی الأب و الذبح علیه، و الصوم علیه و غیر ذلک</w:t>
      </w:r>
      <w:r>
        <w:rPr>
          <w:rStyle w:val="FootnoteAnchor"/>
          <w:rtl w:val="true"/>
        </w:rPr>
        <w:footnoteReference w:id="1527"/>
      </w:r>
      <w:r>
        <w:rPr>
          <w:rFonts w:ascii="IRNazanin" w:hAnsi="IRNazanin" w:eastAsia="IRNazanin"/>
          <w:color w:val="111111"/>
          <w:sz w:val="28"/>
          <w:sz w:val="28"/>
          <w:szCs w:val="28"/>
          <w:rtl w:val="true"/>
          <w:lang w:bidi="fa-IR"/>
        </w:rPr>
        <w:t>ممّا عساه یظهر منه ترتّب هذه الأحکام للإحرام علیه دون الصبیّ، خصوصا غیر الممیّز</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التی تدلّ علی وجوب کفّارة الصید علی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کفّارة غیر الصید علیه أیضا بتنقیح المناط و إلغاء الخصوصیّة، حیث إنّ ما ورد فی الصید یکون من باب المثال، و أنّه أحد المصادیق من المحرّمات، فتشمل جمیع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أنّ الصوم و الذبح علی الولیّ، و لکن قال بعض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و إن کان غیر بعید إلاّ أنّ إلغاء الخصوصیّة لیس بمثابة توجب الطمأنینة للنفس و الوثوق بها</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المقایسة بالصید کما تری؛ للفرق بینه و بین المقام بثبوت الفدیة فیه مع عدم العمد، بخلاف المقام</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 هو المسبّب لإحجاج الصبیّ فعلیه کفّارته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کان مکلّفا بعد الإحرام بأن یجنّب الصبیّ عن محرّمات الإحرام، و إذن صدورها عنه یکون دلیلا علی عدم تحقّق المراقبة اللازمة و المحافظة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صدور محرّم الإحرام من الطفل أحیانا مع کمال مراقبة الولیّ و شدّة محافظته، إلاّ أنّه من الندرة بمکان، کما فی تفصیل الشریعة</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الکلبایکانیّ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یجب علی الصبیّ من الکفّارات إنّما یدفع من مال الولیّ؛ لأنّه</w:t>
      </w:r>
      <w:r>
        <w:rPr>
          <w:rStyle w:val="FootnoteAnchor"/>
          <w:rtl w:val="true"/>
        </w:rPr>
        <w:footnoteReference w:id="1532"/>
      </w:r>
      <w:r>
        <w:rPr>
          <w:rFonts w:ascii="IRNazanin" w:hAnsi="IRNazanin" w:eastAsia="IRNazanin"/>
          <w:color w:val="111111"/>
          <w:sz w:val="28"/>
          <w:sz w:val="28"/>
          <w:szCs w:val="28"/>
          <w:rtl w:val="true"/>
          <w:lang w:bidi="fa-IR"/>
        </w:rPr>
        <w:t>السبب فی ذلک</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غرم أدخله الولیّ علیه بإذنه أو بالإحرام به کالنفقة الزائدة</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أن یجعل ذلک موافقا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السبب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لقوّة السبب عرفا و شرعا</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استفادة ذلک من بعض النصوص کصحیحة زرارة المتقدّمة،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 و یصوم الکبار، و یتّقی علیهم ما یتّقی علی المحرم من الثیاب و الطیب</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منها أنّ لازم عدم الاتّقاء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الولیّ، کما أنّ خطاب الاتّقاء متوجّه إلیه</w:t>
      </w:r>
      <w:r>
        <w:rPr>
          <w:rFonts w:eastAsia="IRNazanin" w:cs="IRNazanin"/>
          <w:color w:val="111111"/>
          <w:sz w:val="28"/>
          <w:szCs w:val="28"/>
          <w:rtl w:val="true"/>
          <w:lang w:bidi="fa-IR"/>
        </w:rPr>
        <w:t>.</w:t>
      </w:r>
      <w:bookmarkStart w:id="560" w:name="pg11756_104100"/>
    </w:p>
    <w:p>
      <w:pPr>
        <w:pStyle w:val="BookText"/>
        <w:rPr/>
      </w:pPr>
      <w:bookmarkEnd w:id="560"/>
      <w:r>
        <w:rPr>
          <w:rFonts w:ascii="IRNazanin" w:hAnsi="IRNazanin" w:eastAsia="IRNazanin"/>
          <w:color w:val="111111"/>
          <w:sz w:val="28"/>
          <w:sz w:val="28"/>
          <w:szCs w:val="28"/>
          <w:rtl w:val="true"/>
          <w:lang w:bidi="fa-IR"/>
        </w:rPr>
        <w:t>و مثلها صحیحة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الصبیان هل علیهم إحرام؟ و هل یتّقون ما یتّقی الرجال؟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یحرمون و ینهون عن الشیء یصنعونه ممّا لا یصلح للمحرم أن یصنعه</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لا تخلو من إشکال؛ لعدم النصّ فی المقام، إلاّ أنّ مقتضی الاحتیاط هو ثبوت الکفّارة علی الولیّ، فنحکم به لزوما، و اللّه هو العالم بحکمه</w:t>
      </w:r>
      <w:r>
        <w:rPr>
          <w:rFonts w:eastAsia="IRNazanin" w:cs="IRNazanin"/>
          <w:color w:val="111111"/>
          <w:sz w:val="28"/>
          <w:szCs w:val="28"/>
          <w:rtl w:val="true"/>
          <w:lang w:bidi="fa-IR"/>
        </w:rPr>
        <w:t>.</w:t>
      </w:r>
    </w:p>
    <w:p>
      <w:pPr>
        <w:pStyle w:val="Heading6"/>
        <w:numPr>
          <w:ilvl w:val="5"/>
          <w:numId w:val="1"/>
        </w:numPr>
        <w:rPr/>
      </w:pPr>
      <w:bookmarkStart w:id="561" w:name="__RefHeading___Toc9643831_73709187"/>
      <w:bookmarkStart w:id="562" w:name="_Toc210"/>
      <w:bookmarkEnd w:id="561"/>
      <w:r>
        <w:rPr>
          <w:rtl w:val="true"/>
        </w:rPr>
        <w:t>الکفّارة علی الصبی</w:t>
      </w:r>
      <w:bookmarkEnd w:id="56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کلام السیّد الخوانساری حیث استشکل علی القول بعدم لزوم الکفّارة علی الصبیّ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 لزوم الکفّارة فی مال الصبیّ، و لا یجب الصبر إلی أوان بلوغه</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 فی کشف اللثام أحد الوجوه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یوجّه بأنّ من ارتکب محرّمات الإحرام عامدا وجبت علیه الکفّارة، و الصبیّ فعل ذلک، فیجب علیه الکفّارة فی ماله، و لا دلیل علی نفیها عنه إلاّ 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عمد الصبیّ و خطأه واحد</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 و هذا لا یشمل المقام کما صرّح به السیّد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للفرق بین محکومیة الخطأ بحکم خاصّ کالقتل الخطائی، و بین عدم الحکم فی صورة الخطأ</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bookmarkStart w:id="563" w:name="pg11756_104101"/>
    </w:p>
    <w:p>
      <w:pPr>
        <w:pStyle w:val="BookText"/>
        <w:rPr/>
      </w:pPr>
      <w:bookmarkEnd w:id="563"/>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 بباب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أنّ أدلّة وجوب الکفّارة لا تشمل الصبیّ؛ لحدیث الرفع، و أمّا تعلّقها بالولیّ فبمقتضی الأدلّة التی قامت علی إثبات القول الثانی</w:t>
      </w:r>
      <w:r>
        <w:rPr>
          <w:rFonts w:eastAsia="IRNazanin" w:cs="IRNazanin"/>
          <w:color w:val="111111"/>
          <w:sz w:val="28"/>
          <w:szCs w:val="28"/>
          <w:rtl w:val="true"/>
          <w:lang w:bidi="fa-IR"/>
        </w:rPr>
        <w:t>.</w:t>
      </w:r>
    </w:p>
    <w:p>
      <w:pPr>
        <w:pStyle w:val="Heading5"/>
        <w:numPr>
          <w:ilvl w:val="4"/>
          <w:numId w:val="1"/>
        </w:numPr>
        <w:rPr/>
      </w:pPr>
      <w:bookmarkStart w:id="564" w:name="__RefHeading___Toc9643833_73709187"/>
      <w:bookmarkStart w:id="565" w:name="_Toc211"/>
      <w:bookmarkEnd w:id="564"/>
      <w:r>
        <w:rPr>
          <w:rtl w:val="true"/>
        </w:rPr>
        <w:t>المقام الثانی</w:t>
      </w:r>
      <w:r>
        <w:rPr>
          <w:rtl w:val="true"/>
        </w:rPr>
        <w:t xml:space="preserve">: </w:t>
      </w:r>
      <w:r>
        <w:rPr>
          <w:rtl w:val="true"/>
        </w:rPr>
        <w:t>کفّارة الصید</w:t>
      </w:r>
      <w:bookmarkEnd w:id="565"/>
    </w:p>
    <w:p>
      <w:pPr>
        <w:pStyle w:val="BookText"/>
        <w:rPr/>
      </w:pPr>
      <w:r>
        <w:rPr>
          <w:rFonts w:ascii="IRNazanin" w:hAnsi="IRNazanin" w:eastAsia="IRNazanin"/>
          <w:color w:val="111111"/>
          <w:sz w:val="28"/>
          <w:sz w:val="28"/>
          <w:szCs w:val="28"/>
          <w:rtl w:val="true"/>
          <w:lang w:bidi="fa-IR"/>
        </w:rPr>
        <w:t xml:space="preserve">إنّ الصید من المحرّمات التی تتعلّق بفعله الکفّارة علی المکلّف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عامدا أو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فعله الصبیّ هل تجب علیه الکفّارة؟ و علی فرض وجوبها علیه، ففی مال نفسه أو مال ولیّه؟ اختلف الفقهاء فی ذلک علی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بین الفقهاء أنّ کفّارة صید الصبیّ علی ولیّه، و هو الأقوی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ما یتلفه الصبیّ المحرم من الصید علی الولیّ</w:t>
      </w:r>
      <w:r>
        <w:rPr>
          <w:rFonts w:eastAsia="IRNazanin" w:cs="IRNazanin"/>
          <w:color w:val="111111"/>
          <w:sz w:val="28"/>
          <w:szCs w:val="28"/>
          <w:rtl w:val="true"/>
          <w:lang w:bidi="fa-IR"/>
        </w:rPr>
        <w:t>»</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1543"/>
      </w:r>
      <w:r>
        <w:rPr>
          <w:rFonts w:ascii="IRNazanin" w:hAnsi="IRNazanin" w:eastAsia="IRNazanin"/>
          <w:color w:val="111111"/>
          <w:sz w:val="28"/>
          <w:sz w:val="28"/>
          <w:szCs w:val="28"/>
          <w:rtl w:val="true"/>
          <w:lang w:bidi="fa-IR"/>
        </w:rPr>
        <w:t>و المبسوط</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کفّارة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ولیّه</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یلزم من کفّارة یلزم الولیّ إذا کان ممّا یلزم عمدا و سهوا کالصید</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کفّارات المحظورات اللازمة عمدا و سهوا</w:t>
      </w:r>
    </w:p>
    <w:p>
      <w:pPr>
        <w:pStyle w:val="BookText"/>
        <w:rPr/>
      </w:pPr>
      <w:r>
        <w:rPr>
          <w:rFonts w:ascii="IRNazanin" w:hAnsi="IRNazanin" w:eastAsia="IRNazanin"/>
          <w:color w:val="111111"/>
          <w:sz w:val="28"/>
          <w:sz w:val="28"/>
          <w:szCs w:val="28"/>
          <w:rtl w:val="true"/>
          <w:lang w:bidi="fa-IR"/>
        </w:rPr>
        <w:t>کالصید تجب علی الولیّ</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548"/>
      </w:r>
      <w:r>
        <w:rPr>
          <w:rFonts w:ascii="IRNazanin" w:hAnsi="IRNazanin" w:eastAsia="IRNazanin"/>
          <w:color w:val="111111"/>
          <w:sz w:val="28"/>
          <w:sz w:val="28"/>
          <w:szCs w:val="28"/>
          <w:rtl w:val="true"/>
          <w:lang w:bidi="fa-IR"/>
        </w:rPr>
        <w:t>، و به قال العلاّمة فی بعض کتبه</w:t>
      </w:r>
      <w:r>
        <w:rPr>
          <w:rStyle w:val="FootnoteAnchor"/>
          <w:rtl w:val="true"/>
        </w:rPr>
        <w:footnoteReference w:id="1549"/>
      </w:r>
      <w:r>
        <w:rPr>
          <w:rFonts w:ascii="IRNazanin" w:hAnsi="IRNazanin" w:eastAsia="IRNazanin"/>
          <w:color w:val="111111"/>
          <w:sz w:val="28"/>
          <w:sz w:val="28"/>
          <w:szCs w:val="28"/>
          <w:rtl w:val="true"/>
          <w:lang w:bidi="fa-IR"/>
        </w:rPr>
        <w:t>، و اختاره کثیر من المتأخّرین و تابعیهم</w:t>
      </w:r>
      <w:r>
        <w:rPr>
          <w:rStyle w:val="FootnoteAnchor"/>
          <w:rtl w:val="true"/>
        </w:rPr>
        <w:footnoteReference w:id="1550"/>
      </w:r>
      <w:r>
        <w:rPr>
          <w:rFonts w:ascii="IRNazanin" w:hAnsi="IRNazanin" w:eastAsia="IRNazanin"/>
          <w:color w:val="111111"/>
          <w:sz w:val="28"/>
          <w:sz w:val="28"/>
          <w:szCs w:val="28"/>
          <w:rtl w:val="true"/>
          <w:lang w:bidi="fa-IR"/>
        </w:rPr>
        <w:t>و فقهاء العصر</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علی الولیّ، و کذا کفّارة الصید</w:t>
      </w:r>
      <w:r>
        <w:rPr>
          <w:rFonts w:eastAsia="IRNazanin" w:cs="IRNazanin"/>
          <w:color w:val="111111"/>
          <w:sz w:val="28"/>
          <w:szCs w:val="28"/>
          <w:rtl w:val="true"/>
          <w:lang w:bidi="fa-IR"/>
        </w:rPr>
        <w:t>»</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ذیل صحیحة زرارة المتقدّمة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قتل صیدا فعلی أبیه</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المستفاد منه کون الکفّارة علی الولیّ، أبا کان أم غیره؛ إذ لا خصوصیّة للأب، بل الأب إنّما وجب علیه لکونه من مصادیق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العلاّمة فی المختلف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الکفّارة تجب بالصید مطلقا، و لا تجب علیه؛ لانتفاء التکلیف فتثبت علی الولیّ</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یرد علیه بأنّ وجوب الأداء یکون بعد التکلیف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فی السرائر من عدم الکفّارة فی الصید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علی الطفل و لا 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أنّه لا یتعلّق بذلک</w:t>
      </w:r>
    </w:p>
    <w:p>
      <w:pPr>
        <w:pStyle w:val="BookText"/>
        <w:rPr/>
      </w:pP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الخطاب متوجّه فی الأحکام الشرعیّات و العقلیّات إلی العقلاء البالغین المکلّفین، و الصبیّ غیر مخاطب بشیء من الشرعیّات</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وجه لهذا القول بعد ما دلّت الصحیحة علی أنّها علی أبیه، إلاّ أنّه قدّس سرّه لا یعمل بخبر الواحد، و هذا و إن کان صحیحا علی مبناه و لکن المشهور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مال الصبیّ کما صرّح به فی التذکرة، و استدلّ 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مال وجب بجنایته، فوجب أن یجب فی ماله، کما لو استهلک مال غیره</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الکفّارة مترتّبة علی فعل الصبیّ، کما أنّ الضمان مترتّب علی إتلاف مال الغیر، و لا فرق فی ذلک بین العمد و الخطأ و البالغ و الصغیر؛ لأنّه من أحکام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الکفّارة لیس من باب الضمان، بل هو حکم تکلیفی ثابت فی مورده، و لا موجب لثبوت ذلک علی الطفل</w:t>
      </w:r>
      <w:r>
        <w:rPr>
          <w:rStyle w:val="FootnoteAnchor"/>
          <w:rtl w:val="true"/>
        </w:rPr>
        <w:footnoteReference w:id="1558"/>
      </w:r>
      <w:r>
        <w:rPr>
          <w:rFonts w:ascii="IRNazanin" w:hAnsi="IRNazanin" w:eastAsia="IRNazanin"/>
          <w:color w:val="111111"/>
          <w:sz w:val="28"/>
          <w:sz w:val="28"/>
          <w:szCs w:val="28"/>
          <w:rtl w:val="true"/>
          <w:lang w:bidi="fa-IR"/>
        </w:rPr>
        <w:t xml:space="preserve">، مضافا الی أنّه ورد فی ذیل صحیحة زرارة المتقدّمة عن أحدهما علیهما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صیدا فعلی أبیه</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فالقول بأنّ الکفّارة فی مال الطفل و تشبیهه بإتلاف مال الغیر کأنّه اجتهاد فی مقابل النصّ المعتبر، کما فی الجواهر</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bookmarkStart w:id="566" w:name="pg11756_104104"/>
    </w:p>
    <w:p>
      <w:pPr>
        <w:pStyle w:val="Heading5"/>
        <w:numPr>
          <w:ilvl w:val="4"/>
          <w:numId w:val="1"/>
        </w:numPr>
        <w:rPr/>
      </w:pPr>
      <w:bookmarkStart w:id="567" w:name="__RefHeading___Toc9643835_73709187"/>
      <w:bookmarkStart w:id="568" w:name="_Toc212"/>
      <w:bookmarkEnd w:id="566"/>
      <w:bookmarkEnd w:id="567"/>
      <w:r>
        <w:rPr>
          <w:rtl w:val="true"/>
        </w:rPr>
        <w:t>محظورات الإحرام و الکفّارات فی حجّ الصبیّ عند أهل السنّة</w:t>
      </w:r>
      <w:bookmarkEnd w:id="568"/>
    </w:p>
    <w:p>
      <w:pPr>
        <w:pStyle w:val="Heading6"/>
        <w:numPr>
          <w:ilvl w:val="5"/>
          <w:numId w:val="1"/>
        </w:numPr>
        <w:rPr/>
      </w:pPr>
      <w:bookmarkStart w:id="569" w:name="__RefHeading___Toc9643837_73709187"/>
      <w:bookmarkStart w:id="570" w:name="_Toc213"/>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إنّ محظورات الإحرام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یلزم البالغ کفّارته مع الخطأ و النسیان، فقال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الکفّارة فی هذا القسم فی مال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له بأنّها وجبت بجنایته،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الولیّ؛ لأنّه حصل بعقده أو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نفقة الحجّ و ما یلزمه من الکفّارة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وجوبه فی مال الولیّ،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فی مال الصبیّ</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حلق أو قلّم ظفرا أو قتل صیدا عمدا،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هذه الأفعال و سهوها سواء، و هو المذهب، وجبت الفدیة، و إلاّ فهی کالطیب و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وجبت الفدیة فهل هی فی مال الصبیّ أم فی مال الولیّ؟ فیه قولان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دلیلهما ما سبق فی النفقة، و اتّفقوا علی أنّ الأصحّ أنّها فی مال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القولان إنّما هما فیما إذا أحرم بإذن الولیّ، فإن أحرم بغیر إذنه و صحّحناه فالفدیة فی مال الصبیّ بلا خلاف</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مغنی المحتاج</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محظورات الإحرام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ما یختلف عمده و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کاللباس و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کالصید و حلق الشعر و تقلیم الأظفار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لا فدیة علی الصبیّ فیه؛ لأنّ عمده خطأ، و الثانی علیه فیه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جنایات الصبیان لازمة لهم فی أموالهم، و ذکر أصحابنا فی الفدیة التی تجب بفعل الصبیّ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ماله؛ لأنّها وجبت بجنایة أشبهت الجنایة علی الآدمی،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الولیّ، و هو قول مالک؛ لأنّه حصل بعقده أو إذنه، فکان علیه کنفقة حجّه</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الکافی و أضاف بأنّه قد وردت فیه روایتان</w:t>
      </w:r>
      <w:r>
        <w:rPr>
          <w:rStyle w:val="FootnoteAnchor"/>
          <w:rtl w:val="true"/>
        </w:rPr>
        <w:footnoteReference w:id="1565"/>
      </w:r>
      <w:r>
        <w:rPr>
          <w:rFonts w:ascii="IRNazanin" w:hAnsi="IRNazanin" w:eastAsia="IRNazanin"/>
          <w:color w:val="111111"/>
          <w:sz w:val="28"/>
          <w:sz w:val="28"/>
          <w:szCs w:val="28"/>
          <w:rtl w:val="true"/>
          <w:lang w:bidi="fa-IR"/>
        </w:rPr>
        <w:t>، و به قال فی کشّاف القناع</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مواهب الجلیل فی فقه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شیء وجب علی الصبیّ من الدم فی الحجّ فذلک علی والده؛ لأنّه أحجّه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عن مالک فی الموازیة أنّه یفصّل فی ذلک کالنفقة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یتخوّف أن یطرأ علیه فی إحجاجه إیّاه من الجزاء و الفدیة أمر غیر متیقّن، و إحجاجه طاعة و أجر لمن أحجّه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لأمر قد یکون و قد لا یکون، و هذا أصلنا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قولا آخر، و هو أنّ ذلک فی مال الصبیّ مطلقا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یختلف عمده و سهوه، أی ما یوجب الکفّارة عمدا، لا سهوا و لا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کاللّباس و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بعضهم بأنّه لا کفّارة فیه إذا فعله الصبیّ؛ لأنّ عمده خطأ</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تطیّب أو لبس ناسیا فلا فدیة قطعا، و إن تعمّد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ذلک علی القولین المشهورین فی کتاب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w:t>
      </w:r>
      <w:bookmarkStart w:id="571" w:name="pg11756_104106"/>
    </w:p>
    <w:p>
      <w:pPr>
        <w:pStyle w:val="BookText"/>
        <w:rPr/>
      </w:pPr>
      <w:bookmarkEnd w:id="571"/>
      <w:r>
        <w:rPr>
          <w:rFonts w:ascii="IRNazanin" w:hAnsi="IRNazanin" w:eastAsia="IRNazanin"/>
          <w:color w:val="111111"/>
          <w:sz w:val="28"/>
          <w:sz w:val="28"/>
          <w:szCs w:val="28"/>
          <w:rtl w:val="true"/>
          <w:lang w:bidi="fa-IR"/>
        </w:rPr>
        <w:t>الصبیّ عمد، أم خطأ؟ الأصحّ أنّه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فلا فدیة، و إلاّ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قطع المحقّقون؛ لأنّ عمده فی العبادات کعمد البالغ</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 فی الفقه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لا یلزم البالغ فیه کفّارة مع الجهل و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کاللّبس و الطیب فی الأشهر، و قتل الصید فی روایة، و الوطء و التقلیم علی تخریج، فلا کفّارة فیه إذا فعله الصبیّ؛ لأنّ عمده خطأ</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نجد للحنفیّة نصّا فی المسألة، إلاّ أنّه جاء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محظورات الإحرام، فلا شیء علیه و لا علی ولیّه لأجله؛ لأنّ الصبیّ غیر مخاطب، و لو أفسده فلا قضاء علیه</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9643839_73709187"/>
      <w:bookmarkStart w:id="573" w:name="_Toc214"/>
      <w:bookmarkEnd w:id="572"/>
      <w:r>
        <w:rPr>
          <w:rtl w:val="true"/>
        </w:rPr>
        <w:t>تتمیم محلّ الخلاف فی وجوب الکفّارة و عدمه فیما إذا فعله الصبیّ الممیّز</w:t>
      </w:r>
      <w:bookmarkEnd w:id="573"/>
    </w:p>
    <w:p>
      <w:pPr>
        <w:pStyle w:val="BookText"/>
        <w:rPr/>
      </w:pPr>
      <w:r>
        <w:rPr>
          <w:rFonts w:ascii="IRNazanin" w:hAnsi="IRNazanin" w:eastAsia="IRNazanin"/>
          <w:color w:val="111111"/>
          <w:sz w:val="28"/>
          <w:sz w:val="28"/>
          <w:szCs w:val="28"/>
          <w:rtl w:val="true"/>
          <w:lang w:bidi="fa-IR"/>
        </w:rPr>
        <w:t>محلّ الخلاف فی وجوب الکفّارة و عدمه فیما إذا فعله الصبیّ الممیّز، و أمّا إذا فعله الصبیّ غیر الممیّز فلا فدیة، لا علیه و لا علی ولیّه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9643841_73709187"/>
      <w:bookmarkStart w:id="575" w:name="_Toc215"/>
      <w:bookmarkEnd w:id="574"/>
      <w:r>
        <w:rPr>
          <w:rtl w:val="true"/>
        </w:rPr>
        <w:t>فروع</w:t>
      </w:r>
      <w:bookmarkEnd w:id="575"/>
    </w:p>
    <w:p>
      <w:pPr>
        <w:pStyle w:val="BookText"/>
        <w:rPr/>
      </w:pPr>
      <w:r>
        <w:rPr>
          <w:rFonts w:ascii="IRNazanin" w:hAnsi="IRNazanin" w:eastAsia="IRNazanin"/>
          <w:color w:val="111111"/>
          <w:sz w:val="28"/>
          <w:sz w:val="28"/>
          <w:szCs w:val="28"/>
          <w:rtl w:val="true"/>
          <w:lang w:bidi="fa-IR"/>
        </w:rPr>
        <w:t>و یتّصل بما ذکرناه من محظورات الإحرام للصبیّ عدّة فروع ینبغی التطرّق إلیها فی المقام</w:t>
      </w:r>
      <w:r>
        <w:rPr>
          <w:rFonts w:eastAsia="IRNazanin" w:cs="IRNazanin"/>
          <w:color w:val="111111"/>
          <w:sz w:val="28"/>
          <w:szCs w:val="28"/>
          <w:rtl w:val="true"/>
          <w:lang w:bidi="fa-IR"/>
        </w:rPr>
        <w:t>:</w:t>
      </w:r>
    </w:p>
    <w:p>
      <w:pPr>
        <w:pStyle w:val="Heading6"/>
        <w:numPr>
          <w:ilvl w:val="5"/>
          <w:numId w:val="1"/>
        </w:numPr>
        <w:rPr/>
      </w:pPr>
      <w:bookmarkStart w:id="576" w:name="__RefHeading___Toc9643843_73709187"/>
      <w:bookmarkStart w:id="577" w:name="_Toc216"/>
      <w:bookmarkEnd w:id="576"/>
      <w:r>
        <w:rPr>
          <w:rtl w:val="true"/>
        </w:rPr>
        <w:t>الفرع الأوّل فعل الولیّ فی الصبی ما یحرم علی المحرم مباشرته</w:t>
      </w:r>
      <w:bookmarkEnd w:id="57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الصبیّ محرما و فعل الولیّ فیه ما یحرم علی المحرم مباشرته، کما</w:t>
      </w:r>
      <w:bookmarkStart w:id="578" w:name="pg11756_104107"/>
    </w:p>
    <w:p>
      <w:pPr>
        <w:pStyle w:val="BookText"/>
        <w:rPr/>
      </w:pPr>
      <w:bookmarkEnd w:id="578"/>
      <w:r>
        <w:rPr>
          <w:rFonts w:ascii="IRNazanin" w:hAnsi="IRNazanin" w:eastAsia="IRNazanin"/>
          <w:color w:val="111111"/>
          <w:sz w:val="28"/>
          <w:sz w:val="28"/>
          <w:szCs w:val="28"/>
          <w:rtl w:val="true"/>
          <w:lang w:bidi="fa-IR"/>
        </w:rPr>
        <w:t>لو طیّبه أو ألبسه مخیطا أو حلّق رأسه،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ذلک لحاجة الصبیّ، کما لو طیّبه تداویا، فالأقرب أنّه کمباشرة الصبیّ؛ لأنّه ولیّه، و قد فعل شیئا لمصلحته، فیکون ما ترتّب علیه لازما للصبیّ</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لم یکن لحاجة فالظاهر أنّ الکفّارة تکون علی الولیّ؛ لأنّه هو السبب لذلک، و المفروض أنّه لم یکن فی فعله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لا یکون فیه الکفّارة، لا علی الولیّ و لا علی الصبیّ؛ لأنّ الصبیّ لیس أهلا للتکلیف، و لا دلیل علی وجوب الکفّارة علی الولیّ فی مفروض الکلام، و لکنّ الأحوط أن یؤدّی الولیّ الکفّارة، کما تقدّم فیما إذا ارتکب الصبیّ نفسه ما یحرم علی المحرم</w:t>
      </w:r>
      <w:r>
        <w:rPr>
          <w:rFonts w:eastAsia="IRNazanin" w:cs="IRNazanin"/>
          <w:color w:val="111111"/>
          <w:sz w:val="28"/>
          <w:szCs w:val="28"/>
          <w:rtl w:val="true"/>
          <w:lang w:bidi="fa-IR"/>
        </w:rPr>
        <w:t>.</w:t>
      </w:r>
    </w:p>
    <w:p>
      <w:pPr>
        <w:pStyle w:val="Heading6"/>
        <w:numPr>
          <w:ilvl w:val="5"/>
          <w:numId w:val="1"/>
        </w:numPr>
        <w:rPr/>
      </w:pPr>
      <w:bookmarkStart w:id="579" w:name="__RefHeading___Toc9643845_73709187"/>
      <w:bookmarkStart w:id="580" w:name="_Toc217"/>
      <w:bookmarkEnd w:id="579"/>
      <w:r>
        <w:rPr>
          <w:rtl w:val="true"/>
        </w:rPr>
        <w:t>الفرع الثانی لو زوّج المحرم البالغ غیره أو تزوّج لنفسه فعل محرّما و کان النکاح باطلا</w:t>
      </w:r>
      <w:bookmarkEnd w:id="580"/>
    </w:p>
    <w:p>
      <w:pPr>
        <w:pStyle w:val="BookText"/>
        <w:rPr/>
      </w:pPr>
      <w:r>
        <w:rPr>
          <w:rFonts w:ascii="IRNazanin" w:hAnsi="IRNazanin" w:eastAsia="IRNazanin"/>
          <w:color w:val="111111"/>
          <w:sz w:val="28"/>
          <w:sz w:val="28"/>
          <w:szCs w:val="28"/>
          <w:rtl w:val="true"/>
          <w:lang w:bidi="fa-IR"/>
        </w:rPr>
        <w:t>لو زوّج المحرم البالغ غیره أو تزوّج لنفسه فعل محرّما و کان النکاح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بتحریمه یصیر حراما مؤبّدا، و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مع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کلماتهم سرایة هذا الحکم بالنسبة إلی الصبیّ تکلیفا و وضعا، أی یحرم علی الولیّ أن یزوّج الصبیّ تکلیفا، و إن زوّجه کان النکاح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للمحرم أن یتزوّج و لا یزوّج محلاّ، فإن زوّج أو تزوّج فتزویجه باطل</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الولیّ أو وکیله، أو الزوج أو وکیله فی القبول، أو المرأة محرمین، أو واحد منهم محرما، فالنکاح باطل</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العلاّمة فی بعض کتبه</w:t>
      </w:r>
      <w:r>
        <w:rPr>
          <w:rStyle w:val="FootnoteAnchor"/>
          <w:rtl w:val="true"/>
        </w:rPr>
        <w:footnoteReference w:id="1576"/>
      </w:r>
      <w:r>
        <w:rPr>
          <w:rFonts w:ascii="IRNazanin" w:hAnsi="IRNazanin" w:eastAsia="IRNazanin"/>
          <w:color w:val="111111"/>
          <w:sz w:val="28"/>
          <w:sz w:val="28"/>
          <w:szCs w:val="28"/>
          <w:rtl w:val="true"/>
          <w:lang w:bidi="fa-IR"/>
        </w:rPr>
        <w:t>، و اختاره المتأخّرون</w:t>
      </w:r>
      <w:r>
        <w:rPr>
          <w:rStyle w:val="FootnoteAnchor"/>
          <w:rtl w:val="true"/>
        </w:rPr>
        <w:footnoteReference w:id="1577"/>
      </w:r>
      <w:r>
        <w:rPr>
          <w:rFonts w:ascii="IRNazanin" w:hAnsi="IRNazanin" w:eastAsia="IRNazanin"/>
          <w:color w:val="111111"/>
          <w:sz w:val="28"/>
          <w:sz w:val="28"/>
          <w:szCs w:val="28"/>
          <w:rtl w:val="true"/>
          <w:lang w:bidi="fa-IR"/>
        </w:rPr>
        <w:t>و فقهاء العصر</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تزویج الولیّ فی حال إحرامه أو المولّی علیه، سواء کان بمباشرته أو بالتوکیل</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البحث عن شرائط الأولیاء فی النکاح قول الفقهاء فی ذلک و أدلّة الحکم، و هکذا آراء أهل السنّة فی المسألة، فراجع</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بعض النصوص الصحیحة التی تدلّ علی الحکم یشمل الصبیّ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یتزوّج و لا یزوّج، و إن تزوّج أو زوّج محلاّ فتزویجه باطل</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للمحرم أن یتزوّج و لا یزوّج محلاّ</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یتزوّج و لا یزوّج، فإن فعل فنکاحه باطل</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 و غیرها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حیث إنّ ما یترتّب علی نکاح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فلا فرق فیه بین البالغ و الصبیّ، فتدلّ الصحاح المتقدّمة علی أنّ تزویج الولیّ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سواء کان الولیّ محرما أو محلاّ، کما أنّه یستفاد منها بطلان النکاح إذا کان الولیّ محرما، سواء کان الصبیّ محلاّ أو محرما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الخلاف فی بطلان النکاح الواقع حال الإحرام، سواء وقع لنفس العاقد أو للمولّی علیه أو للموکّل، و لکن عبّر بعض الأعلام بأنّ عقد الولیّ للمولّی علیه کلا عقد فی عدم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النزاع و الخلاف فیما إذا عقد الولیّ لصبیّه حال إحرام الصبیّ، فهل یحرم علیه إلی الأبد أو یبطل النکاح فقط، أو لا یؤثّر عقد الولیّ شیئا؟ فقد مال بعض إلی البطلان و الحرمة الأبدیّة، لکنّ الحقّ أنّ ولایة الأب علی الابن فیما هو مشروع له و جائز، و لا ولایة له علیه فیما لا یجوز له شرعا، فعقده کلا عقد فی عدم التأثیر</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ثمرة عملیة بین القولین إلاّ فی امور شاذّة لا ینبغی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تکون الحرمة هی الحرمة الأبدیّة، أم یختصّ ذلک بما إذا تزوّج المحرم نفسه، لا ما إذا عقد لغیره کما فی المقام؟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 المتیقّن من موردها ما إذا تزوّج المحرم لنفسه و کان عالما بالحرمة التکلیفیّة الإحرامیّة و إن لم یدخل بها</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فالظاهر أنّه لا تکون الحرمة أبدیّة بالنسبة إلی الصبیّ، و للتحقیق فی المسألة مجال واسع، حیث وردت فیها طوائف مختلفة من النصوص یلزم الجمع بینها، و تقیید بعضها ببعض، و من أراد التفصیل فلیراجع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تغسیل الصبیّ المحرم بالکافور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المحرم البالغ قبل التحلیل</w:t>
      </w:r>
      <w:r>
        <w:rPr>
          <w:rStyle w:val="FootnoteAnchor"/>
          <w:rtl w:val="true"/>
        </w:rPr>
        <w:footnoteReference w:id="1586"/>
      </w:r>
      <w:r>
        <w:rPr>
          <w:rFonts w:ascii="IRNazanin" w:hAnsi="IRNazanin" w:eastAsia="IRNazanin"/>
          <w:color w:val="111111"/>
          <w:sz w:val="28"/>
          <w:sz w:val="28"/>
          <w:szCs w:val="28"/>
          <w:rtl w:val="true"/>
          <w:lang w:bidi="fa-IR"/>
        </w:rPr>
        <w:t>حرم تغسیله و تحنیطه بالکافور،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تغسیل المحرم لو مات و تحنیطه بالکافور، بلا خلاف أجده فیه</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المیّت محرما لا یجعل الکافور فی ماء غسله</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 و ادّعی علیه الإجماع أیضا فی المستمسک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متسالم علیها بینهم و لم ینقل فیها خلاف من أحد</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الحکم یشمل غیر البالغ و لا فرق بینهما؛ لأنّه علی القول بکون عبادات الصبیّ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إحرام الصبیّ شرعیّا، فتترتّب علی إحرامه أحکام الإحرام،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تغسیله و تحنیطه بالکافور لو مات حال کونه محرما، و یمکن استفادة هذا الحکم من النصوص أیضا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و یکفّن</w:t>
      </w:r>
    </w:p>
    <w:p>
      <w:pPr>
        <w:pStyle w:val="BookText"/>
        <w:rPr/>
      </w:pPr>
      <w:r>
        <w:rPr>
          <w:rFonts w:ascii="IRNazanin" w:hAnsi="IRNazanin" w:eastAsia="IRNazanin"/>
          <w:color w:val="111111"/>
          <w:sz w:val="28"/>
          <w:sz w:val="28"/>
          <w:szCs w:val="28"/>
          <w:rtl w:val="true"/>
          <w:lang w:bidi="fa-IR"/>
        </w:rPr>
        <w:t>بالثیاب کلّها، و یغطّی وجهه، و یصنع به کما یصنع بالمحلّ، غیر أنّه لا یمسّ الطیب</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 سألته عن المحرم إذا مات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یغطّی وجهه، و یصنع به کما یصنع بالحلال، غیر أنّه لا یقرّبه طیبا</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 و غیرهما</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فإطلاقها یشمل الصبیّ؛ لأنّه محرم حقیقة</w:t>
      </w:r>
      <w:r>
        <w:rPr>
          <w:rFonts w:eastAsia="IRNazanin" w:cs="IRNazanin"/>
          <w:color w:val="111111"/>
          <w:sz w:val="28"/>
          <w:szCs w:val="28"/>
          <w:rtl w:val="true"/>
          <w:lang w:bidi="fa-IR"/>
        </w:rPr>
        <w:t>.</w:t>
      </w:r>
      <w:bookmarkStart w:id="581" w:name="pg11756_104112"/>
    </w:p>
    <w:p>
      <w:pPr>
        <w:pStyle w:val="Heading3"/>
        <w:numPr>
          <w:ilvl w:val="2"/>
          <w:numId w:val="1"/>
        </w:numPr>
        <w:rPr/>
      </w:pPr>
      <w:bookmarkStart w:id="582" w:name="__RefHeading___Toc9643847_73709187"/>
      <w:bookmarkStart w:id="583" w:name="_Toc218"/>
      <w:bookmarkEnd w:id="581"/>
      <w:bookmarkEnd w:id="582"/>
      <w:r>
        <w:rPr>
          <w:rtl w:val="true"/>
        </w:rPr>
        <w:t>المبحث التاسع</w:t>
      </w:r>
      <w:r>
        <w:rPr>
          <w:rtl w:val="true"/>
        </w:rPr>
        <w:t xml:space="preserve">: </w:t>
      </w:r>
      <w:r>
        <w:rPr>
          <w:rtl w:val="true"/>
        </w:rPr>
        <w:t>کیفیّة أفعال الحجّ للصبیّ</w:t>
      </w:r>
      <w:bookmarkEnd w:id="583"/>
    </w:p>
    <w:p>
      <w:pPr>
        <w:pStyle w:val="Heading4"/>
        <w:numPr>
          <w:ilvl w:val="3"/>
          <w:numId w:val="1"/>
        </w:numPr>
        <w:rPr/>
      </w:pPr>
      <w:bookmarkStart w:id="584" w:name="__RefHeading___Toc9643849_73709187"/>
      <w:bookmarkStart w:id="585" w:name="_Toc219"/>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إنّ الصبیّ إمّا أن یکون ممیّزا بحیث یقدر أن یفعل المناسک، کأن یحرم و یطوف و یصلّی صلاة الطواف و یسعی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بأن یأمره الولیّ حین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أن یباشر بنفسه ما یعمله البالغون من المناسک، أو غیر ممیّز، و هذا أیضا إمّا أن یکون بحیث یمکن الولیّ تعلیمه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بتلقینه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یفعل ما یقدر علیه، و ینوب عنه ولیّه فی غیره، و إمّا أن یکون بحیث لا یقدر علی شیء من المناسک، فیحرمه الولیّ و یحضره فی الموقفین، و ینوب عنه فی جمیع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أمکن الصبیّ أن یفعله من أفعال الحجّ فعلیه، و ما لم یمکنه فعلی ولیّه أن ینوب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الإحرام، فإن کان ممیّزا أحرم بنفسه، و الوقوف بالموقفین یحضر علی کلّ حال، ممیّزا کان أو غیر ممیّز</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رمی الجمار إن میّز رماها بنفسه، و إن لم یمیّز رمی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رکعتا الطواف إن کان ممیّزا صلاّهما، و إن لم یکن ممیّزا صلّی عنه ولیّه</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یفعل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المحرم فعله</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المعتبر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 الصبیّ الإحرام تولّی بنفسه ما یتمکّن منه، و ما یعجز عنه ینوبه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 إذا لم یقدر علیه رمی عنه الولیّ، و یستحبّ وضع الحصی فی یده ثمّ أخذها و الرمی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الطواف إذا لم یتمکّن من المشی حمله أو غیره و طاف به، و ینوی الطواف عن الصبیّ</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598"/>
      </w:r>
      <w:r>
        <w:rPr>
          <w:rFonts w:ascii="IRNazanin" w:hAnsi="IRNazanin" w:eastAsia="IRNazanin"/>
          <w:color w:val="111111"/>
          <w:sz w:val="28"/>
          <w:sz w:val="28"/>
          <w:szCs w:val="28"/>
          <w:rtl w:val="true"/>
          <w:lang w:bidi="fa-IR"/>
        </w:rPr>
        <w:t>و التذکرة</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الشهیدان</w:t>
      </w:r>
      <w:r>
        <w:rPr>
          <w:rStyle w:val="FootnoteAnchor"/>
          <w:rtl w:val="true"/>
        </w:rPr>
        <w:footnoteReference w:id="1600"/>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1601"/>
      </w:r>
      <w:r>
        <w:rPr>
          <w:rFonts w:ascii="IRNazanin" w:hAnsi="IRNazanin" w:eastAsia="IRNazanin"/>
          <w:color w:val="111111"/>
          <w:sz w:val="28"/>
          <w:sz w:val="28"/>
          <w:szCs w:val="28"/>
          <w:rtl w:val="true"/>
          <w:lang w:bidi="fa-IR"/>
        </w:rPr>
        <w:t>و تابعیهم</w:t>
      </w:r>
      <w:r>
        <w:rPr>
          <w:rStyle w:val="FootnoteAnchor"/>
          <w:rtl w:val="true"/>
        </w:rPr>
        <w:footnoteReference w:id="1602"/>
      </w:r>
      <w:r>
        <w:rPr>
          <w:rFonts w:ascii="IRNazanin" w:hAnsi="IRNazanin" w:eastAsia="IRNazanin"/>
          <w:color w:val="111111"/>
          <w:sz w:val="28"/>
          <w:sz w:val="28"/>
          <w:szCs w:val="28"/>
          <w:rtl w:val="true"/>
          <w:lang w:bidi="fa-IR"/>
        </w:rPr>
        <w:t>و أعلام العصر</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بالإحرام به جعله محرما، لا أن یحرم عنه، فیلبسه ثوبی الإحرام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أحرمت هذا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 و یأمره بالتلبیة، بمعنی أن یلقّنه إیّاها، و إن لم یکن قابلا یلبّی عنه، و یجنّبه عن کلّ ما یجب علی المحرم الاجتناب عنه، و یأمره بکلّ من أفعال الحجّ یتمکّن منه، و ینوب عنه فی</w:t>
      </w:r>
    </w:p>
    <w:p>
      <w:pPr>
        <w:pStyle w:val="BookText"/>
        <w:rPr/>
      </w:pPr>
      <w:r>
        <w:rPr>
          <w:rFonts w:ascii="IRNazanin" w:hAnsi="IRNazanin" w:eastAsia="IRNazanin"/>
          <w:color w:val="111111"/>
          <w:sz w:val="28"/>
          <w:sz w:val="28"/>
          <w:szCs w:val="28"/>
          <w:rtl w:val="true"/>
          <w:lang w:bidi="fa-IR"/>
        </w:rPr>
        <w:t>کلّ ما لا یتمکّن، و یطوف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یأمره بالرمی، و إن لم یقدر یرمی عنه</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تحریر الوسیلة</w:t>
      </w:r>
      <w:r>
        <w:rPr>
          <w:rStyle w:val="FootnoteAnchor"/>
          <w:rtl w:val="true"/>
        </w:rPr>
        <w:footnoteReference w:id="1605"/>
      </w:r>
      <w:r>
        <w:rPr>
          <w:rFonts w:ascii="IRNazanin" w:hAnsi="IRNazanin" w:eastAsia="IRNazanin"/>
          <w:color w:val="111111"/>
          <w:sz w:val="28"/>
          <w:sz w:val="28"/>
          <w:szCs w:val="28"/>
          <w:rtl w:val="true"/>
          <w:lang w:bidi="fa-IR"/>
        </w:rPr>
        <w:t>و شرحها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نلخّص کیفیّة إحرام الصبیّ و ما علی الولیّ من الوظائف ضمن امور،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ینوی الولیّ الإحرام بالطفل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أحرمت بهذا، إلی آخر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الوجه فیه استحباب التلفّظ بالنیّة فی خصوص الحجّ، إلاّ أنّ مورد النصّ فیما إذا أراد الحجّ نفسه، لا أنّ یحجّ بالغیر کما فی المقام، و إلغاء الخصوصیّة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یأمره بالتلبیة، بمعنی أن یلقّنه إیّاه، و إن لم یکن قابلا یلبّی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نظیرها الطواف و السعی و الرمی و الذبح، فإن أحسن فهو، و إلاّ یأتی عنه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یقف به فی عرفات و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یجنّبه عن کلّ ما یجب علی المحرم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هذه الامور نصوص صحیحة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المتقدّمة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 یصنع بهم ما یصنع بالمحرم، یطاف بهم و یرمی عنهم</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امّه تلقی حمیدة فتسألها کیف تصنع بصبیانها؟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فسألتها کیف تصنع؟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فأحرموا عنه، و جرّدوه و غسّلوه کما یجرّد المحرم، وقفوا به المواقف، فإذا کان یوم النحر فارموا عنه، و احلقوا رأسه، ثمّ زوروا به البیت</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 به، و یصلّی عنه</w:t>
      </w:r>
      <w:r>
        <w:rPr>
          <w:rFonts w:eastAsia="IRNazanin" w:cs="IRNazanin"/>
          <w:color w:val="111111"/>
          <w:sz w:val="28"/>
          <w:szCs w:val="28"/>
          <w:rtl w:val="true"/>
          <w:lang w:bidi="fa-IR"/>
        </w:rPr>
        <w:t>»</w:t>
      </w:r>
      <w:r>
        <w:rPr>
          <w:rStyle w:val="FootnoteAnchor"/>
          <w:rtl w:val="true"/>
        </w:rPr>
        <w:footnoteReference w:id="1609"/>
      </w:r>
      <w:r>
        <w:rPr>
          <w:rFonts w:ascii="IRNazanin" w:hAnsi="IRNazanin" w:eastAsia="IRNazanin"/>
          <w:color w:val="111111"/>
          <w:sz w:val="28"/>
          <w:sz w:val="28"/>
          <w:szCs w:val="28"/>
          <w:rtl w:val="true"/>
          <w:lang w:bidi="fa-IR"/>
        </w:rPr>
        <w:t>، و غیرها</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المتفاهم من هذه النصوص عرفا إحداث هذه الأعمال و إیجادها فی الصبیّ إذا کان ممّن یتمکّن أداءها، فإنّه یأمره أن یلبّی و یلقّنه التلبیة، فإن لم یحسن أن یلبّی لبّی عنه، و کذلک الطواف، یطاف به، و إن لم یکن متمکّنا من الطواف لعدم تمییزه یطاف عنه، و هکذا، فکلّ فعل من أفعال الحجّ إذا تمکّن من إتیانه یأمره بذلک، و ینوب عنه فی کلّ ما لا یتمکّن، هذا إجمال ما یدلّ علی الامور المذکورة، و یأتی تفصیل ذلک فی مباحث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کون الولیّ محرما فی الإحرام بالصبیّ، بل یجوز له ذلک و إن کان محلاّ</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bookmarkStart w:id="586" w:name="pg11756_104116"/>
    </w:p>
    <w:p>
      <w:pPr>
        <w:pStyle w:val="BookText"/>
        <w:rPr/>
      </w:pPr>
      <w:bookmarkEnd w:id="586"/>
      <w:r>
        <w:rPr>
          <w:rFonts w:ascii="IRNazanin" w:hAnsi="IRNazanin" w:eastAsia="IRNazanin"/>
          <w:color w:val="111111"/>
          <w:sz w:val="28"/>
          <w:sz w:val="28"/>
          <w:szCs w:val="28"/>
          <w:rtl w:val="true"/>
          <w:lang w:bidi="fa-IR"/>
        </w:rPr>
        <w:t>و علّله فی المهذّب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9643851_73709187"/>
      <w:bookmarkStart w:id="588" w:name="_Toc220"/>
      <w:bookmarkEnd w:id="587"/>
      <w:r>
        <w:rPr>
          <w:rtl w:val="true"/>
        </w:rPr>
        <w:t>رأی أهل السنّة فی کیفیّة أفعال حجّ الصبیّ</w:t>
      </w:r>
      <w:bookmarkEnd w:id="588"/>
    </w:p>
    <w:p>
      <w:p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صار الصبیّ محرما بإحرامه أو إحرام ولیّه عنه فعل بنفسه ما قدر علیه، و فعل عنه ولیّه ما لا یقدر علیه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الولیّ عند إرادة الإحرام، و یجرّده عن المخیط، و یلبسه الإزار و الرداء و النعلین إن تأتّی منه المشی، و یطیّبه و ینظّفه، و یفعل ما یفعل الرجل، ثمّ یحرم أو یحرم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 الصبیّ علی الطواف بنفسه علّمه فطاف، و إلاّ 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 کالطواف، فإن کان غیر ممیّز صلّی الولیّ عنه رکعتی الطواف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ممیّزا أمره بهما فصلاّها الصبیّ بنفسه، هذا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إحضار الصبیّ عرفات بلا خلاف، سواء الممیّز و غیره، و لا یکفی حضور عنه، و کذا یحضر مزدلفة، و المشعر الحرام، و منی، و سائر المواقف؛ لأنّ کلّ ذلک یمکن فعله من الصبیّ</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فی مغنی المحتاج</w:t>
      </w:r>
      <w:r>
        <w:rPr>
          <w:rStyle w:val="FootnoteAnchor"/>
          <w:rtl w:val="true"/>
        </w:rPr>
        <w:footnoteReference w:id="1615"/>
      </w:r>
      <w:r>
        <w:rPr>
          <w:rFonts w:ascii="IRNazanin" w:hAnsi="IRNazanin" w:eastAsia="IRNazanin"/>
          <w:color w:val="111111"/>
          <w:sz w:val="28"/>
          <w:sz w:val="28"/>
          <w:szCs w:val="28"/>
          <w:rtl w:val="true"/>
          <w:lang w:bidi="fa-IR"/>
        </w:rPr>
        <w:t>و المبسوط</w:t>
      </w:r>
      <w:r>
        <w:rPr>
          <w:rStyle w:val="FootnoteAnchor"/>
          <w:rtl w:val="true"/>
        </w:rPr>
        <w:footnoteReference w:id="1616"/>
      </w:r>
      <w:r>
        <w:rPr>
          <w:rFonts w:ascii="IRNazanin" w:hAnsi="IRNazanin" w:eastAsia="IRNazanin"/>
          <w:color w:val="111111"/>
          <w:sz w:val="28"/>
          <w:sz w:val="28"/>
          <w:szCs w:val="28"/>
          <w:rtl w:val="true"/>
          <w:lang w:bidi="fa-IR"/>
        </w:rPr>
        <w:t>و المدوّنة الکبری</w:t>
      </w:r>
      <w:r>
        <w:rPr>
          <w:rStyle w:val="FootnoteAnchor"/>
          <w:rtl w:val="true"/>
        </w:rPr>
        <w:footnoteReference w:id="1617"/>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قدر الصبیّ علیه بنفسه لا تجوز فیه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المناسک و یرمی الجمار</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المغنی و الشرح الکبیر</w:t>
      </w:r>
      <w:r>
        <w:rPr>
          <w:rStyle w:val="FootnoteAnchor"/>
          <w:rtl w:val="true"/>
        </w:rPr>
        <w:footnoteReference w:id="1620"/>
      </w:r>
      <w:r>
        <w:rPr>
          <w:rFonts w:ascii="IRNazanin" w:hAnsi="IRNazanin" w:eastAsia="IRNazanin"/>
          <w:color w:val="111111"/>
          <w:sz w:val="28"/>
          <w:sz w:val="28"/>
          <w:szCs w:val="28"/>
          <w:rtl w:val="true"/>
          <w:lang w:bidi="fa-IR"/>
        </w:rPr>
        <w:t>، و علّله بروایة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 آله و معنا النساء و الصبیان، فلبّینا عن الصبیان و رمینا عنهم</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bookmarkStart w:id="589" w:name="pg11756_104118"/>
    </w:p>
    <w:p>
      <w:pPr>
        <w:pStyle w:val="Heading3"/>
        <w:numPr>
          <w:ilvl w:val="2"/>
          <w:numId w:val="1"/>
        </w:numPr>
        <w:rPr/>
      </w:pPr>
      <w:bookmarkStart w:id="590" w:name="__RefHeading___Toc9643853_73709187"/>
      <w:bookmarkStart w:id="591" w:name="_Toc221"/>
      <w:bookmarkEnd w:id="589"/>
      <w:bookmarkEnd w:id="590"/>
      <w:r>
        <w:rPr>
          <w:rtl w:val="true"/>
        </w:rPr>
        <w:t>المبحث العاشر</w:t>
      </w:r>
      <w:r>
        <w:rPr>
          <w:rtl w:val="true"/>
        </w:rPr>
        <w:t xml:space="preserve">: </w:t>
      </w:r>
      <w:r>
        <w:rPr>
          <w:rtl w:val="true"/>
        </w:rPr>
        <w:t>شرائط الطواف و أجزاؤه بالنسبة إلی الصبیّ</w:t>
      </w:r>
      <w:bookmarkEnd w:id="591"/>
    </w:p>
    <w:p>
      <w:pPr>
        <w:pStyle w:val="Heading4"/>
        <w:numPr>
          <w:ilvl w:val="3"/>
          <w:numId w:val="1"/>
        </w:numPr>
        <w:rPr/>
      </w:pPr>
      <w:bookmarkStart w:id="592" w:name="__RefHeading___Toc9643855_73709187"/>
      <w:bookmarkStart w:id="593" w:name="_Toc222"/>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 xml:space="preserve">لا خلاف بین الفقهاء فی أنّ کثیرا من الشرائط و الأجزاء التی تعتبر فی صحّة الطواف یشترک فیها البالغ و الصبیّ، سواء کان بنفسه قادرا علی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یکن کذلک، و طاف به الولیّ کغیر الممیّز، فیلزم فی طوافه رعایة ما عدّ جزء لحقیقة الطواف، کالنیّة</w:t>
      </w:r>
      <w:r>
        <w:rPr>
          <w:rStyle w:val="FootnoteAnchor"/>
          <w:rtl w:val="true"/>
        </w:rPr>
        <w:footnoteReference w:id="1622"/>
      </w:r>
      <w:r>
        <w:rPr>
          <w:rFonts w:ascii="IRNazanin" w:hAnsi="IRNazanin" w:eastAsia="IRNazanin"/>
          <w:color w:val="111111"/>
          <w:sz w:val="28"/>
          <w:sz w:val="28"/>
          <w:szCs w:val="28"/>
          <w:rtl w:val="true"/>
          <w:lang w:bidi="fa-IR"/>
        </w:rPr>
        <w:t>، و الابتداء بالحجر، و الختم به، و الطواف حال کون البیت علی یساره، و إدخال حجر إسماعیل علیه السّلام فی الطواف، و خروجه عن حائط البیت، و أن یکون طوافه سبعة أشواط، و غیر ذلک ممّا هو معتبر فی الطواف جزءا أو شرطا</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عدم تعرّضهم لکثیر من الشرائط و الأجزاء بالنسبة إلی الصبیّ خاصّة دلیل علی اشتراطها فی طوافه کالبالغ، و اتّفاقهم فی ذلک؛ حیث لم نجد مخالفا، و الذی یلیق بالذّکر فی المقام بعض الشرائط التی اختلفوا فیها بالنسبة إلی الصبیّ، و هو شرطان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و الخبث اللذین لا خلاف فی اعتبارهما للبالغین</w:t>
      </w:r>
      <w:bookmarkStart w:id="594" w:name="pg11756_104119"/>
    </w:p>
    <w:p>
      <w:pPr>
        <w:pStyle w:val="BookText"/>
        <w:rPr/>
      </w:pPr>
      <w:bookmarkEnd w:id="594"/>
      <w:r>
        <w:rPr>
          <w:rFonts w:ascii="IRNazanin" w:hAnsi="IRNazanin" w:eastAsia="IRNazanin"/>
          <w:color w:val="111111"/>
          <w:sz w:val="28"/>
          <w:sz w:val="28"/>
          <w:szCs w:val="28"/>
          <w:rtl w:val="true"/>
          <w:lang w:bidi="fa-IR"/>
        </w:rPr>
        <w:t>فی طواف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صحّة الطواف الطهارة، فإن طاف به جنبا أو علی غیر وضوء لم یجزه، و علیه إعادة الطواف إن کان طواف فریضة</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فی الطواف الواجب، ذهب إلیه علمائنا أجمع، فلا یصحّ الطواف إلاّ مع الطهور من الحدث</w:t>
      </w:r>
      <w:r>
        <w:rPr>
          <w:rFonts w:eastAsia="IRNazanin" w:cs="IRNazanin"/>
          <w:color w:val="111111"/>
          <w:sz w:val="28"/>
          <w:szCs w:val="28"/>
          <w:rtl w:val="true"/>
          <w:lang w:bidi="fa-IR"/>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بل الإجماع بقسمیه علیه</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الذی هو شرط فی الرجل، جاء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للرجل أن یطوف بالبیت و هو غیر مختون</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بل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إجماع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للبحث فیها عقدنا هذا المبحث، و فیه مطلبان</w:t>
      </w:r>
      <w:r>
        <w:rPr>
          <w:rFonts w:eastAsia="IRNazanin" w:cs="IRNazanin"/>
          <w:color w:val="111111"/>
          <w:sz w:val="28"/>
          <w:szCs w:val="28"/>
          <w:rtl w:val="true"/>
          <w:lang w:bidi="fa-IR"/>
        </w:rPr>
        <w:t>:</w:t>
      </w:r>
    </w:p>
    <w:p>
      <w:pPr>
        <w:pStyle w:val="Heading4"/>
        <w:numPr>
          <w:ilvl w:val="3"/>
          <w:numId w:val="1"/>
        </w:numPr>
        <w:rPr/>
      </w:pPr>
      <w:bookmarkStart w:id="595" w:name="__RefHeading___Toc9643857_73709187"/>
      <w:bookmarkStart w:id="596" w:name="_Toc223"/>
      <w:bookmarkEnd w:id="595"/>
      <w:r>
        <w:rPr>
          <w:rtl w:val="true"/>
        </w:rPr>
        <w:t xml:space="preserve">الأوّل </w:t>
      </w:r>
      <w:r>
        <w:rPr>
          <w:rtl w:val="true"/>
        </w:rPr>
        <w:t xml:space="preserve">- </w:t>
      </w:r>
      <w:r>
        <w:rPr>
          <w:rtl w:val="true"/>
        </w:rPr>
        <w:t>حکم طهارة الصبیّ فی الطواف</w:t>
      </w:r>
      <w:bookmarkEnd w:id="596"/>
    </w:p>
    <w:p>
      <w:pPr>
        <w:pStyle w:val="Heading5"/>
        <w:numPr>
          <w:ilvl w:val="4"/>
          <w:numId w:val="1"/>
        </w:numPr>
        <w:rPr/>
      </w:pPr>
      <w:bookmarkStart w:id="597" w:name="__RefHeading___Toc9643859_73709187"/>
      <w:bookmarkStart w:id="598" w:name="_Toc224"/>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Heading5"/>
        <w:numPr>
          <w:ilvl w:val="4"/>
          <w:numId w:val="1"/>
        </w:numPr>
        <w:rPr/>
      </w:pPr>
      <w:bookmarkStart w:id="599" w:name="__RefHeading___Toc9643861_73709187"/>
      <w:bookmarkStart w:id="600" w:name="_Toc225"/>
      <w:bookmarkEnd w:id="599"/>
      <w:r>
        <w:rPr>
          <w:rtl w:val="true"/>
        </w:rPr>
        <w:t>الأوّل</w:t>
      </w:r>
      <w:r>
        <w:rPr>
          <w:rtl w:val="true"/>
        </w:rPr>
        <w:t xml:space="preserve">: </w:t>
      </w:r>
      <w:r>
        <w:rPr>
          <w:rtl w:val="true"/>
        </w:rPr>
        <w:t>الصبیّ الممیّز</w:t>
      </w:r>
      <w:bookmarkEnd w:id="60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الصبیّ الممیّز الذی یقدر علی فعل الطهارة و الطواف بنفسه</w:t>
      </w:r>
    </w:p>
    <w:p>
      <w:pPr>
        <w:pStyle w:val="BookText"/>
        <w:rPr/>
      </w:pPr>
      <w:r>
        <w:rPr>
          <w:rFonts w:ascii="IRNazanin" w:hAnsi="IRNazanin" w:eastAsia="IRNazanin"/>
          <w:color w:val="111111"/>
          <w:sz w:val="28"/>
          <w:sz w:val="28"/>
          <w:szCs w:val="28"/>
          <w:rtl w:val="true"/>
          <w:lang w:bidi="fa-IR"/>
        </w:rPr>
        <w:t xml:space="preserve">و لو بتعلیم الولیّ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بمشروعیّة عبادته، 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کالبالغ فی اشتراط صحّة طوافه بالطهارة من الحدث و الخبث؛ إذ لا فرق بینهما إلاّ أنّه مندوب للصبیّ و واجب علی البالغ، و لکن فی اشتراط صحّته بالطهارة یشترکان، مضافا إلی أنّ النصوص تشمل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یقضی المناسک کلّها علی غیر وضوء، إلاّ الطواف بالبیت، و الوضوء أفضل</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و منها صحیحة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و هو جنب، فذکر و هو فی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الطواف و لا یعتدّ بشیء ممّا طاف</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 السّلام عن رجل طاف طواف الفریضة و هو علی غیر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و یعید طوافه</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یطوف علی غیر وضوء، أ یعتدّ بذلک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أبی حمزة عن أبی جعفر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ینسک المناسک و هو</w:t>
      </w:r>
      <w:bookmarkStart w:id="601" w:name="pg11756_104121"/>
    </w:p>
    <w:p>
      <w:pPr>
        <w:pStyle w:val="BookText"/>
        <w:rPr/>
      </w:pPr>
      <w:bookmarkEnd w:id="601"/>
      <w:r>
        <w:rPr>
          <w:rFonts w:ascii="IRNazanin" w:hAnsi="IRNazanin" w:eastAsia="IRNazanin"/>
          <w:color w:val="111111"/>
          <w:sz w:val="28"/>
          <w:sz w:val="28"/>
          <w:szCs w:val="28"/>
          <w:rtl w:val="true"/>
          <w:lang w:bidi="fa-IR"/>
        </w:rPr>
        <w:t>علی غیر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الطواف بالبیت فإنّ فیه</w:t>
      </w:r>
      <w:r>
        <w:rPr>
          <w:rStyle w:val="FootnoteAnchor"/>
          <w:rtl w:val="true"/>
        </w:rPr>
        <w:footnoteReference w:id="1634"/>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 الرجل فی سؤال الراوی لا یوجب خصوصیّة، بل لأجل أنّه فرد شائع، کما أنّها تشمل المرأة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إطلاق أدلّة الحکم یشمل الصبیّ الممیّز کما یشمل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الرفع لا یرفع هذه الأحکام بالنسبة إلی الصبیّ، فإنّ الظاهر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الامتنان، و لا امتنان فی رفع المستحبّات؛ لأنّ وضعها موجب للأجر و الثواب فی فعلها، حیث إنّه لا عقاب و لا تهدید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حدیث الرفع یرفع وجوبها عن الصبیّ، و لکن مع ذلک لا إشکال فی مشروعیّته له بالأدلّة الخاصّة المتقدّمة</w:t>
      </w:r>
      <w:r>
        <w:rPr>
          <w:rStyle w:val="FootnoteAnchor"/>
          <w:rtl w:val="true"/>
        </w:rPr>
        <w:footnoteReference w:id="1636"/>
      </w:r>
      <w:r>
        <w:rPr>
          <w:rFonts w:ascii="IRNazanin" w:hAnsi="IRNazanin" w:eastAsia="IRNazanin"/>
          <w:color w:val="111111"/>
          <w:sz w:val="28"/>
          <w:sz w:val="28"/>
          <w:szCs w:val="28"/>
          <w:rtl w:val="true"/>
          <w:lang w:bidi="fa-IR"/>
        </w:rPr>
        <w:t>، فیشترط علیه ما یشترط علی البالغ، و منها الطهارة فی الطواف</w:t>
      </w:r>
      <w:r>
        <w:rPr>
          <w:rFonts w:eastAsia="IRNazanin" w:cs="IRNazanin"/>
          <w:color w:val="111111"/>
          <w:sz w:val="28"/>
          <w:szCs w:val="28"/>
          <w:rtl w:val="true"/>
          <w:lang w:bidi="fa-IR"/>
        </w:rPr>
        <w:t>.</w:t>
      </w:r>
    </w:p>
    <w:p>
      <w:pPr>
        <w:pStyle w:val="Heading5"/>
        <w:numPr>
          <w:ilvl w:val="4"/>
          <w:numId w:val="1"/>
        </w:numPr>
        <w:rPr/>
      </w:pPr>
      <w:bookmarkStart w:id="602" w:name="__RefHeading___Toc9643863_73709187"/>
      <w:bookmarkStart w:id="603" w:name="_Toc226"/>
      <w:bookmarkEnd w:id="602"/>
      <w:r>
        <w:rPr>
          <w:rtl w:val="true"/>
        </w:rPr>
        <w:t>المقام الثانی</w:t>
      </w:r>
      <w:r>
        <w:rPr>
          <w:rtl w:val="true"/>
        </w:rPr>
        <w:t xml:space="preserve">: </w:t>
      </w:r>
      <w:r>
        <w:rPr>
          <w:rtl w:val="true"/>
        </w:rPr>
        <w:t>الصبیّ غیر الممیّز</w:t>
      </w:r>
      <w:bookmarkEnd w:id="603"/>
    </w:p>
    <w:p>
      <w:pPr>
        <w:pStyle w:val="Heading6"/>
        <w:numPr>
          <w:ilvl w:val="5"/>
          <w:numId w:val="1"/>
        </w:numPr>
        <w:rPr/>
      </w:pPr>
      <w:bookmarkStart w:id="604" w:name="__RefHeading___Toc9643865_73709187"/>
      <w:bookmarkStart w:id="605" w:name="_Toc227"/>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لاستیفاء البحث و التحقیق لا بدّ أن نقسّم الصبیّ غیر الممیّز إلی قسمین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من الطهارة و الطواف و لو بتعلیم الولیّ إیّاه، و الظاهر أنّه</w:t>
      </w:r>
    </w:p>
    <w:p>
      <w:pPr>
        <w:pStyle w:val="BookText"/>
        <w:rPr/>
      </w:pPr>
      <w:r>
        <w:rPr>
          <w:rFonts w:ascii="IRNazanin" w:hAnsi="IRNazanin" w:eastAsia="IRNazanin"/>
          <w:color w:val="111111"/>
          <w:sz w:val="28"/>
          <w:sz w:val="28"/>
          <w:szCs w:val="28"/>
          <w:rtl w:val="true"/>
          <w:lang w:bidi="fa-IR"/>
        </w:rPr>
        <w:t>لا خلاف بین الفقهاء فی أنّه یعتبر فی صحّة طوافه طهارته عن الحدث و الخبث کالبالغ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هذا من إطلاق کلام بعضهم و صریح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أمکن الصبیّ أن یفعله من أفعال الحجّ فعلیه</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 الصبیّ الإحرام تولّی بنفسه ما یتمکّن منه</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یتمکّن الصبیّ من فعله من التلبیة و الطواف و سائر الأفعال فعله</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أن یکون طاهرا و متوضّئا و لو بصورة الوضوء</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المعتمد</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یأمره بالوضوء و صلاة الطواف، و إن لم یقدر یصلّی عنه</w:t>
      </w:r>
      <w:r>
        <w:rPr>
          <w:rFonts w:eastAsia="IRNazanin" w:cs="IRNazanin"/>
          <w:color w:val="111111"/>
          <w:sz w:val="28"/>
          <w:szCs w:val="28"/>
          <w:rtl w:val="true"/>
          <w:lang w:bidi="fa-IR"/>
        </w:rPr>
        <w:t>»</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643"/>
      </w:r>
      <w:r>
        <w:rPr>
          <w:rFonts w:ascii="IRNazanin" w:hAnsi="IRNazanin" w:eastAsia="IRNazanin"/>
          <w:color w:val="111111"/>
          <w:sz w:val="28"/>
          <w:sz w:val="28"/>
          <w:szCs w:val="28"/>
          <w:rtl w:val="true"/>
          <w:lang w:bidi="fa-IR"/>
        </w:rPr>
        <w:t>و غیرها</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النصوص المتقدّمة فی ذیل البحث عن کیفیّة أفعال الحجّ بالتقریب المتقدّم</w:t>
      </w:r>
      <w:r>
        <w:rPr>
          <w:rStyle w:val="FootnoteAnchor"/>
          <w:rtl w:val="true"/>
        </w:rPr>
        <w:footnoteReference w:id="1645"/>
      </w:r>
      <w:r>
        <w:rPr>
          <w:rFonts w:ascii="IRNazanin" w:hAnsi="IRNazanin" w:eastAsia="IRNazanin"/>
          <w:color w:val="111111"/>
          <w:sz w:val="28"/>
          <w:sz w:val="28"/>
          <w:szCs w:val="28"/>
          <w:rtl w:val="true"/>
          <w:lang w:bidi="fa-IR"/>
        </w:rPr>
        <w:t>، فلا نعیدها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صحیحة زرارة عن أحدهما علیهما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یحسن أن یلبّی</w:t>
      </w:r>
      <w:bookmarkStart w:id="606" w:name="pg11756_104123"/>
    </w:p>
    <w:p>
      <w:pPr>
        <w:pStyle w:val="BookText"/>
        <w:rPr/>
      </w:pPr>
      <w:bookmarkEnd w:id="606"/>
      <w:r>
        <w:rPr>
          <w:rFonts w:ascii="IRNazanin" w:hAnsi="IRNazanin" w:eastAsia="IRNazanin"/>
          <w:color w:val="111111"/>
          <w:sz w:val="28"/>
          <w:sz w:val="28"/>
          <w:szCs w:val="28"/>
          <w:rtl w:val="true"/>
          <w:lang w:bidi="fa-IR"/>
        </w:rPr>
        <w:t>لبّوا عنه، و یطاف به، و یصلّی عنه</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بأنّ الصبیّ هو الطائف حقیقة، و لکن بمعونة الولیّ، و لا یصحّ الطواف إلاّ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الأدلّة بعنوان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یتمکّن الصبیّ من الإتیان به فاللازم أن یأتی به بنفسه و لو بتعلیم الولیّ إیّاه، من دون فرق بین الأفعال و بین المقدّمات</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المستفاد من النصوص أنّ ما یمکن إیقاعه فی الطفل یتعیّن فیه ذلک، و لا یجتزأ بفعل الولیّ عنه</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الممیّز الذی لم یتمکّن من الطهارة و الطواف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کالطفل الرضیع أو من یقرب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إلی إعانة الولیّ بأن یوضّئه أو یتوضّأ هو عنه، و یحمله علی کتفه فی الطواف أو یأخذ یده و غیر ذلک، فهل یشترط فی صحّة طوافه طهارة نفسه، أو طهارة ولیّه، أو طهارتهما معا، أو لم تشترط الطهارة لا فی ولیّه و لا فی الصبیّ؟ فیه وجوه، بل أقوال، و هی</w:t>
      </w:r>
      <w:r>
        <w:rPr>
          <w:rFonts w:eastAsia="IRNazanin" w:cs="IRNazanin"/>
          <w:color w:val="111111"/>
          <w:sz w:val="28"/>
          <w:szCs w:val="28"/>
          <w:rtl w:val="true"/>
          <w:lang w:bidi="fa-IR"/>
        </w:rPr>
        <w:t>:</w:t>
      </w:r>
    </w:p>
    <w:p>
      <w:pPr>
        <w:pStyle w:val="Heading6"/>
        <w:numPr>
          <w:ilvl w:val="5"/>
          <w:numId w:val="1"/>
        </w:numPr>
        <w:rPr/>
      </w:pPr>
      <w:bookmarkStart w:id="607" w:name="__RefHeading___Toc9643867_73709187"/>
      <w:bookmarkStart w:id="608" w:name="_Toc228"/>
      <w:bookmarkEnd w:id="607"/>
      <w:r>
        <w:rPr>
          <w:rtl w:val="true"/>
        </w:rPr>
        <w:t>هل یشترط فی صحّة طواف الصبی طهارة نفسه، أو طهارة ولیّه، أو طهارتهما معا، أو لم تشترط الطهارة لا فی ولیّه و لا فی الصبیّ</w:t>
      </w:r>
      <w:bookmarkEnd w:id="608"/>
    </w:p>
    <w:p>
      <w:pPr>
        <w:pStyle w:val="Heading6"/>
        <w:numPr>
          <w:ilvl w:val="5"/>
          <w:numId w:val="1"/>
        </w:numPr>
        <w:rPr/>
      </w:pPr>
      <w:bookmarkStart w:id="609" w:name="__RefHeading___Toc9643869_73709187"/>
      <w:bookmarkStart w:id="610" w:name="_Toc229"/>
      <w:bookmarkEnd w:id="609"/>
      <w:r>
        <w:rPr>
          <w:rtl w:val="true"/>
        </w:rPr>
        <w:t>القول الأوّل</w:t>
      </w:r>
      <w:r>
        <w:rPr>
          <w:rtl w:val="true"/>
        </w:rPr>
        <w:t xml:space="preserve">: </w:t>
      </w:r>
      <w:r>
        <w:rPr>
          <w:rtl w:val="true"/>
        </w:rPr>
        <w:t>لزوم طهارتهما</w:t>
      </w:r>
      <w:bookmarkEnd w:id="6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یتوضّأ للطواف و یوضّئه</w:t>
      </w:r>
      <w:r>
        <w:rPr>
          <w:rStyle w:val="FootnoteAnchor"/>
          <w:rtl w:val="true"/>
        </w:rPr>
        <w:footnoteReference w:id="1649"/>
      </w:r>
      <w:r>
        <w:rPr>
          <w:rFonts w:ascii="IRNazanin" w:hAnsi="IRNazanin" w:eastAsia="IRNazanin"/>
          <w:color w:val="111111"/>
          <w:sz w:val="28"/>
          <w:sz w:val="28"/>
          <w:szCs w:val="28"/>
          <w:rtl w:val="true"/>
          <w:lang w:bidi="fa-IR"/>
        </w:rPr>
        <w:t>، فإن کانا غیر متوضّئین لم یجزئه الطواف، و إن کان الصبیّ متطهّرا و الولیّ محدثا لم یجزئه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نهایة المرام</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لیکونا فی الطواف متطهّرین و إن کانت الطهارة من الطفل صوریة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طهارتهما معا؛ لأنّه المتیقّن من هذا الحکم المخالف للأصل</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الحدائق</w:t>
      </w:r>
      <w:r>
        <w:rPr>
          <w:rStyle w:val="FootnoteAnchor"/>
          <w:rtl w:val="true"/>
        </w:rPr>
        <w:footnoteReference w:id="1652"/>
      </w:r>
      <w:r>
        <w:rPr>
          <w:rFonts w:ascii="IRNazanin" w:hAnsi="IRNazanin" w:eastAsia="IRNazanin"/>
          <w:color w:val="111111"/>
          <w:sz w:val="28"/>
          <w:sz w:val="28"/>
          <w:szCs w:val="28"/>
          <w:rtl w:val="true"/>
          <w:lang w:bidi="fa-IR"/>
        </w:rPr>
        <w:t>، و جعله فی تحریر الوسیلة أحوط،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یقدر یصلّی عنه و إن کان الأحوط إتیان الطفل صورة الوضوء و الصلاة أیضا، و أحوط منه توضّؤه لو لم یتمکّن من إتیان صورته</w:t>
      </w:r>
      <w:r>
        <w:rPr>
          <w:rFonts w:eastAsia="IRNazanin" w:cs="IRNazanin"/>
          <w:color w:val="111111"/>
          <w:sz w:val="28"/>
          <w:szCs w:val="28"/>
          <w:rtl w:val="true"/>
          <w:lang w:bidi="fa-IR"/>
        </w:rPr>
        <w:t>»</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علیه فی التذکرة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الطواف بمعونة الولیّ یصحّ، و الطواف لا یصحّ إلاّ بطهارة</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علیه بأنّ مجرّد توقّف صحّة طواف الصبیّ علی معونة الولیّ لا یقتضی اعتبار طهارة الولیّ بوجه بعد</w:t>
      </w:r>
      <w:r>
        <w:rPr>
          <w:rStyle w:val="FootnoteAnchor"/>
          <w:rtl w:val="true"/>
        </w:rPr>
        <w:footnoteReference w:id="1656"/>
      </w:r>
      <w:r>
        <w:rPr>
          <w:rFonts w:ascii="IRNazanin" w:hAnsi="IRNazanin" w:eastAsia="IRNazanin"/>
          <w:color w:val="111111"/>
          <w:sz w:val="28"/>
          <w:sz w:val="28"/>
          <w:szCs w:val="28"/>
          <w:rtl w:val="true"/>
          <w:lang w:bidi="fa-IR"/>
        </w:rPr>
        <w:t>عدم کونه متّصفا بأنّه طائف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بمنزلة الحامل لا أنّه طائف، و الطهارة شرط الطائف لا الحامل، فلا یجب علی الولیّ الطهارة، و المفروض أنّ وضوء الولیّ لیس بالنیابة عن الصبیّ، فلا وجه لاعتبار وضوئه؛ لأنّه حامل لمن یقوم به الطواف و لیس بطائف حقیقة، فهو من هذه الجهة کالدابّة التی تحمل المطوف فی حال طوافه</w:t>
      </w:r>
      <w:r>
        <w:rPr>
          <w:rFonts w:eastAsia="IRNazanin" w:cs="IRNazanin"/>
          <w:color w:val="111111"/>
          <w:sz w:val="28"/>
          <w:szCs w:val="28"/>
          <w:rtl w:val="true"/>
          <w:lang w:bidi="fa-IR"/>
        </w:rPr>
        <w:t>.</w:t>
      </w:r>
      <w:bookmarkStart w:id="611" w:name="pg11756_104125"/>
    </w:p>
    <w:p>
      <w:pPr>
        <w:pStyle w:val="BookText"/>
        <w:rPr/>
      </w:pPr>
      <w:bookmarkEnd w:id="611"/>
      <w:r>
        <w:rPr>
          <w:rFonts w:ascii="IRNazanin" w:hAnsi="IRNazanin" w:eastAsia="IRNazanin"/>
          <w:color w:val="111111"/>
          <w:sz w:val="28"/>
          <w:sz w:val="28"/>
          <w:szCs w:val="28"/>
          <w:rtl w:val="true"/>
          <w:lang w:bidi="fa-IR"/>
        </w:rPr>
        <w:t>قال بعض الأعلام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طهارة الولیّ نفسه فلا وجه لاعتبارها؛ لأنّ الطواف لیس له حتّی اعتبر فی صحّته وضوئه</w:t>
      </w:r>
      <w:r>
        <w:rPr>
          <w:rFonts w:eastAsia="IRNazanin" w:cs="IRNazanin"/>
          <w:color w:val="111111"/>
          <w:sz w:val="28"/>
          <w:szCs w:val="28"/>
          <w:rtl w:val="true"/>
          <w:lang w:bidi="fa-IR"/>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طهارة الصبیّ و حدّها فیأتی الکلام فیها قریبا</w:t>
      </w:r>
      <w:r>
        <w:rPr>
          <w:rFonts w:eastAsia="IRNazanin" w:cs="IRNazanin"/>
          <w:color w:val="111111"/>
          <w:sz w:val="28"/>
          <w:szCs w:val="28"/>
          <w:rtl w:val="true"/>
          <w:lang w:bidi="fa-IR"/>
        </w:rPr>
        <w:t>.</w:t>
      </w:r>
    </w:p>
    <w:p>
      <w:pPr>
        <w:pStyle w:val="Heading6"/>
        <w:numPr>
          <w:ilvl w:val="5"/>
          <w:numId w:val="1"/>
        </w:numPr>
        <w:rPr/>
      </w:pPr>
      <w:bookmarkStart w:id="612" w:name="__RefHeading___Toc9643871_73709187"/>
      <w:bookmarkStart w:id="613" w:name="_Toc230"/>
      <w:bookmarkEnd w:id="612"/>
      <w:r>
        <w:rPr>
          <w:rtl w:val="true"/>
        </w:rPr>
        <w:t>القول الثانی</w:t>
      </w:r>
      <w:r>
        <w:rPr>
          <w:rtl w:val="true"/>
        </w:rPr>
        <w:t xml:space="preserve">: </w:t>
      </w:r>
      <w:r>
        <w:rPr>
          <w:rtl w:val="true"/>
        </w:rPr>
        <w:t>الاکتفاء بطهارة الولیّ فقط</w:t>
      </w:r>
      <w:bookmarkEnd w:id="613"/>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الاجتزاء بطهارة الولیّ</w:t>
      </w:r>
      <w:r>
        <w:rPr>
          <w:rFonts w:eastAsia="IRNazanin" w:cs="IRNazanin"/>
          <w:color w:val="111111"/>
          <w:sz w:val="28"/>
          <w:szCs w:val="28"/>
          <w:rtl w:val="true"/>
          <w:lang w:bidi="fa-IR"/>
        </w:rPr>
        <w:t>»</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المدارک</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کشف اللثام أنّ طهارة الولیّ کأنّها لا إشکال فیها، و إنّما الإشکال فی اعتبار طهارة الصبیّ،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طاف به الطهارة، کما قطع به فی التذکرة</w:t>
      </w:r>
      <w:r>
        <w:rPr>
          <w:rStyle w:val="FootnoteAnchor"/>
          <w:rtl w:val="true"/>
        </w:rPr>
        <w:footnoteReference w:id="1660"/>
      </w:r>
      <w:r>
        <w:rPr>
          <w:rFonts w:ascii="IRNazanin" w:hAnsi="IRNazanin" w:eastAsia="IRNazanin"/>
          <w:color w:val="111111"/>
          <w:sz w:val="28"/>
          <w:sz w:val="28"/>
          <w:szCs w:val="28"/>
          <w:rtl w:val="true"/>
          <w:lang w:bidi="fa-IR"/>
        </w:rPr>
        <w:t>و الدروس</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یقوی فی النظر الاکتفاء بطهارة الولیّ کما یؤمی إلیه ما فی خبر زرارة من الاجتزاء بالصلاة عنه</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به، و یصلّی عنه</w:t>
      </w:r>
      <w:r>
        <w:rPr>
          <w:rFonts w:eastAsia="IRNazanin" w:cs="IRNazanin"/>
          <w:color w:val="111111"/>
          <w:sz w:val="28"/>
          <w:szCs w:val="28"/>
          <w:rtl w:val="true"/>
          <w:lang w:bidi="fa-IR"/>
        </w:rPr>
        <w:t>»</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یکتفی بصلاة الولیّ عن الصبیّ یکتفی بطهارة الولیّ فی الطواف عنه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bookmarkStart w:id="614" w:name="pg11756_104126"/>
    </w:p>
    <w:p>
      <w:pPr>
        <w:pStyle w:val="BookText"/>
        <w:rPr/>
      </w:pPr>
      <w:bookmarkEnd w:id="61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الصلاة لا تقاس بالطواف بعد کون التعبیر فی الروایة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الفرق هو إمکان الطواف بالصبیّ غیر الممیّز مطلقا، سواء کان بالحمل أو بالتعلیم، و أمّا الصلاة فلا یجری فیها ذلک؛ لأنّه لا یمکن حمل الصبیّ فی السنة الاولی من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فاعتبار الطهارة فیها باعتبار کون الولیّ هو المصلّی، و أمّا الطواف فالطائف هو الطفل و إن کان بمعونة الولیّ، کما فی تفصیل الشریعة</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بعد ما کان مقدّمة لطهارة الصبیّ فی طوافه لا یبقی مجال لوضوء الولیّ عن قبل الغیر إلاّ بإیجاد أغساله فی بدن الصبیّ، غایة الأمر یتولّی النیّة عنه، و إلاّ فوضوؤه لا یوجب طهارة بدن الصبیّ مقدّمة لإطافته</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نعرف موردا جعل الشارع فیه طهارة شخص عوضا عن طهارة الغیر</w:t>
      </w:r>
      <w:r>
        <w:rPr>
          <w:rFonts w:eastAsia="IRNazanin" w:cs="IRNazanin"/>
          <w:color w:val="111111"/>
          <w:sz w:val="28"/>
          <w:szCs w:val="28"/>
          <w:rtl w:val="true"/>
          <w:lang w:bidi="fa-IR"/>
        </w:rPr>
        <w:t>.</w:t>
      </w:r>
    </w:p>
    <w:p>
      <w:pPr>
        <w:pStyle w:val="Heading6"/>
        <w:numPr>
          <w:ilvl w:val="5"/>
          <w:numId w:val="1"/>
        </w:numPr>
        <w:rPr/>
      </w:pPr>
      <w:bookmarkStart w:id="615" w:name="__RefHeading___Toc9643873_73709187"/>
      <w:bookmarkStart w:id="616" w:name="_Toc231"/>
      <w:bookmarkEnd w:id="615"/>
      <w:r>
        <w:rPr>
          <w:rtl w:val="true"/>
        </w:rPr>
        <w:t>القول الثالث</w:t>
      </w:r>
      <w:r>
        <w:rPr>
          <w:rtl w:val="true"/>
        </w:rPr>
        <w:t xml:space="preserve">: </w:t>
      </w:r>
      <w:r>
        <w:rPr>
          <w:rtl w:val="true"/>
        </w:rPr>
        <w:t>کفایة طهارة الطفل و لو صورة</w:t>
      </w:r>
      <w:bookmarkEnd w:id="616"/>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الصبیّ صورة الوضوء</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المجنون و غیر الممیّز فیحرم عنهما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یجعلهما</w:t>
      </w:r>
    </w:p>
    <w:p>
      <w:pPr>
        <w:pStyle w:val="BookText"/>
        <w:rPr/>
      </w:pPr>
      <w:r>
        <w:rPr>
          <w:rFonts w:ascii="IRNazanin" w:hAnsi="IRNazanin" w:eastAsia="IRNazanin"/>
          <w:color w:val="111111"/>
          <w:sz w:val="28"/>
          <w:sz w:val="28"/>
          <w:szCs w:val="28"/>
          <w:rtl w:val="true"/>
          <w:lang w:bidi="fa-IR"/>
        </w:rPr>
        <w:t>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الطواف فعل به صورة الوضوء ثمّ طاف به</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احتمله فی کشف اللثام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إیقاع صورتها؟ وجهان، من أنّها لیست طهارة مع الأصل، و من أنّه طوافه لا طواف الحامل، فطهارته أولی بالوجوب</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 و متوضّئا و لو بصورة الوضوء</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إتیان الطفل صورة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منه توضّؤه</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یمکن أن یوجّه به هذا القول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الأدلّة أنّه کلّ ما یقدر علیه الطفل من أفعال الحجّ یفعله بنفسه، و ما لا یقدر علیه و یمکن إیقاعه فیه أوقعه فیه الولیّ و لو صورة کالوضوء، و إن لم یمکن فیه ذلک ینوب عنه فیه کالصلاة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الأدلّة هو إحجاج الطفل بالنسبة إلی أفعال الحجّ فقط، لا المقدّمات مثل الوضوء، و حیث إنّ صورة الوضوء لیست بوضوء، لا دلیل علی مشروعیّتها، فکیف بوجوبها؟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ذلک زیادة توضیح</w:t>
      </w:r>
      <w:r>
        <w:rPr>
          <w:rFonts w:eastAsia="IRNazanin" w:cs="IRNazanin"/>
          <w:color w:val="111111"/>
          <w:sz w:val="28"/>
          <w:szCs w:val="28"/>
          <w:rtl w:val="true"/>
          <w:lang w:bidi="fa-IR"/>
        </w:rPr>
        <w:t>.</w:t>
      </w:r>
      <w:bookmarkStart w:id="617" w:name="pg11756_104128"/>
    </w:p>
    <w:p>
      <w:pPr>
        <w:pStyle w:val="Heading6"/>
        <w:numPr>
          <w:ilvl w:val="5"/>
          <w:numId w:val="1"/>
        </w:numPr>
        <w:rPr/>
      </w:pPr>
      <w:bookmarkStart w:id="618" w:name="__RefHeading___Toc9643875_73709187"/>
      <w:bookmarkStart w:id="619" w:name="_Toc232"/>
      <w:bookmarkEnd w:id="617"/>
      <w:bookmarkEnd w:id="618"/>
      <w:r>
        <w:rPr>
          <w:rtl w:val="true"/>
        </w:rPr>
        <w:t>القول الرابع</w:t>
      </w:r>
      <w:r>
        <w:rPr>
          <w:rtl w:val="true"/>
        </w:rPr>
        <w:t xml:space="preserve">: </w:t>
      </w:r>
      <w:r>
        <w:rPr>
          <w:rtl w:val="true"/>
        </w:rPr>
        <w:t>عدم اشتراط طهارتهما</w:t>
      </w:r>
      <w:bookmarkEnd w:id="619"/>
    </w:p>
    <w:p>
      <w:pPr>
        <w:pStyle w:val="BookText"/>
        <w:rPr/>
      </w:pPr>
      <w:r>
        <w:rPr>
          <w:rFonts w:ascii="IRNazanin" w:hAnsi="IRNazanin" w:eastAsia="IRNazanin"/>
          <w:color w:val="111111"/>
          <w:sz w:val="28"/>
          <w:sz w:val="28"/>
          <w:szCs w:val="28"/>
          <w:rtl w:val="true"/>
          <w:lang w:bidi="fa-IR"/>
        </w:rPr>
        <w:t>أفتی السیّد الخوئی بأنّه إذا لم یتمکّن الصبیّ من فعل الطهارة بنفسه لا یشترط فی صحّة طوافه طهارة نفسه و لا طهارة ولیّه، و قال فی توجیهه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ورد من إحجاج الصبیّ إنّما هو بالنسبة إلی أفعال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کالطواف و السعی و الرمی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الامور الخارجیّة التی اعتبرت فی الطواف، فلا دلیل علی إتیانها صورة، فإنّ الأدلّة منصرفة عن ذلک، و إنّما تختصّ بأفعال الحجّ، کما أنّه لا دلیل علی أنّ الولیّ یتوضّأ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یکن الطفل قابلا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الوضوء من شرائط الطائف لا المطوّف، و المفروض أنّ الولیّ غیر طائف و إنّما یطوف بالصبیّ، فدعوی أنّه ینوب عنه فی الوضوء لا وجه لها؛ لأنّ النیابة ثابتة فی أفعال الحجّ لا فی شرائطها، فالصحیح عدم اعتبار الوضوء حینئذ، لا علی نفس الطفل، و لا علی الولیّ</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السیّد الخونساری</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مجال لدعوی الانصراف</w:t>
      </w:r>
      <w:r>
        <w:rPr>
          <w:rStyle w:val="FootnoteAnchor"/>
          <w:rtl w:val="true"/>
        </w:rPr>
        <w:footnoteReference w:id="1676"/>
      </w:r>
      <w:r>
        <w:rPr>
          <w:rFonts w:ascii="IRNazanin" w:hAnsi="IRNazanin" w:eastAsia="IRNazanin"/>
          <w:color w:val="111111"/>
          <w:sz w:val="28"/>
          <w:sz w:val="28"/>
          <w:szCs w:val="28"/>
          <w:rtl w:val="true"/>
          <w:lang w:bidi="fa-IR"/>
        </w:rPr>
        <w:t>، بل المستفاد من الأدلّة بعنوان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یتمکّن الصبیّ من الإتیان به فاللازم أن یأتی به بنفسه و لو بتعلیم الولیّ إیّاه، و ما لا یمکن فیه ذلک و أمکن أن یوقع الولیّ فی الطفل یعتبر فیه 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اعتبار الطهارة فی صحّة الطواف ینبغی</w:t>
      </w:r>
      <w:r>
        <w:rPr>
          <w:rStyle w:val="FootnoteAnchor"/>
          <w:rtl w:val="true"/>
        </w:rPr>
        <w:footnoteReference w:id="1677"/>
      </w:r>
      <w:r>
        <w:rPr>
          <w:rFonts w:ascii="IRNazanin" w:hAnsi="IRNazanin" w:eastAsia="IRNazanin"/>
          <w:color w:val="111111"/>
          <w:sz w:val="28"/>
          <w:sz w:val="28"/>
          <w:szCs w:val="28"/>
          <w:rtl w:val="true"/>
          <w:lang w:bidi="fa-IR"/>
        </w:rPr>
        <w:t>القطع باعتبار</w:t>
      </w:r>
      <w:bookmarkStart w:id="620" w:name="pg11756_104129"/>
    </w:p>
    <w:p>
      <w:pPr>
        <w:pStyle w:val="BookText"/>
        <w:rPr/>
      </w:pPr>
      <w:bookmarkEnd w:id="620"/>
      <w:r>
        <w:rPr>
          <w:rFonts w:ascii="IRNazanin" w:hAnsi="IRNazanin" w:eastAsia="IRNazanin"/>
          <w:color w:val="111111"/>
          <w:sz w:val="28"/>
          <w:sz w:val="28"/>
          <w:szCs w:val="28"/>
          <w:rtl w:val="true"/>
          <w:lang w:bidi="fa-IR"/>
        </w:rPr>
        <w:t xml:space="preserve">توضیة الولیّ الصبیّ، و لا یضرّه کون طهارته صوریّة؛ لأنّ طوافه أیضا کوضوئه صوری، أی یأتی به الولیّ فی الطفل و یکون الطفل محلّه، فلو أجزأ طوافه کذلک لکان وضوؤه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توضیة الولیّ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صرّح به الشیخ التبریزی،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یعتبر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مراعاة الطهارة الحدثیّة و الخبثیّة فی طواف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یتوضّأ به بصورة الوضوء</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فالأظهر هو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کفایة طهارة الطفل حین الطواف و لو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الأحوط طهارة الولیّ الذی یحمله و الطفل معا، کما أفتی به فی العروة</w:t>
      </w:r>
      <w:r>
        <w:rPr>
          <w:rStyle w:val="FootnoteAnchor"/>
          <w:rtl w:val="true"/>
        </w:rPr>
        <w:footnoteReference w:id="1679"/>
      </w:r>
      <w:r>
        <w:rPr>
          <w:rFonts w:ascii="IRNazanin" w:hAnsi="IRNazanin" w:eastAsia="IRNazanin"/>
          <w:color w:val="111111"/>
          <w:sz w:val="28"/>
          <w:sz w:val="28"/>
          <w:szCs w:val="28"/>
          <w:rtl w:val="true"/>
          <w:lang w:bidi="fa-IR"/>
        </w:rPr>
        <w:t>و تحریر الوسیلة</w:t>
      </w:r>
      <w:r>
        <w:rPr>
          <w:rStyle w:val="FootnoteAnchor"/>
          <w:rtl w:val="true"/>
        </w:rPr>
        <w:footnoteReference w:id="1680"/>
      </w:r>
      <w:r>
        <w:rPr>
          <w:rFonts w:ascii="IRNazanin" w:hAnsi="IRNazanin" w:eastAsia="IRNazanin"/>
          <w:color w:val="111111"/>
          <w:sz w:val="28"/>
          <w:sz w:val="28"/>
          <w:szCs w:val="28"/>
          <w:rtl w:val="true"/>
          <w:lang w:bidi="fa-IR"/>
        </w:rPr>
        <w:t>و تفصیل الشریعة</w:t>
      </w:r>
      <w:r>
        <w:rPr>
          <w:rStyle w:val="FootnoteAnchor"/>
          <w:rtl w:val="true"/>
        </w:rPr>
        <w:footnoteReference w:id="1681"/>
      </w:r>
      <w:r>
        <w:rPr>
          <w:rFonts w:ascii="Amiri" w:hAnsi="Amiri" w:eastAsia="Amiri" w:cs="Amiri"/>
          <w:color w:val="111111"/>
          <w:sz w:val="28"/>
          <w:sz w:val="28"/>
          <w:szCs w:val="28"/>
          <w:rtl w:val="true"/>
          <w:lang w:bidi="ar-SA"/>
        </w:rPr>
        <w:t>و المهذّب</w:t>
      </w:r>
      <w:r>
        <w:rPr>
          <w:rStyle w:val="FootnoteAnchor"/>
          <w:rtl w:val="true"/>
        </w:rPr>
        <w:footnoteReference w:id="1682"/>
      </w:r>
      <w:r>
        <w:rPr>
          <w:rFonts w:ascii="IRNazanin" w:hAnsi="IRNazanin" w:eastAsia="IRNazanin"/>
          <w:color w:val="111111"/>
          <w:sz w:val="28"/>
          <w:sz w:val="28"/>
          <w:szCs w:val="28"/>
          <w:rtl w:val="true"/>
          <w:lang w:bidi="fa-IR"/>
        </w:rPr>
        <w:t>و غیرها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9643877_73709187"/>
      <w:bookmarkStart w:id="622" w:name="_Toc233"/>
      <w:bookmarkEnd w:id="621"/>
      <w:r>
        <w:rPr>
          <w:rtl w:val="true"/>
        </w:rPr>
        <w:t>آراء أهل السنّة فی اعتبار الطهارة فی طواف الصبیّ</w:t>
      </w:r>
      <w:bookmarkEnd w:id="622"/>
    </w:p>
    <w:p>
      <w:pPr>
        <w:pStyle w:val="BookText"/>
        <w:rPr/>
      </w:pPr>
      <w:r>
        <w:rPr>
          <w:rFonts w:ascii="IRNazanin" w:hAnsi="IRNazanin" w:eastAsia="IRNazanin"/>
          <w:color w:val="111111"/>
          <w:sz w:val="28"/>
          <w:sz w:val="28"/>
          <w:szCs w:val="28"/>
          <w:rtl w:val="true"/>
          <w:lang w:bidi="fa-IR"/>
        </w:rPr>
        <w:t>لم نجد لهم نصّا فی الصبیّ الممیّز، و لکن یمکن أن یستظهر من إطلاق کلمات الشافعیّة و المالکیّة و الحنابلة أنّه یشترط فی طوافه ما یشترط للبالغ، کطهارته من الحدث و الخبث و ستر العورة و غیر ذلک من الشرائط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الطهارة من الحدث و النجاسة و الستارة شرائط لصحّة الطواف فی المشهور عن أحمد، و هو قول مالک و الشافعی</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bookmarkStart w:id="623" w:name="pg11756_104130"/>
    </w:p>
    <w:p>
      <w:pPr>
        <w:pStyle w:val="BookText"/>
        <w:rPr/>
      </w:pPr>
      <w:bookmarkEnd w:id="623"/>
      <w:r>
        <w:rPr>
          <w:rFonts w:ascii="IRNazanin" w:hAnsi="IRNazanin" w:eastAsia="IRNazanin"/>
          <w:color w:val="111111"/>
          <w:sz w:val="28"/>
          <w:sz w:val="28"/>
          <w:szCs w:val="28"/>
          <w:rtl w:val="true"/>
          <w:lang w:bidi="fa-IR"/>
        </w:rPr>
        <w:t>و أمّا الصبیّ غیر الممیّز فالحنابلة و المالکیّة قالوا بعدم اعتبار الطهارة من الحدث فی طوافه، و عند الشافعیّة فیه وجهان، و إلیک نصّ کلماتهم</w:t>
      </w:r>
      <w:r>
        <w:rPr>
          <w:rFonts w:eastAsia="IRNazanin" w:cs="IRNazanin"/>
          <w:color w:val="111111"/>
          <w:sz w:val="28"/>
          <w:szCs w:val="28"/>
          <w:rtl w:val="true"/>
          <w:lang w:bidi="fa-IR"/>
        </w:rPr>
        <w:t>:</w:t>
      </w:r>
    </w:p>
    <w:p>
      <w:pPr>
        <w:pStyle w:val="Heading6"/>
        <w:numPr>
          <w:ilvl w:val="5"/>
          <w:numId w:val="1"/>
        </w:numPr>
        <w:rPr/>
      </w:pPr>
      <w:bookmarkStart w:id="624" w:name="__RefHeading___Toc9643879_73709187"/>
      <w:bookmarkStart w:id="625" w:name="_Toc234"/>
      <w:bookmarkEnd w:id="624"/>
      <w:r>
        <w:rPr>
          <w:rtl w:val="true"/>
        </w:rPr>
        <w:t xml:space="preserve">أ </w:t>
      </w:r>
      <w:r>
        <w:rPr>
          <w:rtl w:val="true"/>
        </w:rPr>
        <w:t xml:space="preserve">- </w:t>
      </w:r>
      <w:r>
        <w:rPr>
          <w:rtl w:val="true"/>
        </w:rPr>
        <w:t>الحنابلة</w:t>
      </w:r>
      <w:bookmarkEnd w:id="625"/>
    </w:p>
    <w:p>
      <w:pPr>
        <w:pStyle w:val="BookText"/>
        <w:rPr/>
      </w:pPr>
      <w:r>
        <w:rPr>
          <w:rFonts w:ascii="IRNazanin" w:hAnsi="IRNazanin" w:eastAsia="IRNazanin"/>
          <w:color w:val="111111"/>
          <w:sz w:val="28"/>
          <w:sz w:val="28"/>
          <w:szCs w:val="28"/>
          <w:rtl w:val="true"/>
          <w:lang w:bidi="fa-IR"/>
        </w:rPr>
        <w:t>قال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لصحّة الطواف ثلاثة عشر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 العقل، و النیّة، و ستر العورة، و طهارة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لطفل دون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طهارة الخبث</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 فی الکشّاف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تشترط طهارة الحدث لطفل دون التمییز؛ لعدم إمکانها منه، و أمّا طهارة الخبث فیشترط لصحّة الطواف، 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للطفل</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9643881_73709187"/>
      <w:bookmarkStart w:id="627" w:name="_Toc235"/>
      <w:bookmarkEnd w:id="626"/>
      <w:r>
        <w:rPr>
          <w:rtl w:val="true"/>
        </w:rPr>
        <w:t xml:space="preserve">ب </w:t>
      </w:r>
      <w:r>
        <w:rPr>
          <w:rtl w:val="true"/>
        </w:rPr>
        <w:t xml:space="preserve">- </w:t>
      </w:r>
      <w:r>
        <w:rPr>
          <w:rtl w:val="true"/>
        </w:rPr>
        <w:t>المالکیّة</w:t>
      </w:r>
      <w:bookmarkEnd w:id="627"/>
    </w:p>
    <w:p>
      <w:pPr>
        <w:pStyle w:val="BookText"/>
        <w:rPr/>
      </w:pPr>
      <w:r>
        <w:rPr>
          <w:rFonts w:ascii="IRNazanin" w:hAnsi="IRNazanin" w:eastAsia="IRNazanin"/>
          <w:color w:val="111111"/>
          <w:sz w:val="28"/>
          <w:sz w:val="28"/>
          <w:szCs w:val="28"/>
          <w:rtl w:val="true"/>
          <w:lang w:bidi="fa-IR"/>
        </w:rPr>
        <w:t>جاء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الصغیر الذی لا یمیّز الطهارة و لا یمتثل ما یؤمر به یشترط فی صحّة طوافه ستر العورة و طهارته من الخبث، و لا یبطل طوافه بطروّ الحدث الأصغر، و لیس به 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یشترط فی طوافه بقیّة شروط الطواف من طهارة الحدث، و کون البیت عن یساره، و الخروج عن الشاذروان؛ لأنّهم لمّا ذکروا هذه الشروط لم یخصّوها بأحد</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8" w:name="__RefHeading___Toc9643883_73709187"/>
      <w:bookmarkStart w:id="629" w:name="_Toc236"/>
      <w:bookmarkEnd w:id="628"/>
      <w:r>
        <w:rPr>
          <w:rtl w:val="true"/>
        </w:rPr>
        <w:t xml:space="preserve">ج </w:t>
      </w:r>
      <w:r>
        <w:rPr>
          <w:rtl w:val="true"/>
        </w:rPr>
        <w:t xml:space="preserve">- </w:t>
      </w:r>
      <w:r>
        <w:rPr>
          <w:rtl w:val="true"/>
        </w:rPr>
        <w:t>الشافعیّة</w:t>
      </w:r>
      <w:bookmarkEnd w:id="62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یتوضّأ للطواف به</w:t>
      </w:r>
      <w:bookmarkStart w:id="630" w:name="pg11756_104131"/>
    </w:p>
    <w:p>
      <w:pPr>
        <w:pStyle w:val="BookText"/>
        <w:rPr/>
      </w:pPr>
      <w:bookmarkEnd w:id="630"/>
      <w:r>
        <w:rPr>
          <w:rFonts w:ascii="IRNazanin" w:hAnsi="IRNazanin" w:eastAsia="IRNazanin"/>
          <w:color w:val="111111"/>
          <w:sz w:val="28"/>
          <w:sz w:val="28"/>
          <w:szCs w:val="28"/>
          <w:rtl w:val="true"/>
          <w:lang w:bidi="fa-IR"/>
        </w:rPr>
        <w:t>و یوضّئه، فإن کانا غیر متوضّئین لم یجزه الطواف، و إن کان الصبیّ متوضّئا و الولیّ محدثا لم یجزه أیضا؛ لأنّ الطواف بمعونة الولیّ یصحّ، و الطواف لا یصحّ إلاّ بطهارة، و إن کان الولیّ متوضّئا و الصبیّ محدثا فعلی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لأنّ الطواف بالصبیّ أخصّ منه بالولیّ، فلمّا لم یجز أن یکون الولیّ محدثا فأولی أن لا یکون الصبیّ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یجزی؛ لأنّ الصبیّ إذا لم یکن ممیّزا بفعل الطهارة لا یصحّ منه، فجاز أن تکون طهارة الولیّ نائبة عنه، کما أنّه لمّا لم یصحّ منه الإحرام صحّ إحرام الولیّ عنه</w:t>
      </w:r>
      <w:r>
        <w:rPr>
          <w:rFonts w:eastAsia="IRNazanin" w:cs="IRNazanin"/>
          <w:color w:val="111111"/>
          <w:sz w:val="28"/>
          <w:szCs w:val="28"/>
          <w:rtl w:val="true"/>
          <w:lang w:bidi="fa-IR"/>
        </w:rPr>
        <w:t>»</w:t>
      </w:r>
      <w:r>
        <w:rPr>
          <w:rStyle w:val="FootnoteAnchor"/>
          <w:rtl w:val="true"/>
        </w:rPr>
        <w:footnoteReference w:id="1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ذلک فی مغنی المحتاج</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الحنفیّة فلیست الطهارة عندهم شرطا فی طواف البالغ، فمن طاف بغیر طهارة صحّ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الطهارة عن الحدث و الجنابة و الحیض و النفاس فلیست بشرط؛ لجواز الطواف، و لیست بفرض عندنا، بل واجبة حتّی یجوز الطواف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الطهارة عن النجس فلیست من شرائط الجواز بالإجماع، فلا یفترض تحصیلها و لا تجب أیضا، لکنّه سنّة، حتّی لو طاف و علی ثوبه نجاسة أکثر من قدر الدرهم جاز</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لم یتعرّضوا للبحث عن طهارة الصبیّ فی الطواف</w:t>
      </w:r>
      <w:r>
        <w:rPr>
          <w:rFonts w:eastAsia="IRNazanin" w:cs="IRNazanin"/>
          <w:color w:val="111111"/>
          <w:sz w:val="28"/>
          <w:szCs w:val="28"/>
          <w:rtl w:val="true"/>
          <w:lang w:bidi="fa-IR"/>
        </w:rPr>
        <w:t>.</w:t>
      </w:r>
    </w:p>
    <w:p>
      <w:pPr>
        <w:pStyle w:val="Heading4"/>
        <w:numPr>
          <w:ilvl w:val="3"/>
          <w:numId w:val="1"/>
        </w:numPr>
        <w:rPr/>
      </w:pPr>
      <w:bookmarkStart w:id="631" w:name="__RefHeading___Toc9643885_73709187"/>
      <w:bookmarkStart w:id="632" w:name="_Toc237"/>
      <w:bookmarkEnd w:id="631"/>
      <w:r>
        <w:rPr>
          <w:rtl w:val="true"/>
        </w:rPr>
        <w:t>المطلب الثانی</w:t>
      </w:r>
      <w:r>
        <w:rPr>
          <w:rtl w:val="true"/>
        </w:rPr>
        <w:t xml:space="preserve">: </w:t>
      </w:r>
      <w:r>
        <w:rPr>
          <w:rtl w:val="true"/>
        </w:rPr>
        <w:t>شرطیّة الختان بالنسبة إلی الصبیّ</w:t>
      </w:r>
      <w:bookmarkEnd w:id="632"/>
    </w:p>
    <w:p>
      <w:pPr>
        <w:pStyle w:val="Heading5"/>
        <w:numPr>
          <w:ilvl w:val="4"/>
          <w:numId w:val="1"/>
        </w:numPr>
        <w:rPr/>
      </w:pPr>
      <w:bookmarkStart w:id="633" w:name="__RefHeading___Toc9643887_73709187"/>
      <w:bookmarkStart w:id="634" w:name="_Toc238"/>
      <w:bookmarkEnd w:id="633"/>
      <w:r>
        <w:rPr>
          <w:rtl w:val="true"/>
        </w:rPr>
        <w:t>اشارة</w:t>
      </w:r>
      <w:bookmarkEnd w:id="6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الختان شرط فی صحّة طواف الصبیّ کالرجل؟ فیه قولان</w:t>
      </w:r>
      <w:r>
        <w:rPr>
          <w:rFonts w:eastAsia="IRNazanin" w:cs="IRNazanin"/>
          <w:color w:val="111111"/>
          <w:sz w:val="28"/>
          <w:szCs w:val="28"/>
          <w:rtl w:val="true"/>
          <w:lang w:bidi="fa-IR"/>
        </w:rPr>
        <w:t>:</w:t>
      </w:r>
      <w:bookmarkStart w:id="635" w:name="pg11756_104132"/>
    </w:p>
    <w:p>
      <w:pPr>
        <w:pStyle w:val="Heading5"/>
        <w:numPr>
          <w:ilvl w:val="4"/>
          <w:numId w:val="1"/>
        </w:numPr>
        <w:rPr/>
      </w:pPr>
      <w:bookmarkStart w:id="636" w:name="__RefHeading___Toc9643889_73709187"/>
      <w:bookmarkStart w:id="637" w:name="_Toc239"/>
      <w:bookmarkEnd w:id="635"/>
      <w:bookmarkEnd w:id="636"/>
      <w:r>
        <w:rPr>
          <w:rtl w:val="true"/>
        </w:rPr>
        <w:t>القول الأوّل</w:t>
      </w:r>
      <w:r>
        <w:rPr>
          <w:rtl w:val="true"/>
        </w:rPr>
        <w:t xml:space="preserve">: </w:t>
      </w:r>
      <w:r>
        <w:rPr>
          <w:rtl w:val="true"/>
        </w:rPr>
        <w:t>عدم اعتبار الختان مطلقا</w:t>
      </w:r>
      <w:bookmarkEnd w:id="637"/>
    </w:p>
    <w:p>
      <w:pPr>
        <w:pStyle w:val="Heading6"/>
        <w:numPr>
          <w:ilvl w:val="5"/>
          <w:numId w:val="1"/>
        </w:numPr>
        <w:rPr/>
      </w:pPr>
      <w:bookmarkStart w:id="638" w:name="__RefHeading___Toc9643891_73709187"/>
      <w:bookmarkStart w:id="639" w:name="_Toc240"/>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یستظهر من کلام بعض الفقهاء أنّ الختان لیس شرطا فی طواف الصبیّ، بل یصحّ منه و إن کان غیر مختون، حیث اشترطوه فی الرجل فقط، بل صرّح بعضهم بذلک بالنسبة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للرجل أن یطوف بالبیت و هو غیر مختون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بذلک للنساء</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الختان و هو شرط فی الرجل المتمکّن خاصّة</w:t>
      </w:r>
      <w:r>
        <w:rPr>
          <w:rFonts w:eastAsia="IRNazanin" w:cs="IRNazanin"/>
          <w:color w:val="111111"/>
          <w:sz w:val="28"/>
          <w:szCs w:val="28"/>
          <w:rtl w:val="true"/>
          <w:lang w:bidi="fa-IR"/>
        </w:rPr>
        <w:t>»</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 مشیرا إلی ما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منه الصبیّ و الخنثی، کما خرجت المرأة</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الصبیّ</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أحرم و طاف أغلف لم یحرم علیه النساء بعد البلوغ مع احتماله</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به المحقّق النراقی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انتفاء الاشتراط فی الصبیّ</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bookmarkStart w:id="640" w:name="pg11756_104133"/>
    </w:p>
    <w:p>
      <w:pPr>
        <w:pStyle w:val="Heading6"/>
        <w:numPr>
          <w:ilvl w:val="5"/>
          <w:numId w:val="1"/>
        </w:numPr>
        <w:rPr/>
      </w:pPr>
      <w:bookmarkStart w:id="641" w:name="__RefHeading___Toc9643893_73709187"/>
      <w:bookmarkStart w:id="642" w:name="_Toc241"/>
      <w:bookmarkEnd w:id="640"/>
      <w:bookmarkEnd w:id="641"/>
      <w:r>
        <w:rPr>
          <w:rtl w:val="true"/>
        </w:rPr>
        <w:t>الأدلّة علی عدم اشتراط الختان فی الصبیّ</w:t>
      </w:r>
      <w:bookmarkEnd w:id="642"/>
    </w:p>
    <w:p>
      <w:pPr>
        <w:pStyle w:val="BookText"/>
        <w:rPr/>
      </w:pPr>
      <w:r>
        <w:rPr>
          <w:rFonts w:ascii="IRNazanin" w:hAnsi="IRNazanin" w:eastAsia="IRNazanin"/>
          <w:color w:val="111111"/>
          <w:sz w:val="28"/>
          <w:sz w:val="28"/>
          <w:szCs w:val="28"/>
          <w:rtl w:val="true"/>
          <w:lang w:bidi="fa-IR"/>
        </w:rPr>
        <w:t>ما استدلّ به للقول بعدم اشتراط الختان فی طواف الصبیّ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الریاض</w:t>
      </w:r>
      <w:r>
        <w:rPr>
          <w:rStyle w:val="FootnoteAnchor"/>
          <w:rtl w:val="true"/>
        </w:rPr>
        <w:footnoteReference w:id="1698"/>
      </w:r>
      <w:r>
        <w:rPr>
          <w:rFonts w:ascii="IRNazanin" w:hAnsi="IRNazanin" w:eastAsia="IRNazanin"/>
          <w:color w:val="111111"/>
          <w:sz w:val="28"/>
          <w:sz w:val="28"/>
          <w:szCs w:val="28"/>
          <w:rtl w:val="true"/>
          <w:lang w:bidi="fa-IR"/>
        </w:rPr>
        <w:t>و کشف اللثام</w:t>
      </w:r>
      <w:r>
        <w:rPr>
          <w:rStyle w:val="FootnoteAnchor"/>
          <w:rtl w:val="true"/>
        </w:rPr>
        <w:footnoteReference w:id="1699"/>
      </w:r>
      <w:r>
        <w:rPr>
          <w:rFonts w:ascii="IRNazanin" w:hAnsi="IRNazanin" w:eastAsia="IRNazanin"/>
          <w:color w:val="111111"/>
          <w:sz w:val="28"/>
          <w:sz w:val="28"/>
          <w:szCs w:val="28"/>
          <w:rtl w:val="true"/>
          <w:lang w:bidi="fa-IR"/>
        </w:rPr>
        <w:t>، بمعنی أنّه مع عدم وجود دلیل علی اعتبار الختان فی الصبیّ شکّ فیه،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المقصود من الأصل أنّ ما ذکر فی بعض الأخبار من شرطیّة الختان فی الطواف قیّد بالرجل، و الأصل فی العناوین هو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وجود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سنذکره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الأصل، و قرینة المقابلة</w:t>
      </w:r>
      <w:r>
        <w:rPr>
          <w:rStyle w:val="FootnoteAnchor"/>
          <w:rtl w:val="true"/>
        </w:rPr>
        <w:footnoteReference w:id="1700"/>
      </w:r>
      <w:r>
        <w:rPr>
          <w:rFonts w:ascii="IRNazanin" w:hAnsi="IRNazanin" w:eastAsia="IRNazanin"/>
          <w:color w:val="111111"/>
          <w:sz w:val="28"/>
          <w:sz w:val="28"/>
          <w:szCs w:val="28"/>
          <w:rtl w:val="true"/>
          <w:lang w:bidi="fa-IR"/>
        </w:rPr>
        <w:t>تقتضی أن یکون المراد من ذکر الرجل فی النصوص الواردة هو جنس المذکّر، و هو أعمّ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التی تدلّ علی شرطیّة الختان لا تشمل الصبیّ؛ لأنّها بین خاصّ بالرجل و بین مثبت للتکلیف غیر المتوجّه إلی الصبیّ، کما فی المستند</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بعض النصوص منصرف إلی غیره؛ لغلبته،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توجّه النهی إلیه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 النهی فی النصّ </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إلی</w:t>
      </w:r>
      <w:bookmarkStart w:id="643" w:name="pg11756_104134"/>
    </w:p>
    <w:p>
      <w:pPr>
        <w:pStyle w:val="BookText"/>
        <w:rPr/>
      </w:pPr>
      <w:bookmarkEnd w:id="643"/>
      <w:r>
        <w:rPr>
          <w:rFonts w:ascii="IRNazanin" w:hAnsi="IRNazanin" w:eastAsia="IRNazanin"/>
          <w:color w:val="111111"/>
          <w:sz w:val="28"/>
          <w:sz w:val="28"/>
          <w:szCs w:val="28"/>
          <w:rtl w:val="true"/>
          <w:lang w:bidi="fa-IR"/>
        </w:rPr>
        <w:t>فساد الطواف، و من الواضح أنّه لا فرق فی الأحکام الوضعیّة بین البالغ و غیره کسببیّة إتلاف الصبیّ للضمان و اشتراط صلاته بالطهور و أشباههما، کما فی تفصیل الشریعة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 الواردة ظاهرة فی الإرشاد إلی الشرطیّة و المانعیّة، و لیست ظاهرة فی الزجر و التکلیف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لا یتوجّه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النهی و إن لم یتوجّه إلیه إلاّ أنّ الحکم الوضعی المستفاد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علیه</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دلالة مثل هذا النهی علی الحکم الوضعی لا تکون تابعة للدلالة علی الحکم التکلیفی، بل النهی الدال علی الحکم الوضعی قسیم للنهی الدّال علی الحکم التکلیفی، و لا یکون فی البین أصالة و تبعیّة، کما صرّح به بعض الأعلام</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الغلبة فلا توجب الانصراف، کما بیّن فی محلّه، و لعلّه لذلک أمر قدّس سرّه بالتأمّل</w:t>
      </w:r>
      <w:r>
        <w:rPr>
          <w:rFonts w:eastAsia="IRNazanin" w:cs="IRNazanin"/>
          <w:color w:val="111111"/>
          <w:sz w:val="28"/>
          <w:szCs w:val="28"/>
          <w:rtl w:val="true"/>
          <w:lang w:bidi="fa-IR"/>
        </w:rPr>
        <w:t>.</w:t>
      </w:r>
    </w:p>
    <w:p>
      <w:pPr>
        <w:pStyle w:val="Heading5"/>
        <w:numPr>
          <w:ilvl w:val="4"/>
          <w:numId w:val="1"/>
        </w:numPr>
        <w:rPr/>
      </w:pPr>
      <w:bookmarkStart w:id="644" w:name="__RefHeading___Toc9643895_73709187"/>
      <w:bookmarkStart w:id="645" w:name="_Toc242"/>
      <w:bookmarkEnd w:id="644"/>
      <w:r>
        <w:rPr>
          <w:rtl w:val="true"/>
        </w:rPr>
        <w:t>القول الثانی</w:t>
      </w:r>
      <w:r>
        <w:rPr>
          <w:rtl w:val="true"/>
        </w:rPr>
        <w:t xml:space="preserve">: </w:t>
      </w:r>
      <w:r>
        <w:rPr>
          <w:rtl w:val="true"/>
        </w:rPr>
        <w:t>اعتبار الختان مطلقا</w:t>
      </w:r>
      <w:bookmarkEnd w:id="645"/>
    </w:p>
    <w:p>
      <w:pPr>
        <w:pStyle w:val="Heading6"/>
        <w:numPr>
          <w:ilvl w:val="5"/>
          <w:numId w:val="1"/>
        </w:numPr>
        <w:rPr/>
      </w:pPr>
      <w:bookmarkStart w:id="646" w:name="__RefHeading___Toc9643897_73709187"/>
      <w:bookmarkStart w:id="647" w:name="_Toc243"/>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ظاهر جماعة من الفقهاء اشتراط الختان فی صحّة طواف الصبیّ، بل هو صریح آخرین، و هو الأقوی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مختونا، و لا یعتبر فی المرأة</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bookmarkStart w:id="648" w:name="pg11756_104135"/>
    </w:p>
    <w:p>
      <w:pPr>
        <w:pStyle w:val="BookText"/>
        <w:rPr/>
      </w:pPr>
      <w:bookmarkEnd w:id="648"/>
      <w:r>
        <w:rPr>
          <w:rFonts w:ascii="IRNazanin" w:hAnsi="IRNazanin" w:eastAsia="IRNazanin"/>
          <w:color w:val="111111"/>
          <w:sz w:val="28"/>
          <w:sz w:val="28"/>
          <w:szCs w:val="28"/>
          <w:rtl w:val="true"/>
          <w:lang w:bidi="fa-IR"/>
        </w:rPr>
        <w:t>و فی المسالک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مقتضی إخراج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اعتباره فی مطلق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الرجل و الصبیّ و الخنثی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فی الصبیّ مع عدم التکلیف فی حقّه بالختان کونه شرطا فی صحّته، کالطهارة بالنسبة إلی الصلاة فی حقّه</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اختاره فی جامع المقاصد</w:t>
      </w:r>
      <w:r>
        <w:rPr>
          <w:rStyle w:val="FootnoteAnchor"/>
          <w:rtl w:val="true"/>
        </w:rPr>
        <w:footnoteReference w:id="1709"/>
      </w:r>
      <w:r>
        <w:rPr>
          <w:rFonts w:ascii="IRNazanin" w:hAnsi="IRNazanin" w:eastAsia="IRNazanin"/>
          <w:color w:val="111111"/>
          <w:sz w:val="28"/>
          <w:sz w:val="28"/>
          <w:szCs w:val="28"/>
          <w:rtl w:val="true"/>
          <w:lang w:bidi="fa-IR"/>
        </w:rPr>
        <w:t>و المدارک</w:t>
      </w:r>
      <w:r>
        <w:rPr>
          <w:rStyle w:val="FootnoteAnchor"/>
          <w:rtl w:val="true"/>
        </w:rPr>
        <w:footnoteReference w:id="1710"/>
      </w:r>
      <w:r>
        <w:rPr>
          <w:rFonts w:ascii="IRNazanin" w:hAnsi="IRNazanin" w:eastAsia="IRNazanin"/>
          <w:color w:val="111111"/>
          <w:sz w:val="28"/>
          <w:sz w:val="28"/>
          <w:szCs w:val="28"/>
          <w:rtl w:val="true"/>
          <w:lang w:bidi="fa-IR"/>
        </w:rPr>
        <w:t>و الجواهر</w:t>
      </w:r>
      <w:r>
        <w:rPr>
          <w:rStyle w:val="FootnoteAnchor"/>
          <w:rtl w:val="true"/>
        </w:rPr>
        <w:footnoteReference w:id="1711"/>
      </w:r>
      <w:r>
        <w:rPr>
          <w:rFonts w:ascii="IRNazanin" w:hAnsi="IRNazanin" w:eastAsia="IRNazanin"/>
          <w:color w:val="111111"/>
          <w:sz w:val="28"/>
          <w:sz w:val="28"/>
          <w:szCs w:val="28"/>
          <w:rtl w:val="true"/>
          <w:lang w:bidi="fa-IR"/>
        </w:rPr>
        <w:t>و غیرها</w:t>
      </w:r>
      <w:r>
        <w:rPr>
          <w:rStyle w:val="FootnoteAnchor"/>
          <w:rtl w:val="true"/>
        </w:rPr>
        <w:footnoteReference w:id="1712"/>
      </w:r>
      <w:r>
        <w:rPr>
          <w:rFonts w:ascii="Amiri" w:hAnsi="Amiri" w:eastAsia="Amiri" w:cs="Amiri"/>
          <w:color w:val="111111"/>
          <w:sz w:val="28"/>
          <w:sz w:val="28"/>
          <w:szCs w:val="28"/>
          <w:rtl w:val="true"/>
          <w:lang w:bidi="ar-SA"/>
        </w:rPr>
        <w:t>، و به قال جماعة من أعلام العصر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الأحوط مراعاته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الأطفال، فلو أحرم الطفل الأغلف بأمر ولیّه أو أحرمه ولیّه صحّ إحرامه و لم یصحّ طوافه علی الأحوط، فلو أحرم بإحرام الحجّ حرم علیه النساء علی الأحوط</w:t>
      </w:r>
      <w:r>
        <w:rPr>
          <w:rFonts w:eastAsia="IRNazanin" w:cs="IRNazanin"/>
          <w:color w:val="111111"/>
          <w:sz w:val="28"/>
          <w:szCs w:val="28"/>
          <w:rtl w:val="true"/>
          <w:lang w:bidi="fa-IR"/>
        </w:rPr>
        <w:t>»</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تفصیل الشریعة</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9643899_73709187"/>
      <w:bookmarkStart w:id="650" w:name="_Toc244"/>
      <w:bookmarkEnd w:id="649"/>
      <w:r>
        <w:rPr>
          <w:rtl w:val="true"/>
        </w:rPr>
        <w:t>أدلّة اعتبار الختان فی الصبیّ</w:t>
      </w:r>
      <w:bookmarkEnd w:id="6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تطوف المرأة غیر المخفوضة، فأمّا الرجل فلا یطوف إلاّ و هو مختتن</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منها أنّ اعتبار الختان حکم وضعیّ، فیستوی فیه البالغ و غیر البالغ، من دون دخل لعنوان الرجل المأخوذ فیها، و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یطوف إلاّ و هو مختتن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الطواف إلاّ مع الاختتان، فیبطل طواف الأغلف و لو کان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إبراهیم بن میمون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یسلم فیرید أن یحجّ و قد حضر الحجّ، أ یحجّ أم یختتن؟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یحجّ حتّی یختتن</w:t>
      </w:r>
      <w:r>
        <w:rPr>
          <w:rFonts w:eastAsia="IRNazanin" w:cs="IRNazanin"/>
          <w:color w:val="111111"/>
          <w:sz w:val="28"/>
          <w:szCs w:val="28"/>
          <w:rtl w:val="true"/>
          <w:lang w:bidi="fa-IR"/>
        </w:rPr>
        <w:t>»</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حنان بن سدیر</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المنساق من الأخبار بقرینة استثناء المرأة</w:t>
      </w:r>
      <w:r>
        <w:rPr>
          <w:rStyle w:val="FootnoteAnchor"/>
          <w:rtl w:val="true"/>
        </w:rPr>
        <w:footnoteReference w:id="1719"/>
      </w:r>
      <w:r>
        <w:rPr>
          <w:rFonts w:ascii="IRNazanin" w:hAnsi="IRNazanin" w:eastAsia="IRNazanin"/>
          <w:color w:val="111111"/>
          <w:sz w:val="28"/>
          <w:sz w:val="28"/>
          <w:szCs w:val="28"/>
          <w:rtl w:val="true"/>
          <w:lang w:bidi="fa-IR"/>
        </w:rPr>
        <w:t>اعتبار الختان فی کلّ من یتصوّر فیه موضوع الاختتان، رجلا کان أو صبیّا أو خنثی</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لا یطوف بالبیت، و لا بأس أن تطوف المرأة</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واردة فی الأغلف الذی یستوی فیه البالغ و غیره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بصحّة الحجّ من غیر البالغ یقتضی الإتیان به صحیحا</w:t>
      </w:r>
      <w:r>
        <w:rPr>
          <w:rStyle w:val="FootnoteAnchor"/>
          <w:rtl w:val="true"/>
        </w:rPr>
        <w:footnoteReference w:id="1722"/>
      </w:r>
      <w:r>
        <w:rPr>
          <w:rFonts w:ascii="IRNazanin" w:hAnsi="IRNazanin" w:eastAsia="IRNazanin"/>
          <w:color w:val="111111"/>
          <w:sz w:val="28"/>
          <w:sz w:val="28"/>
          <w:szCs w:val="28"/>
          <w:rtl w:val="true"/>
          <w:lang w:bidi="fa-IR"/>
        </w:rPr>
        <w:t>، و الحجّ الصحیح هو ما کان واجدا لجمیع الأجزاء و الشرائط، و هما یستویان</w:t>
      </w:r>
      <w:bookmarkStart w:id="651" w:name="pg11756_104137"/>
    </w:p>
    <w:p>
      <w:pPr>
        <w:pStyle w:val="BookText"/>
        <w:rPr/>
      </w:pPr>
      <w:bookmarkEnd w:id="651"/>
      <w:r>
        <w:rPr>
          <w:rFonts w:ascii="IRNazanin" w:hAnsi="IRNazanin" w:eastAsia="IRNazanin"/>
          <w:color w:val="111111"/>
          <w:sz w:val="28"/>
          <w:sz w:val="28"/>
          <w:szCs w:val="28"/>
          <w:rtl w:val="true"/>
          <w:lang w:bidi="fa-IR"/>
        </w:rPr>
        <w:t>فی البالغ و غیر البالغ، و معنی صحّة حجّ الصبیّ إثباته به بما له من الأجزاء و الشرائط</w:t>
      </w:r>
      <w:r>
        <w:rPr>
          <w:rFonts w:eastAsia="IRNazanin" w:cs="IRNazanin"/>
          <w:color w:val="111111"/>
          <w:sz w:val="28"/>
          <w:szCs w:val="28"/>
          <w:rtl w:val="true"/>
          <w:lang w:bidi="fa-IR"/>
        </w:rPr>
        <w:t>.</w:t>
      </w:r>
    </w:p>
    <w:p>
      <w:pPr>
        <w:pStyle w:val="Heading5"/>
        <w:numPr>
          <w:ilvl w:val="4"/>
          <w:numId w:val="1"/>
        </w:numPr>
        <w:rPr/>
      </w:pPr>
      <w:bookmarkStart w:id="652" w:name="__RefHeading___Toc9643901_73709187"/>
      <w:bookmarkStart w:id="653" w:name="_Toc245"/>
      <w:bookmarkEnd w:id="652"/>
      <w:r>
        <w:rPr>
          <w:rtl w:val="true"/>
        </w:rPr>
        <w:t>القول الثالث</w:t>
      </w:r>
      <w:r>
        <w:rPr>
          <w:rtl w:val="true"/>
        </w:rPr>
        <w:t xml:space="preserve">: </w:t>
      </w:r>
      <w:r>
        <w:rPr>
          <w:rtl w:val="true"/>
        </w:rPr>
        <w:t>التفصیل بین الممیّز و غیره</w:t>
      </w:r>
      <w:bookmarkEnd w:id="653"/>
    </w:p>
    <w:p>
      <w:pPr>
        <w:pStyle w:val="Heading6"/>
        <w:numPr>
          <w:ilvl w:val="5"/>
          <w:numId w:val="1"/>
        </w:numPr>
        <w:rPr/>
      </w:pPr>
      <w:bookmarkStart w:id="654" w:name="__RefHeading___Toc9643903_73709187"/>
      <w:bookmarkStart w:id="655" w:name="_Toc246"/>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فصّل السیّد الخوئی بین الصبیّ الممیّز الذی یطوف بنفسه و بین غیر الممیّز الذی یطاف به، فاعتبر الختان فی الأوّل دون الثانی، و وجّهه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المقابلة بین الرجل و المرأة المذکورة فی الروایات و إن کان ثبوت الحکم لمطلق الذکر، لا خصوص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لا یمکن الحکم بالتعمیم و الالتزام باعتباره فی الصبیّ غیر الممیّز؛ لأنّ موضوع النهی فی الروایات</w:t>
      </w:r>
      <w:r>
        <w:rPr>
          <w:rStyle w:val="FootnoteAnchor"/>
          <w:rtl w:val="true"/>
        </w:rPr>
        <w:footnoteReference w:id="1723"/>
      </w:r>
      <w:r>
        <w:rPr>
          <w:rFonts w:ascii="IRNazanin" w:hAnsi="IRNazanin" w:eastAsia="IRNazanin"/>
          <w:color w:val="111111"/>
          <w:sz w:val="28"/>
          <w:sz w:val="28"/>
          <w:szCs w:val="28"/>
          <w:rtl w:val="true"/>
          <w:lang w:bidi="fa-IR"/>
        </w:rPr>
        <w:t>هو الشخص الذی یطوف بنفسه و یکون مأمورا بالطواف بنفسه، و أمّا الذی یطاف به و لا یطوف بنفسه فلا أمر له بالطواف؛ إذ المفروض أنّ التکلیف بالطواف متوجّه إلی الولیّ الذی یطاف به، فمقتضی الأصل عدم الاعتبار بالنسبة إلی الصبیّ غیر الممیّز</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الفرق فی مجرّد الطواف بنفسه و الطواف به فلازمه تعمیم الحکم بعدم اعتبار الختان فی کلّ من لا یطوف بنفسه بل یطاف به و إن کان بالغا، کما إذا کان مریضا</w:t>
      </w:r>
      <w:r>
        <w:rPr>
          <w:rStyle w:val="FootnoteAnchor"/>
          <w:rtl w:val="true"/>
        </w:rPr>
        <w:footnoteReference w:id="1725"/>
      </w:r>
      <w:r>
        <w:rPr>
          <w:rFonts w:ascii="IRNazanin" w:hAnsi="IRNazanin" w:eastAsia="IRNazanin"/>
          <w:color w:val="111111"/>
          <w:sz w:val="28"/>
          <w:sz w:val="28"/>
          <w:szCs w:val="28"/>
          <w:rtl w:val="true"/>
          <w:lang w:bidi="fa-IR"/>
        </w:rPr>
        <w:t>لا یقدر علی أن یطوف بنفسه، و من الواضح عدم</w:t>
      </w:r>
      <w:bookmarkStart w:id="656" w:name="pg11756_104138"/>
    </w:p>
    <w:p>
      <w:pPr>
        <w:pStyle w:val="BookText"/>
        <w:rPr/>
      </w:pPr>
      <w:bookmarkEnd w:id="656"/>
      <w:r>
        <w:rPr>
          <w:rFonts w:ascii="IRNazanin" w:hAnsi="IRNazanin" w:eastAsia="IRNazanin"/>
          <w:color w:val="111111"/>
          <w:sz w:val="28"/>
          <w:sz w:val="28"/>
          <w:szCs w:val="28"/>
          <w:rtl w:val="true"/>
          <w:lang w:bidi="fa-IR"/>
        </w:rPr>
        <w:t>إمکان الالتزام به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الفرق من جهة کون التکلیف متوجّها إلی الولیّ فی الصبیّ غیر الممیّز و إلی الطائف الّذی یطوف بنفسه فی غیره،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للصحیحة علی هذا الفرق بوجه، فإنّ مفادها اعتبار الختان فی الطّواف بما هو طواف من دون فرق بین من توجّه إلیه التکلیف، کما فی تفصیل الشریعة</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9643905_73709187"/>
      <w:bookmarkStart w:id="658" w:name="_Toc247"/>
      <w:bookmarkEnd w:id="657"/>
      <w:r>
        <w:rPr>
          <w:rtl w:val="true"/>
        </w:rPr>
        <w:t>إیضاحان</w:t>
      </w:r>
      <w:bookmarkEnd w:id="6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اللنکرانی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من النصوص و الفتاوی أنّ الختان المعتبر إنّما هو الختان بمعناه الاسم المصدری، و هو کونه مختونا، لا بمعناه المصدری، و هو صدور الختان منه و لو بالتسبیب، و علیه فلو تولّد الطفل مختونا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یتّفق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صحّة طوافه من هذه الجهة إلی شیء آخر، بل یصحّ طوافه کذلک</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الختان شرطا فی طواف الصبیّ عند المذاهب الأربعة من أهل السنّة، و لم نعثر علی نصّ لهم فی ذلک بالنسبة إلی الرجل أو الصبیّ</w:t>
      </w:r>
      <w:r>
        <w:rPr>
          <w:rFonts w:eastAsia="IRNazanin" w:cs="IRNazanin"/>
          <w:color w:val="111111"/>
          <w:sz w:val="28"/>
          <w:szCs w:val="28"/>
          <w:rtl w:val="true"/>
          <w:lang w:bidi="fa-IR"/>
        </w:rPr>
        <w:t>.</w:t>
      </w:r>
    </w:p>
    <w:p>
      <w:pPr>
        <w:pStyle w:val="Heading6"/>
        <w:numPr>
          <w:ilvl w:val="5"/>
          <w:numId w:val="1"/>
        </w:numPr>
        <w:rPr/>
      </w:pPr>
      <w:bookmarkStart w:id="659" w:name="__RefHeading___Toc9643907_73709187"/>
      <w:bookmarkStart w:id="660" w:name="_Toc248"/>
      <w:bookmarkEnd w:id="659"/>
      <w:r>
        <w:rPr>
          <w:rtl w:val="true"/>
        </w:rPr>
        <w:t>فروع</w:t>
      </w:r>
      <w:bookmarkEnd w:id="660"/>
    </w:p>
    <w:p>
      <w:pPr>
        <w:pStyle w:val="Heading6"/>
        <w:numPr>
          <w:ilvl w:val="5"/>
          <w:numId w:val="1"/>
        </w:numPr>
        <w:rPr/>
      </w:pPr>
      <w:bookmarkStart w:id="661" w:name="__RefHeading___Toc9643909_73709187"/>
      <w:bookmarkStart w:id="662" w:name="_Toc249"/>
      <w:bookmarkEnd w:id="661"/>
      <w:r>
        <w:rPr>
          <w:rtl w:val="true"/>
        </w:rPr>
        <w:t>الأوّل</w:t>
      </w:r>
      <w:r>
        <w:rPr>
          <w:rtl w:val="true"/>
        </w:rPr>
        <w:t xml:space="preserve">: </w:t>
      </w:r>
      <w:r>
        <w:rPr>
          <w:rtl w:val="true"/>
        </w:rPr>
        <w:t>هل یجوز للولیّ الاستنابة فی طواف الصبیّ؟</w:t>
      </w:r>
      <w:bookmarkEnd w:id="66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أنّه إن تمکّن الصبیّ من الطواف فعله، و إن لم یتمکّن ینوب عنه الولیّ، بأن یحمله بنفسه و یطوف به ناویا لذلک، کما نطق به ما مرّ من</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1728"/>
      </w:r>
      <w:r>
        <w:rPr>
          <w:rFonts w:ascii="IRNazanin" w:hAnsi="IRNazanin" w:eastAsia="IRNazanin"/>
          <w:color w:val="111111"/>
          <w:sz w:val="28"/>
          <w:sz w:val="28"/>
          <w:szCs w:val="28"/>
          <w:rtl w:val="true"/>
          <w:lang w:bidi="fa-IR"/>
        </w:rPr>
        <w:t>و أفتی به الفقهاء</w:t>
      </w:r>
      <w:r>
        <w:rPr>
          <w:rStyle w:val="FootnoteAnchor"/>
          <w:rtl w:val="true"/>
        </w:rPr>
        <w:footnoteReference w:id="1729"/>
      </w:r>
      <w:r>
        <w:rPr>
          <w:rFonts w:ascii="IRNazanin" w:hAnsi="IRNazanin" w:eastAsia="IRNazanin"/>
          <w:color w:val="111111"/>
          <w:sz w:val="28"/>
          <w:sz w:val="28"/>
          <w:szCs w:val="28"/>
          <w:rtl w:val="true"/>
          <w:lang w:bidi="fa-IR"/>
        </w:rPr>
        <w:t>، و الظاهر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أنّه هل یجوز للولیّ الاستنابة فی طواف الصبیّ؟</w:t>
      </w:r>
    </w:p>
    <w:p>
      <w:pPr>
        <w:pStyle w:val="BookText"/>
        <w:rPr/>
      </w:pPr>
      <w:r>
        <w:rPr>
          <w:rFonts w:ascii="IRNazanin" w:hAnsi="IRNazanin" w:eastAsia="IRNazanin"/>
          <w:color w:val="111111"/>
          <w:sz w:val="28"/>
          <w:sz w:val="28"/>
          <w:szCs w:val="28"/>
          <w:rtl w:val="true"/>
          <w:lang w:bidi="fa-IR"/>
        </w:rPr>
        <w:t>قال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لا یعتبر أن یطوف به الولیّ بنفسه، بل یجوز الاستنابة فیه</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یحمله غیره من النّاس</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القطع بجواز الاستنابة فی ذلک</w:t>
      </w:r>
      <w:r>
        <w:rPr>
          <w:rFonts w:eastAsia="IRNazanin" w:cs="IRNazanin"/>
          <w:color w:val="111111"/>
          <w:sz w:val="28"/>
          <w:szCs w:val="28"/>
          <w:rtl w:val="true"/>
          <w:lang w:bidi="fa-IR"/>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جواز الاستنابة فی غیره أیضا، کما عساه یلوح من النصّ و الفتوی</w:t>
      </w:r>
      <w:r>
        <w:rPr>
          <w:rFonts w:eastAsia="IRNazanin" w:cs="IRNazanin"/>
          <w:color w:val="111111"/>
          <w:sz w:val="28"/>
          <w:szCs w:val="28"/>
          <w:rtl w:val="true"/>
          <w:lang w:bidi="fa-IR"/>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w:t>
      </w:r>
      <w:r>
        <w:rPr>
          <w:rStyle w:val="FootnoteAnchor"/>
          <w:rtl w:val="true"/>
        </w:rPr>
        <w:footnoteReference w:id="1734"/>
      </w:r>
      <w:r>
        <w:rPr>
          <w:rFonts w:ascii="IRNazanin" w:hAnsi="IRNazanin" w:eastAsia="IRNazanin"/>
          <w:color w:val="111111"/>
          <w:sz w:val="28"/>
          <w:sz w:val="28"/>
          <w:szCs w:val="28"/>
          <w:rtl w:val="true"/>
          <w:lang w:bidi="fa-IR"/>
        </w:rPr>
        <w:t>بإطلاق الأمر بالطواف به</w:t>
      </w:r>
      <w:r>
        <w:rPr>
          <w:rStyle w:val="FootnoteAnchor"/>
          <w:rtl w:val="true"/>
        </w:rPr>
        <w:footnoteReference w:id="1735"/>
      </w:r>
      <w:r>
        <w:rPr>
          <w:rFonts w:ascii="IRNazanin" w:hAnsi="IRNazanin" w:eastAsia="IRNazanin"/>
          <w:color w:val="111111"/>
          <w:sz w:val="28"/>
          <w:sz w:val="28"/>
          <w:szCs w:val="28"/>
          <w:rtl w:val="true"/>
          <w:lang w:bidi="fa-IR"/>
        </w:rPr>
        <w:t xml:space="preserve">، و بصحیحة عبد الرحمن بن الحجّاج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امّه فلتلق 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فأتتها فسألتها کیف تصنع؟</w:t>
      </w:r>
      <w:bookmarkStart w:id="663" w:name="pg11756_104140"/>
    </w:p>
    <w:p>
      <w:pPr>
        <w:pStyle w:val="BookText"/>
        <w:rPr/>
      </w:pPr>
      <w:bookmarkEnd w:id="663"/>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زوروا به البیت، و مری الجاریة أن تطوف به البیت</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یجوز لغیر الولیّ أن ینوبه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إحرام الولیّ به و یمکّنه من فعله؟ وجهان</w:t>
      </w:r>
      <w:r>
        <w:rPr>
          <w:rFonts w:eastAsia="IRNazanin" w:cs="IRNazanin"/>
          <w:color w:val="111111"/>
          <w:sz w:val="28"/>
          <w:szCs w:val="28"/>
          <w:rtl w:val="true"/>
          <w:lang w:bidi="fa-IR"/>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عدم الجواز ظهور النصّ فی أنّه إن أحرم الولیّ بالصبیّ فعلیه أن یطوف به بنفسه، کما لو أحرم البالغ، حیث وجب علیه الطواف بنفسه و إن لم یقدر فاستناب، و المفروض أنّ الولیّ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بجواز نیابة غیر الولیّ نوی هو الطواف به، و إلاّ ینوی الولیّ و یکون الحامل کالدابّة</w:t>
      </w:r>
      <w:r>
        <w:rPr>
          <w:rFonts w:eastAsia="IRNazanin" w:cs="IRNazanin"/>
          <w:color w:val="111111"/>
          <w:sz w:val="28"/>
          <w:szCs w:val="28"/>
          <w:rtl w:val="true"/>
          <w:lang w:bidi="fa-IR"/>
        </w:rPr>
        <w:t>.</w:t>
      </w:r>
    </w:p>
    <w:p>
      <w:pPr>
        <w:pStyle w:val="Heading6"/>
        <w:numPr>
          <w:ilvl w:val="5"/>
          <w:numId w:val="1"/>
        </w:numPr>
        <w:rPr/>
      </w:pPr>
      <w:bookmarkStart w:id="664" w:name="__RefHeading___Toc9643911_73709187"/>
      <w:bookmarkStart w:id="665" w:name="_Toc250"/>
      <w:bookmarkEnd w:id="664"/>
      <w:r>
        <w:rPr>
          <w:rtl w:val="true"/>
        </w:rPr>
        <w:t>الفرع الثانی</w:t>
      </w:r>
      <w:r>
        <w:rPr>
          <w:rtl w:val="true"/>
        </w:rPr>
        <w:t xml:space="preserve">: </w:t>
      </w:r>
      <w:r>
        <w:rPr>
          <w:rtl w:val="true"/>
        </w:rPr>
        <w:t>هل یجوز الاتکال للطفل علی عدد ولیه فی الطواف</w:t>
      </w:r>
      <w:bookmarkEnd w:id="665"/>
    </w:p>
    <w:p>
      <w:pPr>
        <w:pStyle w:val="BookText"/>
        <w:rPr/>
      </w:pPr>
      <w:r>
        <w:rPr>
          <w:rFonts w:ascii="IRNazanin" w:hAnsi="IRNazanin" w:eastAsia="IRNazanin"/>
          <w:color w:val="111111"/>
          <w:sz w:val="28"/>
          <w:sz w:val="28"/>
          <w:szCs w:val="28"/>
          <w:rtl w:val="true"/>
          <w:lang w:bidi="fa-IR"/>
        </w:rPr>
        <w:t xml:space="preserve">المشهور بین الفقهاء أنّه یعوّل الرجل علی غیره فی تعداد الطواف؛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إخبار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کالأمارة، کما فی الشرائع</w:t>
      </w:r>
      <w:r>
        <w:rPr>
          <w:rStyle w:val="FootnoteAnchor"/>
          <w:rtl w:val="true"/>
        </w:rPr>
        <w:footnoteReference w:id="1738"/>
      </w:r>
      <w:r>
        <w:rPr>
          <w:rFonts w:ascii="IRNazanin" w:hAnsi="IRNazanin" w:eastAsia="IRNazanin"/>
          <w:color w:val="111111"/>
          <w:sz w:val="28"/>
          <w:sz w:val="28"/>
          <w:szCs w:val="28"/>
          <w:rtl w:val="true"/>
          <w:lang w:bidi="fa-IR"/>
        </w:rPr>
        <w:t>و المدارک</w:t>
      </w:r>
      <w:r>
        <w:rPr>
          <w:rStyle w:val="FootnoteAnchor"/>
          <w:rtl w:val="true"/>
        </w:rPr>
        <w:footnoteReference w:id="1739"/>
      </w:r>
      <w:r>
        <w:rPr>
          <w:rFonts w:ascii="IRNazanin" w:hAnsi="IRNazanin" w:eastAsia="IRNazanin"/>
          <w:color w:val="111111"/>
          <w:sz w:val="28"/>
          <w:sz w:val="28"/>
          <w:szCs w:val="28"/>
          <w:rtl w:val="true"/>
          <w:lang w:bidi="fa-IR"/>
        </w:rPr>
        <w:t>و المسالک</w:t>
      </w:r>
      <w:r>
        <w:rPr>
          <w:rStyle w:val="FootnoteAnchor"/>
          <w:rtl w:val="true"/>
        </w:rPr>
        <w:footnoteReference w:id="1740"/>
      </w:r>
      <w:r>
        <w:rPr>
          <w:rFonts w:ascii="IRNazanin" w:hAnsi="IRNazanin" w:eastAsia="IRNazanin"/>
          <w:color w:val="111111"/>
          <w:sz w:val="28"/>
          <w:sz w:val="28"/>
          <w:szCs w:val="28"/>
          <w:rtl w:val="true"/>
          <w:lang w:bidi="fa-IR"/>
        </w:rPr>
        <w:t>و کشف اللثام</w:t>
      </w:r>
      <w:r>
        <w:rPr>
          <w:rStyle w:val="FootnoteAnchor"/>
          <w:rtl w:val="true"/>
        </w:rPr>
        <w:footnoteReference w:id="1741"/>
      </w:r>
      <w:r>
        <w:rPr>
          <w:rFonts w:ascii="IRNazanin" w:hAnsi="IRNazanin" w:eastAsia="IRNazanin"/>
          <w:color w:val="111111"/>
          <w:sz w:val="28"/>
          <w:sz w:val="28"/>
          <w:szCs w:val="28"/>
          <w:rtl w:val="true"/>
          <w:lang w:bidi="fa-IR"/>
        </w:rPr>
        <w:t>و غیرها</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یجری هذا الحکم فی طواف الصبیّ أیضا، کما یدلّ علیه ما رواه فی الفقیه عن الهذیل عن أبی عبد اللّه علیه السّلام فی الرجل یتّکل علی عدد صاحبته فی الطواف، أ یجزیه عنها و عن الصبیّ؟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 لا تری أنّک تأتمّ بالإمام إذا صلّیت</w:t>
      </w:r>
      <w:bookmarkStart w:id="666" w:name="pg11756_104141"/>
    </w:p>
    <w:p>
      <w:pPr>
        <w:pStyle w:val="BookText"/>
        <w:rPr/>
      </w:pPr>
      <w:bookmarkEnd w:id="666"/>
      <w:r>
        <w:rPr>
          <w:rFonts w:ascii="IRNazanin" w:hAnsi="IRNazanin" w:eastAsia="IRNazanin"/>
          <w:color w:val="111111"/>
          <w:sz w:val="28"/>
          <w:sz w:val="28"/>
          <w:szCs w:val="28"/>
          <w:rtl w:val="true"/>
          <w:lang w:bidi="fa-IR"/>
        </w:rPr>
        <w:t>خلفه فهو مثله</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9643913_73709187"/>
      <w:bookmarkStart w:id="668" w:name="_Toc251"/>
      <w:bookmarkEnd w:id="667"/>
      <w:r>
        <w:rPr>
          <w:rtl w:val="true"/>
        </w:rPr>
        <w:t>الفرع الثالث</w:t>
      </w:r>
      <w:r>
        <w:rPr>
          <w:rtl w:val="true"/>
        </w:rPr>
        <w:t xml:space="preserve">: </w:t>
      </w:r>
      <w:r>
        <w:rPr>
          <w:rtl w:val="true"/>
        </w:rPr>
        <w:t>لو أرکب الصبی الولیّ دابّة لیطوف به</w:t>
      </w:r>
      <w:bookmarkEnd w:id="668"/>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أرکبه الولیّ دابّة لیطوف به، وجب أن یکون الولیّ معه سائقا أو قائدا؛ لأنّ الصبیّ غیر ممیّز و لا قاصد، و الدابّة لا تصحّ منها عبادة</w:t>
      </w:r>
      <w:r>
        <w:rPr>
          <w:rFonts w:eastAsia="IRNazanin" w:cs="IRNazanin"/>
          <w:color w:val="111111"/>
          <w:sz w:val="28"/>
          <w:szCs w:val="28"/>
          <w:rtl w:val="true"/>
          <w:lang w:bidi="fa-IR"/>
        </w:rPr>
        <w:t>»</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1745"/>
      </w:r>
      <w:r>
        <w:rPr>
          <w:rFonts w:ascii="IRNazanin" w:hAnsi="IRNazanin" w:eastAsia="IRNazanin"/>
          <w:color w:val="111111"/>
          <w:sz w:val="28"/>
          <w:sz w:val="28"/>
          <w:szCs w:val="28"/>
          <w:rtl w:val="true"/>
          <w:lang w:bidi="fa-IR"/>
        </w:rPr>
        <w:t>، و کشف اللثام</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بعض فقهاء أهل السنّة</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تمکّن المحرم فی زماننا هذا أن یطوف بمساعدة المصنوعات الکهربائیّة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یحتمل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 الولیّ رعایة ما قاله الفقهاء بالنسبة إلی الصبیّ، بأن ینوی عنه حیث لا یتمکّن الصبیّ منها</w:t>
      </w:r>
      <w:r>
        <w:rPr>
          <w:rFonts w:eastAsia="IRNazanin" w:cs="IRNazanin"/>
          <w:color w:val="111111"/>
          <w:sz w:val="28"/>
          <w:szCs w:val="28"/>
          <w:rtl w:val="true"/>
          <w:lang w:bidi="fa-IR"/>
        </w:rPr>
        <w:t>.</w:t>
      </w:r>
    </w:p>
    <w:p>
      <w:pPr>
        <w:pStyle w:val="Heading6"/>
        <w:numPr>
          <w:ilvl w:val="5"/>
          <w:numId w:val="1"/>
        </w:numPr>
        <w:rPr/>
      </w:pPr>
      <w:bookmarkStart w:id="669" w:name="__RefHeading___Toc9643915_73709187"/>
      <w:bookmarkStart w:id="670" w:name="_Toc252"/>
      <w:bookmarkEnd w:id="669"/>
      <w:r>
        <w:rPr>
          <w:rtl w:val="true"/>
        </w:rPr>
        <w:t>الفرع الرابع</w:t>
      </w:r>
      <w:r>
        <w:rPr>
          <w:rtl w:val="true"/>
        </w:rPr>
        <w:t xml:space="preserve">: </w:t>
      </w:r>
      <w:r>
        <w:rPr>
          <w:rtl w:val="true"/>
        </w:rPr>
        <w:t>من طاف به و نوی الطواف به عن نفسه اجزأ عنهما</w:t>
      </w:r>
      <w:bookmarkEnd w:id="670"/>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طاف به و نوی الطواف به عن نفسه اجزأ عنهما</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علی الولیّ طواف حمل الصبیّ و طاف به، و نوی بطوافه ما یختصّ به، و ینوی بطواف الصبیّ طوافه</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جامع</w:t>
      </w:r>
    </w:p>
    <w:p>
      <w:pPr>
        <w:pStyle w:val="BookText"/>
        <w:rPr/>
      </w:pPr>
      <w:r>
        <w:rPr>
          <w:rFonts w:ascii="IRNazanin" w:hAnsi="IRNazanin" w:eastAsia="IRNazanin"/>
          <w:color w:val="111111"/>
          <w:sz w:val="28"/>
          <w:sz w:val="28"/>
          <w:szCs w:val="28"/>
          <w:rtl w:val="true"/>
          <w:lang w:bidi="fa-IR"/>
        </w:rPr>
        <w:t>المدارک</w:t>
      </w:r>
      <w:r>
        <w:rPr>
          <w:rStyle w:val="FootnoteAnchor"/>
          <w:rtl w:val="true"/>
        </w:rPr>
        <w:footnoteReference w:id="1751"/>
      </w:r>
      <w:r>
        <w:rPr>
          <w:rFonts w:ascii="IRNazanin" w:hAnsi="IRNazanin" w:eastAsia="IRNazanin"/>
          <w:color w:val="111111"/>
          <w:sz w:val="28"/>
          <w:sz w:val="28"/>
          <w:szCs w:val="28"/>
          <w:rtl w:val="true"/>
          <w:lang w:bidi="fa-IR"/>
        </w:rPr>
        <w:t>و کشف اللثام</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حمله حامل فطاف به أمکن أن یحتسب لکلّ منهما طوافه عن نفسه، فینوی الحامل بحرکته الذاتیّة الطواف لنفسه، و المحمول بحرکته العرضیّة کذلک</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الآمال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المحمول إذا کان مغمی علیه أو صبیّا جاز للحامل نیّة طوافه مع طواف نفسه</w:t>
      </w:r>
      <w:r>
        <w:rPr>
          <w:rFonts w:eastAsia="IRNazanin" w:cs="IRNazanin"/>
          <w:color w:val="111111"/>
          <w:sz w:val="28"/>
          <w:szCs w:val="28"/>
          <w:rtl w:val="true"/>
          <w:lang w:bidi="fa-IR"/>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یحتسب لهما؛ لحصول الطواف من کلّ منهما، أمّا الحامل فظاهر، و أمّا المحمول فلأنّ فرضه الحصول طائفا حول البیت، و قد امتثل</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بن البختریّ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تطوّف الصبیّ و تسعی به، هل یجزی ذلک عنها و عن الصبیّ؟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الهیثم بن عروة التمیمی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حملت امرأتی ثمّ طفت بها و کانت مریضة،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طفت بها بالبیت فی طواف الفریضة و بالصفا و المروة، و احتسبت بذلک لنفسی، فهل یجزینی؟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اخری عنه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واضحة</w:t>
      </w:r>
      <w:r>
        <w:rPr>
          <w:rFonts w:eastAsia="IRNazanin" w:cs="IRNazanin"/>
          <w:color w:val="111111"/>
          <w:sz w:val="28"/>
          <w:szCs w:val="28"/>
          <w:rtl w:val="true"/>
          <w:lang w:bidi="fa-IR"/>
        </w:rPr>
        <w:t>.</w:t>
      </w:r>
      <w:bookmarkStart w:id="671" w:name="pg11756_104143"/>
    </w:p>
    <w:p>
      <w:pPr>
        <w:pStyle w:val="Heading6"/>
        <w:numPr>
          <w:ilvl w:val="5"/>
          <w:numId w:val="1"/>
        </w:numPr>
        <w:rPr/>
      </w:pPr>
      <w:bookmarkStart w:id="672" w:name="__RefHeading___Toc9643917_73709187"/>
      <w:bookmarkStart w:id="673" w:name="_Toc253"/>
      <w:bookmarkEnd w:id="671"/>
      <w:bookmarkEnd w:id="672"/>
      <w:r>
        <w:rPr>
          <w:rtl w:val="true"/>
        </w:rPr>
        <w:t>آراء بعض فقهاء أهل السنّة فی الفرع الرابع</w:t>
      </w:r>
      <w:bookmarkEnd w:id="673"/>
    </w:p>
    <w:p>
      <w:pPr>
        <w:pStyle w:val="BookText"/>
        <w:rPr/>
      </w:pPr>
      <w:r>
        <w:rPr>
          <w:rFonts w:ascii="IRNazanin" w:hAnsi="IRNazanin" w:eastAsia="IRNazanin"/>
          <w:color w:val="111111"/>
          <w:sz w:val="28"/>
          <w:sz w:val="28"/>
          <w:szCs w:val="28"/>
          <w:rtl w:val="true"/>
          <w:lang w:bidi="fa-IR"/>
        </w:rPr>
        <w:t>قال الماوردیّ فی الحاوی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علی الولیّ طواف طاف عن نفسه أوّلا، ثمّ طاف عن الصبیّ، فإن طاف بالصبیّ قبل أن یطوف عن نفسه لم یخل حاله من أحد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الطواف عن نفسه دون الصبیّ، فهذا الطواف یکون عن نفسه و علیه أن یطوف 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صادف نیّته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الطواف عن الصبیّ دون نفسه، فقیه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 الولیّ الحامل دون الصبیّ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وجب علیه رکن من أرکان الحجّ، فتطوّع به عن نفسه أو عن غیره انصرف إلی واجبه، کالحجّ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 الصبیّ المحمول دون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الحامل کالآلة للمحمول، فکان ذلک واقعا عن المحمول دون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الطواف عن نفسه و عن الصبیّ المحمول، فیجزئه عن طوافه، و هل یجزی عن الصبیّ أم لا؟ علی وجهین؛ تخریجا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له نیّة، فینصرف ذلک إلی طواف نفسه لا یختلف؛ لوجوده علی الصفّة الواجبة علیه و عدم القصد المخالف له</w:t>
      </w:r>
      <w:r>
        <w:rPr>
          <w:rFonts w:eastAsia="IRNazanin" w:cs="IRNazanin"/>
          <w:color w:val="111111"/>
          <w:sz w:val="28"/>
          <w:szCs w:val="28"/>
          <w:rtl w:val="true"/>
          <w:lang w:bidi="fa-IR"/>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الشرح الکبیر فی الفقه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طاف بالصبیّ اعتبرت النیّة من الطائف، فإن لم ینو الطواف عن الصبیّ لم یجزئه؛ لأنّه لمّا لم یعتبر النیّة من الصبیّ اعتبرت من غیره، کما فی الإحرام، فإن نوی الطواف عنه و عن الصبیّ احتمل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وقوعه عن نفسه کالحجّ إذا نوی عنه و عن غیره، و احتمل أن یقع عن الصبیّ، کما لو طاف بکبیر و نوی کلّ واحد عن نفسه؛ لکون المحمول أولی، و احتمل أن یلغو؛ لعدم التعیین لکون الطواف لا یقع عن غیر معیّن</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bookmarkStart w:id="674" w:name="pg11756_104145"/>
    </w:p>
    <w:p>
      <w:pPr>
        <w:pStyle w:val="Heading3"/>
        <w:numPr>
          <w:ilvl w:val="2"/>
          <w:numId w:val="1"/>
        </w:numPr>
        <w:rPr/>
      </w:pPr>
      <w:bookmarkStart w:id="675" w:name="__RefHeading___Toc9643919_73709187"/>
      <w:bookmarkStart w:id="676" w:name="_Toc254"/>
      <w:bookmarkEnd w:id="674"/>
      <w:bookmarkEnd w:id="675"/>
      <w:r>
        <w:rPr>
          <w:rtl w:val="true"/>
        </w:rPr>
        <w:t>المبحث الحادی عشر</w:t>
      </w:r>
      <w:r>
        <w:rPr>
          <w:rtl w:val="true"/>
        </w:rPr>
        <w:t xml:space="preserve">: </w:t>
      </w:r>
      <w:r>
        <w:rPr>
          <w:rtl w:val="true"/>
        </w:rPr>
        <w:t>صلاة طواف الصبیّ</w:t>
      </w:r>
      <w:bookmarkEnd w:id="676"/>
    </w:p>
    <w:p>
      <w:pPr>
        <w:pStyle w:val="Heading4"/>
        <w:numPr>
          <w:ilvl w:val="3"/>
          <w:numId w:val="1"/>
        </w:numPr>
        <w:rPr/>
      </w:pPr>
      <w:bookmarkStart w:id="677" w:name="__RefHeading___Toc9643921_73709187"/>
      <w:bookmarkStart w:id="678" w:name="_Toc255"/>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الظاهر أنّه لا خلاف بین الفقهاء فی أنّه إذا تمکّن الصبیّ من إتیان رکعتی الطواف صلاّهما، و أمّا إذا لم یقدر علی ذلک لکونه غیر ممیّز یجب علی الولیّ إتیانها 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رکعتا الطواف إن کان ممیّزا صلاّهما، و إن لم یکن ممیّزا صلّی عنه ولیّه</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یصلّی الولیّ عن غیر الممیّز رکعتی الطواف؛ لأنّ صلاة غیر الممیّز غیر مشروعة</w:t>
      </w:r>
      <w:r>
        <w:rPr>
          <w:rFonts w:eastAsia="IRNazanin" w:cs="IRNazanin"/>
          <w:color w:val="111111"/>
          <w:sz w:val="28"/>
          <w:szCs w:val="28"/>
          <w:rtl w:val="true"/>
          <w:lang w:bidi="fa-IR"/>
        </w:rPr>
        <w:t>»</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کثیر من أعلام العصر</w:t>
      </w:r>
      <w:r>
        <w:rPr>
          <w:rStyle w:val="FootnoteAnchor"/>
          <w:rtl w:val="true"/>
        </w:rPr>
        <w:footnoteReference w:id="1764"/>
      </w:r>
      <w:r>
        <w:rPr>
          <w:rFonts w:ascii="IRNazanin" w:hAnsi="IRNazanin" w:eastAsia="IRNazanin"/>
          <w:color w:val="111111"/>
          <w:sz w:val="28"/>
          <w:sz w:val="28"/>
          <w:szCs w:val="28"/>
          <w:rtl w:val="true"/>
          <w:lang w:bidi="fa-IR"/>
        </w:rPr>
        <w:t xml:space="preserve">، فقد جاء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بصلاة الطواف، و إن لم یقدر یصلّی عنه</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bookmarkStart w:id="679" w:name="pg11756_104146"/>
    </w:p>
    <w:p>
      <w:pPr>
        <w:pStyle w:val="BookText"/>
        <w:rPr/>
      </w:pPr>
      <w:bookmarkEnd w:id="679"/>
      <w:r>
        <w:rPr>
          <w:rFonts w:ascii="IRNazanin" w:hAnsi="IRNazanin" w:eastAsia="IRNazanin"/>
          <w:color w:val="111111"/>
          <w:sz w:val="28"/>
          <w:sz w:val="28"/>
          <w:szCs w:val="28"/>
          <w:rtl w:val="true"/>
          <w:lang w:bidi="fa-IR"/>
        </w:rPr>
        <w:t>و یدلّ علیه صحیحة زرارة المتقدّمة،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یحسن أن یلبّی لبّوا عنه، و یطاف به، و یصلّی عنه</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الشهید قدّس سرّه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الصلاة کما یأتی بصورة الطواف أمکن</w:t>
      </w:r>
      <w:r>
        <w:rPr>
          <w:rFonts w:eastAsia="IRNazanin" w:cs="IRNazanin"/>
          <w:color w:val="111111"/>
          <w:sz w:val="28"/>
          <w:szCs w:val="28"/>
          <w:rtl w:val="true"/>
          <w:lang w:bidi="fa-IR"/>
        </w:rPr>
        <w:t>»</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المسالک</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فی المدارک بأنّ ظاهر صحیحة زرارة المتقدّمة الفرق بین الطواف و الصلاة</w:t>
      </w:r>
      <w:r>
        <w:rPr>
          <w:rStyle w:val="FootnoteAnchor"/>
          <w:rtl w:val="true"/>
        </w:rPr>
        <w:footnoteReference w:id="1769"/>
      </w:r>
      <w:r>
        <w:rPr>
          <w:rFonts w:ascii="IRNazanin" w:hAnsi="IRNazanin" w:eastAsia="IRNazanin"/>
          <w:color w:val="111111"/>
          <w:sz w:val="28"/>
          <w:sz w:val="28"/>
          <w:szCs w:val="28"/>
          <w:rtl w:val="true"/>
          <w:lang w:bidi="fa-IR"/>
        </w:rPr>
        <w:t>، و فی الجواهر بأنّ هذا القول اجتهاد</w:t>
      </w:r>
      <w:r>
        <w:rPr>
          <w:rStyle w:val="FootnoteAnchor"/>
          <w:rtl w:val="true"/>
        </w:rPr>
        <w:footnoteReference w:id="1770"/>
      </w:r>
      <w:r>
        <w:rPr>
          <w:rFonts w:ascii="IRNazanin" w:hAnsi="IRNazanin" w:eastAsia="IRNazanin"/>
          <w:color w:val="111111"/>
          <w:sz w:val="28"/>
          <w:sz w:val="28"/>
          <w:szCs w:val="28"/>
          <w:rtl w:val="true"/>
          <w:lang w:bidi="fa-IR"/>
        </w:rPr>
        <w:t>فی مقابل النصّ</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کلامهما حسن</w:t>
      </w:r>
      <w:r>
        <w:rPr>
          <w:rFonts w:eastAsia="IRNazanin" w:cs="IRNazanin"/>
          <w:color w:val="111111"/>
          <w:sz w:val="28"/>
          <w:szCs w:val="28"/>
          <w:rtl w:val="true"/>
          <w:lang w:bidi="fa-IR"/>
        </w:rPr>
        <w:t>.</w:t>
      </w:r>
    </w:p>
    <w:p>
      <w:pPr>
        <w:pStyle w:val="Heading4"/>
        <w:numPr>
          <w:ilvl w:val="3"/>
          <w:numId w:val="1"/>
        </w:numPr>
        <w:rPr/>
      </w:pPr>
      <w:bookmarkStart w:id="680" w:name="__RefHeading___Toc9643923_73709187"/>
      <w:bookmarkStart w:id="681" w:name="_Toc256"/>
      <w:bookmarkEnd w:id="680"/>
      <w:r>
        <w:rPr>
          <w:rtl w:val="true"/>
        </w:rPr>
        <w:t>مذهب أهل السنّة فی المسألة</w:t>
      </w:r>
      <w:bookmarkEnd w:id="6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خلاف بین أهل السنّة فی أنّ الصبیّ الممیّز یؤمر بالصلاة للطواف، و أمّا غیر الممیّز فیصلّی الولیّ عنه، 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غیر ممیّز صلّی الولیّ عنه رکعتی الطواف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ممیّزا أمره بهما فصلاّها الصبیّ بنفسه</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773"/>
      </w:r>
      <w:r>
        <w:rPr>
          <w:rFonts w:ascii="IRNazanin" w:hAnsi="IRNazanin" w:eastAsia="IRNazanin"/>
          <w:color w:val="111111"/>
          <w:sz w:val="28"/>
          <w:sz w:val="28"/>
          <w:szCs w:val="28"/>
          <w:rtl w:val="true"/>
          <w:lang w:bidi="fa-IR"/>
        </w:rPr>
        <w:t>و البیان</w:t>
      </w:r>
      <w:r>
        <w:rPr>
          <w:rStyle w:val="FootnoteAnchor"/>
          <w:rtl w:val="true"/>
        </w:rPr>
        <w:footnoteReference w:id="1774"/>
      </w:r>
      <w:r>
        <w:rPr>
          <w:rFonts w:ascii="IRNazanin" w:hAnsi="IRNazanin" w:eastAsia="IRNazanin"/>
          <w:color w:val="111111"/>
          <w:sz w:val="28"/>
          <w:sz w:val="28"/>
          <w:szCs w:val="28"/>
          <w:rtl w:val="true"/>
          <w:lang w:bidi="fa-IR"/>
        </w:rPr>
        <w:t>، و هو الظاهر من الحاوی الکبیر</w:t>
      </w:r>
      <w:r>
        <w:rPr>
          <w:rStyle w:val="FootnoteAnchor"/>
          <w:rtl w:val="true"/>
        </w:rPr>
        <w:footnoteReference w:id="1775"/>
      </w:r>
      <w:r>
        <w:rPr>
          <w:rFonts w:ascii="IRNazanin" w:hAnsi="IRNazanin" w:eastAsia="IRNazanin"/>
          <w:color w:val="111111"/>
          <w:sz w:val="28"/>
          <w:sz w:val="28"/>
          <w:szCs w:val="28"/>
          <w:rtl w:val="true"/>
          <w:lang w:bidi="fa-IR"/>
        </w:rPr>
        <w:t>و المغنی و الشرح الکبیر</w:t>
      </w:r>
      <w:r>
        <w:rPr>
          <w:rStyle w:val="FootnoteAnchor"/>
          <w:rtl w:val="true"/>
        </w:rPr>
        <w:footnoteReference w:id="1776"/>
      </w:r>
      <w:r>
        <w:rPr>
          <w:rFonts w:ascii="IRNazanin" w:hAnsi="IRNazanin" w:eastAsia="IRNazanin"/>
          <w:color w:val="111111"/>
          <w:sz w:val="28"/>
          <w:sz w:val="28"/>
          <w:szCs w:val="28"/>
          <w:rtl w:val="true"/>
          <w:lang w:bidi="fa-IR"/>
        </w:rPr>
        <w:t>و الإنصاف</w:t>
      </w:r>
      <w:r>
        <w:rPr>
          <w:rStyle w:val="FootnoteAnchor"/>
          <w:rtl w:val="true"/>
        </w:rPr>
        <w:footnoteReference w:id="1777"/>
      </w:r>
      <w:r>
        <w:rPr>
          <w:rFonts w:ascii="IRNazanin" w:hAnsi="IRNazanin" w:eastAsia="IRNazanin"/>
          <w:color w:val="111111"/>
          <w:sz w:val="28"/>
          <w:sz w:val="28"/>
          <w:szCs w:val="28"/>
          <w:rtl w:val="true"/>
          <w:lang w:bidi="fa-IR"/>
        </w:rPr>
        <w:t>و کشّاف القناع</w:t>
      </w:r>
      <w:r>
        <w:rPr>
          <w:rStyle w:val="FootnoteAnchor"/>
          <w:rtl w:val="true"/>
        </w:rPr>
        <w:footnoteReference w:id="1778"/>
      </w:r>
      <w:r>
        <w:rPr>
          <w:rFonts w:ascii="IRNazanin" w:hAnsi="IRNazanin" w:eastAsia="IRNazanin"/>
          <w:color w:val="111111"/>
          <w:sz w:val="28"/>
          <w:sz w:val="28"/>
          <w:szCs w:val="28"/>
          <w:rtl w:val="true"/>
          <w:lang w:bidi="fa-IR"/>
        </w:rPr>
        <w:t>، حیث صرّحوا بأنّ کلّ ما یمکن للصغیر إتیانه بنفسه أتی به، و ما عجز عنه یأتی به الولیّ نیابة عنه</w:t>
      </w:r>
      <w:r>
        <w:rPr>
          <w:rFonts w:eastAsia="IRNazanin" w:cs="IRNazanin"/>
          <w:color w:val="111111"/>
          <w:sz w:val="28"/>
          <w:szCs w:val="28"/>
          <w:rtl w:val="true"/>
          <w:lang w:bidi="fa-IR"/>
        </w:rPr>
        <w:t>.</w:t>
      </w:r>
      <w:bookmarkStart w:id="682" w:name="pg11756_104148"/>
    </w:p>
    <w:p>
      <w:pPr>
        <w:pStyle w:val="Heading3"/>
        <w:numPr>
          <w:ilvl w:val="2"/>
          <w:numId w:val="1"/>
        </w:numPr>
        <w:rPr/>
      </w:pPr>
      <w:bookmarkStart w:id="683" w:name="__RefHeading___Toc9643925_73709187"/>
      <w:bookmarkStart w:id="684" w:name="_Toc257"/>
      <w:bookmarkEnd w:id="682"/>
      <w:bookmarkEnd w:id="683"/>
      <w:r>
        <w:rPr>
          <w:rtl w:val="true"/>
        </w:rPr>
        <w:t>المبحث الثانی عشر</w:t>
      </w:r>
      <w:r>
        <w:rPr>
          <w:rtl w:val="true"/>
        </w:rPr>
        <w:t xml:space="preserve">: </w:t>
      </w:r>
      <w:r>
        <w:rPr>
          <w:rtl w:val="true"/>
        </w:rPr>
        <w:t>حکم بقیّة مناسک حجّ الصبیّ</w:t>
      </w:r>
      <w:bookmarkEnd w:id="684"/>
    </w:p>
    <w:p>
      <w:pPr>
        <w:pStyle w:val="Heading4"/>
        <w:numPr>
          <w:ilvl w:val="3"/>
          <w:numId w:val="1"/>
        </w:numPr>
        <w:rPr/>
      </w:pPr>
      <w:bookmarkStart w:id="685" w:name="__RefHeading___Toc9643927_73709187"/>
      <w:bookmarkStart w:id="686" w:name="_Toc258"/>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أمّا السعی فهو کالطواف، إن تمکن منه الصبیّ یفعله، و إلاّ ینوب عنه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یحضره الولیّ فی الموقفین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 القصد نوی بنفسه الوقوف، و إلاّ ینوی عنه الولیّ، و حکم الحلق کالطواف، و أمّا الرمی و الهدی فسوف نذکرهما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أمکن الصبیّ أن یفعله من أفعال الحجّ فعلیه، و ما لم یمکنه فعلی ولیّه أن ینوب عنه</w:t>
      </w:r>
      <w:r>
        <w:rPr>
          <w:rFonts w:eastAsia="IRNazanin" w:cs="IRNazanin"/>
          <w:color w:val="111111"/>
          <w:sz w:val="28"/>
          <w:szCs w:val="28"/>
          <w:rtl w:val="true"/>
          <w:lang w:bidi="fa-IR"/>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ولیّه أن یحضره الوقوف بالموقفین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الطواف و السعی فعلی ولیّه أن یحمله و یطوف به و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الولیّ عنه</w:t>
      </w:r>
      <w:r>
        <w:rPr>
          <w:rFonts w:eastAsia="IRNazanin" w:cs="IRNazanin"/>
          <w:color w:val="111111"/>
          <w:sz w:val="28"/>
          <w:szCs w:val="28"/>
          <w:rtl w:val="true"/>
          <w:lang w:bidi="fa-IR"/>
        </w:rPr>
        <w:t>»</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1781"/>
      </w:r>
      <w:r>
        <w:rPr>
          <w:rFonts w:ascii="IRNazanin" w:hAnsi="IRNazanin" w:eastAsia="IRNazanin"/>
          <w:color w:val="111111"/>
          <w:sz w:val="28"/>
          <w:sz w:val="28"/>
          <w:szCs w:val="28"/>
          <w:rtl w:val="true"/>
          <w:lang w:bidi="fa-IR"/>
        </w:rPr>
        <w:t>، و اختاره جماعة من المتأخّرین</w:t>
      </w:r>
      <w:r>
        <w:rPr>
          <w:rStyle w:val="FootnoteAnchor"/>
          <w:rtl w:val="true"/>
        </w:rPr>
        <w:footnoteReference w:id="1782"/>
      </w:r>
      <w:r>
        <w:rPr>
          <w:rFonts w:ascii="IRNazanin" w:hAnsi="IRNazanin" w:eastAsia="IRNazanin"/>
          <w:color w:val="111111"/>
          <w:sz w:val="28"/>
          <w:sz w:val="28"/>
          <w:szCs w:val="28"/>
          <w:rtl w:val="true"/>
          <w:lang w:bidi="fa-IR"/>
        </w:rPr>
        <w:t>و تابعیهم</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و أعلام العصر</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یأمره بکلّ من أفعاله، و إن لم یتمکّن شیئا منها ینوب عنه، و یطوف به، و یسعی به، و یقف به فی عرفات و مشعر و منی</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عبد الرحمن بن الحجّاج المتقدّمة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الترویة فأحرموا عنه و جرّدوه و غسّلوه کما یجرّد المحرم، وقفوا به المواقف، فإذا کان یوم النحر فارموا عنه و احلقوا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 الجاریة أن تطوف به بالبیت و بین الصّفا و المروة</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صحیحة معاویة بن عمّار المتقدّمة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من کان معکم من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بهم و یرمی عنهم، و من لا یجد الهدی منهم فلیصم عنه ولیّه</w:t>
      </w:r>
      <w:r>
        <w:rPr>
          <w:rFonts w:eastAsia="IRNazanin" w:cs="IRNazanin"/>
          <w:color w:val="111111"/>
          <w:sz w:val="28"/>
          <w:szCs w:val="28"/>
          <w:rtl w:val="true"/>
          <w:lang w:bidi="fa-IR"/>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نقل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بهم و یسعی بهم</w:t>
      </w:r>
      <w:r>
        <w:rPr>
          <w:rFonts w:eastAsia="IRNazanin" w:cs="IRNazanin"/>
          <w:color w:val="111111"/>
          <w:sz w:val="28"/>
          <w:szCs w:val="28"/>
          <w:rtl w:val="true"/>
          <w:lang w:bidi="fa-IR"/>
        </w:rPr>
        <w:t>»</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صحیحة زرارة</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bookmarkStart w:id="687" w:name="pg11756_104150"/>
    </w:p>
    <w:p>
      <w:pPr>
        <w:pStyle w:val="Heading4"/>
        <w:numPr>
          <w:ilvl w:val="3"/>
          <w:numId w:val="1"/>
        </w:numPr>
        <w:rPr/>
      </w:pPr>
      <w:bookmarkStart w:id="688" w:name="__RefHeading___Toc9643929_73709187"/>
      <w:bookmarkStart w:id="689" w:name="_Toc259"/>
      <w:bookmarkEnd w:id="687"/>
      <w:bookmarkEnd w:id="688"/>
      <w:r>
        <w:rPr>
          <w:rtl w:val="true"/>
        </w:rPr>
        <w:t>جواز خروج الصّبیان من المزدلفة قبل الفجر</w:t>
      </w:r>
      <w:bookmarkEnd w:id="689"/>
    </w:p>
    <w:p>
      <w:pPr>
        <w:pStyle w:val="BookText"/>
        <w:rPr/>
      </w:pPr>
      <w:r>
        <w:rPr>
          <w:rFonts w:ascii="IRNazanin" w:hAnsi="IRNazanin" w:eastAsia="IRNazanin"/>
          <w:color w:val="111111"/>
          <w:sz w:val="28"/>
          <w:sz w:val="28"/>
          <w:szCs w:val="28"/>
          <w:rtl w:val="true"/>
          <w:lang w:bidi="fa-IR"/>
        </w:rPr>
        <w:t>الظاهر أنّه لا خلاف بین الأصحاب فی جواز إفاضة الصبیان من المزدلفة قبل الفجر، بل ادّعی الإجماع علیه؛ إمّا لأنّهم من ذوی الأعذار، أو لجوازها علیهم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للخائف و المرأة الإفاضة من المشعر لیلا، فقد رخّص رسول اللّه صلّی اللّه علیه و آله للنساء و الصبیان فی ذلک</w:t>
      </w:r>
      <w:r>
        <w:rPr>
          <w:rFonts w:eastAsia="IRNazanin" w:cs="IRNazanin"/>
          <w:color w:val="111111"/>
          <w:sz w:val="28"/>
          <w:szCs w:val="28"/>
          <w:rtl w:val="true"/>
          <w:lang w:bidi="fa-IR"/>
        </w:rPr>
        <w:t>»</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النهایة</w:t>
      </w:r>
      <w:r>
        <w:rPr>
          <w:rStyle w:val="FootnoteAnchor"/>
          <w:rtl w:val="true"/>
        </w:rPr>
        <w:footnoteReference w:id="1791"/>
      </w:r>
      <w:r>
        <w:rPr>
          <w:rFonts w:ascii="IRNazanin" w:hAnsi="IRNazanin" w:eastAsia="IRNazanin"/>
          <w:color w:val="111111"/>
          <w:sz w:val="28"/>
          <w:sz w:val="28"/>
          <w:szCs w:val="28"/>
          <w:rtl w:val="true"/>
          <w:lang w:bidi="fa-IR"/>
        </w:rPr>
        <w:t>و المبسوط</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للخائف و للنساء و لغیرهم من أصحاب الأعذار و من له ضرورة الإفاضة قبل طلوع الفجر من مزدلفة، و هو قول کلّ من یحفظ عنه العلم</w:t>
      </w:r>
      <w:r>
        <w:rPr>
          <w:rFonts w:eastAsia="IRNazanin" w:cs="IRNazanin"/>
          <w:color w:val="111111"/>
          <w:sz w:val="28"/>
          <w:szCs w:val="28"/>
          <w:rtl w:val="true"/>
          <w:lang w:bidi="fa-IR"/>
        </w:rPr>
        <w:t>»</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فی التذکرة</w:t>
      </w:r>
      <w:r>
        <w:rPr>
          <w:rStyle w:val="FootnoteAnchor"/>
          <w:rtl w:val="true"/>
        </w:rPr>
        <w:footnoteReference w:id="1794"/>
      </w:r>
      <w:r>
        <w:rPr>
          <w:rFonts w:ascii="IRNazanin" w:hAnsi="IRNazanin" w:eastAsia="IRNazanin"/>
          <w:color w:val="111111"/>
          <w:sz w:val="28"/>
          <w:sz w:val="28"/>
          <w:szCs w:val="28"/>
          <w:rtl w:val="true"/>
          <w:lang w:bidi="fa-IR"/>
        </w:rPr>
        <w:t>و الدروس</w:t>
      </w:r>
      <w:r>
        <w:rPr>
          <w:rStyle w:val="FootnoteAnchor"/>
          <w:rtl w:val="true"/>
        </w:rPr>
        <w:footnoteReference w:id="1795"/>
      </w:r>
      <w:r>
        <w:rPr>
          <w:rFonts w:ascii="IRNazanin" w:hAnsi="IRNazanin" w:eastAsia="IRNazanin"/>
          <w:color w:val="111111"/>
          <w:sz w:val="28"/>
          <w:sz w:val="28"/>
          <w:szCs w:val="28"/>
          <w:rtl w:val="true"/>
          <w:lang w:bidi="fa-IR"/>
        </w:rPr>
        <w:t>و جامع المقاصد</w:t>
      </w:r>
      <w:r>
        <w:rPr>
          <w:rStyle w:val="FootnoteAnchor"/>
          <w:rtl w:val="true"/>
        </w:rPr>
        <w:footnoteReference w:id="1796"/>
      </w:r>
      <w:r>
        <w:rPr>
          <w:rFonts w:ascii="Amiri" w:hAnsi="Amiri" w:eastAsia="Amiri" w:cs="Amiri"/>
          <w:color w:val="111111"/>
          <w:sz w:val="28"/>
          <w:sz w:val="28"/>
          <w:szCs w:val="28"/>
          <w:rtl w:val="true"/>
          <w:lang w:bidi="ar-SA"/>
        </w:rPr>
        <w:t>و مجمع الفائدة</w:t>
      </w:r>
      <w:r>
        <w:rPr>
          <w:rStyle w:val="FootnoteAnchor"/>
          <w:rtl w:val="true"/>
        </w:rPr>
        <w:footnoteReference w:id="1797"/>
      </w:r>
      <w:r>
        <w:rPr>
          <w:rFonts w:ascii="IRNazanin" w:hAnsi="IRNazanin" w:eastAsia="IRNazanin"/>
          <w:color w:val="111111"/>
          <w:sz w:val="28"/>
          <w:sz w:val="28"/>
          <w:szCs w:val="28"/>
          <w:rtl w:val="true"/>
          <w:lang w:bidi="fa-IR"/>
        </w:rPr>
        <w:t>و غیرها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شارحا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لکلّ مضطرّ إلیه، کالراعی و الخائف و المریض و المرأة و الصبیّ مطلقا</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الإفاضة من المشعر لیلة العید بعد وقوف مقدار منها للضعفاء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کالنساء و الأطفال و 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عذر</w:t>
      </w:r>
      <w:r>
        <w:rPr>
          <w:rFonts w:eastAsia="IRNazanin" w:cs="IRNazanin"/>
          <w:color w:val="111111"/>
          <w:sz w:val="28"/>
          <w:szCs w:val="28"/>
          <w:rtl w:val="true"/>
          <w:lang w:bidi="fa-IR"/>
        </w:rPr>
        <w:t>»</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المعتمد</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المنتهی</w:t>
      </w:r>
      <w:r>
        <w:rPr>
          <w:rStyle w:val="FootnoteAnchor"/>
          <w:rtl w:val="true"/>
        </w:rPr>
        <w:footnoteReference w:id="1802"/>
      </w:r>
      <w:r>
        <w:rPr>
          <w:rFonts w:ascii="IRNazanin" w:hAnsi="IRNazanin" w:eastAsia="IRNazanin"/>
          <w:color w:val="111111"/>
          <w:sz w:val="28"/>
          <w:sz w:val="28"/>
          <w:szCs w:val="28"/>
          <w:rtl w:val="true"/>
          <w:lang w:bidi="fa-IR"/>
        </w:rPr>
        <w:t>، 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مجمع علیه بین الأصحاب</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 إلاّ أنّه لا یکون دلیلا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النصوص، مثل صحیحة معاویة بن عمّار الطویلة الواردة فی صفة حجّ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أفاض و أمر النّاس بالدّعة حتّی إذا انتهی إلی المزدلفة، و هی المشعر الحرام، فصلّی المغرب و العشاء الآخرة بأذان واحد و إقامتین، ثمّ أقام حتّی صلّی فیها الفجر، و عجّل ضعفاء بنی هاشم باللّیل، و أمرهم أن لا یرموا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تطلع الشمس</w:t>
      </w:r>
      <w:r>
        <w:rPr>
          <w:rFonts w:eastAsia="IRNazanin" w:cs="IRNazanin"/>
          <w:color w:val="111111"/>
          <w:sz w:val="28"/>
          <w:szCs w:val="28"/>
          <w:rtl w:val="true"/>
          <w:lang w:bidi="fa-IR"/>
        </w:rPr>
        <w:t>»</w:t>
      </w:r>
      <w:r>
        <w:rPr>
          <w:rStyle w:val="FootnoteAnchor"/>
          <w:rtl w:val="true"/>
        </w:rPr>
        <w:footnoteReference w:id="1804"/>
      </w:r>
      <w:r>
        <w:rPr>
          <w:rFonts w:ascii="IRNazanin" w:hAnsi="IRNazanin" w:eastAsia="IRNazanin"/>
          <w:color w:val="111111"/>
          <w:sz w:val="28"/>
          <w:sz w:val="28"/>
          <w:szCs w:val="28"/>
          <w:rtl w:val="true"/>
          <w:lang w:bidi="fa-IR"/>
        </w:rPr>
        <w:t>، الحدیث، و غیرها</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رواه فی الکافی و التهذیب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رخّص رسول اللّه صلّی اللّه علیه و آله للنّساء و الصّبیان أن یفیضوا بلیل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الجمار بلیل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r>
        <w:rPr>
          <w:rStyle w:val="FootnoteAnchor"/>
          <w:rtl w:val="true"/>
        </w:rPr>
        <w:footnoteReference w:id="180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واضحة</w:t>
      </w:r>
      <w:r>
        <w:rPr>
          <w:rFonts w:eastAsia="IRNazanin" w:cs="IRNazanin"/>
          <w:color w:val="111111"/>
          <w:sz w:val="28"/>
          <w:szCs w:val="28"/>
          <w:rtl w:val="true"/>
          <w:lang w:bidi="fa-IR"/>
        </w:rPr>
        <w:t>.</w:t>
      </w:r>
      <w:bookmarkStart w:id="690" w:name="pg11756_104152"/>
    </w:p>
    <w:p>
      <w:pPr>
        <w:pStyle w:val="Heading4"/>
        <w:numPr>
          <w:ilvl w:val="3"/>
          <w:numId w:val="1"/>
        </w:numPr>
        <w:rPr/>
      </w:pPr>
      <w:bookmarkStart w:id="691" w:name="__RefHeading___Toc9643931_73709187"/>
      <w:bookmarkStart w:id="692" w:name="_Toc260"/>
      <w:bookmarkEnd w:id="690"/>
      <w:bookmarkEnd w:id="691"/>
      <w:r>
        <w:rPr>
          <w:rtl w:val="true"/>
        </w:rPr>
        <w:t>النّیابة عن الصبیّ فی الرمی</w:t>
      </w:r>
      <w:bookmarkEnd w:id="692"/>
    </w:p>
    <w:p>
      <w:pPr>
        <w:pStyle w:val="BookText"/>
        <w:rPr/>
      </w:pPr>
      <w:r>
        <w:rPr>
          <w:rFonts w:ascii="IRNazanin" w:hAnsi="IRNazanin" w:eastAsia="IRNazanin"/>
          <w:color w:val="111111"/>
          <w:sz w:val="28"/>
          <w:sz w:val="28"/>
          <w:szCs w:val="28"/>
          <w:rtl w:val="true"/>
          <w:lang w:bidi="fa-IR"/>
        </w:rPr>
        <w:t>لا خلاف بین الفقهاء فی أنّه لو لم یقدر الصبیّ علی الرمی ینوب عنه الولیّ،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رمی الجمار إن میّز رماها بنفسه، و إن لم یمیّز رمی عنه ولیّه</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یعجز عنه الصبیّ یتولاّه الولیّ، من تلبیة و طواف و سعی و غیر ذلک</w:t>
      </w:r>
      <w:r>
        <w:rPr>
          <w:rFonts w:eastAsia="IRNazanin" w:cs="IRNazanin"/>
          <w:color w:val="111111"/>
          <w:sz w:val="28"/>
          <w:szCs w:val="28"/>
          <w:rtl w:val="true"/>
          <w:lang w:bidi="fa-IR"/>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الرمی، فإن أمکن من وضع الحصی فی کفّه و رمیها فی الجمرة من یده فعل، و إن عجز الصبیّ عن ذلک أحضره الجمار و رمی الولیّ عنه، و یستحبّ للولیّ أن یضع الحصی فی کفّ الصبیّ و أخذها من یده</w:t>
      </w:r>
      <w:r>
        <w:rPr>
          <w:rFonts w:eastAsia="IRNazanin" w:cs="IRNazanin"/>
          <w:color w:val="111111"/>
          <w:sz w:val="28"/>
          <w:szCs w:val="28"/>
          <w:rtl w:val="true"/>
          <w:lang w:bidi="fa-IR"/>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وضعها فی ید الصغیر و رمی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یده کالآلة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اللّثام،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أظفر له بسند</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یأمره بالرمی، و لو لم یتمکّن یرمی عنه</w:t>
      </w:r>
      <w:r>
        <w:rPr>
          <w:rFonts w:eastAsia="IRNazanin" w:cs="IRNazanin"/>
          <w:color w:val="111111"/>
          <w:sz w:val="28"/>
          <w:szCs w:val="28"/>
          <w:rtl w:val="true"/>
          <w:lang w:bidi="fa-IR"/>
        </w:rPr>
        <w:t>»</w:t>
      </w:r>
      <w:r>
        <w:rPr>
          <w:rStyle w:val="FootnoteAnchor"/>
          <w:rtl w:val="true"/>
        </w:rPr>
        <w:footnoteReference w:id="1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814"/>
      </w:r>
      <w:r>
        <w:rPr>
          <w:rFonts w:ascii="IRNazanin" w:hAnsi="IRNazanin" w:eastAsia="IRNazanin"/>
          <w:color w:val="111111"/>
          <w:sz w:val="28"/>
          <w:sz w:val="28"/>
          <w:szCs w:val="28"/>
          <w:rtl w:val="true"/>
          <w:lang w:bidi="fa-IR"/>
        </w:rPr>
        <w:t>و غیرها</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بسند صحیح عن معاویة بن عمّار و عبد الرحمن بن الحجّاج جمیعا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الکسیر و المبطون یرمی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الصّبیان یرمی عنهم</w:t>
      </w:r>
      <w:r>
        <w:rPr>
          <w:rFonts w:eastAsia="IRNazanin" w:cs="IRNazanin"/>
          <w:color w:val="111111"/>
          <w:sz w:val="28"/>
          <w:szCs w:val="28"/>
          <w:rtl w:val="true"/>
          <w:lang w:bidi="fa-IR"/>
        </w:rPr>
        <w:t>»</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رواه فی الکافی بسند صحیح عنهما أیضا</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قرب الإسناد عن جعفر بن محمّد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یرمی عنه، و الصبیّ یعطی الحصی فیرمی</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أیضا العمومات و الإطلاقات الّتی تدلّ علی جواز النیابة عمّن لا یستطیع الرّمی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إسحاق بن عمّار عن أبی الحسن علیه السّلام فی رجل طاف طواف الفریضة، ثمّ اعتلّ علّة لا یقدر معها علی إتمام الطواف،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طاف أربعة أشواط أمر من یطوف عنه ثلاثة أشواط فقد تمّ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طالت علّته أمر من یطوف عنه اسبوعا، و یصلّی هو رکعتین، و یسعی عنه، و قد خرج من إحرامه، و کذلک یفعل فی السعی و فی رمی الجمار</w:t>
      </w:r>
      <w:r>
        <w:rPr>
          <w:rFonts w:eastAsia="IRNazanin" w:cs="IRNazanin"/>
          <w:color w:val="111111"/>
          <w:sz w:val="28"/>
          <w:szCs w:val="28"/>
          <w:rtl w:val="true"/>
          <w:lang w:bidi="fa-IR"/>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العلیل الّذی لا یستطیع الطواف بنفسه یطاف به، و إذا لم یستطع الرمی رمی عنه، و الفرق بینهما أنّ الطواف</w:t>
      </w:r>
      <w:bookmarkStart w:id="693" w:name="pg11756_104154"/>
    </w:p>
    <w:p>
      <w:pPr>
        <w:pStyle w:val="BookText"/>
        <w:rPr/>
      </w:pPr>
      <w:bookmarkEnd w:id="693"/>
      <w:r>
        <w:rPr>
          <w:rFonts w:ascii="IRNazanin" w:hAnsi="IRNazanin" w:eastAsia="IRNazanin"/>
          <w:color w:val="111111"/>
          <w:sz w:val="28"/>
          <w:sz w:val="28"/>
          <w:szCs w:val="28"/>
          <w:rtl w:val="true"/>
          <w:lang w:bidi="fa-IR"/>
        </w:rPr>
        <w:t>فریضة و الرمی سنّة</w:t>
      </w:r>
      <w:r>
        <w:rPr>
          <w:rFonts w:eastAsia="IRNazanin" w:cs="IRNazanin"/>
          <w:color w:val="111111"/>
          <w:sz w:val="28"/>
          <w:szCs w:val="28"/>
          <w:rtl w:val="true"/>
          <w:lang w:bidi="fa-IR"/>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و الاستبصار عن معاویة بن عمّار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المبطون و الکسیر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عنهما و یرمی عنهما</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الکافی،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یرمی عنهما الجمار</w:t>
      </w:r>
      <w:r>
        <w:rPr>
          <w:rFonts w:eastAsia="IRNazanin" w:cs="IRNazanin"/>
          <w:color w:val="111111"/>
          <w:sz w:val="28"/>
          <w:szCs w:val="28"/>
          <w:rtl w:val="true"/>
          <w:lang w:bidi="fa-IR"/>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الفقیه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الحسن موسی علیه السّلام عن المریض یرمی عنه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یحمل إلی الجمرة و یرمی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فی منزله و یرمی عنه</w:t>
      </w:r>
      <w:r>
        <w:rPr>
          <w:rFonts w:eastAsia="IRNazanin" w:cs="IRNazanin"/>
          <w:color w:val="111111"/>
          <w:sz w:val="28"/>
          <w:szCs w:val="28"/>
          <w:rtl w:val="true"/>
          <w:lang w:bidi="fa-IR"/>
        </w:rPr>
        <w:t>»</w:t>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هی کثیرة</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9643933_73709187"/>
      <w:bookmarkStart w:id="695" w:name="_Toc261"/>
      <w:bookmarkEnd w:id="694"/>
      <w:r>
        <w:rPr>
          <w:rtl w:val="true"/>
        </w:rPr>
        <w:t>آراء أهل السنّة فی المقام</w:t>
      </w:r>
      <w:bookmarkEnd w:id="695"/>
    </w:p>
    <w:p>
      <w:pPr>
        <w:pStyle w:val="BookText"/>
        <w:rPr/>
      </w:pPr>
      <w:r>
        <w:rPr>
          <w:rFonts w:ascii="IRNazanin" w:hAnsi="IRNazanin" w:eastAsia="IRNazanin"/>
          <w:color w:val="111111"/>
          <w:sz w:val="28"/>
          <w:sz w:val="28"/>
          <w:szCs w:val="28"/>
          <w:rtl w:val="true"/>
          <w:lang w:bidi="fa-IR"/>
        </w:rPr>
        <w:t>إنّ جمهور الشافعیّة و المالکیّة و الحنابلة یوافق الإمامیّة فی ما تقدّم فی هذا المبحث، و أمّا الحنفیّة فحیث قالوا بعدم تحقّق الإحرام الصحیح من الصبیّ فلم یتعرّضوا لهذه المسائل، و إلیک نصّ کلماتهم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إحضار الصبیّ عرفات بلا خلاف، سواء الممیّز و غیره، و لا یکفی حضور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یحضر مزدلفة و المشعر الحرام و منی و سائر المواقف؛ لأنّ کلّ ذلک یمکن فعله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الطفل فإن قدر علی الرمی</w:t>
      </w:r>
    </w:p>
    <w:p>
      <w:pPr>
        <w:pStyle w:val="BookText"/>
        <w:rPr/>
      </w:pPr>
      <w:r>
        <w:rPr>
          <w:rFonts w:ascii="IRNazanin" w:hAnsi="IRNazanin" w:eastAsia="IRNazanin"/>
          <w:color w:val="111111"/>
          <w:sz w:val="28"/>
          <w:sz w:val="28"/>
          <w:szCs w:val="28"/>
          <w:rtl w:val="true"/>
          <w:lang w:bidi="fa-IR"/>
        </w:rPr>
        <w:t>أمره به الولیّ، و إلاّ رمی عنه من لیس علیه فرض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یضع الحصاة فی ید الطفل، ثمّ یأخذه بیده و یرمی بالحصاة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فیأخذها من یده، ثمّ یرمیها الولیّ، و لو لم یضعها فی یده بل رماها الولیّ ابتداء جاز</w:t>
      </w:r>
      <w:r>
        <w:rPr>
          <w:rFonts w:eastAsia="IRNazanin" w:cs="IRNazanin"/>
          <w:color w:val="111111"/>
          <w:sz w:val="28"/>
          <w:szCs w:val="28"/>
          <w:rtl w:val="true"/>
          <w:lang w:bidi="fa-IR"/>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تقدیم الضعفاء من النساء و غیرهنّ من مزدلفة قبل طلوع الفجر بعد نصف اللیل إلی منی؛ لیرموا جمرة العقبة قبل زحمة النّاس</w:t>
      </w:r>
      <w:r>
        <w:rPr>
          <w:rFonts w:eastAsia="IRNazanin" w:cs="IRNazanin"/>
          <w:color w:val="111111"/>
          <w:sz w:val="28"/>
          <w:szCs w:val="28"/>
          <w:rtl w:val="true"/>
          <w:lang w:bidi="fa-IR"/>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بروایة ابن عباس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قدّم النبیّ صلّی اللّه علیه و آله لیلة المزدلفة فی ضعفة أهله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البخاری و مسلم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یقدّم ضعفه أهله، فیقفون عند المشعر الحرام بالمزدلفة بلیل، فیذکرون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أرخص فی أولئک رسول اللّه صلّی اللّه علیه و آله</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یحضر الولیّ 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وجوبا فی الواجبة و ندبا فی المندوبة، فإن قدر من ذکر علی الرمی رمی وجوبا، فإن عجز عن تناول الأحجار ناولها ولیّه</w:t>
      </w:r>
      <w:r>
        <w:rPr>
          <w:rFonts w:eastAsia="IRNazanin" w:cs="IRNazanin"/>
          <w:color w:val="111111"/>
          <w:sz w:val="28"/>
          <w:szCs w:val="28"/>
          <w:rtl w:val="true"/>
          <w:lang w:bidi="fa-IR"/>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الوقوف بعرفة فی المبیت و المزدلفة و منی فعلی ولیّه أن یحضره؛ لیشهدها بنفسه، و أمّا الرمی فإن أمکن وضع الحصاة فی کفّه و رمیها فی الجمرة من یده فعل، و إن عجز الصبیّ عن ذلک أحضر الجمار و رمی</w:t>
      </w:r>
    </w:p>
    <w:p>
      <w:pPr>
        <w:pStyle w:val="BookText"/>
        <w:rPr/>
      </w:pPr>
      <w:r>
        <w:rPr>
          <w:rFonts w:ascii="Amiri" w:hAnsi="Amiri" w:eastAsia="Amiri" w:cs="Amiri"/>
          <w:color w:val="111111"/>
          <w:sz w:val="28"/>
          <w:sz w:val="28"/>
          <w:szCs w:val="28"/>
          <w:rtl w:val="true"/>
          <w:lang w:bidi="ar-SA"/>
        </w:rPr>
        <w:t>الولیّ عنه</w:t>
      </w:r>
      <w:r>
        <w:rPr>
          <w:rFonts w:eastAsia="Amiri" w:cs="Amiri" w:ascii="Amiri" w:hAnsi="Amiri"/>
          <w:color w:val="111111"/>
          <w:sz w:val="28"/>
          <w:szCs w:val="28"/>
          <w:rtl w:val="true"/>
          <w:lang w:bidi="ar-SA"/>
        </w:rPr>
        <w:t>»</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مختصر المزنی</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أمکنه فعله بنفسه لزمه فعله و لا ینوب غیره عنه فیه، کالوقوف و المبیت بمزدلفة و نحوهما، و ما عجز عنه عمله الولیّ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حفظت عنه من أهل العلم یری الرمی عن الصبیّ الّذی لا یقدر علی الرمی</w:t>
      </w:r>
      <w:r>
        <w:rPr>
          <w:rFonts w:eastAsia="IRNazanin" w:cs="IRNazanin"/>
          <w:color w:val="111111"/>
          <w:sz w:val="28"/>
          <w:szCs w:val="28"/>
          <w:rtl w:val="true"/>
          <w:lang w:bidi="fa-IR"/>
        </w:rPr>
        <w:t>»</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1834"/>
      </w:r>
      <w:r>
        <w:rPr>
          <w:rFonts w:ascii="IRNazanin" w:hAnsi="IRNazanin" w:eastAsia="IRNazanin"/>
          <w:color w:val="111111"/>
          <w:sz w:val="28"/>
          <w:sz w:val="28"/>
          <w:szCs w:val="28"/>
          <w:rtl w:val="true"/>
          <w:lang w:bidi="fa-IR"/>
        </w:rPr>
        <w:t>و الردّ المحتار</w:t>
      </w:r>
      <w:r>
        <w:rPr>
          <w:rStyle w:val="FootnoteAnchor"/>
          <w:rtl w:val="true"/>
        </w:rPr>
        <w:footnoteReference w:id="1835"/>
      </w:r>
      <w:r>
        <w:rPr>
          <w:rFonts w:ascii="IRNazanin" w:hAnsi="IRNazanin" w:eastAsia="IRNazanin"/>
          <w:color w:val="111111"/>
          <w:sz w:val="28"/>
          <w:sz w:val="28"/>
          <w:szCs w:val="28"/>
          <w:rtl w:val="true"/>
          <w:lang w:bidi="fa-IR"/>
        </w:rPr>
        <w:t>، و قریب من هذا فی مواهب الجلیل</w:t>
      </w:r>
      <w:r>
        <w:rPr>
          <w:rStyle w:val="FootnoteAnchor"/>
          <w:rtl w:val="true"/>
        </w:rPr>
        <w:footnoteReference w:id="1836"/>
      </w:r>
      <w:r>
        <w:rPr>
          <w:rFonts w:ascii="IRNazanin" w:hAnsi="IRNazanin" w:eastAsia="IRNazanin"/>
          <w:color w:val="111111"/>
          <w:sz w:val="28"/>
          <w:sz w:val="28"/>
          <w:szCs w:val="28"/>
          <w:rtl w:val="true"/>
          <w:lang w:bidi="fa-IR"/>
        </w:rPr>
        <w:t>و تبیین المسالک</w:t>
      </w:r>
      <w:r>
        <w:rPr>
          <w:rStyle w:val="FootnoteAnchor"/>
          <w:rtl w:val="true"/>
        </w:rPr>
        <w:footnoteReference w:id="1837"/>
      </w:r>
      <w:r>
        <w:rPr>
          <w:rFonts w:ascii="IRNazanin" w:hAnsi="IRNazanin" w:eastAsia="IRNazanin"/>
          <w:color w:val="111111"/>
          <w:sz w:val="28"/>
          <w:sz w:val="28"/>
          <w:szCs w:val="28"/>
          <w:rtl w:val="true"/>
          <w:lang w:bidi="fa-IR"/>
        </w:rPr>
        <w:t>و حاشیة الخرشی</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bookmarkStart w:id="696" w:name="pg11756_104157"/>
    </w:p>
    <w:p>
      <w:pPr>
        <w:pStyle w:val="Heading3"/>
        <w:numPr>
          <w:ilvl w:val="2"/>
          <w:numId w:val="1"/>
        </w:numPr>
        <w:rPr/>
      </w:pPr>
      <w:bookmarkStart w:id="697" w:name="__RefHeading___Toc9643935_73709187"/>
      <w:bookmarkStart w:id="698" w:name="_Toc262"/>
      <w:bookmarkEnd w:id="696"/>
      <w:bookmarkEnd w:id="697"/>
      <w:r>
        <w:rPr>
          <w:rtl w:val="true"/>
        </w:rPr>
        <w:t>المبحث الثالث عشر</w:t>
      </w:r>
      <w:r>
        <w:rPr>
          <w:rtl w:val="true"/>
        </w:rPr>
        <w:t xml:space="preserve">: </w:t>
      </w:r>
      <w:r>
        <w:rPr>
          <w:rtl w:val="true"/>
        </w:rPr>
        <w:t>الهدی فی حجّ الصبیّ</w:t>
      </w:r>
      <w:bookmarkEnd w:id="698"/>
    </w:p>
    <w:p>
      <w:pPr>
        <w:pStyle w:val="Heading4"/>
        <w:numPr>
          <w:ilvl w:val="3"/>
          <w:numId w:val="1"/>
        </w:numPr>
        <w:rPr/>
      </w:pPr>
      <w:bookmarkStart w:id="699" w:name="__RefHeading___Toc9643937_73709187"/>
      <w:bookmarkStart w:id="700" w:name="_Toc263"/>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هل الهدی فی حجّ الصبیّ علی الولیّ أم فی مال الصبیّ؟ و هل الحکم فی الصبیّ الممیّز و غیر الممیّز واحد، أم یختلف الحکم بالنسبة إلیهما؟ فیهما أقوال و یقع الکلام فیها فی مقامین</w:t>
      </w:r>
      <w:r>
        <w:rPr>
          <w:rFonts w:eastAsia="IRNazanin" w:cs="IRNazanin"/>
          <w:color w:val="111111"/>
          <w:sz w:val="28"/>
          <w:szCs w:val="28"/>
          <w:rtl w:val="true"/>
          <w:lang w:bidi="fa-IR"/>
        </w:rPr>
        <w:t>:</w:t>
      </w:r>
    </w:p>
    <w:p>
      <w:pPr>
        <w:pStyle w:val="Heading4"/>
        <w:numPr>
          <w:ilvl w:val="3"/>
          <w:numId w:val="1"/>
        </w:numPr>
        <w:rPr/>
      </w:pPr>
      <w:bookmarkStart w:id="701" w:name="__RefHeading___Toc9643939_73709187"/>
      <w:bookmarkStart w:id="702" w:name="_Toc264"/>
      <w:bookmarkEnd w:id="701"/>
      <w:r>
        <w:rPr>
          <w:rtl w:val="true"/>
        </w:rPr>
        <w:t>المقام الأوّل</w:t>
      </w:r>
      <w:r>
        <w:rPr>
          <w:rtl w:val="true"/>
        </w:rPr>
        <w:t xml:space="preserve">: </w:t>
      </w:r>
      <w:r>
        <w:rPr>
          <w:rtl w:val="true"/>
        </w:rPr>
        <w:t>الهدی فی حجّ الصبیّ غیر الممیّز</w:t>
      </w:r>
      <w:bookmarkEnd w:id="702"/>
    </w:p>
    <w:p>
      <w:pPr>
        <w:pStyle w:val="Heading5"/>
        <w:numPr>
          <w:ilvl w:val="4"/>
          <w:numId w:val="1"/>
        </w:numPr>
        <w:rPr/>
      </w:pPr>
      <w:bookmarkStart w:id="703" w:name="__RefHeading___Toc9643941_73709187"/>
      <w:bookmarkStart w:id="704" w:name="_Toc265"/>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لا خلاف بین الفقهاء فی أنّ هدی حجّ الصبیّ غیر الممیّز علی الولیّ، و هو الأقوی،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حجّ بهم متمتّعین وجب أن یذبح عنهم إذا کانوا صغارا</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الولیّ الهدی من ماله أیضا</w:t>
      </w:r>
      <w:r>
        <w:rPr>
          <w:rFonts w:eastAsia="IRNazanin" w:cs="IRNazanin"/>
          <w:color w:val="111111"/>
          <w:sz w:val="28"/>
          <w:szCs w:val="28"/>
          <w:rtl w:val="true"/>
          <w:lang w:bidi="fa-IR"/>
        </w:rPr>
        <w:t>»</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المعتبر</w:t>
      </w:r>
      <w:r>
        <w:rPr>
          <w:rStyle w:val="FootnoteAnchor"/>
          <w:rtl w:val="true"/>
        </w:rPr>
        <w:footnoteReference w:id="1841"/>
      </w:r>
      <w:bookmarkStart w:id="705" w:name="pg11756_104158"/>
    </w:p>
    <w:p>
      <w:pPr>
        <w:pStyle w:val="BookText"/>
        <w:rPr/>
      </w:pPr>
      <w:bookmarkEnd w:id="705"/>
      <w:r>
        <w:rPr>
          <w:rFonts w:ascii="IRNazanin" w:hAnsi="IRNazanin" w:eastAsia="IRNazanin"/>
          <w:color w:val="111111"/>
          <w:sz w:val="28"/>
          <w:sz w:val="28"/>
          <w:szCs w:val="28"/>
          <w:rtl w:val="true"/>
          <w:lang w:bidi="fa-IR"/>
        </w:rPr>
        <w:t>و السرائر</w:t>
      </w:r>
      <w:r>
        <w:rPr>
          <w:rStyle w:val="FootnoteAnchor"/>
          <w:rtl w:val="true"/>
        </w:rPr>
        <w:footnoteReference w:id="1842"/>
      </w:r>
      <w:r>
        <w:rPr>
          <w:rFonts w:ascii="Amiri" w:hAnsi="Amiri" w:eastAsia="Amiri" w:cs="Amiri"/>
          <w:color w:val="111111"/>
          <w:sz w:val="28"/>
          <w:sz w:val="28"/>
          <w:szCs w:val="28"/>
          <w:rtl w:val="true"/>
          <w:lang w:bidi="ar-SA"/>
        </w:rPr>
        <w:t>، و به قال العلاّمة</w:t>
      </w:r>
      <w:r>
        <w:rPr>
          <w:rStyle w:val="FootnoteAnchor"/>
          <w:rtl w:val="true"/>
        </w:rPr>
        <w:footnoteReference w:id="1843"/>
      </w:r>
      <w:r>
        <w:rPr>
          <w:rFonts w:ascii="Amiri" w:hAnsi="Amiri" w:eastAsia="Amiri" w:cs="Amiri"/>
          <w:color w:val="111111"/>
          <w:sz w:val="28"/>
          <w:sz w:val="28"/>
          <w:szCs w:val="28"/>
          <w:rtl w:val="true"/>
          <w:lang w:bidi="ar-SA"/>
        </w:rPr>
        <w:t>و المحقّق</w:t>
      </w:r>
      <w:r>
        <w:rPr>
          <w:rStyle w:val="FootnoteAnchor"/>
          <w:rtl w:val="true"/>
        </w:rPr>
        <w:footnoteReference w:id="1844"/>
      </w:r>
      <w:r>
        <w:rPr>
          <w:rFonts w:ascii="IRNazanin" w:hAnsi="IRNazanin" w:eastAsia="IRNazanin"/>
          <w:color w:val="111111"/>
          <w:sz w:val="28"/>
          <w:sz w:val="28"/>
          <w:szCs w:val="28"/>
          <w:rtl w:val="true"/>
          <w:lang w:bidi="fa-IR"/>
        </w:rPr>
        <w:t>و الشهید</w:t>
      </w:r>
      <w:r>
        <w:rPr>
          <w:rStyle w:val="FootnoteAnchor"/>
          <w:rtl w:val="true"/>
        </w:rPr>
        <w:footnoteReference w:id="1845"/>
      </w:r>
      <w:r>
        <w:rPr>
          <w:rFonts w:ascii="Amiri" w:hAnsi="Amiri" w:eastAsia="Amiri" w:cs="Amiri"/>
          <w:color w:val="111111"/>
          <w:sz w:val="28"/>
          <w:sz w:val="28"/>
          <w:szCs w:val="28"/>
          <w:rtl w:val="true"/>
          <w:lang w:bidi="ar-SA"/>
        </w:rPr>
        <w:t>الثّانیان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مع القدرة أن یذبح عن الصبیّ المتمتّع الصغیر الغیر الممیّز، أو العاجز عن الصوم</w:t>
      </w:r>
      <w:r>
        <w:rPr>
          <w:rFonts w:eastAsia="IRNazanin" w:cs="IRNazanin"/>
          <w:color w:val="111111"/>
          <w:sz w:val="28"/>
          <w:szCs w:val="28"/>
          <w:rtl w:val="true"/>
          <w:lang w:bidi="fa-IR"/>
        </w:rPr>
        <w:t>»</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فکأنّه لا خلاف بینهم فی وجوبه علی الولیّ</w:t>
      </w:r>
      <w:r>
        <w:rPr>
          <w:rFonts w:eastAsia="IRNazanin" w:cs="IRNazanin"/>
          <w:color w:val="111111"/>
          <w:sz w:val="28"/>
          <w:szCs w:val="28"/>
          <w:rtl w:val="true"/>
          <w:lang w:bidi="fa-IR"/>
        </w:rPr>
        <w:t>»</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أعلام العصر</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9643943_73709187"/>
      <w:bookmarkStart w:id="707" w:name="_Toc266"/>
      <w:bookmarkEnd w:id="706"/>
      <w:r>
        <w:rPr>
          <w:rtl w:val="true"/>
        </w:rPr>
        <w:t>أدلّة وجوب الهدی علی الولیّ فی حجّ الصبیّ غیر الممیّز</w:t>
      </w:r>
      <w:bookmarkEnd w:id="707"/>
    </w:p>
    <w:p>
      <w:pPr>
        <w:pStyle w:val="Heading6"/>
        <w:numPr>
          <w:ilvl w:val="5"/>
          <w:numId w:val="1"/>
        </w:numPr>
        <w:rPr/>
      </w:pPr>
      <w:bookmarkStart w:id="708" w:name="__RefHeading___Toc9643945_73709187"/>
      <w:bookmarkStart w:id="709" w:name="_Toc267"/>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و یمکن أن یستدلّ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الهدی فلأنّه نسک، فهو أحد أفعال الحجّ الواجبات، و قد وجب بسبب الولیّ، فیتعلّق الوجوب به</w:t>
      </w:r>
      <w:r>
        <w:rPr>
          <w:rFonts w:eastAsia="IRNazanin" w:cs="IRNazanin"/>
          <w:color w:val="111111"/>
          <w:sz w:val="28"/>
          <w:szCs w:val="28"/>
          <w:rtl w:val="true"/>
          <w:lang w:bidi="fa-IR"/>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غرم أدخله علی الصبیّ، کالنفقة الزائدة، فتکون فی ماله</w:t>
      </w:r>
      <w:r>
        <w:rPr>
          <w:rFonts w:eastAsia="IRNazanin" w:cs="IRNazanin"/>
          <w:color w:val="111111"/>
          <w:sz w:val="28"/>
          <w:szCs w:val="28"/>
          <w:rtl w:val="true"/>
          <w:lang w:bidi="fa-IR"/>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لزومه علی الولیّ من ماله أیضا ظاهر، کالنفقة</w:t>
      </w:r>
    </w:p>
    <w:p>
      <w:pPr>
        <w:pStyle w:val="BookText"/>
        <w:rPr/>
      </w:pP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بکون الهدی غرم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ولایة الولیّ علی إخراج الهدی من 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الإحجاج به القیام بما هو من لوازم الحجّ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الهدی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زید بعمرو، إلاّ إذا قام بجمیع الجهات المتعلّقة بحجّه، و یقوی ذلک فی غیر الممیّز و الولیّ؛ لأنّ غیر الممیّز کالآلة المحضة، و السبب الوحید هو الولیّ</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الروایات هو استحباب الإحجاج بالصبیّ، و أمّا صرف ماله فیحتاج إلی دلیل آخر، و المفروض أنّ صرف ماله فی الهدی لیس من مصالح الصبیّ؛ لأنّه یمکن أن یأخذه معه و لا یحجّ به، کما أشار إلیه السیّد الخوئی</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بعض الأعاظم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فی تصرّفات الولیّ فی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غبطة دنیویّة للصبیّ، و لا غبطة دنیویّة فی الإحرام الموجب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فرضنا کون أصل سفره و إخراجه من محلّه غبطة و مصلحة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إخراجه من محلّه و إدخاله إلی مکّة بدون الإحجاج و لا أمره بالحجّ؛ لئلا یلزم علیه هدی الصبیّ، فإذا أحجّه أو أذن له فی الحجّ فیجب علیه هدیه لا محالة</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 و یصوم الکبار</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الروایة علی أنّ الذبح علی من حجّ بالصبیّ ولیّا کان أم غیره، فإنّ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الجماعة الّذین حجّوا بالصبیّ و لم یکن لهم ما یذبحون عن المجموع، فلا ینافی تمکّنهم من الذبح عن الصّغار، فامروا بالصوم و بالذبح عن الصغار، کما صرّح به بعض الأعلام</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المستمسک فی مقام الإشکال علی الاستدلال بالروایة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صحیح زرارة فالأمر فیه بالذبح عنهم إنّما کان بعد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ما یذبحون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یدلّ علی الحکم فی صورة تمکّن الطفل منه، بل لعلّه ظاهر فی الذبح من مال الصبیّ مع التمکّن منه، بل لا یبعد ظهوره فی ذلک من جهة التقریر</w:t>
      </w:r>
      <w:r>
        <w:rPr>
          <w:rFonts w:eastAsia="IRNazanin" w:cs="IRNazanin"/>
          <w:color w:val="111111"/>
          <w:sz w:val="28"/>
          <w:szCs w:val="28"/>
          <w:rtl w:val="true"/>
          <w:lang w:bidi="fa-IR"/>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 و یصوم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الذبح من مال الصغیر أو من مال الولیّ، فلا یصحّ الاستدلال لواحد منهما</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bookmarkStart w:id="710" w:name="pg11756_104161"/>
    </w:p>
    <w:p>
      <w:pPr>
        <w:pStyle w:val="BookText"/>
        <w:rPr/>
      </w:pPr>
      <w:bookmarkEnd w:id="710"/>
      <w:r>
        <w:rPr>
          <w:rFonts w:ascii="IRNazanin" w:hAnsi="IRNazanin" w:eastAsia="IRNazanin"/>
          <w:color w:val="111111"/>
          <w:sz w:val="28"/>
          <w:sz w:val="28"/>
          <w:szCs w:val="28"/>
          <w:rtl w:val="true"/>
          <w:lang w:bidi="fa-IR"/>
        </w:rPr>
        <w:t>و أجاب فی تفصیل الشریعة عمّا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ابتناء کلامه علی کون مرجع الضمیر فی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صغارهم و کبارهم علی ما عرفت من کون المفروض فی الروایة التعدّد بالإضافة إلی کلیهما، فإنّه حینئذ یستظهر</w:t>
      </w:r>
      <w:r>
        <w:rPr>
          <w:rStyle w:val="FootnoteAnchor"/>
          <w:rtl w:val="true"/>
        </w:rPr>
        <w:footnoteReference w:id="1862"/>
      </w:r>
      <w:r>
        <w:rPr>
          <w:rFonts w:ascii="IRNazanin" w:hAnsi="IRNazanin" w:eastAsia="IRNazanin"/>
          <w:color w:val="111111"/>
          <w:sz w:val="28"/>
          <w:sz w:val="28"/>
          <w:szCs w:val="28"/>
          <w:rtl w:val="true"/>
          <w:lang w:bidi="fa-IR"/>
        </w:rPr>
        <w:t>منه أنّه مع تمکّن الصبیّ لا بدّ و أن یتحقّق الذبح من ماله، مع أنّ الظاهر أنّ مرجع الضمیر خصوص الکبار بقرینة قوله علیه السّلام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یحسن أن یلبّی لبّوا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فمراد السائل عدم تمکّن الحجّاج الکبار من الذبح للجمیع، الکبار و الصغار، فالحکم بلزوم الذبح عن الصغار ظاهر حینئذ فی الثبوت علی الولیّ، کما هو واضح</w:t>
      </w:r>
      <w:r>
        <w:rPr>
          <w:rFonts w:eastAsia="IRNazanin" w:cs="IRNazanin"/>
          <w:color w:val="111111"/>
          <w:sz w:val="28"/>
          <w:szCs w:val="28"/>
          <w:rtl w:val="true"/>
          <w:lang w:bidi="fa-IR"/>
        </w:rPr>
        <w:t>»</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یجاب عمّا فی المهذّب أیضا</w:t>
      </w:r>
      <w:r>
        <w:rPr>
          <w:rFonts w:eastAsia="IRNazanin" w:cs="IRNazanin"/>
          <w:color w:val="111111"/>
          <w:sz w:val="28"/>
          <w:szCs w:val="28"/>
          <w:rtl w:val="true"/>
          <w:lang w:bidi="fa-IR"/>
        </w:rPr>
        <w:t>.</w:t>
      </w:r>
    </w:p>
    <w:p>
      <w:pPr>
        <w:pStyle w:val="Heading6"/>
        <w:numPr>
          <w:ilvl w:val="5"/>
          <w:numId w:val="1"/>
        </w:numPr>
        <w:rPr/>
      </w:pPr>
      <w:bookmarkStart w:id="711" w:name="__RefHeading___Toc9643947_73709187"/>
      <w:bookmarkStart w:id="712" w:name="_Toc268"/>
      <w:bookmarkEnd w:id="711"/>
      <w:r>
        <w:rPr>
          <w:rtl w:val="true"/>
        </w:rPr>
        <w:t>دخول الغلمان بعمرة بغیر احرام</w:t>
      </w:r>
      <w:bookmarkEnd w:id="71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غلمان لنا دخلوا معنا مکّة بعمرة و خرجوا معنا إلی عرفات بغیر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یغتسلون، ثمّ یحرمون، و اذبحوا عنهم کما تذبحون عن أنفسکم</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إطلاقها یقتضی الذبح من مال الولیّ، بل هو مقتضی إطلاق الخطاب بإحجاجه، فإنّ الظاهر من إحجاجه السعی فی وقوع الحجّ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علی الولیّ بذله، کما یظهر ذلک بملاحظة نظیره من الأمر بإحجاج المؤمن، أو نذر إحجاجه، فإن الظاهر من ذلک السعی فی حصول الحجّ منه حتّی ببذل الهدی و نحوه، کما فی المستمسک</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 ذلک فی تفصیل الشریعة بأنّ ظاهر الأکثر تمامیّة الاستدلال بهذه الروایة للمقام، مع أنّ الظاهر عدم ارتباطها بما نحن فیه بوجه؛ لأنّ کلامنا إنّما هو فی الصبیّ غیر الممیّز الذی یرید الولیّ الإحجاج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هذه الروایة الصبیان الممیّزون الذین یتصدّون للحجّ بأنفسهم، و الدلیل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یغتسلون ثمّ یحرمون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مجال لقراءتهما مبنیّتین للمفعول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و علیه فالمتصدّی للاغتسال و الإحرام إنّما هو نفس الصبیّ، و لا محالة یکون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المراد من ذیل الروایة أنّ الذبح حیث یکون أمرا خاصّا لا یتحقّق من الکبیر نوعا بالمباشرة، و لذا تجری فیه النیابة فی حال الاختیار، و ینوب الکبار عن الصغار کما ینوب الکبار بعضهم عن بعض، و لا دلالة للذیل</w:t>
      </w:r>
      <w:r>
        <w:rPr>
          <w:rStyle w:val="FootnoteAnchor"/>
          <w:rtl w:val="true"/>
        </w:rPr>
        <w:footnoteReference w:id="1866"/>
      </w:r>
      <w:r>
        <w:rPr>
          <w:rFonts w:ascii="IRNazanin" w:hAnsi="IRNazanin" w:eastAsia="IRNazanin"/>
          <w:color w:val="111111"/>
          <w:sz w:val="28"/>
          <w:sz w:val="28"/>
          <w:szCs w:val="28"/>
          <w:rtl w:val="true"/>
          <w:lang w:bidi="fa-IR"/>
        </w:rPr>
        <w:t>علی وجوب أن یشتری الولیّ من ماله دون مال الطفل کما هو ظاهر، فهذه الروایة أجنبیّة عن المقام</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یحتمل أن یکون المراد من الغلمان عبیدهم، فلا ربط بما نحن فیه، و الشاهد علیه ما رواه فی الکافی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رجل أمر غلمانه أنّ یتمتّعوا،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یضحّی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أعطاهم دراهم، فبعضهم ضحّی و بعضهم أمسک الدراهم و صام،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أجزأ عنهم، و هو بالخیار إن شاء ترکها</w:t>
      </w:r>
      <w:r>
        <w:rPr>
          <w:rFonts w:eastAsia="IRNazanin" w:cs="IRNazanin"/>
          <w:color w:val="111111"/>
          <w:sz w:val="28"/>
          <w:szCs w:val="28"/>
          <w:rtl w:val="true"/>
          <w:lang w:bidi="fa-IR"/>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bookmarkStart w:id="713" w:name="pg11756_104163"/>
    </w:p>
    <w:p>
      <w:pPr>
        <w:pStyle w:val="BookText"/>
        <w:rPr/>
      </w:pPr>
      <w:bookmarkEnd w:id="713"/>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 الخلاف فی کون الهدی علی الولیّ مع اشتراط صحّة تصرّفات الولیّ فی مال الطفل علی وجود الغبطة الدنیویّة و عدم کون صرفه فی الهدی کذلک کاف فی إثبات کونه علی الولیّ و لو لم ندّع دلالة الخبرین علی المدّعی، مضافا إلی أنّ الاحتیاط یقتضی ذلک أیضا</w:t>
      </w:r>
      <w:r>
        <w:rPr>
          <w:rFonts w:eastAsia="IRNazanin" w:cs="IRNazanin"/>
          <w:color w:val="111111"/>
          <w:sz w:val="28"/>
          <w:szCs w:val="28"/>
          <w:rtl w:val="true"/>
          <w:lang w:bidi="fa-IR"/>
        </w:rPr>
        <w:t>.</w:t>
      </w:r>
    </w:p>
    <w:p>
      <w:pPr>
        <w:pStyle w:val="Heading5"/>
        <w:numPr>
          <w:ilvl w:val="4"/>
          <w:numId w:val="1"/>
        </w:numPr>
        <w:rPr/>
      </w:pPr>
      <w:bookmarkStart w:id="714" w:name="__RefHeading___Toc9643949_73709187"/>
      <w:bookmarkStart w:id="715" w:name="_Toc269"/>
      <w:bookmarkEnd w:id="714"/>
      <w:r>
        <w:rPr>
          <w:rtl w:val="true"/>
        </w:rPr>
        <w:t>بدل الهدی علی الولیّ</w:t>
      </w:r>
      <w:bookmarkEnd w:id="715"/>
    </w:p>
    <w:p>
      <w:pPr>
        <w:pStyle w:val="BookText"/>
        <w:rPr/>
      </w:pPr>
      <w:r>
        <w:rPr>
          <w:rFonts w:ascii="IRNazanin" w:hAnsi="IRNazanin" w:eastAsia="IRNazanin"/>
          <w:color w:val="111111"/>
          <w:sz w:val="28"/>
          <w:sz w:val="28"/>
          <w:szCs w:val="28"/>
          <w:rtl w:val="true"/>
          <w:lang w:bidi="fa-IR"/>
        </w:rPr>
        <w:t>المشهور بین الفقهاء أنّه مع عجز الصبیّ غیر الممیّز عن الهدی فعلی الولیّ أن یأتی ببدله، و هو الصّوم، بل لا خلاف فیه بینهم،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یوجد لهم هدی و لا یقدرون علی الصوم کان علی ولیّهم أن یصوم عنهم</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لم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الصیام صام الولیّ عنه مع العجز عن الهدی</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یوجد لهم هدی کان علی الولیّ الّذی أدخلهم فی الحجّ أن یصوم عنه</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یوجد هدی و لا قدر الصبیّ علی الصوم وجب علی الولیّ الصوم عنه</w:t>
      </w:r>
      <w:r>
        <w:rPr>
          <w:rFonts w:eastAsia="IRNazanin" w:cs="IRNazanin"/>
          <w:color w:val="111111"/>
          <w:sz w:val="28"/>
          <w:szCs w:val="28"/>
          <w:rtl w:val="true"/>
          <w:lang w:bidi="fa-IR"/>
        </w:rPr>
        <w:t>»</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أیضا کثیر من المتأخّرین</w:t>
      </w:r>
      <w:r>
        <w:rPr>
          <w:rStyle w:val="FootnoteAnchor"/>
          <w:rtl w:val="true"/>
        </w:rPr>
        <w:footnoteReference w:id="1873"/>
      </w:r>
      <w:r>
        <w:rPr>
          <w:rFonts w:ascii="IRNazanin" w:hAnsi="IRNazanin" w:eastAsia="IRNazanin"/>
          <w:color w:val="111111"/>
          <w:sz w:val="28"/>
          <w:sz w:val="28"/>
          <w:szCs w:val="28"/>
          <w:rtl w:val="true"/>
          <w:lang w:bidi="fa-IR"/>
        </w:rPr>
        <w:t>و بعض أعلام العصر</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bookmarkStart w:id="716" w:name="pg11756_104164"/>
    </w:p>
    <w:p>
      <w:pPr>
        <w:pStyle w:val="Heading5"/>
        <w:numPr>
          <w:ilvl w:val="4"/>
          <w:numId w:val="1"/>
        </w:numPr>
        <w:rPr/>
      </w:pPr>
      <w:bookmarkStart w:id="717" w:name="__RefHeading___Toc9643951_73709187"/>
      <w:bookmarkStart w:id="718" w:name="_Toc270"/>
      <w:bookmarkEnd w:id="716"/>
      <w:bookmarkEnd w:id="717"/>
      <w:r>
        <w:rPr>
          <w:rtl w:val="true"/>
        </w:rPr>
        <w:t>أدلّة هذا الحکم</w:t>
      </w:r>
      <w:bookmarkEnd w:id="718"/>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الهدی یکون علی الولیّ؛ لأنّه هو السبب لإحجاج الصبیّ، و هکذا بدله</w:t>
      </w:r>
      <w:r>
        <w:rPr>
          <w:rStyle w:val="FootnoteAnchor"/>
          <w:rtl w:val="true"/>
        </w:rPr>
        <w:footnoteReference w:id="1875"/>
      </w:r>
      <w:r>
        <w:rPr>
          <w:rFonts w:ascii="IRNazanin" w:hAnsi="IRNazanin" w:eastAsia="IRNazanin"/>
          <w:color w:val="111111"/>
          <w:sz w:val="28"/>
          <w:sz w:val="28"/>
          <w:szCs w:val="28"/>
          <w:rtl w:val="true"/>
          <w:lang w:bidi="fa-IR"/>
        </w:rPr>
        <w:t>؛ لأنّ کلیهما من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المتقدّمة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بهم و یرمی عنهم، و من لا یجد الهدی منهم فلیصم عنه ولیّه</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 فإنّها صریحة بأنّ الولیّ إذا لم یکن له مال فلیصم عن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غلمان لنا دخلوا معنا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یغتسلون، ثمّ یحرمون، و اذبحوا عنهم کما تذبحون عن أنفسکم</w:t>
      </w:r>
      <w:r>
        <w:rPr>
          <w:rFonts w:eastAsia="IRNazanin" w:cs="IRNazanin"/>
          <w:color w:val="111111"/>
          <w:sz w:val="28"/>
          <w:szCs w:val="28"/>
          <w:rtl w:val="true"/>
          <w:lang w:bidi="fa-IR"/>
        </w:rPr>
        <w:t>»</w:t>
      </w:r>
      <w:r>
        <w:rPr>
          <w:rStyle w:val="FootnoteAnchor"/>
          <w:rtl w:val="true"/>
        </w:rPr>
        <w:footnoteReference w:id="1877"/>
      </w:r>
      <w:r>
        <w:rPr>
          <w:rFonts w:ascii="IRNazanin" w:hAnsi="IRNazanin" w:eastAsia="IRNazanin"/>
          <w:color w:val="111111"/>
          <w:sz w:val="28"/>
          <w:sz w:val="28"/>
          <w:szCs w:val="28"/>
          <w:rtl w:val="true"/>
          <w:lang w:bidi="fa-IR"/>
        </w:rPr>
        <w:t>، فإنّها ظاهرة فی أنّ الکبار الّذین تکفّلوا أمر الصّبیان یجب علیهم الذبح عنهم، و حیث إنّ المفروض عجزهم عن ذلک، فیجب علیهم أن یأتوا ببدله و هو الصوم، و لکنّ استظهار ذلک الحکم من الروایة مشکل جدّا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w:t>
      </w:r>
      <w:r>
        <w:rPr>
          <w:rStyle w:val="FootnoteAnchor"/>
          <w:rtl w:val="true"/>
        </w:rPr>
        <w:footnoteReference w:id="1878"/>
      </w:r>
      <w:r>
        <w:rPr>
          <w:rFonts w:ascii="IRNazanin" w:hAnsi="IRNazanin" w:eastAsia="IRNazanin"/>
          <w:color w:val="111111"/>
          <w:sz w:val="28"/>
          <w:sz w:val="28"/>
          <w:szCs w:val="28"/>
          <w:rtl w:val="true"/>
          <w:lang w:bidi="fa-IR"/>
        </w:rPr>
        <w:t>عن عبد الرحمن بن أبی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عن الصبیّ ولیّه إذا لم یجد له هدیا و کان متمتّعا</w:t>
      </w:r>
      <w:r>
        <w:rPr>
          <w:rFonts w:eastAsia="IRNazanin" w:cs="IRNazanin"/>
          <w:color w:val="111111"/>
          <w:sz w:val="28"/>
          <w:szCs w:val="28"/>
          <w:rtl w:val="true"/>
          <w:lang w:bidi="fa-IR"/>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bookmarkStart w:id="719" w:name="pg11756_104165"/>
    </w:p>
    <w:p>
      <w:pPr>
        <w:pStyle w:val="BookText"/>
        <w:rPr/>
      </w:pPr>
      <w:bookmarkEnd w:id="71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التهذیب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سنة و معنا صبیان، فعزّت الأضاحی، فأصبنا شاة بعد شاة، فذبحنا لأنفسنا، و ترکنا صبیاننا، فأتی بکیر أبا عبد اللّه علیه السّلام فسأله،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ینبغی أن تذبحوا عن الصبیان، و تصوموا أنتم عن أنفسکم، فإذا لم تفعلوا فلیصم عن کلّ صبیّ منکم ولیّه</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عبد الرحمن بن أعین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یصوم عنه ولیّه إذا لم یجد هدیا</w:t>
      </w:r>
      <w:r>
        <w:rPr>
          <w:rFonts w:eastAsia="IRNazanin" w:cs="IRNazanin"/>
          <w:color w:val="111111"/>
          <w:sz w:val="28"/>
          <w:szCs w:val="28"/>
          <w:rtl w:val="true"/>
          <w:lang w:bidi="fa-IR"/>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عنه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فأحرمنا و معنا صبیان، فأحرموا و لبّوا کما لبّینا، و لم یقدروا علی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 عن کلّ صبیّ ولیّه</w:t>
      </w:r>
      <w:r>
        <w:rPr>
          <w:rFonts w:eastAsia="IRNazanin" w:cs="IRNazanin"/>
          <w:color w:val="111111"/>
          <w:sz w:val="28"/>
          <w:szCs w:val="28"/>
          <w:rtl w:val="true"/>
          <w:lang w:bidi="fa-IR"/>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9643953_73709187"/>
      <w:bookmarkStart w:id="721" w:name="_Toc271"/>
      <w:bookmarkEnd w:id="720"/>
      <w:r>
        <w:rPr>
          <w:rtl w:val="true"/>
        </w:rPr>
        <w:t>المقام الثّانی</w:t>
      </w:r>
      <w:r>
        <w:rPr>
          <w:rtl w:val="true"/>
        </w:rPr>
        <w:t xml:space="preserve">: </w:t>
      </w:r>
      <w:r>
        <w:rPr>
          <w:rtl w:val="true"/>
        </w:rPr>
        <w:t>الهدی فی حجّ الصبیّ الممیّز</w:t>
      </w:r>
      <w:bookmarkEnd w:id="721"/>
    </w:p>
    <w:p>
      <w:pPr>
        <w:pStyle w:val="Heading5"/>
        <w:numPr>
          <w:ilvl w:val="4"/>
          <w:numId w:val="1"/>
        </w:numPr>
        <w:rPr/>
      </w:pPr>
      <w:bookmarkStart w:id="722" w:name="__RefHeading___Toc9643955_73709187"/>
      <w:bookmarkStart w:id="723" w:name="_Toc272"/>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 xml:space="preserve">هل الهدی فی حجّ الصبیّ الممیّز یکون فی ماله، أم 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یجوز له أمره بالصیام بدلا عن الهدی، أم لا یجوز له ذلک؟ فیه أقوال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الهدی علی الولیّ و لکن یجوز أمر الصبیّ بالصیام، کما صرّح به فی النهایة،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أن یذبح عنهم إذا کانوا صغارا، و إذا کانوا کبارا جاز أن یؤمروا بالصّیام</w:t>
      </w:r>
      <w:r>
        <w:rPr>
          <w:rFonts w:eastAsia="IRNazanin" w:cs="IRNazanin"/>
          <w:color w:val="111111"/>
          <w:sz w:val="28"/>
          <w:szCs w:val="28"/>
          <w:rtl w:val="true"/>
          <w:lang w:bidi="fa-IR"/>
        </w:rPr>
        <w:t>»</w:t>
      </w:r>
      <w:r>
        <w:rPr>
          <w:rStyle w:val="FootnoteAnchor"/>
          <w:rtl w:val="true"/>
        </w:rPr>
        <w:footnoteReference w:id="1883"/>
      </w:r>
      <w:r>
        <w:rPr>
          <w:rFonts w:ascii="IRNazanin" w:hAnsi="IRNazanin" w:eastAsia="IRNazanin"/>
          <w:color w:val="111111"/>
          <w:sz w:val="28"/>
          <w:sz w:val="28"/>
          <w:szCs w:val="28"/>
          <w:rtl w:val="true"/>
          <w:lang w:bidi="fa-IR"/>
        </w:rPr>
        <w:t xml:space="preserve">، بناء علی أنّ مقصوده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الممیّزون، کما صرّح به بعضهم</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bookmarkStart w:id="724" w:name="pg11756_104166"/>
    </w:p>
    <w:p>
      <w:pPr>
        <w:pStyle w:val="BookText"/>
        <w:rPr/>
      </w:pPr>
      <w:bookmarkEnd w:id="724"/>
      <w:r>
        <w:rPr>
          <w:rFonts w:ascii="IRNazanin" w:hAnsi="IRNazanin" w:eastAsia="IRNazanin"/>
          <w:color w:val="111111"/>
          <w:sz w:val="28"/>
          <w:sz w:val="28"/>
          <w:szCs w:val="28"/>
          <w:rtl w:val="true"/>
          <w:lang w:bidi="fa-IR"/>
        </w:rPr>
        <w:t>و یظهر من الشرائع التردید فیه حیث نسبه إلی الروایة،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ممیّزا جاز أمره بالصّیام عن الهدی</w:t>
      </w:r>
      <w:r>
        <w:rPr>
          <w:rFonts w:eastAsia="IRNazanin" w:cs="IRNazanin"/>
          <w:color w:val="111111"/>
          <w:sz w:val="28"/>
          <w:szCs w:val="28"/>
          <w:rtl w:val="true"/>
          <w:lang w:bidi="fa-IR"/>
        </w:rPr>
        <w:t>»</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القواعد</w:t>
      </w:r>
      <w:r>
        <w:rPr>
          <w:rStyle w:val="FootnoteAnchor"/>
          <w:rtl w:val="true"/>
        </w:rPr>
        <w:footnoteReference w:id="1886"/>
      </w:r>
      <w:r>
        <w:rPr>
          <w:rFonts w:ascii="IRNazanin" w:hAnsi="IRNazanin" w:eastAsia="IRNazanin"/>
          <w:color w:val="111111"/>
          <w:sz w:val="28"/>
          <w:sz w:val="28"/>
          <w:szCs w:val="28"/>
          <w:rtl w:val="true"/>
          <w:lang w:bidi="fa-IR"/>
        </w:rPr>
        <w:t>و جامع المقاصد</w:t>
      </w:r>
      <w:r>
        <w:rPr>
          <w:rStyle w:val="FootnoteAnchor"/>
          <w:rtl w:val="true"/>
        </w:rPr>
        <w:footnoteReference w:id="1887"/>
      </w:r>
      <w:r>
        <w:rPr>
          <w:rFonts w:ascii="IRNazanin" w:hAnsi="IRNazanin" w:eastAsia="IRNazanin"/>
          <w:color w:val="111111"/>
          <w:sz w:val="28"/>
          <w:sz w:val="28"/>
          <w:szCs w:val="28"/>
          <w:rtl w:val="true"/>
          <w:lang w:bidi="fa-IR"/>
        </w:rPr>
        <w:t>، و قیّده فی الدروس بصورة فقد الهدی،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ممیّزا و فقد الهدی جاز للولیّ الصوم عنه و أمره به</w:t>
      </w:r>
      <w:r>
        <w:rPr>
          <w:rFonts w:eastAsia="IRNazanin" w:cs="IRNazanin"/>
          <w:color w:val="111111"/>
          <w:sz w:val="28"/>
          <w:szCs w:val="28"/>
          <w:rtl w:val="true"/>
          <w:lang w:bidi="fa-IR"/>
        </w:rPr>
        <w:t>»</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أمر الکبیر المطیق له بالصیام لا إجباره علیه، بل بمعنی أنّه إذا صام أجزأ عن الهدی</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یصرف ظاهر الأمر بصوم الولیّ عنه إلی التخییر</w:t>
      </w:r>
      <w:r>
        <w:rPr>
          <w:rFonts w:eastAsia="IRNazanin" w:cs="IRNazanin"/>
          <w:color w:val="111111"/>
          <w:sz w:val="28"/>
          <w:szCs w:val="28"/>
          <w:rtl w:val="true"/>
          <w:lang w:bidi="fa-IR"/>
        </w:rPr>
        <w:t>»</w:t>
      </w:r>
      <w:r>
        <w:rPr>
          <w:rStyle w:val="FootnoteAnchor"/>
          <w:rtl w:val="true"/>
        </w:rPr>
        <w:footnoteReference w:id="1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المدارک</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9643957_73709187"/>
      <w:bookmarkStart w:id="726" w:name="_Toc273"/>
      <w:bookmarkEnd w:id="725"/>
      <w:r>
        <w:rPr>
          <w:rtl w:val="true"/>
        </w:rPr>
        <w:t>أدلّة جواز أمر الولیّ الصبیّ بالصیام</w:t>
      </w:r>
      <w:bookmarkEnd w:id="726"/>
    </w:p>
    <w:p>
      <w:pPr>
        <w:pStyle w:val="BookText"/>
        <w:rPr/>
      </w:pPr>
      <w:r>
        <w:rPr>
          <w:rFonts w:ascii="IRNazanin" w:hAnsi="IRNazanin" w:eastAsia="IRNazanin"/>
          <w:color w:val="111111"/>
          <w:sz w:val="28"/>
          <w:sz w:val="28"/>
          <w:szCs w:val="28"/>
          <w:rtl w:val="true"/>
          <w:lang w:bidi="fa-IR"/>
        </w:rPr>
        <w:t>ما یمکن أن یستند به لجواز أمر الولیّ الصبیّ الممیّز بالصیام بدلا عن الهدی وجوه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الصبیّ بالنسبة إلی الهدی فقیر؛ إذ لا یجوز صرفه من ماله، و لا یتحتّم من مال الولیّ؛ لأنّ له بدلا یتمّ به، و الانتقال</w:t>
      </w:r>
    </w:p>
    <w:p>
      <w:pPr>
        <w:pStyle w:val="BookText"/>
        <w:rPr/>
      </w:pPr>
      <w:r>
        <w:rPr>
          <w:rFonts w:ascii="Amiri" w:hAnsi="Amiri" w:eastAsia="Amiri" w:cs="Amiri"/>
          <w:color w:val="111111"/>
          <w:sz w:val="28"/>
          <w:sz w:val="28"/>
          <w:szCs w:val="28"/>
          <w:rtl w:val="true"/>
          <w:lang w:bidi="ar-SA"/>
        </w:rPr>
        <w:t>إلی البدل منوط بالفقر من المناسک؛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وَ سَبْعَةٍ إِذا رَجَعْتُمْ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الولیّ هو السبب فی حجّه</w:t>
      </w:r>
      <w:r>
        <w:rPr>
          <w:rStyle w:val="FootnoteAnchor"/>
          <w:rtl w:val="true"/>
        </w:rPr>
        <w:footnoteReference w:id="1895"/>
      </w:r>
      <w:r>
        <w:rPr>
          <w:rFonts w:ascii="IRNazanin" w:hAnsi="IRNazanin" w:eastAsia="IRNazanin"/>
          <w:color w:val="111111"/>
          <w:sz w:val="28"/>
          <w:sz w:val="28"/>
          <w:szCs w:val="28"/>
          <w:rtl w:val="true"/>
          <w:lang w:bidi="fa-IR"/>
        </w:rPr>
        <w:t xml:space="preserve">، فیلزم أن یتحتّم من ماله، مضافا إلی أن إطلاق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حیث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عن الصغار، و یصوم الکبار</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جامع المدارک فی شرح عبارة الشرائع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تکون الروایة التی أشار إلیها المصنّف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الظاهر</w:t>
      </w:r>
      <w:r>
        <w:rPr>
          <w:rStyle w:val="FootnoteAnchor"/>
          <w:rtl w:val="true"/>
        </w:rPr>
        <w:footnoteReference w:id="1897"/>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الممیّزون</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الظاهر عدم دلالتها، بل الظاهر منها جواز صوم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یکون المراد من الکبار الممیّزین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الولیّ الهدی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أنّه سأل عن رجل أمر غلمانه أن یتمتّعوا،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یضحّی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أعطاهم دراهم، فبعضهم ضحّی، و بعضهم أمسک الدراهم و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 أمرهم فصاموا کان قد</w:t>
      </w:r>
      <w:bookmarkStart w:id="727" w:name="pg11756_104168"/>
    </w:p>
    <w:p>
      <w:pPr>
        <w:pStyle w:val="BookText"/>
        <w:rPr/>
      </w:pPr>
      <w:bookmarkEnd w:id="727"/>
      <w:r>
        <w:rPr>
          <w:rFonts w:ascii="IRNazanin" w:hAnsi="IRNazanin" w:eastAsia="IRNazanin"/>
          <w:color w:val="111111"/>
          <w:sz w:val="28"/>
          <w:sz w:val="28"/>
          <w:szCs w:val="28"/>
          <w:rtl w:val="true"/>
          <w:lang w:bidi="fa-IR"/>
        </w:rPr>
        <w:t>أجزأ عنهم</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منها جواز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إرادة الممالیک من الغلمان فیه، کما فی الجواهر</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9643959_73709187"/>
      <w:bookmarkStart w:id="729" w:name="_Toc274"/>
      <w:bookmarkEnd w:id="728"/>
      <w:r>
        <w:rPr>
          <w:rtl w:val="true"/>
        </w:rPr>
        <w:t>الهدی علی الصبیّ</w:t>
      </w:r>
      <w:bookmarkEnd w:id="729"/>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حجّ الصبیّ الممیّز فالهدی فی ماله، کما هو الظاهر من کلام السیّد الخوانساری،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ثبوت المشروعیّة من قبل الشارع و صحّة الحجّ و لو لم یأذن الولیّ لا بدّ للولیّ من صرف المال له؛ لتتمیم العمل، کما لو أتلف الصبیّ مال الغیر</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أیضا فی مصباح الهدی</w:t>
      </w:r>
      <w:r>
        <w:rPr>
          <w:rStyle w:val="FootnoteAnchor"/>
          <w:rtl w:val="true"/>
        </w:rPr>
        <w:footnoteReference w:id="1902"/>
      </w:r>
      <w:r>
        <w:rPr>
          <w:rFonts w:ascii="IRNazanin" w:hAnsi="IRNazanin" w:eastAsia="IRNazanin"/>
          <w:color w:val="111111"/>
          <w:sz w:val="28"/>
          <w:sz w:val="28"/>
          <w:szCs w:val="28"/>
          <w:rtl w:val="true"/>
          <w:lang w:bidi="fa-IR"/>
        </w:rPr>
        <w:t>، و کذا فی تفصیل الشریعة،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للثبوت علی الولیّ فی الصبیّ الممیّز، خصوصا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اشتراط حجّه بإذن الولیّ</w:t>
      </w:r>
      <w:r>
        <w:rPr>
          <w:rFonts w:eastAsia="IRNazanin" w:cs="IRNazanin"/>
          <w:color w:val="111111"/>
          <w:sz w:val="28"/>
          <w:szCs w:val="28"/>
          <w:rtl w:val="true"/>
          <w:lang w:bidi="fa-IR"/>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یمکن أن یکون دلیلا لهذا القول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الّتی دلّت علی لزوم الهدی علی الولیّ تنصرف عن الممیّز</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ممنوع، و الشاهد علی ذلک 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یطاف بهم، و یرمی عنهم، و من لا یجد الهدی منهم فلیصم عنه</w:t>
      </w:r>
      <w:bookmarkStart w:id="730" w:name="pg11756_104169"/>
    </w:p>
    <w:p>
      <w:pPr>
        <w:pStyle w:val="BookText"/>
        <w:rPr/>
      </w:pPr>
      <w:bookmarkEnd w:id="730"/>
      <w:r>
        <w:rPr>
          <w:rFonts w:ascii="Amiri" w:hAnsi="Amiri" w:eastAsia="Amiri" w:cs="Amiri"/>
          <w:color w:val="111111"/>
          <w:sz w:val="28"/>
          <w:sz w:val="28"/>
          <w:szCs w:val="28"/>
          <w:rtl w:val="true"/>
          <w:lang w:bidi="ar-SA"/>
        </w:rPr>
        <w:t>ولیّه</w:t>
      </w:r>
      <w:r>
        <w:rPr>
          <w:rFonts w:eastAsia="Amiri" w:cs="Amiri" w:ascii="Amiri" w:hAnsi="Amiri"/>
          <w:color w:val="111111"/>
          <w:sz w:val="28"/>
          <w:szCs w:val="28"/>
          <w:rtl w:val="true"/>
          <w:lang w:bidi="ar-SA"/>
        </w:rPr>
        <w:t>»</w:t>
      </w:r>
      <w:r>
        <w:rPr>
          <w:rStyle w:val="FootnoteAnchor"/>
          <w:rtl w:val="true"/>
        </w:rPr>
        <w:footnoteReference w:id="1904"/>
      </w:r>
      <w:r>
        <w:rPr>
          <w:rFonts w:ascii="IRNazanin" w:hAnsi="IRNazanin" w:eastAsia="IRNazanin"/>
          <w:color w:val="111111"/>
          <w:sz w:val="28"/>
          <w:sz w:val="28"/>
          <w:szCs w:val="28"/>
          <w:rtl w:val="true"/>
          <w:lang w:bidi="fa-IR"/>
        </w:rPr>
        <w:t>، فإنّها تشمل الممیّز أیضا</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براءة ذمّة الولیّ، کما فی کشف اللّثام</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مرجع فیما لم یکن فیه دلیل، و سنذکر قریبا أنّ فی المقام دلیلا یدلّ علی أنّ الهدی علی الولیّ</w:t>
      </w:r>
      <w:r>
        <w:rPr>
          <w:rFonts w:eastAsia="IRNazanin" w:cs="IRNazanin"/>
          <w:color w:val="111111"/>
          <w:sz w:val="28"/>
          <w:szCs w:val="28"/>
          <w:rtl w:val="true"/>
          <w:lang w:bidi="fa-IR"/>
        </w:rPr>
        <w:t>.</w:t>
      </w:r>
    </w:p>
    <w:p>
      <w:pPr>
        <w:pStyle w:val="Heading5"/>
        <w:numPr>
          <w:ilvl w:val="4"/>
          <w:numId w:val="1"/>
        </w:numPr>
        <w:rPr/>
      </w:pPr>
      <w:bookmarkStart w:id="731" w:name="__RefHeading___Toc9643961_73709187"/>
      <w:bookmarkStart w:id="732" w:name="_Toc275"/>
      <w:bookmarkEnd w:id="731"/>
      <w:r>
        <w:rPr>
          <w:rtl w:val="true"/>
        </w:rPr>
        <w:t>الهدی أو بدله علی الولیّ</w:t>
      </w:r>
      <w:bookmarkEnd w:id="73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جملة من الفقهاء من أنّ الهدی فی حجّ الصبیّ الممیّز کغیر الممیّز علی الولیّ، و إن لم یوجد فعلیه بدله، و هو الصیام، کما صرّح به بعضهم، و یستفاد ذلک من إطلاق کلامهم، حیث لم یفرّقوا بین الممیّز و غیر الممیّز،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الهدی فلزم الولیّ</w:t>
      </w:r>
      <w:r>
        <w:rPr>
          <w:rFonts w:eastAsia="IRNazanin" w:cs="IRNazanin"/>
          <w:color w:val="111111"/>
          <w:sz w:val="28"/>
          <w:szCs w:val="28"/>
          <w:rtl w:val="true"/>
          <w:lang w:bidi="fa-IR"/>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الولیّ الهدی مع قدرته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عجز عنه جاز له الصوم عنه</w:t>
      </w:r>
      <w:r>
        <w:rPr>
          <w:rFonts w:eastAsia="IRNazanin" w:cs="IRNazanin"/>
          <w:color w:val="111111"/>
          <w:sz w:val="28"/>
          <w:szCs w:val="28"/>
          <w:rtl w:val="true"/>
          <w:lang w:bidi="fa-IR"/>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ذلک من مجمع الفائدة</w:t>
      </w:r>
      <w:r>
        <w:rPr>
          <w:rStyle w:val="FootnoteAnchor"/>
          <w:rtl w:val="true"/>
        </w:rPr>
        <w:footnoteReference w:id="1909"/>
      </w:r>
      <w:r>
        <w:rPr>
          <w:rFonts w:ascii="IRNazanin" w:hAnsi="IRNazanin" w:eastAsia="IRNazanin"/>
          <w:color w:val="111111"/>
          <w:sz w:val="28"/>
          <w:sz w:val="28"/>
          <w:szCs w:val="28"/>
          <w:rtl w:val="true"/>
          <w:lang w:bidi="fa-IR"/>
        </w:rPr>
        <w:t>و مدارک الأحکام</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bookmarkStart w:id="733" w:name="pg11756_104170"/>
    </w:p>
    <w:p>
      <w:pPr>
        <w:pStyle w:val="BookText"/>
        <w:rPr/>
      </w:pPr>
      <w:bookmarkEnd w:id="733"/>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و الأحوط ذبح الولیّ، فإن لم یجد صام، من غیر فرق بین الممیّز و غیره</w:t>
      </w:r>
      <w:r>
        <w:rPr>
          <w:rFonts w:eastAsia="IRNazanin" w:cs="IRNazanin"/>
          <w:color w:val="111111"/>
          <w:sz w:val="28"/>
          <w:szCs w:val="28"/>
          <w:rtl w:val="true"/>
          <w:lang w:bidi="fa-IR"/>
        </w:rPr>
        <w:t>»</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کثیر من أعلام العصر</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أنّه لا فرق فی کون الهدی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إحجاجه و إذنه فی الحجّ</w:t>
      </w:r>
      <w:r>
        <w:rPr>
          <w:rFonts w:eastAsia="IRNazanin" w:cs="IRNazanin"/>
          <w:color w:val="111111"/>
          <w:sz w:val="28"/>
          <w:szCs w:val="28"/>
          <w:rtl w:val="true"/>
          <w:lang w:bidi="fa-IR"/>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 کلامهم یشمل الصبیّ الممیّز و غیر الممیّز، و ما إذا أطاق الصبیّ الصوم أو لم یطقه، حیث إنّ إذن الولیّ للحجّ لا یتصوّر فی الصبیّ غیر الممیّز</w:t>
      </w:r>
      <w:r>
        <w:rPr>
          <w:rFonts w:eastAsia="IRNazanin" w:cs="IRNazanin"/>
          <w:color w:val="111111"/>
          <w:sz w:val="28"/>
          <w:szCs w:val="28"/>
          <w:rtl w:val="true"/>
          <w:lang w:bidi="fa-IR"/>
        </w:rPr>
        <w:t>.</w:t>
      </w:r>
    </w:p>
    <w:p>
      <w:pPr>
        <w:pStyle w:val="Heading5"/>
        <w:numPr>
          <w:ilvl w:val="4"/>
          <w:numId w:val="1"/>
        </w:numPr>
        <w:rPr/>
      </w:pPr>
      <w:bookmarkStart w:id="734" w:name="__RefHeading___Toc9643963_73709187"/>
      <w:bookmarkStart w:id="735" w:name="_Toc276"/>
      <w:bookmarkEnd w:id="734"/>
      <w:r>
        <w:rPr>
          <w:rtl w:val="true"/>
        </w:rPr>
        <w:t>الأدلّة علی وجوب الهدی أو بدله علی الولیّ</w:t>
      </w:r>
      <w:bookmarkEnd w:id="735"/>
    </w:p>
    <w:p>
      <w:pPr>
        <w:pStyle w:val="BookText"/>
        <w:rPr/>
      </w:pPr>
      <w:r>
        <w:rPr>
          <w:rFonts w:ascii="Amiri" w:hAnsi="Amiri" w:eastAsia="Amiri" w:cs="Amiri"/>
          <w:color w:val="111111"/>
          <w:sz w:val="28"/>
          <w:sz w:val="28"/>
          <w:szCs w:val="28"/>
          <w:rtl w:val="true"/>
          <w:lang w:bidi="ar-SA"/>
        </w:rPr>
        <w:t>الأدلّة المتقدّمة الّتی تدلّ علی وجوب الهدی علی الولیّ فی حجّ الصبیّ غیر الممیّز، تدلّ علی وجوبه علیه فی حجّ الصبیّ الممیّز أیضا، فإنّ إطلاق قوله علیه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عن الصّغار، و یصوم الکبار</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 xml:space="preserve">فی صحیحة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یکون المقصود من الکبار المکلّفین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الصبیّ الممیّز و غیر الممیّز</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اذبحوا عنهم کما تذبحون عن أنفسکم</w:t>
      </w:r>
      <w:r>
        <w:rPr>
          <w:rFonts w:eastAsia="IRNazanin" w:cs="IRNazanin"/>
          <w:color w:val="111111"/>
          <w:sz w:val="28"/>
          <w:szCs w:val="28"/>
          <w:rtl w:val="true"/>
          <w:lang w:bidi="fa-IR"/>
        </w:rPr>
        <w:t>»</w:t>
      </w:r>
      <w:r>
        <w:rPr>
          <w:rStyle w:val="FootnoteAnchor"/>
          <w:rtl w:val="true"/>
        </w:rPr>
        <w:footnoteReference w:id="1917"/>
      </w:r>
      <w:r>
        <w:rPr>
          <w:rFonts w:ascii="IRNazanin" w:hAnsi="IRNazanin" w:eastAsia="IRNazanin"/>
          <w:color w:val="111111"/>
          <w:sz w:val="28"/>
          <w:sz w:val="28"/>
          <w:szCs w:val="28"/>
          <w:rtl w:val="true"/>
          <w:lang w:bidi="fa-IR"/>
        </w:rPr>
        <w:t>فی معتبرة إسحاق بن عمّار یشمل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أیضا النصوص الّتی تدلّ علی أنّ بدل الهدی علی الولیّ، فإنّ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یجد منهم هدیا فلیصم عنه ولیّه</w:t>
      </w:r>
      <w:r>
        <w:rPr>
          <w:rFonts w:eastAsia="IRNazanin" w:cs="IRNazanin"/>
          <w:color w:val="111111"/>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 xml:space="preserve">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فیها کلام بخصوصها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عن الصبیّ ولیّه إذا لم یجد له هدیا</w:t>
      </w:r>
      <w:r>
        <w:rPr>
          <w:rFonts w:eastAsia="IRNazanin" w:cs="IRNazanin"/>
          <w:color w:val="111111"/>
          <w:sz w:val="28"/>
          <w:szCs w:val="28"/>
          <w:rtl w:val="true"/>
          <w:lang w:bidi="fa-IR"/>
        </w:rPr>
        <w:t>»</w:t>
      </w:r>
      <w:r>
        <w:rPr>
          <w:rStyle w:val="FootnoteAnchor"/>
          <w:rtl w:val="true"/>
        </w:rPr>
        <w:footnoteReference w:id="1919"/>
      </w:r>
      <w:r>
        <w:rPr>
          <w:rFonts w:ascii="IRNazanin" w:hAnsi="IRNazanin" w:eastAsia="IRNazanin"/>
          <w:color w:val="111111"/>
          <w:sz w:val="28"/>
          <w:sz w:val="28"/>
          <w:szCs w:val="28"/>
          <w:rtl w:val="true"/>
          <w:lang w:bidi="fa-IR"/>
        </w:rPr>
        <w:t>فی روایة عبد الرّحمن بن أعین،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ینبغی أن تذبحوا عن الصّبیان و تصوموا أنتم عن أنفسکم، فإذا لم تفعلوا فلیصم عن کلّ صبیّ منکم ولیّه</w:t>
      </w:r>
      <w:r>
        <w:rPr>
          <w:rFonts w:eastAsia="IRNazanin" w:cs="IRNazanin"/>
          <w:color w:val="111111"/>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فی صحیحة عبد الرحمن بن أعین و غیرها</w:t>
      </w:r>
      <w:r>
        <w:rPr>
          <w:rStyle w:val="FootnoteAnchor"/>
          <w:rtl w:val="true"/>
        </w:rPr>
        <w:footnoteReference w:id="1921"/>
      </w:r>
      <w:r>
        <w:rPr>
          <w:rFonts w:ascii="Amiri" w:hAnsi="Amiri" w:eastAsia="Amiri" w:cs="Amiri"/>
          <w:color w:val="111111"/>
          <w:sz w:val="28"/>
          <w:sz w:val="28"/>
          <w:szCs w:val="28"/>
          <w:rtl w:val="true"/>
          <w:lang w:bidi="ar-SA"/>
        </w:rPr>
        <w:t>، یشمل الصبیّ الممیّز</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فی بیان الاستدلال بالروایات المتقدّمة علی أنّ الهدی أو بدله علی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فی صحیح معاویة بن عمّار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یجد الهدی منهم 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أنّ الولیّ إذا لم یکن له مال فلیصم عن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bookmarkStart w:id="736" w:name="pg11756_104172"/>
    </w:p>
    <w:p>
      <w:pPr>
        <w:pStyle w:val="BookText"/>
        <w:rPr/>
      </w:pPr>
      <w:bookmarkEnd w:id="736"/>
      <w:r>
        <w:rPr>
          <w:rFonts w:ascii="IRNazanin" w:hAnsi="IRNazanin" w:eastAsia="IRNazanin"/>
          <w:color w:val="111111"/>
          <w:sz w:val="28"/>
          <w:sz w:val="28"/>
          <w:szCs w:val="28"/>
          <w:rtl w:val="true"/>
          <w:lang w:bidi="fa-IR"/>
        </w:rPr>
        <w:t xml:space="preserve">هو بدل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الولیّ یؤکّد کون الذبح علیه</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الهدی فی الحجّ علی الولیّ، و إن لم یوجد فعلیه بدله، و لا فرق فی هذا بین الممیّز و غیره، فإذا حجّ الولیّ بالصبیّ الممیّز أو أذن له فیه فعلیه الهدی أو بدله، و أمّا إذا حجّ بنفسه و بدون إذن الولیّ و قلنا بعدم اشتراط صحّة حجّه بإذن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کون الهدی علی الولیّ، و لا تشمله الأدلّة المتقدّمة من النصوص و غیرها، کما صرّح به بعض الأعلام</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9643965_73709187"/>
      <w:bookmarkStart w:id="738" w:name="_Toc277"/>
      <w:bookmarkEnd w:id="737"/>
      <w:r>
        <w:rPr>
          <w:rtl w:val="true"/>
        </w:rPr>
        <w:t>إیضاح</w:t>
      </w:r>
      <w:bookmarkEnd w:id="738"/>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عساه یظهر من صحیح معاویة</w:t>
      </w:r>
      <w:r>
        <w:rPr>
          <w:rStyle w:val="FootnoteAnchor"/>
          <w:rtl w:val="true"/>
        </w:rPr>
        <w:footnoteReference w:id="1924"/>
      </w:r>
      <w:r>
        <w:rPr>
          <w:rFonts w:ascii="IRNazanin" w:hAnsi="IRNazanin" w:eastAsia="IRNazanin"/>
          <w:color w:val="111111"/>
          <w:sz w:val="28"/>
          <w:sz w:val="28"/>
          <w:szCs w:val="28"/>
          <w:rtl w:val="true"/>
          <w:lang w:bidi="fa-IR"/>
        </w:rPr>
        <w:t xml:space="preserve">من اعتبار عدم وجدان الصبیّ الهدی فی صوم الولیّ فلم نجد به قائلا، بل ظاهر الأصحاب علی خلافه، فیجب حمله علی إرادة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اللّه العالم</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9643967_73709187"/>
      <w:bookmarkStart w:id="740" w:name="_Toc278"/>
      <w:bookmarkEnd w:id="739"/>
      <w:r>
        <w:rPr>
          <w:rtl w:val="true"/>
        </w:rPr>
        <w:t>ثمن هدی الصبیّ عند أهل السنّة</w:t>
      </w:r>
      <w:bookmarkEnd w:id="74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بعض المالکیّة أنّ ثمن الهدی فی حجّ الصبیّ علی الولیّ، جاء فی بلغة السالک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ترتّب علی الصبیّ بالإحرام من هدی و فدیة و جزاء صید فعلی ولیّه مطلقا، خشی علیه الضیعة أم لا؛ إذ لا ضرورة فی إدخاله فی</w:t>
      </w:r>
    </w:p>
    <w:p>
      <w:pPr>
        <w:pStyle w:val="BookText"/>
        <w:rPr/>
      </w:pP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وجب علی الصبیّ من الدّم فی الحجّ فذلک علی والده؛ لأنّ والده هو الّذی أحجّه</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مواهب الجلیل</w:t>
      </w:r>
      <w:r>
        <w:rPr>
          <w:rStyle w:val="FootnoteAnchor"/>
          <w:rtl w:val="true"/>
        </w:rPr>
        <w:footnoteReference w:id="1928"/>
      </w:r>
      <w:r>
        <w:rPr>
          <w:rFonts w:ascii="IRNazanin" w:hAnsi="IRNazanin" w:eastAsia="IRNazanin"/>
          <w:color w:val="111111"/>
          <w:sz w:val="28"/>
          <w:sz w:val="28"/>
          <w:szCs w:val="28"/>
          <w:rtl w:val="true"/>
          <w:lang w:bidi="fa-IR"/>
        </w:rPr>
        <w:t>و أسهل المدارک</w:t>
      </w:r>
      <w:r>
        <w:rPr>
          <w:rStyle w:val="FootnoteAnchor"/>
          <w:rtl w:val="true"/>
        </w:rPr>
        <w:footnoteReference w:id="1929"/>
      </w:r>
      <w:r>
        <w:rPr>
          <w:rFonts w:ascii="IRNazanin" w:hAnsi="IRNazanin" w:eastAsia="IRNazanin"/>
          <w:color w:val="111111"/>
          <w:sz w:val="28"/>
          <w:sz w:val="28"/>
          <w:szCs w:val="28"/>
          <w:rtl w:val="true"/>
          <w:lang w:bidi="fa-IR"/>
        </w:rPr>
        <w:t>، و لم نجد للمذاهب الاخری فی الکتب الّتی بأیدینا نصّا فی مسألة الهدی، و لعلّهم قالوا باندراجه فی نفقة حجّ الصبیّ، و قد تقدّم الکلام فیها، فراجع</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bookmarkStart w:id="741" w:name="pg11756_104174"/>
    </w:p>
    <w:p>
      <w:pPr>
        <w:pStyle w:val="Heading3"/>
        <w:numPr>
          <w:ilvl w:val="2"/>
          <w:numId w:val="1"/>
        </w:numPr>
        <w:rPr/>
      </w:pPr>
      <w:bookmarkStart w:id="742" w:name="__RefHeading___Toc9643969_73709187"/>
      <w:bookmarkStart w:id="743" w:name="_Toc279"/>
      <w:bookmarkEnd w:id="741"/>
      <w:bookmarkEnd w:id="742"/>
      <w:r>
        <w:rPr>
          <w:rtl w:val="true"/>
        </w:rPr>
        <w:t>المبحث الرابع عشر</w:t>
      </w:r>
      <w:r>
        <w:rPr>
          <w:rtl w:val="true"/>
        </w:rPr>
        <w:t xml:space="preserve">: </w:t>
      </w:r>
      <w:r>
        <w:rPr>
          <w:rtl w:val="true"/>
        </w:rPr>
        <w:t>حکم طواف النّساء للصبیّ</w:t>
      </w:r>
      <w:bookmarkEnd w:id="743"/>
    </w:p>
    <w:p>
      <w:pPr>
        <w:pStyle w:val="Heading4"/>
        <w:numPr>
          <w:ilvl w:val="3"/>
          <w:numId w:val="1"/>
        </w:numPr>
        <w:rPr/>
      </w:pPr>
      <w:bookmarkStart w:id="744" w:name="__RefHeading___Toc9643971_73709187"/>
      <w:bookmarkStart w:id="745" w:name="_Toc280"/>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إنّ لطواف النساء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بمعنی کونه من المناسک و لا فراغ منها قبله،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موقوفا علیه حلّیّة النّساء وضعا، فیقع الکلام فیه فی مقامین</w:t>
      </w:r>
      <w:r>
        <w:rPr>
          <w:rFonts w:eastAsia="IRNazanin" w:cs="IRNazanin"/>
          <w:color w:val="111111"/>
          <w:sz w:val="28"/>
          <w:szCs w:val="28"/>
          <w:rtl w:val="true"/>
          <w:lang w:bidi="fa-IR"/>
        </w:rPr>
        <w:t>:</w:t>
      </w:r>
    </w:p>
    <w:p>
      <w:pPr>
        <w:pStyle w:val="Heading4"/>
        <w:numPr>
          <w:ilvl w:val="3"/>
          <w:numId w:val="1"/>
        </w:numPr>
        <w:rPr/>
      </w:pPr>
      <w:bookmarkStart w:id="746" w:name="__RefHeading___Toc9643973_73709187"/>
      <w:bookmarkStart w:id="747" w:name="_Toc281"/>
      <w:bookmarkEnd w:id="746"/>
      <w:r>
        <w:rPr>
          <w:rtl w:val="true"/>
        </w:rPr>
        <w:t>المقام الأوّل</w:t>
      </w:r>
      <w:r>
        <w:rPr>
          <w:rtl w:val="true"/>
        </w:rPr>
        <w:t xml:space="preserve">: </w:t>
      </w:r>
      <w:r>
        <w:rPr>
          <w:rtl w:val="true"/>
        </w:rPr>
        <w:t>لزوم تحقّق طواف النّساء من الصبیّ</w:t>
      </w:r>
      <w:bookmarkEnd w:id="747"/>
    </w:p>
    <w:p>
      <w:pPr>
        <w:pStyle w:val="Heading5"/>
        <w:numPr>
          <w:ilvl w:val="4"/>
          <w:numId w:val="1"/>
        </w:numPr>
        <w:rPr/>
      </w:pPr>
      <w:bookmarkStart w:id="748" w:name="__RefHeading___Toc9643975_73709187"/>
      <w:bookmarkStart w:id="749" w:name="_Toc282"/>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 xml:space="preserve">لا خلاف بین الفقهاء فی أنّه علی القول بمشروعیّة عبادات الصبیّ الممیّز و صحّة إحجاج الصبیّ 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یتحقّق منه طواف النساء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ممیّزا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یطوف به الولیّ إن کان غیر ممیّز، و لا فرق بینه و بین البالغ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طواف النّساء فریضة علی الرّجال و النّساء و الصّبیان و البالغین و الشیوخ و الخصیان، لا یجوز لهم ترکه علی حال</w:t>
      </w:r>
      <w:r>
        <w:rPr>
          <w:rFonts w:eastAsia="IRNazanin" w:cs="IRNazanin"/>
          <w:color w:val="111111"/>
          <w:sz w:val="28"/>
          <w:szCs w:val="28"/>
          <w:rtl w:val="true"/>
          <w:lang w:bidi="fa-IR"/>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النّساء واجب فی الحجّ و العمرة المفردة دون المتمتّع</w:t>
      </w:r>
    </w:p>
    <w:p>
      <w:pPr>
        <w:pStyle w:val="BookText"/>
        <w:rPr/>
      </w:pPr>
      <w:r>
        <w:rPr>
          <w:rFonts w:ascii="IRNazanin" w:hAnsi="IRNazanin" w:eastAsia="IRNazanin"/>
          <w:color w:val="111111"/>
          <w:sz w:val="28"/>
          <w:sz w:val="28"/>
          <w:szCs w:val="28"/>
          <w:rtl w:val="true"/>
          <w:lang w:bidi="fa-IR"/>
        </w:rPr>
        <w:t>بها، و هو لازم للرّجال و النّساء و الصّبیان و الخناثی</w:t>
      </w:r>
      <w:r>
        <w:rPr>
          <w:rFonts w:eastAsia="IRNazanin" w:cs="IRNazanin"/>
          <w:color w:val="111111"/>
          <w:sz w:val="28"/>
          <w:szCs w:val="28"/>
          <w:rtl w:val="true"/>
          <w:lang w:bidi="fa-IR"/>
        </w:rPr>
        <w:t>»</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933"/>
      </w:r>
      <w:r>
        <w:rPr>
          <w:rFonts w:ascii="IRNazanin" w:hAnsi="IRNazanin" w:eastAsia="IRNazanin"/>
          <w:color w:val="111111"/>
          <w:sz w:val="28"/>
          <w:sz w:val="28"/>
          <w:szCs w:val="28"/>
          <w:rtl w:val="true"/>
          <w:lang w:bidi="fa-IR"/>
        </w:rPr>
        <w:t>و القواعد</w:t>
      </w:r>
      <w:r>
        <w:rPr>
          <w:rStyle w:val="FootnoteAnchor"/>
          <w:rtl w:val="true"/>
        </w:rPr>
        <w:footnoteReference w:id="1934"/>
      </w:r>
      <w:r>
        <w:rPr>
          <w:rFonts w:ascii="IRNazanin" w:hAnsi="IRNazanin" w:eastAsia="IRNazanin"/>
          <w:color w:val="111111"/>
          <w:sz w:val="28"/>
          <w:sz w:val="28"/>
          <w:szCs w:val="28"/>
          <w:rtl w:val="true"/>
          <w:lang w:bidi="fa-IR"/>
        </w:rPr>
        <w:t>و المنتهی</w:t>
      </w:r>
      <w:r>
        <w:rPr>
          <w:rStyle w:val="FootnoteAnchor"/>
          <w:rtl w:val="true"/>
        </w:rPr>
        <w:footnoteReference w:id="1935"/>
      </w:r>
      <w:r>
        <w:rPr>
          <w:rFonts w:ascii="IRNazanin" w:hAnsi="IRNazanin" w:eastAsia="IRNazanin"/>
          <w:color w:val="111111"/>
          <w:sz w:val="28"/>
          <w:sz w:val="28"/>
          <w:szCs w:val="28"/>
          <w:rtl w:val="true"/>
          <w:lang w:bidi="fa-IR"/>
        </w:rPr>
        <w:t>و التذکرة</w:t>
      </w:r>
      <w:r>
        <w:rPr>
          <w:rStyle w:val="FootnoteAnchor"/>
          <w:rtl w:val="true"/>
        </w:rPr>
        <w:footnoteReference w:id="1936"/>
      </w:r>
      <w:r>
        <w:rPr>
          <w:rFonts w:ascii="IRNazanin" w:hAnsi="IRNazanin" w:eastAsia="IRNazanin"/>
          <w:color w:val="111111"/>
          <w:sz w:val="28"/>
          <w:sz w:val="28"/>
          <w:szCs w:val="28"/>
          <w:rtl w:val="true"/>
          <w:lang w:bidi="fa-IR"/>
        </w:rPr>
        <w:t>، و اختاره بعض المتأخّرین</w:t>
      </w:r>
      <w:r>
        <w:rPr>
          <w:rStyle w:val="FootnoteAnchor"/>
          <w:rtl w:val="true"/>
        </w:rPr>
        <w:footnoteReference w:id="1937"/>
      </w:r>
      <w:r>
        <w:rPr>
          <w:rFonts w:ascii="IRNazanin" w:hAnsi="IRNazanin" w:eastAsia="IRNazanin"/>
          <w:color w:val="111111"/>
          <w:sz w:val="28"/>
          <w:sz w:val="28"/>
          <w:szCs w:val="28"/>
          <w:rtl w:val="true"/>
          <w:lang w:bidi="fa-IR"/>
        </w:rPr>
        <w:t>و تابعیهم</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خصّه بالذکر مع أنّ غیره من الأفعال کذلک لدفع توهّم اختصاصه بمن یباشر النساء</w:t>
      </w:r>
      <w:r>
        <w:rPr>
          <w:rFonts w:eastAsia="IRNazanin" w:cs="IRNazanin"/>
          <w:color w:val="111111"/>
          <w:sz w:val="28"/>
          <w:szCs w:val="28"/>
          <w:rtl w:val="true"/>
          <w:lang w:bidi="fa-IR"/>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محرم یلزمه طواف النّساء، رجلا کان أو امرأة أو صبیّا أو خصیا، فی حجّ کان بجمیع أنواعه أو عمرة بأنواعها، إلاّ فی العمرة المتمتّع بها</w:t>
      </w:r>
      <w:r>
        <w:rPr>
          <w:rFonts w:eastAsia="IRNazanin" w:cs="IRNazanin"/>
          <w:color w:val="111111"/>
          <w:sz w:val="28"/>
          <w:szCs w:val="28"/>
          <w:rtl w:val="true"/>
          <w:lang w:bidi="fa-IR"/>
        </w:rPr>
        <w:t>»</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أعلام العصر</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طواف النّساء بالرّجال بل یعمّ النّساء و الخنثی و الخصیّ و الطفل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أحرم الطفل غیر الممیّز ولیّه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یطوّفه به طواف النّساء حتّی یحلّ له النّساء</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bookmarkStart w:id="750" w:name="pg11756_104176"/>
    </w:p>
    <w:p>
      <w:pPr>
        <w:pStyle w:val="Heading5"/>
        <w:numPr>
          <w:ilvl w:val="4"/>
          <w:numId w:val="1"/>
        </w:numPr>
        <w:rPr/>
      </w:pPr>
      <w:bookmarkStart w:id="751" w:name="__RefHeading___Toc9643977_73709187"/>
      <w:bookmarkStart w:id="752" w:name="_Toc283"/>
      <w:bookmarkEnd w:id="750"/>
      <w:bookmarkEnd w:id="751"/>
      <w:r>
        <w:rPr>
          <w:rtl w:val="true"/>
        </w:rPr>
        <w:t>الأدلّة علی لزوم تحقّق طواف النّساء من الصبیّ</w:t>
      </w:r>
      <w:bookmarkEnd w:id="752"/>
    </w:p>
    <w:p>
      <w:pPr>
        <w:pStyle w:val="BookText"/>
        <w:rPr/>
      </w:pPr>
      <w:r>
        <w:rPr>
          <w:rFonts w:ascii="IRNazanin" w:hAnsi="IRNazanin" w:eastAsia="IRNazanin"/>
          <w:color w:val="111111"/>
          <w:sz w:val="28"/>
          <w:sz w:val="28"/>
          <w:szCs w:val="28"/>
          <w:rtl w:val="true"/>
          <w:lang w:bidi="fa-IR"/>
        </w:rPr>
        <w:t>یمکن أن یستدلّ للحکم بلزوم تحقّق طواف النّساء من الصبیّ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عن التذکرة</w:t>
      </w:r>
      <w:r>
        <w:rPr>
          <w:rStyle w:val="FootnoteAnchor"/>
          <w:rtl w:val="true"/>
        </w:rPr>
        <w:footnoteReference w:id="1944"/>
      </w:r>
      <w:r>
        <w:rPr>
          <w:rFonts w:ascii="IRNazanin" w:hAnsi="IRNazanin" w:eastAsia="IRNazanin"/>
          <w:color w:val="111111"/>
          <w:sz w:val="28"/>
          <w:sz w:val="28"/>
          <w:szCs w:val="28"/>
          <w:rtl w:val="true"/>
          <w:lang w:bidi="fa-IR"/>
        </w:rPr>
        <w:t>و المنتهی</w:t>
      </w:r>
      <w:r>
        <w:rPr>
          <w:rStyle w:val="FootnoteAnchor"/>
          <w:rtl w:val="true"/>
        </w:rPr>
        <w:footnoteReference w:id="1945"/>
      </w:r>
      <w:r>
        <w:rPr>
          <w:rFonts w:ascii="IRNazanin" w:hAnsi="IRNazanin" w:eastAsia="IRNazanin"/>
          <w:color w:val="111111"/>
          <w:sz w:val="28"/>
          <w:sz w:val="28"/>
          <w:szCs w:val="28"/>
          <w:rtl w:val="true"/>
          <w:lang w:bidi="fa-IR"/>
        </w:rPr>
        <w:t>، و حکاه فی کشف اللّثام</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الإجماع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تمّ کان هو الحجّة</w:t>
      </w:r>
      <w:r>
        <w:rPr>
          <w:rFonts w:eastAsia="IRNazanin" w:cs="IRNazanin"/>
          <w:color w:val="111111"/>
          <w:sz w:val="28"/>
          <w:szCs w:val="28"/>
          <w:rtl w:val="true"/>
          <w:lang w:bidi="fa-IR"/>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ورود الدلیل علی استحباب إحرامهم مع تفاصیله الّتی تقدّم البحث فیها، لا بدّ من إحلالهم بما یکون محلاّ للبالغین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الثبوت علی الطفل الممیّز الّذی أحرم بنفسه بإذن الولیّ، فإنّه و إن کانت التکالیف الإلزامیّة مرفوعة عنه حتّی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المسلّم بینهم، و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لابدیّة الإتیان بطواف النساء لا لأجل لزومه، بل لأجل کون عباداته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المشروع لا یکون خالیا عن طواف النساء، فکما أنّ الصبیّ الممیّز لا یجوز له الاقتصار فی الصلاة علی رکعة واحدة أو بعض أجزائها أو کلّها بدون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الشرعیّة لا تقتضی الاقتصار فی المقام علی الإتیان بالحجّ بدون طواف النّساء و إن کان أمرا مستقلاّ خارجا جزء أو شرطا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الطّفل غیر الممیّز الّذی أحرمه الولیّ فیمکن أن یکون الوجه فیه هو</w:t>
      </w:r>
    </w:p>
    <w:p>
      <w:pPr>
        <w:pStyle w:val="BookText"/>
        <w:rPr/>
      </w:pPr>
      <w:r>
        <w:rPr>
          <w:rFonts w:ascii="IRNazanin" w:hAnsi="IRNazanin" w:eastAsia="IRNazanin"/>
          <w:color w:val="111111"/>
          <w:sz w:val="28"/>
          <w:sz w:val="28"/>
          <w:szCs w:val="28"/>
          <w:rtl w:val="true"/>
          <w:lang w:bidi="fa-IR"/>
        </w:rPr>
        <w:t>أنّ أدلّة مشروعیّة إحرام الولیّ به و استحبابه علیه تقتضی أن یفعل به جمیع أفعال الحجّ، و ما یعمله الحاجّ من الأعمال و المناسک و طواف النّساء</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المنساق من الأدلّة وجوبه نفسا و إن کانت الحکمة فی تشریعه التّمتع الجنسی، و لذا یجب علی المرأة الکبیرة و الخصیان، و یجب قضاؤه عن المیت علی ما ارسل إرسال المسلّمات</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کون طواف النّساء من المناسک فی حجّ البالغ و الصبیّ مسلّم، و لا فرق بینهما فی إتمام الحجّ به، فیجب علی الولیّ أن یأمر به أو یطوف به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أو إطلاق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المتقدّمة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 یصنع بهم ما یصنع بالمحرم، و یطاف بهم، و یرمی عنهم</w:t>
      </w:r>
      <w:r>
        <w:rPr>
          <w:rFonts w:eastAsia="IRNazanin" w:cs="IRNazanin"/>
          <w:color w:val="111111"/>
          <w:sz w:val="28"/>
          <w:szCs w:val="28"/>
          <w:rtl w:val="true"/>
          <w:lang w:bidi="fa-IR"/>
        </w:rPr>
        <w:t>»</w:t>
      </w:r>
      <w:r>
        <w:rPr>
          <w:rStyle w:val="FootnoteAnchor"/>
          <w:rtl w:val="true"/>
        </w:rPr>
        <w:footnoteReference w:id="195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منها هو التسویة بین الصبیّ و غیره فی الإحرام و ما یتلوه من الأحکام، و منها طواف النّساء، إلاّ أنّ الصبیّ کالمریض و غیره من ذوی الأعذار، فیطاف بالصبیّ غیر الممیّز، و یرمی عنه؛ لکونه صغیرا، بخلاف الممیّز القادر؛ لأنّه یباشر الطواف بنفسه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w:t>
      </w:r>
    </w:p>
    <w:p>
      <w:pPr>
        <w:pStyle w:val="BookText"/>
        <w:rPr/>
      </w:pPr>
      <w:r>
        <w:rPr>
          <w:rFonts w:ascii="IRNazanin" w:hAnsi="IRNazanin" w:eastAsia="IRNazanin"/>
          <w:color w:val="111111"/>
          <w:sz w:val="28"/>
          <w:sz w:val="28"/>
          <w:szCs w:val="28"/>
          <w:rtl w:val="true"/>
          <w:lang w:bidi="fa-IR"/>
        </w:rPr>
        <w:t>و 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یتّقی علیهم ما یتّقی علی المحرم من الثیاب و الطّیب</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فرض الحجّ هو قصده، فلا بدّ و أن یکون الصبیّ المأمور بذلک ممیّزا یتمشّی الجدّ و القصد منه، و أمّا إذا لم یقدر علی التلبیة یلبّی عنه، و کذا یصلّی عنه، و یطاف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هذه الصحیحة لزوم الإتیان بجمیع المناسک حتّی یتمّ له صحیحا، کما یلزم رعایة الأجزاء و الشرائط فی الصلاة المستحبّة وضعا، و حیث إنّ الإحرام الصحیح یستتبع تروکا، و لیس الصبیّ قابلا لذلک التکلیف، سواء کان ممیّزا أم لا، حکم علیه السّلام بلزوم الاتّقاء علیهم ما یتّقی علی المحرم البالغ، فعلی الولیّ أن یقیه من المحرّمات، و الظاهر أنّ الاختصار بالثیاب و الطیب یکون من باب التمثیل لا تعیینا</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فالمحصّل منها هو اعتبار جمیع ما یعتبر فی الإحرام و الحجّ للصبیّ، و منه طواف النّساء، فقد قال الصادق علیه السّلام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الرّجل و حلق فقد أحلّ من کلّ شیء أحرم منه إلاّ النّساء و الطیب، فإذا زار البیت و طاف و سعی بین الصّفا و المروة فقد أحلّ کلّ شیء أحرم منه إلاّ النّساء، و إذا طاف طواف النّساء فقد أحلّ من کلّ شیء أحرم منه إلاّ الصّید</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للبالغ أن یتّقی النّساء إذا أحرم بإحرام الحجّ، و لا یحلّ له إلاّ بطواف النّساء بمقتضی هذه الصّحیحة، و الصّبیّ یشترک معه فی هذا الحکم بمقتضی</w:t>
      </w:r>
    </w:p>
    <w:p>
      <w:pPr>
        <w:pStyle w:val="BookText"/>
        <w:rPr/>
      </w:pPr>
      <w:r>
        <w:rPr>
          <w:rFonts w:ascii="IRNazanin" w:hAnsi="IRNazanin" w:eastAsia="IRNazanin"/>
          <w:color w:val="111111"/>
          <w:sz w:val="28"/>
          <w:sz w:val="28"/>
          <w:szCs w:val="28"/>
          <w:rtl w:val="true"/>
          <w:lang w:bidi="fa-IR"/>
        </w:rPr>
        <w:t>صحیحة زرارة،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یتّقی ما یتّقی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المفروض أنّ إحرام الصبیّ الممیّز و حجّه صحیح شرعیّ، کما أنّ إحجاج الصبیّ غیر الممیّز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الخصیان و المرأة الکبیرة، أ علیهم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وجوب ذلک الطواف بالرجال، و لا بمن من شأنه الوطء، بل یجب علی کلّ أحد، رجلا کان أو امرأة، أو صبیّا أو همّا</w:t>
      </w:r>
      <w:r>
        <w:rPr>
          <w:rStyle w:val="FootnoteAnchor"/>
          <w:rtl w:val="true"/>
        </w:rPr>
        <w:footnoteReference w:id="1956"/>
      </w:r>
      <w:r>
        <w:rPr>
          <w:rFonts w:ascii="IRNazanin" w:hAnsi="IRNazanin" w:eastAsia="IRNazanin"/>
          <w:color w:val="111111"/>
          <w:sz w:val="28"/>
          <w:sz w:val="28"/>
          <w:szCs w:val="28"/>
          <w:rtl w:val="true"/>
          <w:lang w:bidi="fa-IR"/>
        </w:rPr>
        <w:t xml:space="preserve">لا یقدر علی الوطء أو خصیّا بالإجماعین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الإجماع المحقّق و الإجماع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للإطلاقات، و خصوص صحیحة علیّ بن یقطین</w:t>
      </w:r>
      <w:r>
        <w:rPr>
          <w:rFonts w:eastAsia="IRNazanin" w:cs="IRNazanin"/>
          <w:color w:val="111111"/>
          <w:sz w:val="28"/>
          <w:szCs w:val="28"/>
          <w:rtl w:val="true"/>
          <w:lang w:bidi="fa-IR"/>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استیناس الحکم من نصوص اخری أیضا،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سنة و معنا صبیان، فعزّت الأضاحیّ، فأصبنا شاة بعد شاة، فذبحنا لأنفسنا و ترکنا صبیاننا، فأتی بکیر أبا عبد اللّه علیه السّلام فسأله،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ینبغی أن تذبحوا عن الصّبیان، و تصوموا أنتم عن أنفسکم، فإذا لم تفعلوا فلیصم عن کلّ صبیّ منکم ولیّه</w:t>
      </w:r>
      <w:r>
        <w:rPr>
          <w:rFonts w:eastAsia="IRNazanin" w:cs="IRNazanin"/>
          <w:color w:val="111111"/>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فأحرمنا و معنا صبیان، فأحرموا و لبّوا کما لبیّنا، و لم یقدروا علی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 عن کلّ صبیّ ولیّه</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bookmarkStart w:id="753" w:name="pg11756_104180"/>
    </w:p>
    <w:p>
      <w:pPr>
        <w:pStyle w:val="BookText"/>
        <w:rPr/>
      </w:pPr>
      <w:bookmarkEnd w:id="753"/>
      <w:r>
        <w:rPr>
          <w:rFonts w:ascii="IRNazanin" w:hAnsi="IRNazanin" w:eastAsia="IRNazanin"/>
          <w:color w:val="111111"/>
          <w:sz w:val="28"/>
          <w:sz w:val="28"/>
          <w:szCs w:val="28"/>
          <w:rtl w:val="true"/>
          <w:lang w:bidi="fa-IR"/>
        </w:rPr>
        <w:t>و روایته الثّالثة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یصوم عنه ولیّه إذا لم یجد هدیا</w:t>
      </w:r>
      <w:r>
        <w:rPr>
          <w:rFonts w:eastAsia="IRNazanin" w:cs="IRNazanin"/>
          <w:color w:val="111111"/>
          <w:sz w:val="28"/>
          <w:szCs w:val="28"/>
          <w:rtl w:val="true"/>
          <w:lang w:bidi="fa-IR"/>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هذه الروایات الثّلاث هو التسویة بین الولیّ و المولّی علیه فی المناسک و ما یترتّب علی إحرام الحجّ، فتترتّب أحکام الحجّ علی الصبیّ کما تترتّب علی الولیّ</w:t>
      </w:r>
      <w:r>
        <w:rPr>
          <w:rFonts w:eastAsia="IRNazanin" w:cs="IRNazanin"/>
          <w:color w:val="111111"/>
          <w:sz w:val="28"/>
          <w:szCs w:val="28"/>
          <w:rtl w:val="true"/>
          <w:lang w:bidi="fa-IR"/>
        </w:rPr>
        <w:t>.</w:t>
      </w:r>
    </w:p>
    <w:p>
      <w:pPr>
        <w:pStyle w:val="Heading4"/>
        <w:numPr>
          <w:ilvl w:val="3"/>
          <w:numId w:val="1"/>
        </w:numPr>
        <w:rPr/>
      </w:pPr>
      <w:bookmarkStart w:id="754" w:name="__RefHeading___Toc9643979_73709187"/>
      <w:bookmarkStart w:id="755" w:name="_Toc284"/>
      <w:bookmarkEnd w:id="754"/>
      <w:r>
        <w:rPr>
          <w:rtl w:val="true"/>
        </w:rPr>
        <w:t xml:space="preserve">المقام الثانی </w:t>
      </w:r>
      <w:r>
        <w:rPr>
          <w:rtl w:val="true"/>
        </w:rPr>
        <w:t xml:space="preserve">- </w:t>
      </w:r>
      <w:r>
        <w:rPr>
          <w:rtl w:val="true"/>
        </w:rPr>
        <w:t>حرمة الاستمتاع بالنّساء للصبیّ</w:t>
      </w:r>
      <w:bookmarkEnd w:id="755"/>
    </w:p>
    <w:p>
      <w:pPr>
        <w:pStyle w:val="Heading5"/>
        <w:numPr>
          <w:ilvl w:val="4"/>
          <w:numId w:val="1"/>
        </w:numPr>
        <w:rPr/>
      </w:pPr>
      <w:bookmarkStart w:id="756" w:name="__RefHeading___Toc9643981_73709187"/>
      <w:bookmarkStart w:id="757" w:name="_Toc285"/>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إذا ترک الصبیّ طواف النساء، هل تحرم علیه النساء؟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تتوقّف حلّیّة النساء له وضعا علی تحقّق طواف النساء منه؟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مطلقا للممیّز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الفقهاء إلی أنّه لو لم یتحقّق من الصبیّ طواف النّساء لم یحللن له، سواء کان الصبیّ ممیّزا أو غیر ممیّز، و سواء فی ذلک قبل البلوغ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 النساء بدونه حتّی العقد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الخصیّ و الخنثی و الصبیّ کذلک</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یلزم به الصبیّ الممیّز، و یطوف الولیّ بغیر الممیّز، فلو ترکاه وجب قضاؤه کما یجب علی غیرهما، و یحرم علیهما النساء بعد البلوغ، و یمنعان من الاستمتاع بالحلائل قبل البلوغ</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التذکرة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النساء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w:t>
      </w:r>
      <w:bookmarkStart w:id="758" w:name="pg11756_104181"/>
    </w:p>
    <w:p>
      <w:pPr>
        <w:pStyle w:val="BookText"/>
        <w:rPr/>
      </w:pPr>
      <w:bookmarkEnd w:id="758"/>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و النساء و الخصیان، من البالغین و غیرهم و ترتّب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ترک الحاجّ أو المعتمر مفردا طواف النساء لم یحللن له</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الصبیّ غیر ممیّز طاف الولیّ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حکم الترک لو ترک إلی أن یقضی</w:t>
      </w:r>
      <w:r>
        <w:rPr>
          <w:rFonts w:eastAsia="IRNazanin" w:cs="IRNazanin"/>
          <w:color w:val="111111"/>
          <w:sz w:val="28"/>
          <w:szCs w:val="28"/>
          <w:rtl w:val="true"/>
          <w:lang w:bidi="fa-IR"/>
        </w:rPr>
        <w:t>»</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احتمله فی کشف اللّثام قویّا</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أحرم الطفل غیر الممیّز ولیّه یجب علی الأحوط أن یطوف به طواف النساء حتّی یحلّ له النساء</w:t>
      </w:r>
      <w:r>
        <w:rPr>
          <w:rFonts w:eastAsia="IRNazanin" w:cs="IRNazanin"/>
          <w:color w:val="111111"/>
          <w:sz w:val="28"/>
          <w:szCs w:val="28"/>
          <w:rtl w:val="true"/>
          <w:lang w:bidi="fa-IR"/>
        </w:rPr>
        <w:t>»</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تفصیل الشریعة</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تقریرات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الإحرام الصحیح یستتبع تروکا، و لیس الصبیّ قابلا لذلک التکلیف، سواء کان ممیّزا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یتّجه ما أفاده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الاستمتاع قبل البلوغ</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9643983_73709187"/>
      <w:bookmarkStart w:id="760" w:name="_Toc286"/>
      <w:bookmarkEnd w:id="759"/>
      <w:r>
        <w:rPr>
          <w:rtl w:val="true"/>
        </w:rPr>
        <w:t>أدلّة حرمة النّساء علی الصبیّ</w:t>
      </w:r>
      <w:bookmarkEnd w:id="760"/>
    </w:p>
    <w:p>
      <w:pPr>
        <w:pStyle w:val="BookText"/>
        <w:rPr/>
      </w:pPr>
      <w:r>
        <w:rPr>
          <w:rFonts w:ascii="IRNazanin" w:hAnsi="IRNazanin" w:eastAsia="IRNazanin"/>
          <w:color w:val="111111"/>
          <w:sz w:val="28"/>
          <w:sz w:val="28"/>
          <w:szCs w:val="28"/>
          <w:rtl w:val="true"/>
          <w:lang w:bidi="fa-IR"/>
        </w:rPr>
        <w:t>یمکن أن یستدلّ للحکم بحرمة النّساء علی الصبیّ لو ترک طواف النّساء، بوجهین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المتقدّمة فی المقام الأوّل من هذا المبحث، بالتقریب المتقدّم، قال بعض الأعلام بعد ذکر النصوص و تقریب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الجمیع أنّ إحرام الصبیّ و حجّه صحیح مطلقا، سواء کان ممیّزا أم لا، و أنّ الولیّ ینوب عنه فیما لا یقدر علیه، و أنّ علیه وقایته عن المحرّمات حتّی لا یرتکب 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یتّجه أن یقال بالتسویة فی التحلیل بین الصبیّ و غیره، کما یستویان فی التحریم، فلا تحلّ له النساء ما لم یطف طواف النّساء، بل تحلّ بعده، کما یحلّ له الطیب بعد الزیارة، و یحلّ له ما عدا ذلک بعد الحلق أو التقصیر</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الوجه فیه هی الاستفادة من أدلّة مشروعیّة إحرام الولیّ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استحبابه علیه هو أن یفعل به جمیع أفعال الحجّ و ما یعمله الحاجّ من الأعمال و المناسک و طواف النساء، مضافا إلی ما أشرنا إلیه من دلالة النصوص علی توقّف حلّیّة النّساء المحرّمة بالإحرام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طواف النساء</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الإحرام سبب لحرمة النساء، و الأحکام الوضعیّة لا تختصّ بالمکلّف، کما فی کشف اللّثام</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باب الأسباب، و لهذا یجب علی الولیّ منعه منهنّ حال الإحرام، و تجب علیه الکفّارة لو فعل موجبها</w:t>
      </w:r>
      <w:r>
        <w:rPr>
          <w:rFonts w:eastAsia="IRNazanin" w:cs="IRNazanin"/>
          <w:color w:val="111111"/>
          <w:sz w:val="28"/>
          <w:szCs w:val="28"/>
          <w:rtl w:val="true"/>
          <w:lang w:bidi="fa-IR"/>
        </w:rPr>
        <w:t>»</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الوجهین بالنسبة إلی الصبیّ غیر الممیّز، و هکذا قبل بلوغ الصبیّ الممیّز مشکل، کما سنوضحه قریبا إن شاء اللّه تعالی</w:t>
      </w:r>
      <w:r>
        <w:rPr>
          <w:rFonts w:eastAsia="IRNazanin" w:cs="IRNazanin"/>
          <w:color w:val="111111"/>
          <w:sz w:val="28"/>
          <w:szCs w:val="28"/>
          <w:rtl w:val="true"/>
          <w:lang w:bidi="fa-IR"/>
        </w:rPr>
        <w:t>.</w:t>
      </w:r>
      <w:bookmarkStart w:id="761" w:name="pg11756_104183"/>
    </w:p>
    <w:p>
      <w:pPr>
        <w:pStyle w:val="Heading5"/>
        <w:numPr>
          <w:ilvl w:val="4"/>
          <w:numId w:val="1"/>
        </w:numPr>
        <w:rPr/>
      </w:pPr>
      <w:bookmarkStart w:id="762" w:name="__RefHeading___Toc9643985_73709187"/>
      <w:bookmarkStart w:id="763" w:name="_Toc287"/>
      <w:bookmarkEnd w:id="761"/>
      <w:bookmarkEnd w:id="762"/>
      <w:r>
        <w:rPr>
          <w:rtl w:val="true"/>
        </w:rPr>
        <w:t>عدم الحرمة مطلقا</w:t>
      </w:r>
      <w:bookmarkEnd w:id="763"/>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السیّد الخوئی، من أنّه لا یترتّب علی ترک الصبیّ طواف النساء حرمتهنّ علیه، و علّله بأنّ حرمة النساء کالتقبیل و الملامسة بشهوة و غیرهما أحکام تکلیفیّة محضة، و هی غیر ثابتة علی الصبیّ من أوّل الأمر حتّی یقال بارتفاعها بالطواف أو عدمه؛ لأنّ التکلیف یعتبر فیه البلوغ، فإذا کان المحرم غیر مکلّف لا تحرم علیه هذه المحرّمات و یجوز له ارتکابها</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النّساء علی المحرم لو ترک طواف النّساء و إن کانت حکما تکلیفیّا إلاّ أنّها تتسبّب من الإحرام، و السببیّة کالجزئیّة و الشرطیّة کانت من الأحکام الوضعیّة، و هی لا تختصّ بالبالغین، و تشمل الصبیّ أیضا، سواء قلنا بأن الأحکام الوضعیّة تنتزع من الأحکام التکلیفیّة، أو قلنا بأنّ لها جعلا مستقلاّ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الإحرام سبب لحرمة النساء، و السببیّة حکم وضعی</w:t>
      </w:r>
      <w:r>
        <w:rPr>
          <w:rStyle w:val="FootnoteAnchor"/>
          <w:rtl w:val="true"/>
        </w:rPr>
        <w:footnoteReference w:id="1974"/>
      </w:r>
      <w:r>
        <w:rPr>
          <w:rFonts w:ascii="IRNazanin" w:hAnsi="IRNazanin" w:eastAsia="IRNazanin"/>
          <w:color w:val="111111"/>
          <w:sz w:val="28"/>
          <w:sz w:val="28"/>
          <w:szCs w:val="28"/>
          <w:rtl w:val="true"/>
          <w:lang w:bidi="fa-IR"/>
        </w:rPr>
        <w:t>، و هی لا تختصّ بالمکلّف، بل تجری فی الصبیّ أیضا، کإتلافه مال الغیر الّذی یکون سببا لضمانه و لو کان غیر ممیّز، مضافا إلی أنّه مع دلالة النصوص المتقدّمة علی وجوب طواف النّساء علی الصّبیّ فالقول بعدم وجوبه علیه کأنّه اجتهاد فی مقابل النصّ</w:t>
      </w:r>
      <w:r>
        <w:rPr>
          <w:rFonts w:eastAsia="IRNazanin" w:cs="IRNazanin"/>
          <w:color w:val="111111"/>
          <w:sz w:val="28"/>
          <w:szCs w:val="28"/>
          <w:rtl w:val="true"/>
          <w:lang w:bidi="fa-IR"/>
        </w:rPr>
        <w:t>.</w:t>
      </w:r>
      <w:bookmarkStart w:id="764" w:name="pg11756_104184"/>
    </w:p>
    <w:p>
      <w:pPr>
        <w:pStyle w:val="Heading5"/>
        <w:numPr>
          <w:ilvl w:val="4"/>
          <w:numId w:val="1"/>
        </w:numPr>
        <w:rPr/>
      </w:pPr>
      <w:bookmarkStart w:id="765" w:name="__RefHeading___Toc9643987_73709187"/>
      <w:bookmarkStart w:id="766" w:name="_Toc288"/>
      <w:bookmarkEnd w:id="764"/>
      <w:bookmarkEnd w:id="765"/>
      <w:r>
        <w:rPr>
          <w:rtl w:val="true"/>
        </w:rPr>
        <w:t>عدم الحرمة بالنسبة إلی غیر الممیّز</w:t>
      </w:r>
      <w:bookmarkEnd w:id="766"/>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آخر من الفقهاء من عدم حرمة النّساء علی الصبیّ غیر الممیّز لو لم یتحقّق منه طواف النساء، کما هو الظاهر من القواعد،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یحرم علی الممیّز النّساء بعد بلوغه لو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الممیّز فلا إشکال فی عدم شرعیّة إحرامه و لو تمرینا مع فرض وقوعه منه، فلا تحرم النّساء علیه إذا لم یطف به الولیّ</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یوجّه بأنّ الصبیّ غیر الممیّز کالبهائم لا قصد له، و لا مشروعیّة لعباداته، فلا تترتّب علیها الآثار حتّی یقال بحرمة النّساء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 إحرام غیر الممیّز لیس شرعیّا و لا تمرینیّا</w:t>
      </w:r>
      <w:r>
        <w:rPr>
          <w:rFonts w:eastAsia="IRNazanin" w:cs="IRNazanin"/>
          <w:color w:val="111111"/>
          <w:sz w:val="28"/>
          <w:szCs w:val="28"/>
          <w:rtl w:val="true"/>
          <w:lang w:bidi="fa-IR"/>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تقدّم أنّه یصحّ للولیّ أن یحرم الصبیّ غیر الممیّز، و علیه أن یمنعه ممّا یتّقی منه المحرم، و إذا کان إحرامه صحیحا تترتّب علیه الآثار، و منها حرمة النّساء، إلاّ أنّه لا تکلیف علیه قبل البلوغ، فلا حرمة علیه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 فی ذیل کلام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انعقاد إحرامه و وجوب مجانبته علی الولیّ ما یجتنبه المحرم یقتضی عدم الفرق</w:t>
      </w:r>
      <w:r>
        <w:rPr>
          <w:rFonts w:eastAsia="IRNazanin" w:cs="IRNazanin"/>
          <w:color w:val="111111"/>
          <w:sz w:val="28"/>
          <w:szCs w:val="28"/>
          <w:rtl w:val="true"/>
          <w:lang w:bidi="fa-IR"/>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لذلک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التصریح بتمرینیّة عبادات الصبیّ</w:t>
      </w:r>
      <w:bookmarkStart w:id="767" w:name="pg11756_104185"/>
    </w:p>
    <w:p>
      <w:pPr>
        <w:pStyle w:val="BookText"/>
        <w:rPr/>
      </w:pPr>
      <w:bookmarkEnd w:id="767"/>
      <w:r>
        <w:rPr>
          <w:rFonts w:ascii="IRNazanin" w:hAnsi="IRNazanin" w:eastAsia="IRNazanin"/>
          <w:color w:val="111111"/>
          <w:sz w:val="28"/>
          <w:sz w:val="28"/>
          <w:szCs w:val="28"/>
          <w:rtl w:val="true"/>
          <w:lang w:bidi="fa-IR"/>
        </w:rPr>
        <w:t xml:space="preserve">غیر الممیّز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یدّعی خروج الحجّ منها، کما هو الظاهر</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9643989_73709187"/>
      <w:bookmarkStart w:id="769" w:name="_Toc289"/>
      <w:bookmarkEnd w:id="768"/>
      <w:r>
        <w:rPr>
          <w:rtl w:val="true"/>
        </w:rPr>
        <w:t>حرمة النّساء علی الصبیّ بعد البلوغ</w:t>
      </w:r>
      <w:bookmarkEnd w:id="769"/>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الفقهاء، و هو أنّه لو ترک الصبیّ طواف النّساء حرمت علیه النساء بعد البلوغ کما تقدّم نقله عن القواعد</w:t>
      </w:r>
      <w:r>
        <w:rPr>
          <w:rStyle w:val="FootnoteAnchor"/>
          <w:rtl w:val="true"/>
        </w:rPr>
        <w:footnoteReference w:id="1980"/>
      </w:r>
      <w:r>
        <w:rPr>
          <w:rFonts w:ascii="IRNazanin" w:hAnsi="IRNazanin" w:eastAsia="IRNazanin"/>
          <w:color w:val="111111"/>
          <w:sz w:val="28"/>
          <w:sz w:val="28"/>
          <w:szCs w:val="28"/>
          <w:rtl w:val="true"/>
          <w:lang w:bidi="fa-IR"/>
        </w:rPr>
        <w:t>، و اختاره فی جامع المقاصد</w:t>
      </w:r>
      <w:r>
        <w:rPr>
          <w:rStyle w:val="FootnoteAnchor"/>
          <w:rtl w:val="true"/>
        </w:rPr>
        <w:footnoteReference w:id="1981"/>
      </w:r>
      <w:r>
        <w:rPr>
          <w:rFonts w:ascii="IRNazanin" w:hAnsi="IRNazanin" w:eastAsia="IRNazanin"/>
          <w:color w:val="111111"/>
          <w:sz w:val="28"/>
          <w:sz w:val="28"/>
          <w:szCs w:val="28"/>
          <w:rtl w:val="true"/>
          <w:lang w:bidi="fa-IR"/>
        </w:rPr>
        <w:t>و المسالک</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المفردة اتّفاقا علی کلّ معتمر و إن کان صبیّا، فیحرم علیه النّساء قبله بعد البلوغ</w:t>
      </w:r>
      <w:r>
        <w:rPr>
          <w:rFonts w:eastAsia="IRNazanin" w:cs="IRNazanin"/>
          <w:color w:val="111111"/>
          <w:sz w:val="28"/>
          <w:szCs w:val="28"/>
          <w:rtl w:val="true"/>
          <w:lang w:bidi="fa-IR"/>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أخلّوا به حرمت علیهم النّساء بعد البلوغ</w:t>
      </w:r>
      <w:r>
        <w:rPr>
          <w:rFonts w:eastAsia="IRNazanin" w:cs="IRNazanin"/>
          <w:color w:val="111111"/>
          <w:sz w:val="28"/>
          <w:szCs w:val="28"/>
          <w:rtl w:val="true"/>
          <w:lang w:bidi="fa-IR"/>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النّساء علی الصبیان بعد البلوغ إن لم یأتوا بطواف النساء فی الحجّ قبله</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لزوم تحقّق طواف النساء علی الصبیّ ما تقدّم فی الاستدلال علی القول الأوّل، و حیث إنّه لا یخاطب بالتکلیف الواجب قبل بلوغه یجب علیه أن یأتی به بعد البلوغ، قال الشهید الثّانی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الصبیان لا یخاطبون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الوجوب؛ لعدم التکلیف فی حقّهم، بل</w:t>
      </w:r>
    </w:p>
    <w:p>
      <w:pPr>
        <w:pStyle w:val="BookText"/>
        <w:rPr/>
      </w:pPr>
      <w:r>
        <w:rPr>
          <w:rFonts w:ascii="IRNazanin" w:hAnsi="IRNazanin" w:eastAsia="IRNazanin"/>
          <w:color w:val="111111"/>
          <w:sz w:val="28"/>
          <w:sz w:val="28"/>
          <w:szCs w:val="28"/>
          <w:rtl w:val="true"/>
          <w:lang w:bidi="fa-IR"/>
        </w:rPr>
        <w:t>یلزمون به تمرینا، فلو أخلّوا به حرمت علیهم النساء بعد البلوغ</w:t>
      </w:r>
      <w:r>
        <w:rPr>
          <w:rFonts w:eastAsia="IRNazanin" w:cs="IRNazanin"/>
          <w:color w:val="111111"/>
          <w:sz w:val="28"/>
          <w:szCs w:val="28"/>
          <w:rtl w:val="true"/>
          <w:lang w:bidi="fa-IR"/>
        </w:rPr>
        <w:t>»</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الصبیّ فی الحجّ و العمرة المفردة، یکون مقتضیا لوجوب طواف النساء، و لکنّ عدم بلوغه مانع، فإذا ارتفع المانع یؤثّر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یفعلوه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یفعل الصبیان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 علیهم إذا بلغوا حتّی یفعلوه أو یستنیبوا فیه؛ استصحابا</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فی هذا المبحث نصّا لأهل السنّة، حیث إنّهم لا یعتقدون بوجوب طواف النّساء فی الحجّ</w:t>
      </w:r>
      <w:r>
        <w:rPr>
          <w:rFonts w:eastAsia="IRNazanin" w:cs="IRNazanin"/>
          <w:color w:val="111111"/>
          <w:sz w:val="28"/>
          <w:szCs w:val="28"/>
          <w:rtl w:val="true"/>
          <w:lang w:bidi="fa-IR"/>
        </w:rPr>
        <w:t>.</w:t>
      </w:r>
      <w:bookmarkStart w:id="770" w:name="pg11756_104187"/>
    </w:p>
    <w:p>
      <w:pPr>
        <w:pStyle w:val="Heading3"/>
        <w:numPr>
          <w:ilvl w:val="2"/>
          <w:numId w:val="1"/>
        </w:numPr>
        <w:rPr/>
      </w:pPr>
      <w:bookmarkStart w:id="771" w:name="__RefHeading___Toc9643991_73709187"/>
      <w:bookmarkStart w:id="772" w:name="_Toc290"/>
      <w:bookmarkEnd w:id="770"/>
      <w:bookmarkEnd w:id="771"/>
      <w:r>
        <w:rPr>
          <w:rtl w:val="true"/>
        </w:rPr>
        <w:t>المبحث الخامس عشر</w:t>
      </w:r>
      <w:r>
        <w:rPr>
          <w:rtl w:val="true"/>
        </w:rPr>
        <w:t xml:space="preserve">: </w:t>
      </w:r>
      <w:r>
        <w:rPr>
          <w:rtl w:val="true"/>
        </w:rPr>
        <w:t>فساد حجّ الصبیّ</w:t>
      </w:r>
      <w:bookmarkEnd w:id="772"/>
    </w:p>
    <w:p>
      <w:pPr>
        <w:pStyle w:val="Heading4"/>
        <w:numPr>
          <w:ilvl w:val="3"/>
          <w:numId w:val="1"/>
        </w:numPr>
        <w:rPr/>
      </w:pPr>
      <w:bookmarkStart w:id="773" w:name="__RefHeading___Toc9643993_73709187"/>
      <w:bookmarkStart w:id="774" w:name="_Toc291"/>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المشهور بین الفقهاء أنّه إذا جامع المحرم البالغ قبل المشعر اختیارا حال کونه عالما بالتحریم فسد حجّه، و علیه إتمامه و بدنة، و یجب علیه القضاء فی السّنة الآتیة، دائمة کانت زوجته أو منقطعة أو أجنبیّة، قبلا کان أو دبرا</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تفسد العمرة إذا جامع فیها قبل السعی، مفردة کانت أو متمتّعا بها، علی اختلاف</w:t>
      </w:r>
      <w:r>
        <w:rPr>
          <w:rStyle w:val="FootnoteAnchor"/>
          <w:rtl w:val="true"/>
        </w:rPr>
        <w:footnoteReference w:id="1990"/>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زوجته عامدا عالما بالتحریم قبل الوقوف بالمشعر فسد حجّه، و وجب إتمامه و الحجّ من قابل و بدنة، سواء القبل و الدبر، و سواء کان الحجّ فرضا أو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جامع فی إحرام العمرة أو المتمتع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السعی عامدا عالما بالتحریم</w:t>
      </w:r>
    </w:p>
    <w:p>
      <w:pPr>
        <w:pStyle w:val="BookText"/>
        <w:rPr/>
      </w:pPr>
      <w:r>
        <w:rPr>
          <w:rFonts w:ascii="IRNazanin" w:hAnsi="IRNazanin" w:eastAsia="IRNazanin"/>
          <w:color w:val="111111"/>
          <w:sz w:val="28"/>
          <w:sz w:val="28"/>
          <w:szCs w:val="28"/>
          <w:rtl w:val="true"/>
          <w:lang w:bidi="fa-IR"/>
        </w:rPr>
        <w:t>بطلت عمرته و وجب إکمالها و قضاؤها و بدنة، و یستحبّ أن یکون القضاء فی الشهر الداخل</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امرأته محرمة مطاوعة لزمها مثل ذلک، و علیهما أن یفترقا إذا بلغا ذلک المکان، حتّی یقضیا المناسک إذا حجّا علی تلک الطریق</w:t>
      </w:r>
      <w:r>
        <w:rPr>
          <w:rFonts w:eastAsia="IRNazanin" w:cs="IRNazanin"/>
          <w:color w:val="111111"/>
          <w:sz w:val="28"/>
          <w:szCs w:val="28"/>
          <w:rtl w:val="true"/>
          <w:lang w:bidi="fa-IR"/>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طاوعته و کانت هی خاصّة جاهلة فلا شیء علیها، و وجبت علیه الکفارة</w:t>
      </w:r>
      <w:r>
        <w:rPr>
          <w:rFonts w:eastAsia="IRNazanin" w:cs="IRNazanin"/>
          <w:color w:val="111111"/>
          <w:sz w:val="28"/>
          <w:szCs w:val="28"/>
          <w:rtl w:val="true"/>
          <w:lang w:bidi="fa-IR"/>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هذا الحکم مجمع علیه بین العلماء فی الجملة</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تجری هذه الأحکام بالنسبة إلی الصبیّ؟ فیفسد حجّه إذا جامع و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الجماع یتحقّق بغیبوبة الحشفة و لو بدون الإنزال، و هذا یتحقّق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یختصّ ذلک الحکم بالبالغین؟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حجّه و لا یجب علیه القضاء، کما قال فی المبسوط</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الوطء فی الفرج، فإن کان ناسیا لا شیء علیه، و لا یفسد حجّه، مثل البالغ سواء، و إن کان عامدا فعلی ما قلناه من أنّ عمده و خطأه سواء لا یتعلّق به أیضا فساد الحجّ،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عمده عمد؛ لعموم الأخبار، فیمن وطئ عامدا فی الفرج من أنّه یفسد حجّه فقد فسد حجّه، و یلزمه القضاء، و الأقوی الأوّل</w:t>
      </w:r>
      <w:r>
        <w:rPr>
          <w:rFonts w:eastAsia="IRNazanin" w:cs="IRNazanin"/>
          <w:color w:val="111111"/>
          <w:sz w:val="28"/>
          <w:szCs w:val="28"/>
          <w:rtl w:val="true"/>
          <w:lang w:bidi="fa-IR"/>
        </w:rPr>
        <w:t>»</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996"/>
      </w:r>
      <w:r>
        <w:rPr>
          <w:rFonts w:ascii="IRNazanin" w:hAnsi="IRNazanin" w:eastAsia="IRNazanin"/>
          <w:color w:val="111111"/>
          <w:sz w:val="28"/>
          <w:sz w:val="28"/>
          <w:szCs w:val="28"/>
          <w:rtl w:val="true"/>
          <w:lang w:bidi="fa-IR"/>
        </w:rPr>
        <w:t>و المختلف</w:t>
      </w:r>
      <w:r>
        <w:rPr>
          <w:rStyle w:val="FootnoteAnchor"/>
          <w:rtl w:val="true"/>
        </w:rPr>
        <w:footnoteReference w:id="1997"/>
      </w:r>
      <w:bookmarkStart w:id="775" w:name="pg11756_104189"/>
    </w:p>
    <w:p>
      <w:pPr>
        <w:pStyle w:val="BookText"/>
        <w:rPr/>
      </w:pPr>
      <w:bookmarkEnd w:id="775"/>
      <w:r>
        <w:rPr>
          <w:rFonts w:ascii="IRNazanin" w:hAnsi="IRNazanin" w:eastAsia="IRNazanin"/>
          <w:color w:val="111111"/>
          <w:sz w:val="28"/>
          <w:sz w:val="28"/>
          <w:szCs w:val="28"/>
          <w:rtl w:val="true"/>
          <w:lang w:bidi="fa-IR"/>
        </w:rPr>
        <w:t>و التذکرة</w:t>
      </w:r>
      <w:r>
        <w:rPr>
          <w:rStyle w:val="FootnoteAnchor"/>
          <w:rtl w:val="true"/>
        </w:rPr>
        <w:footnoteReference w:id="1998"/>
      </w:r>
      <w:r>
        <w:rPr>
          <w:rFonts w:ascii="IRNazanin" w:hAnsi="IRNazanin" w:eastAsia="IRNazanin"/>
          <w:color w:val="111111"/>
          <w:sz w:val="28"/>
          <w:sz w:val="28"/>
          <w:szCs w:val="28"/>
          <w:rtl w:val="true"/>
          <w:lang w:bidi="fa-IR"/>
        </w:rPr>
        <w:t>و غایة المرام</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9643995_73709187"/>
      <w:bookmarkStart w:id="777" w:name="_Toc292"/>
      <w:bookmarkEnd w:id="776"/>
      <w:r>
        <w:rPr>
          <w:rtl w:val="true"/>
        </w:rPr>
        <w:t>أدلّة عدم فساد حجّ الصبیّ و عدم القضاء علیه</w:t>
      </w:r>
      <w:bookmarkEnd w:id="777"/>
    </w:p>
    <w:p>
      <w:pPr>
        <w:pStyle w:val="BookText"/>
        <w:rPr/>
      </w:pPr>
      <w:r>
        <w:rPr>
          <w:rFonts w:ascii="IRNazanin" w:hAnsi="IRNazanin" w:eastAsia="IRNazanin"/>
          <w:color w:val="111111"/>
          <w:sz w:val="28"/>
          <w:sz w:val="28"/>
          <w:szCs w:val="28"/>
          <w:rtl w:val="true"/>
          <w:lang w:bidi="fa-IR"/>
        </w:rPr>
        <w:t>یمکن أن یستدلّ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محمّد بن مسلم</w:t>
      </w:r>
      <w:r>
        <w:rPr>
          <w:rStyle w:val="FootnoteAnchor"/>
          <w:rtl w:val="true"/>
        </w:rPr>
        <w:footnoteReference w:id="2000"/>
      </w:r>
      <w:r>
        <w:rPr>
          <w:rFonts w:ascii="IRNazanin" w:hAnsi="IRNazanin" w:eastAsia="IRNazanin"/>
          <w:color w:val="111111"/>
          <w:sz w:val="28"/>
          <w:sz w:val="28"/>
          <w:szCs w:val="28"/>
          <w:rtl w:val="true"/>
          <w:lang w:bidi="fa-IR"/>
        </w:rPr>
        <w:t>و معتبره إسحاق بن عمّار</w:t>
      </w:r>
      <w:r>
        <w:rPr>
          <w:rStyle w:val="FootnoteAnchor"/>
          <w:rtl w:val="true"/>
        </w:rPr>
        <w:footnoteReference w:id="2001"/>
      </w:r>
      <w:r>
        <w:rPr>
          <w:rFonts w:ascii="IRNazanin" w:hAnsi="IRNazanin" w:eastAsia="IRNazanin"/>
          <w:color w:val="111111"/>
          <w:sz w:val="28"/>
          <w:sz w:val="28"/>
          <w:szCs w:val="28"/>
          <w:rtl w:val="true"/>
          <w:lang w:bidi="fa-IR"/>
        </w:rPr>
        <w:t>، فإنّ مقتضاهما أن الفعل العمدی الصادر من الصبیّ یترتّب علیه حکم الفعل الصادر خطاء عن المکلّف، فإذا فرض أنّ المجامعة لا تبطل الحجّ إلاّ فی صورة العمد، فمقتضی النصوص الواردة عدم فساد حجّ الصبیّ و عدم ترتّب الکفّارة علیه إذا جامع زوجته، فلا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البحث عن حکم الکفّارة بالنسبة إلی الصبیّ، بأنّ القرینة الخارجیّة قائمة علی اختصاص النصوص بباب الدیات، و أنّها أجنبیّة عن أمثال المقام، فراجع</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غیر مکلّف، فلا حرمة علیه کالجاهل و النّاسی، فلا یترتّب علی فعله ما یترتّب علی فعل المکلّفین من فساد الحجّ و لزوم القضاء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فقه جدید و ما هو مخالف لضرورة المذهب؛ بداهة</w:t>
      </w:r>
      <w:bookmarkStart w:id="778" w:name="pg11756_104190"/>
    </w:p>
    <w:p>
      <w:pPr>
        <w:pStyle w:val="BookText"/>
        <w:rPr/>
      </w:pPr>
      <w:bookmarkEnd w:id="778"/>
      <w:r>
        <w:rPr>
          <w:rFonts w:ascii="IRNazanin" w:hAnsi="IRNazanin" w:eastAsia="IRNazanin"/>
          <w:color w:val="111111"/>
          <w:sz w:val="28"/>
          <w:sz w:val="28"/>
          <w:szCs w:val="28"/>
          <w:rtl w:val="true"/>
          <w:lang w:bidi="fa-IR"/>
        </w:rPr>
        <w:t>أنّ لازم هذا القول أن لا یبطل صوم الصبیّ مع عدم الاجتناب عن مبطلات الصوم، و أن لا تبطل صلاته إذا ارتکب عمدا ما یوجب بطلان صلاة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قبول هذا الاستدلال بإطلاقه ممّا یقطع بخلافه، و لا أظنّ أن یلتزم به فقیه، مضافا إلی أنّه لا منافاة بین عدم الحرمة و البطلان؛ لأن البطلان من أحکام الوضع الّذی لا یختصّ بالبالغین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عقوبة</w:t>
      </w:r>
      <w:r>
        <w:rPr>
          <w:rStyle w:val="FootnoteAnchor"/>
          <w:rtl w:val="true"/>
        </w:rPr>
        <w:footnoteReference w:id="2003"/>
      </w:r>
      <w:r>
        <w:rPr>
          <w:rFonts w:ascii="IRNazanin" w:hAnsi="IRNazanin" w:eastAsia="IRNazanin"/>
          <w:color w:val="111111"/>
          <w:sz w:val="28"/>
          <w:sz w:val="28"/>
          <w:szCs w:val="28"/>
          <w:rtl w:val="true"/>
          <w:lang w:bidi="fa-IR"/>
        </w:rPr>
        <w:t>، و لا عقوبة علی الصبیّ؛ لأنّه غیر مکلّف،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غشی امرأته و هی محرمة،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جاهلین أو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 الوجهین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الحجّتین لهما؟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 الّتی أحدثا فیها ما أحدثا، و الاخری علیهما عقوبة</w:t>
      </w:r>
      <w:r>
        <w:rPr>
          <w:rFonts w:eastAsia="IRNazanin" w:cs="IRNazanin"/>
          <w:color w:val="111111"/>
          <w:sz w:val="28"/>
          <w:szCs w:val="28"/>
          <w:rtl w:val="true"/>
          <w:lang w:bidi="fa-IR"/>
        </w:rPr>
        <w:t>»</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ینفی القضاء عن الصبیّ حیث إنّ الصحیحة صریحة بکون القضاء عقوبة، و العقوبة منفیة</w:t>
      </w:r>
      <w:r>
        <w:rPr>
          <w:rStyle w:val="FootnoteAnchor"/>
          <w:rtl w:val="true"/>
        </w:rPr>
        <w:footnoteReference w:id="2005"/>
      </w:r>
      <w:r>
        <w:rPr>
          <w:rFonts w:ascii="IRNazanin" w:hAnsi="IRNazanin" w:eastAsia="IRNazanin"/>
          <w:color w:val="111111"/>
          <w:sz w:val="28"/>
          <w:sz w:val="28"/>
          <w:szCs w:val="28"/>
          <w:rtl w:val="true"/>
          <w:lang w:bidi="fa-IR"/>
        </w:rPr>
        <w:t>عنه بحدیث الرفع، و أمّا فساد حجّه فلا</w:t>
      </w:r>
      <w:r>
        <w:rPr>
          <w:rFonts w:eastAsia="IRNazanin" w:cs="IRNazanin"/>
          <w:color w:val="111111"/>
          <w:sz w:val="28"/>
          <w:szCs w:val="28"/>
          <w:rtl w:val="true"/>
          <w:lang w:bidi="fa-IR"/>
        </w:rPr>
        <w:t>.</w:t>
      </w:r>
    </w:p>
    <w:p>
      <w:pPr>
        <w:pStyle w:val="Heading4"/>
        <w:numPr>
          <w:ilvl w:val="3"/>
          <w:numId w:val="1"/>
        </w:numPr>
        <w:rPr/>
      </w:pPr>
      <w:bookmarkStart w:id="779" w:name="__RefHeading___Toc9643997_73709187"/>
      <w:bookmarkStart w:id="780" w:name="_Toc293"/>
      <w:bookmarkEnd w:id="779"/>
      <w:r>
        <w:rPr>
          <w:rtl w:val="true"/>
        </w:rPr>
        <w:t>فساد حجّ الصبیّ و وجوب القضاء علیه</w:t>
      </w:r>
      <w:bookmarkEnd w:id="7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الفقهاء من أنّه یفسد حجّ الصبیّ بالجماع، و یجب علیه القضاء، کما احتمله الشیخ فی المبسوط،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781" w:name="pg11756_104191"/>
    </w:p>
    <w:p>
      <w:pPr>
        <w:pStyle w:val="BookText"/>
        <w:rPr/>
      </w:pPr>
      <w:bookmarkEnd w:id="781"/>
      <w:r>
        <w:rPr>
          <w:rFonts w:ascii="IRNazanin" w:hAnsi="IRNazanin" w:eastAsia="IRNazanin"/>
          <w:color w:val="111111"/>
          <w:sz w:val="28"/>
          <w:sz w:val="28"/>
          <w:szCs w:val="28"/>
          <w:rtl w:val="true"/>
          <w:lang w:bidi="fa-IR"/>
        </w:rPr>
        <w:t>عمده عمد؛ لعموم الأخبار فیمن وطئ عامدا فی الفرج من أنّه یفسد حجّه، فقد فسد حجّه، و یلزمه القضاء</w:t>
      </w:r>
      <w:r>
        <w:rPr>
          <w:rFonts w:eastAsia="IRNazanin" w:cs="IRNazanin"/>
          <w:color w:val="111111"/>
          <w:sz w:val="28"/>
          <w:szCs w:val="28"/>
          <w:rtl w:val="true"/>
          <w:lang w:bidi="fa-IR"/>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الفرج قبل الوقوف فإنّ الوجوب علیه دون الولیّ</w:t>
      </w:r>
      <w:r>
        <w:rPr>
          <w:rFonts w:eastAsia="IRNazanin" w:cs="IRNazanin"/>
          <w:color w:val="111111"/>
          <w:sz w:val="28"/>
          <w:szCs w:val="28"/>
          <w:rtl w:val="true"/>
          <w:lang w:bidi="fa-IR"/>
        </w:rPr>
        <w:t>»</w:t>
      </w:r>
      <w:r>
        <w:rPr>
          <w:rStyle w:val="FootnoteAnchor"/>
          <w:rtl w:val="true"/>
        </w:rPr>
        <w:footnoteReference w:id="2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جامع المقاصد</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علیک أنّ المتّجه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حجّه بتعمّده، و حینئذ یترتّب علیه القضاء بعد البلوغ کالغسل بالجنابة الصادرة منه</w:t>
      </w:r>
      <w:r>
        <w:rPr>
          <w:rFonts w:eastAsia="IRNazanin" w:cs="IRNazanin"/>
          <w:color w:val="111111"/>
          <w:sz w:val="28"/>
          <w:szCs w:val="28"/>
          <w:rtl w:val="true"/>
          <w:lang w:bidi="fa-IR"/>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9643999_73709187"/>
      <w:bookmarkStart w:id="783" w:name="_Toc294"/>
      <w:bookmarkEnd w:id="782"/>
      <w:r>
        <w:rPr>
          <w:rtl w:val="true"/>
        </w:rPr>
        <w:t>أدلّة فساد حجّ الصبیّ بالجماع</w:t>
      </w:r>
      <w:bookmarkEnd w:id="783"/>
    </w:p>
    <w:p>
      <w:pPr>
        <w:pStyle w:val="BookText"/>
        <w:rPr/>
      </w:pPr>
      <w:r>
        <w:rPr>
          <w:rFonts w:ascii="IRNazanin" w:hAnsi="IRNazanin" w:eastAsia="IRNazanin"/>
          <w:color w:val="111111"/>
          <w:sz w:val="28"/>
          <w:sz w:val="28"/>
          <w:szCs w:val="28"/>
          <w:rtl w:val="true"/>
          <w:lang w:bidi="fa-IR"/>
        </w:rPr>
        <w:t>و استدلّ لإثبات هذا الحکم بعموم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الرّجل بامرأته دون مزدلفة أو قبل أن یأتی مزدلفة فعلیه الحجّ من قابل</w:t>
      </w:r>
      <w:r>
        <w:rPr>
          <w:rFonts w:eastAsia="IRNazanin" w:cs="IRNazanin"/>
          <w:color w:val="111111"/>
          <w:sz w:val="28"/>
          <w:szCs w:val="28"/>
          <w:rtl w:val="true"/>
          <w:lang w:bidi="fa-IR"/>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محرم وقع علی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فلیس علیه شیء، و إن لم یکن جاهلا فإنّ علیه أن یسوق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الحجّ من قابل</w:t>
      </w:r>
      <w:r>
        <w:rPr>
          <w:rFonts w:eastAsia="IRNazanin" w:cs="IRNazanin"/>
          <w:color w:val="111111"/>
          <w:sz w:val="28"/>
          <w:szCs w:val="28"/>
          <w:rtl w:val="true"/>
          <w:lang w:bidi="fa-IR"/>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مثلهما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محرم وقع</w:t>
      </w:r>
      <w:bookmarkStart w:id="784" w:name="pg11756_104192"/>
    </w:p>
    <w:p>
      <w:pPr>
        <w:pStyle w:val="BookText"/>
        <w:rPr/>
      </w:pPr>
      <w:bookmarkEnd w:id="784"/>
      <w:r>
        <w:rPr>
          <w:rFonts w:ascii="IRNazanin" w:hAnsi="IRNazanin" w:eastAsia="IRNazanin"/>
          <w:color w:val="111111"/>
          <w:sz w:val="28"/>
          <w:sz w:val="28"/>
          <w:szCs w:val="28"/>
          <w:rtl w:val="true"/>
          <w:lang w:bidi="fa-IR"/>
        </w:rPr>
        <w:t xml:space="preserve">علی أهله،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 و غیرها</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إطلاقها یشمل الصبیّ، فیفسد حجّه، فیجب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سبب فی القضاء، و کونه سببا ثابت شرعا، فهو کالحدث للطّهارة و الجنابة للغسل، فیجب أن یکون مسبّبه معتبرا فی نظر الشارع لیسقط مقتضاه</w:t>
      </w:r>
      <w:r>
        <w:rPr>
          <w:rFonts w:eastAsia="IRNazanin" w:cs="IRNazanin"/>
          <w:color w:val="111111"/>
          <w:sz w:val="28"/>
          <w:szCs w:val="28"/>
          <w:rtl w:val="true"/>
          <w:lang w:bidi="fa-IR"/>
        </w:rPr>
        <w:t>»</w:t>
      </w:r>
      <w:r>
        <w:rPr>
          <w:rStyle w:val="FootnoteAnchor"/>
          <w:rtl w:val="true"/>
        </w:rPr>
        <w:footnoteReference w:id="2014"/>
      </w:r>
      <w:r>
        <w:rPr>
          <w:rFonts w:ascii="IRNazanin" w:hAnsi="IRNazanin" w:eastAsia="IRNazanin"/>
          <w:color w:val="111111"/>
          <w:sz w:val="28"/>
          <w:sz w:val="28"/>
          <w:szCs w:val="28"/>
          <w:rtl w:val="true"/>
          <w:lang w:bidi="fa-IR"/>
        </w:rPr>
        <w:t>، و قریب من ذلک فی الجواهر</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 العموم و الإطلاقات للصبیّ الممیّز العامد مع علمه بتحریم الجماع فالظاهر أنّه لا مفرّ منه، و أمّا کون الإفساد سببا للقضاء فغیر متّجه؛ لما تقدّم من دلالة النصّ المعتبر علی أنّ الحجّ الثّانی عقوبة، و لا عقوبة و لا تحریم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یخصّ العالم العامد المکلّف، و أمّا الصبیّ فلیس علیه تکلیف</w:t>
      </w:r>
      <w:r>
        <w:rPr>
          <w:rFonts w:eastAsia="IRNazanin" w:cs="IRNazanin"/>
          <w:color w:val="111111"/>
          <w:sz w:val="28"/>
          <w:szCs w:val="28"/>
          <w:rtl w:val="true"/>
          <w:lang w:bidi="fa-IR"/>
        </w:rPr>
        <w:t>.</w:t>
      </w:r>
    </w:p>
    <w:p>
      <w:pPr>
        <w:pStyle w:val="Heading4"/>
        <w:numPr>
          <w:ilvl w:val="3"/>
          <w:numId w:val="1"/>
        </w:numPr>
        <w:rPr/>
      </w:pPr>
      <w:bookmarkStart w:id="785" w:name="__RefHeading___Toc9644001_73709187"/>
      <w:bookmarkStart w:id="786" w:name="_Toc295"/>
      <w:bookmarkEnd w:id="785"/>
      <w:r>
        <w:rPr>
          <w:rtl w:val="true"/>
        </w:rPr>
        <w:t>فساد حجّ الصبیّ و عدم وجوب القضاء علیه</w:t>
      </w:r>
      <w:bookmarkEnd w:id="786"/>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الفقهاء من أنّه یفسد حجّ الصبیّ بالجماع، و تتعلّق به الکفّارة، و لکن لا یجب علیه القضاء، کما اختاره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وطئ فی الفرج عامدا فقد روی أصحابنا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عمد الصبیّ و خطأه سواء، فعلی هذا لا یفسد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عمد یجب أن یفسد الحجّ و تتعلّق به الکفّارة؛ لعموم الأخبار فیمن وطئ</w:t>
      </w:r>
    </w:p>
    <w:p>
      <w:pPr>
        <w:pStyle w:val="BookText"/>
        <w:rPr/>
      </w:pPr>
      <w:r>
        <w:rPr>
          <w:rFonts w:ascii="Amiri" w:hAnsi="Amiri" w:eastAsia="Amiri" w:cs="Amiri"/>
          <w:color w:val="111111"/>
          <w:sz w:val="28"/>
          <w:sz w:val="28"/>
          <w:szCs w:val="28"/>
          <w:rtl w:val="true"/>
          <w:lang w:bidi="ar-SA"/>
        </w:rPr>
        <w:t>عامدا أنّه یفسد حجّه کان قویّا، إلاّ أنّه لا یلزمه القضاء؛ لأنّه لیس بمکلّف</w:t>
      </w:r>
      <w:r>
        <w:rPr>
          <w:rFonts w:eastAsia="Amiri" w:cs="Amiri" w:ascii="Amiri" w:hAnsi="Amiri"/>
          <w:color w:val="111111"/>
          <w:sz w:val="28"/>
          <w:szCs w:val="28"/>
          <w:rtl w:val="true"/>
          <w:lang w:bidi="ar-SA"/>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 برّاج</w:t>
      </w:r>
      <w:r>
        <w:rPr>
          <w:rStyle w:val="FootnoteAnchor"/>
          <w:rtl w:val="true"/>
        </w:rPr>
        <w:footnoteReference w:id="2017"/>
      </w:r>
      <w:r>
        <w:rPr>
          <w:rFonts w:ascii="IRNazanin" w:hAnsi="IRNazanin" w:eastAsia="IRNazanin"/>
          <w:color w:val="111111"/>
          <w:sz w:val="28"/>
          <w:sz w:val="28"/>
          <w:szCs w:val="28"/>
          <w:rtl w:val="true"/>
          <w:lang w:bidi="fa-IR"/>
        </w:rPr>
        <w:t>،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فساد حجّه و لزوم الکفّارة عموم الأخبار، فإنّ الظاهر منها أنّ الجماع مع علم المرتکب بالتحریم و عمده یوجب فساد الحجّ و الکفّارة؛ لأنّ الصحّة و الفساد</w:t>
      </w:r>
      <w:r>
        <w:rPr>
          <w:rStyle w:val="FootnoteAnchor"/>
          <w:rtl w:val="true"/>
        </w:rPr>
        <w:footnoteReference w:id="2018"/>
      </w:r>
      <w:r>
        <w:rPr>
          <w:rFonts w:ascii="IRNazanin" w:hAnsi="IRNazanin" w:eastAsia="IRNazanin"/>
          <w:color w:val="111111"/>
          <w:sz w:val="28"/>
          <w:sz w:val="28"/>
          <w:szCs w:val="28"/>
          <w:rtl w:val="true"/>
          <w:lang w:bidi="fa-IR"/>
        </w:rPr>
        <w:t>من أحکام الوضع الّذی یتعلّق بالصبیّ، و إذا فسد الحجّ تترتّب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عدم القضاء علیه فلأنّ القضاء تکلیف و عقوبة، فقد جاء فی صحیحة زرارة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فأی الحجّتین لهما؟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 الّتی أحدثا فیها ما أحدثا، و الاخری علیهما عقوبة</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الّتی تدلّ علی صحّة حجّ الصبیّ و مشروعیّته، و العمومات الّتی تدلّ علی أن من جامع فی الحجّ قبل المشعر یفسد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أنّها تشمل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تقتضیان أن نحکم بفساد حجّ الصبیّ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یستفاد من عموم الأخبار أنّ الکفّارة فی مال الصبیّ کإتلافه مال</w:t>
      </w:r>
      <w:bookmarkStart w:id="787" w:name="pg11756_104194"/>
    </w:p>
    <w:p>
      <w:pPr>
        <w:pStyle w:val="BookText"/>
        <w:rPr/>
      </w:pPr>
      <w:bookmarkEnd w:id="787"/>
      <w:r>
        <w:rPr>
          <w:rFonts w:ascii="IRNazanin" w:hAnsi="IRNazanin" w:eastAsia="IRNazanin"/>
          <w:color w:val="111111"/>
          <w:sz w:val="28"/>
          <w:sz w:val="28"/>
          <w:szCs w:val="28"/>
          <w:rtl w:val="true"/>
          <w:lang w:bidi="fa-IR"/>
        </w:rPr>
        <w:t xml:space="preserve">الغیر، مضافا إلی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تعلّق الکفّارة بالولیّ، و بمقتضی الجمع بین ما دلّ علی أنّ القضاء عقوبة و حدیث الرفع نحکم بعدم القضاء علی الصبیّ، و اللّه هو العالم بحکمه</w:t>
      </w:r>
      <w:r>
        <w:rPr>
          <w:rFonts w:eastAsia="IRNazanin" w:cs="IRNazanin"/>
          <w:color w:val="111111"/>
          <w:sz w:val="28"/>
          <w:szCs w:val="28"/>
          <w:rtl w:val="true"/>
          <w:lang w:bidi="fa-IR"/>
        </w:rPr>
        <w:t>.</w:t>
      </w:r>
    </w:p>
    <w:p>
      <w:pPr>
        <w:pStyle w:val="Heading4"/>
        <w:numPr>
          <w:ilvl w:val="3"/>
          <w:numId w:val="1"/>
        </w:numPr>
        <w:rPr/>
      </w:pPr>
      <w:bookmarkStart w:id="788" w:name="__RefHeading___Toc9644003_73709187"/>
      <w:bookmarkStart w:id="789" w:name="_Toc296"/>
      <w:bookmarkEnd w:id="788"/>
      <w:r>
        <w:rPr>
          <w:rtl w:val="true"/>
        </w:rPr>
        <w:t>مئونة قضاء حجّ الصبیّ</w:t>
      </w:r>
      <w:bookmarkEnd w:id="789"/>
    </w:p>
    <w:p>
      <w:pPr>
        <w:pStyle w:val="BookText"/>
        <w:rPr/>
      </w:pPr>
      <w:r>
        <w:rPr>
          <w:rFonts w:ascii="IRNazanin" w:hAnsi="IRNazanin" w:eastAsia="IRNazanin"/>
          <w:color w:val="111111"/>
          <w:sz w:val="28"/>
          <w:sz w:val="28"/>
          <w:szCs w:val="28"/>
          <w:rtl w:val="true"/>
          <w:lang w:bidi="fa-IR"/>
        </w:rPr>
        <w:t xml:space="preserve">هل مئونة قضاء حجّ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الصبیّ أو علی الولیّ</w:t>
      </w:r>
      <w:r>
        <w:rPr>
          <w:rStyle w:val="FootnoteAnchor"/>
          <w:rtl w:val="true"/>
        </w:rPr>
        <w:footnoteReference w:id="2020"/>
      </w:r>
      <w:r>
        <w:rPr>
          <w:rFonts w:ascii="IRNazanin" w:hAnsi="IRNazanin" w:eastAsia="IRNazanin"/>
          <w:color w:val="111111"/>
          <w:sz w:val="28"/>
          <w:sz w:val="28"/>
          <w:szCs w:val="28"/>
          <w:rtl w:val="true"/>
          <w:lang w:bidi="fa-IR"/>
        </w:rPr>
        <w:t>؟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فی الدروس من أنّه علی الولیّ،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وجوب مئونة القضاء علی الولیّ نظر، أقربه الوجوب</w:t>
      </w:r>
      <w:r>
        <w:rPr>
          <w:rFonts w:eastAsia="IRNazanin" w:cs="IRNazanin"/>
          <w:color w:val="111111"/>
          <w:sz w:val="28"/>
          <w:szCs w:val="28"/>
          <w:rtl w:val="true"/>
          <w:lang w:bidi="fa-IR"/>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ما یمکن أن یستند إلیه هو سببیّة الولیّ لحجّ الصبیّ؛ و لأنّ السبب أقوی من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مترتّب علی فعل الصبیّ ما یوجب الفساد، کالجنابة للغسل، و الولیّ هو السبب فی حجّ الصبیّ، لا فی إفساده الحجّ؛ مضافا إلی أنّ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البلوغ و هو عندئذ کامل، فالمؤنة علیه کما فی حجّة الإسلام، و بعد البلوغ المباشر أقوی من السبب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الصبیّ کما قال به فی القواعد</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bookmarkStart w:id="790" w:name="pg11756_104195"/>
    </w:p>
    <w:p>
      <w:pPr>
        <w:pStyle w:val="BookText"/>
        <w:rPr/>
      </w:pPr>
      <w:bookmarkEnd w:id="790"/>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لا خلاف فی عدم وجوبه علی الولیّ؛ للأصل و غیره، و أمّا الوجوب علیه فلعلّه لعموم دلیله</w:t>
      </w:r>
      <w:r>
        <w:rPr>
          <w:rFonts w:eastAsia="IRNazanin" w:cs="IRNazanin"/>
          <w:color w:val="111111"/>
          <w:sz w:val="28"/>
          <w:szCs w:val="28"/>
          <w:rtl w:val="true"/>
          <w:lang w:bidi="fa-IR"/>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9644005_73709187"/>
      <w:bookmarkStart w:id="792" w:name="_Toc297"/>
      <w:bookmarkEnd w:id="791"/>
      <w:r>
        <w:rPr>
          <w:rtl w:val="true"/>
        </w:rPr>
        <w:t>وقت قضاء الحجّ</w:t>
      </w:r>
      <w:bookmarkEnd w:id="792"/>
    </w:p>
    <w:p>
      <w:pPr>
        <w:pStyle w:val="BookText"/>
        <w:rPr/>
      </w:pPr>
      <w:r>
        <w:rPr>
          <w:rFonts w:ascii="IRNazanin" w:hAnsi="IRNazanin" w:eastAsia="IRNazanin"/>
          <w:color w:val="111111"/>
          <w:sz w:val="28"/>
          <w:sz w:val="28"/>
          <w:szCs w:val="28"/>
          <w:rtl w:val="true"/>
          <w:lang w:bidi="fa-IR"/>
        </w:rPr>
        <w:t>علی القول بوجوب القضاء علی الصبیّ یجب علیه القضاء</w:t>
      </w:r>
      <w:r>
        <w:rPr>
          <w:rStyle w:val="FootnoteAnchor"/>
          <w:rtl w:val="true"/>
        </w:rPr>
        <w:footnoteReference w:id="2024"/>
      </w:r>
      <w:r>
        <w:rPr>
          <w:rFonts w:ascii="IRNazanin" w:hAnsi="IRNazanin" w:eastAsia="IRNazanin"/>
          <w:color w:val="111111"/>
          <w:sz w:val="28"/>
          <w:sz w:val="28"/>
          <w:szCs w:val="28"/>
          <w:rtl w:val="true"/>
          <w:lang w:bidi="fa-IR"/>
        </w:rPr>
        <w:t>بعد البلوغ،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أوجبنا القضاء فإنّه لا یجزئه حالة الصبا، بل یجب علیه بعد بلوغه</w:t>
      </w:r>
      <w:r>
        <w:rPr>
          <w:rFonts w:eastAsia="IRNazanin" w:cs="IRNazanin"/>
          <w:color w:val="111111"/>
          <w:sz w:val="28"/>
          <w:szCs w:val="28"/>
          <w:rtl w:val="true"/>
          <w:lang w:bidi="fa-IR"/>
        </w:rPr>
        <w:t>»</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2026"/>
      </w:r>
      <w:r>
        <w:rPr>
          <w:rFonts w:ascii="IRNazanin" w:hAnsi="IRNazanin" w:eastAsia="IRNazanin"/>
          <w:color w:val="111111"/>
          <w:sz w:val="28"/>
          <w:sz w:val="28"/>
          <w:szCs w:val="28"/>
          <w:rtl w:val="true"/>
          <w:lang w:bidi="fa-IR"/>
        </w:rPr>
        <w:t>، و القواعد</w:t>
      </w:r>
      <w:r>
        <w:rPr>
          <w:rStyle w:val="FootnoteAnchor"/>
          <w:rtl w:val="true"/>
        </w:rPr>
        <w:footnoteReference w:id="2027"/>
      </w:r>
      <w:r>
        <w:rPr>
          <w:rFonts w:ascii="IRNazanin" w:hAnsi="IRNazanin" w:eastAsia="IRNazanin"/>
          <w:color w:val="111111"/>
          <w:sz w:val="28"/>
          <w:sz w:val="28"/>
          <w:szCs w:val="28"/>
          <w:rtl w:val="true"/>
          <w:lang w:bidi="fa-IR"/>
        </w:rPr>
        <w:t>، و المدارک</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الدلیل علیه فقال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سبب فی القضاء، و کونه سببا ثابت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مسبّبه معتبرا فی نظر الشارع لیسقط مقتضاه، و لا یکون شرعیّا إلاّ بعد بلوغه، و لیس حجّة الأوّل فی الصّبا هو السبب، فإذا بلغ تعلّق به مقتضی السّبب، و هو القضاء، فوجب علیه فعله</w:t>
      </w:r>
      <w:r>
        <w:rPr>
          <w:rFonts w:eastAsia="IRNazanin" w:cs="IRNazanin"/>
          <w:color w:val="111111"/>
          <w:sz w:val="28"/>
          <w:szCs w:val="28"/>
          <w:rtl w:val="true"/>
          <w:lang w:bidi="fa-IR"/>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Style w:val="FootnoteAnchor"/>
          <w:rtl w:val="true"/>
        </w:rPr>
        <w:footnoteReference w:id="2030"/>
      </w:r>
      <w:r>
        <w:rPr>
          <w:rFonts w:ascii="IRNazanin" w:hAnsi="IRNazanin" w:eastAsia="IRNazanin"/>
          <w:color w:val="111111"/>
          <w:sz w:val="28"/>
          <w:sz w:val="28"/>
          <w:szCs w:val="28"/>
          <w:rtl w:val="true"/>
          <w:lang w:bidi="fa-IR"/>
        </w:rPr>
        <w:t>صحیح شرعا و یترتّب علیه بعض</w:t>
      </w:r>
      <w:bookmarkStart w:id="793" w:name="pg11756_104196"/>
    </w:p>
    <w:p>
      <w:pPr>
        <w:pStyle w:val="BookText"/>
        <w:rPr/>
      </w:pPr>
      <w:bookmarkEnd w:id="793"/>
      <w:r>
        <w:rPr>
          <w:rFonts w:ascii="Amiri" w:hAnsi="Amiri" w:eastAsia="Amiri" w:cs="Amiri"/>
          <w:color w:val="111111"/>
          <w:sz w:val="28"/>
          <w:sz w:val="28"/>
          <w:szCs w:val="28"/>
          <w:rtl w:val="true"/>
          <w:lang w:bidi="ar-SA"/>
        </w:rPr>
        <w:t>الآثار، إلاّ أنّه مندوب فی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الصواب ما قال فی الجواهر، من أنّ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خطاب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المکلّف، و بأنّ ذلک من باب الأسباب، فیخاطب به بعد بلوغه</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9644007_73709187"/>
      <w:bookmarkStart w:id="795" w:name="_Toc298"/>
      <w:bookmarkEnd w:id="794"/>
      <w:r>
        <w:rPr>
          <w:rtl w:val="true"/>
        </w:rPr>
        <w:t>عدم کفایة القضاء عن حجّة الإسلام</w:t>
      </w:r>
      <w:bookmarkEnd w:id="795"/>
    </w:p>
    <w:p>
      <w:pPr>
        <w:pStyle w:val="BookText"/>
        <w:rPr/>
      </w:pPr>
      <w:r>
        <w:rPr>
          <w:rFonts w:ascii="IRNazanin" w:hAnsi="IRNazanin" w:eastAsia="IRNazanin"/>
          <w:color w:val="111111"/>
          <w:sz w:val="28"/>
          <w:sz w:val="28"/>
          <w:szCs w:val="28"/>
          <w:rtl w:val="true"/>
          <w:lang w:bidi="fa-IR"/>
        </w:rPr>
        <w:t>علی تقدیر وجوب القضاء علی الصبیّ و أنّه بعد البلوغ، فالظاهر أنّه لا یخرجه عن حجّة الإسلام إذا کان مستطیعا،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تجزیه عن حجّة الإسلام أم لا؟ نظرت فی الّتی أفسدها، فإن کانت لو سلمت من الفساد أجزأت عن حجّة الإسلام، و هو أن یبلغ قبل فوات وقت الوقوف بعرفات، فکذلک القضاء، و إن کانت لو سلمت من الفساد لا تجزیه عن حجّة الإسلام، بأن لم یبلغ فی وقت الوقوف، فکذلک القضاء</w:t>
      </w:r>
      <w:r>
        <w:rPr>
          <w:rFonts w:eastAsia="IRNazanin" w:cs="IRNazanin"/>
          <w:color w:val="111111"/>
          <w:sz w:val="28"/>
          <w:szCs w:val="28"/>
          <w:rtl w:val="true"/>
          <w:lang w:bidi="fa-IR"/>
        </w:rPr>
        <w:t>»</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033"/>
      </w:r>
      <w:r>
        <w:rPr>
          <w:rFonts w:ascii="IRNazanin" w:hAnsi="IRNazanin" w:eastAsia="IRNazanin"/>
          <w:color w:val="111111"/>
          <w:sz w:val="28"/>
          <w:sz w:val="28"/>
          <w:szCs w:val="28"/>
          <w:rtl w:val="true"/>
          <w:lang w:bidi="fa-IR"/>
        </w:rPr>
        <w:t>و التحریر</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فی الصبا</w:t>
      </w:r>
      <w:r>
        <w:rPr>
          <w:rStyle w:val="FootnoteAnchor"/>
          <w:rtl w:val="true"/>
        </w:rPr>
        <w:footnoteReference w:id="2035"/>
      </w:r>
      <w:r>
        <w:rPr>
          <w:rFonts w:ascii="Amiri" w:hAnsi="Amiri" w:eastAsia="Amiri" w:cs="Amiri"/>
          <w:color w:val="111111"/>
          <w:sz w:val="28"/>
          <w:sz w:val="28"/>
          <w:szCs w:val="28"/>
          <w:rtl w:val="true"/>
          <w:lang w:bidi="ar-SA"/>
        </w:rPr>
        <w:t>، بل بعد بلوغه و أداء حجّة الإسلام مع وجوبها</w:t>
      </w:r>
      <w:r>
        <w:rPr>
          <w:rFonts w:eastAsia="Amiri" w:cs="Amiri" w:ascii="Amiri" w:hAnsi="Amiri"/>
          <w:color w:val="111111"/>
          <w:sz w:val="28"/>
          <w:szCs w:val="28"/>
          <w:rtl w:val="true"/>
          <w:lang w:bidi="ar-SA"/>
        </w:rPr>
        <w:t>»</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التذکرة</w:t>
      </w:r>
      <w:r>
        <w:rPr>
          <w:rStyle w:val="FootnoteAnchor"/>
          <w:rtl w:val="true"/>
        </w:rPr>
        <w:footnoteReference w:id="2037"/>
      </w:r>
      <w:r>
        <w:rPr>
          <w:rFonts w:ascii="IRNazanin" w:hAnsi="IRNazanin" w:eastAsia="IRNazanin"/>
          <w:color w:val="111111"/>
          <w:sz w:val="28"/>
          <w:sz w:val="28"/>
          <w:szCs w:val="28"/>
          <w:rtl w:val="true"/>
          <w:lang w:bidi="fa-IR"/>
        </w:rPr>
        <w:t>و الدروس</w:t>
      </w:r>
      <w:r>
        <w:rPr>
          <w:rStyle w:val="FootnoteAnchor"/>
          <w:rtl w:val="true"/>
        </w:rPr>
        <w:footnoteReference w:id="2038"/>
      </w:r>
      <w:r>
        <w:rPr>
          <w:rFonts w:ascii="IRNazanin" w:hAnsi="IRNazanin" w:eastAsia="IRNazanin"/>
          <w:color w:val="111111"/>
          <w:sz w:val="28"/>
          <w:sz w:val="28"/>
          <w:szCs w:val="28"/>
          <w:rtl w:val="true"/>
          <w:lang w:bidi="fa-IR"/>
        </w:rPr>
        <w:t>و غایة المرام</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bookmarkStart w:id="796" w:name="pg11756_104197"/>
    </w:p>
    <w:p>
      <w:pPr>
        <w:pStyle w:val="BookText"/>
        <w:rPr/>
      </w:pPr>
      <w:bookmarkEnd w:id="796"/>
      <w:r>
        <w:rPr>
          <w:rFonts w:ascii="IRNazanin" w:hAnsi="IRNazanin" w:eastAsia="IRNazanin"/>
          <w:color w:val="111111"/>
          <w:sz w:val="28"/>
          <w:sz w:val="28"/>
          <w:szCs w:val="28"/>
          <w:rtl w:val="true"/>
          <w:lang w:bidi="fa-IR"/>
        </w:rPr>
        <w:t>و الدّلیل علیه ما تقدّم أنّ المستفاد من النصوص</w:t>
      </w:r>
      <w:r>
        <w:rPr>
          <w:rStyle w:val="FootnoteAnchor"/>
          <w:rtl w:val="true"/>
        </w:rPr>
        <w:footnoteReference w:id="2040"/>
      </w:r>
      <w:r>
        <w:rPr>
          <w:rFonts w:ascii="IRNazanin" w:hAnsi="IRNazanin" w:eastAsia="IRNazanin"/>
          <w:color w:val="111111"/>
          <w:sz w:val="28"/>
          <w:sz w:val="28"/>
          <w:szCs w:val="28"/>
          <w:rtl w:val="true"/>
          <w:lang w:bidi="fa-IR"/>
        </w:rPr>
        <w:t xml:space="preserve">هو أنّ الحجّ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فلا یکون منطبقا علی ما وجب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وجوب حجّة الإسلام عنوانان مستقلاّن، فلا یتداخلان؛ لأنّ الأصل فی العناوین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أشار إلی ذلک الشیخ فی الخلاف، حیث قال بعد التصریح بعدم کفایة القضاء عن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الأخبار الّتی وردت</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9644009_73709187"/>
      <w:bookmarkStart w:id="798" w:name="_Toc299"/>
      <w:bookmarkEnd w:id="797"/>
      <w:r>
        <w:rPr>
          <w:rtl w:val="true"/>
        </w:rPr>
        <w:t>تقدّم حجّة الإسلام علی القضاء</w:t>
      </w:r>
      <w:bookmarkEnd w:id="798"/>
    </w:p>
    <w:p>
      <w:pPr>
        <w:pStyle w:val="Heading5"/>
        <w:numPr>
          <w:ilvl w:val="4"/>
          <w:numId w:val="1"/>
        </w:numPr>
        <w:rPr/>
      </w:pPr>
      <w:bookmarkStart w:id="799" w:name="__RefHeading___Toc9644011_73709187"/>
      <w:bookmarkStart w:id="800" w:name="_Toc300"/>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علی تقدیر وجوب القضاء علی الصبیّ بعد بلوغه، إذا استطاع قبل إتیانه بالقضاء یجب علیه تقدیم حجّة الإسلام،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علیه قضاء حجّة، فإنّه لا یقضی قبل حجّة الإسلام، فإن أتی بحجّة الإسلام کان القضاء باقیا، و إن أحرم بالقضاء انعقد لحجّة الإسلام، و کان القضاء باقیا فی ذمّته</w:t>
      </w:r>
      <w:r>
        <w:rPr>
          <w:rFonts w:eastAsia="IRNazanin" w:cs="IRNazanin"/>
          <w:color w:val="111111"/>
          <w:sz w:val="28"/>
          <w:szCs w:val="28"/>
          <w:rtl w:val="true"/>
          <w:lang w:bidi="fa-IR"/>
        </w:rPr>
        <w:t>»</w:t>
      </w:r>
      <w:r>
        <w:rPr>
          <w:rStyle w:val="FootnoteAnchor"/>
          <w:rtl w:val="true"/>
        </w:rPr>
        <w:footnoteReference w:id="2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أن یبدأ بحجّة الإسلام ثمّ یقضی</w:t>
      </w:r>
      <w:r>
        <w:rPr>
          <w:rFonts w:eastAsia="IRNazanin" w:cs="IRNazanin"/>
          <w:color w:val="111111"/>
          <w:sz w:val="28"/>
          <w:szCs w:val="28"/>
          <w:rtl w:val="true"/>
          <w:lang w:bidi="fa-IR"/>
        </w:rPr>
        <w:t>»</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وجب القضاء و حجّ الإسلام أخّر القضاء و إن تقدّم،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نواه بطل و انصرف إلی حجّة الإسلام، بل لو جوّزنا القضاء له فی</w:t>
      </w:r>
      <w:bookmarkStart w:id="801" w:name="pg11756_104198"/>
    </w:p>
    <w:p>
      <w:pPr>
        <w:pStyle w:val="BookText"/>
        <w:rPr/>
      </w:pPr>
      <w:bookmarkEnd w:id="801"/>
      <w:r>
        <w:rPr>
          <w:rFonts w:ascii="IRNazanin" w:hAnsi="IRNazanin" w:eastAsia="IRNazanin"/>
          <w:color w:val="111111"/>
          <w:sz w:val="28"/>
          <w:sz w:val="28"/>
          <w:szCs w:val="28"/>
          <w:rtl w:val="true"/>
          <w:lang w:bidi="fa-IR"/>
        </w:rPr>
        <w:t>الصغر فشرع فیه و بلغ قبل الوقوف، انصرف إلی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 سرّه أمر بالتأمّل</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 هذا الحکم فی جامع المقاصد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یجب تقدیم حجّة الإسلام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سببه أسبق؛ إذ هو واجب بأصل الشرع، و هی الأوامر الشرعیّة المتقدّمة علی هذه الأسباب، ففی أوّل بلوغه یتعلّق به قبل تعلّق غیرها</w:t>
      </w:r>
      <w:r>
        <w:rPr>
          <w:rFonts w:eastAsia="IRNazanin" w:cs="IRNazanin"/>
          <w:color w:val="111111"/>
          <w:sz w:val="28"/>
          <w:szCs w:val="28"/>
          <w:rtl w:val="true"/>
          <w:lang w:bidi="fa-IR"/>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حجّة الإسلام فوری فیقدّم علی القضاء و إن تقدّم سببه، نظیر ما بیّنه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نذر المکلّف فی أیّام الحجّ أن یکون زائرا للحسین علیه السّلام ثمّ استطاع یقدّم الحجّ؛ لأنّه مانع من العمل بالنذر، فیکون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فی المختلف بعد بیان قول الشیخ بوجوب تقدیم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تعیین تقدیم حجّة الإسلام، فإنّ القضاء أیضا یجب علی الفور</w:t>
      </w:r>
      <w:r>
        <w:rPr>
          <w:rFonts w:eastAsia="IRNazanin" w:cs="IRNazanin"/>
          <w:color w:val="111111"/>
          <w:sz w:val="28"/>
          <w:szCs w:val="28"/>
          <w:rtl w:val="true"/>
          <w:lang w:bidi="fa-IR"/>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تقدّم یظهر ما فیه؛ لأنّ القضاء کأداء النذر فی أیّام الحجّ، حیث إنّ وجوب الحجّ مانع عن العمل بالنذر</w:t>
      </w:r>
      <w:r>
        <w:rPr>
          <w:rFonts w:eastAsia="IRNazanin" w:cs="IRNazanin"/>
          <w:color w:val="111111"/>
          <w:sz w:val="28"/>
          <w:szCs w:val="28"/>
          <w:rtl w:val="true"/>
          <w:lang w:bidi="fa-IR"/>
        </w:rPr>
        <w:t>.</w:t>
      </w:r>
    </w:p>
    <w:p>
      <w:pPr>
        <w:pStyle w:val="Heading5"/>
        <w:numPr>
          <w:ilvl w:val="4"/>
          <w:numId w:val="1"/>
        </w:numPr>
        <w:rPr/>
      </w:pPr>
      <w:bookmarkStart w:id="802" w:name="__RefHeading___Toc9644013_73709187"/>
      <w:bookmarkStart w:id="803" w:name="_Toc301"/>
      <w:bookmarkEnd w:id="802"/>
      <w:r>
        <w:rPr>
          <w:rtl w:val="true"/>
        </w:rPr>
        <w:t>فرع</w:t>
      </w:r>
      <w:bookmarkEnd w:id="8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أحرم الولیّ بالصبیّ للحجّ أو أحرم بنفسه کأن یکون ممیّزا و لم یتمّ الأعمال، سواء کان بالتسامح أو بالتمانع، فهل یبقی علی إحرامه؟ قال الشیخ</w:t>
      </w:r>
      <w:bookmarkStart w:id="804" w:name="pg11756_104199"/>
    </w:p>
    <w:p>
      <w:pPr>
        <w:pStyle w:val="BookText"/>
        <w:rPr/>
      </w:pPr>
      <w:bookmarkEnd w:id="804"/>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 الولیّ و لا علی الصبیّ، و لا یبقی له إحرام إلاّ فی الإحرام بالعمرة المفردة</w:t>
      </w:r>
      <w:r>
        <w:rPr>
          <w:rFonts w:eastAsia="IRNazanin" w:cs="IRNazanin"/>
          <w:color w:val="111111"/>
          <w:sz w:val="28"/>
          <w:szCs w:val="28"/>
          <w:rtl w:val="true"/>
          <w:lang w:bidi="fa-IR"/>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فرقا</w:t>
      </w:r>
      <w:r>
        <w:rPr>
          <w:rStyle w:val="FootnoteAnchor"/>
          <w:rtl w:val="true"/>
        </w:rPr>
        <w:footnoteReference w:id="2050"/>
      </w:r>
      <w:r>
        <w:rPr>
          <w:rFonts w:ascii="IRNazanin" w:hAnsi="IRNazanin" w:eastAsia="IRNazanin"/>
          <w:color w:val="111111"/>
          <w:sz w:val="28"/>
          <w:sz w:val="28"/>
          <w:szCs w:val="28"/>
          <w:rtl w:val="true"/>
          <w:lang w:bidi="fa-IR"/>
        </w:rPr>
        <w:t>بین إحرام الحجّ و إحرام العمرة المفردة، و الحقّ أنّ الحکم فیهما واحد، و الّذی یستفاد من النصوص و کلمات الفقهاء أنّه لا فرق بین إحرام الصبیّ و حجّه و بین إحرام البالغ و حجّه، 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إحرام الصبیّ و حجّه کغیره، إلاّ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میقاته فی غیر حجّ التمتّع، و أمّا فیه فکغیره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الکفّارة و الهدی</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إحرام الصبیّ لا یوجب علیه التکلیف الوجوبی و لا یترتّب علیه وجوب الإتمام؛ لحدیث الرفع، و لکن حیث إنّ المفروض صحّة حجّه یترتّب علیه أحکام الوضع، و لذا لا یصحّ إحرامه ثانیا قبل خروجه من الإحرام الأوّل کما هو ظاهر</w:t>
      </w:r>
      <w:r>
        <w:rPr>
          <w:rFonts w:eastAsia="IRNazanin" w:cs="IRNazanin"/>
          <w:color w:val="111111"/>
          <w:sz w:val="28"/>
          <w:szCs w:val="28"/>
          <w:rtl w:val="true"/>
          <w:lang w:bidi="fa-IR"/>
        </w:rPr>
        <w:t>.</w:t>
      </w:r>
    </w:p>
    <w:p>
      <w:pPr>
        <w:pStyle w:val="Heading4"/>
        <w:numPr>
          <w:ilvl w:val="3"/>
          <w:numId w:val="1"/>
        </w:numPr>
        <w:rPr/>
      </w:pPr>
      <w:bookmarkStart w:id="805" w:name="__RefHeading___Toc9644015_73709187"/>
      <w:bookmarkStart w:id="806" w:name="_Toc302"/>
      <w:bookmarkEnd w:id="805"/>
      <w:r>
        <w:rPr>
          <w:rtl w:val="true"/>
        </w:rPr>
        <w:t>فساد حجّ الصبیّ عند أهل السنّة</w:t>
      </w:r>
      <w:bookmarkEnd w:id="806"/>
    </w:p>
    <w:p>
      <w:pPr>
        <w:pStyle w:val="BookText"/>
        <w:rPr/>
      </w:pPr>
      <w:r>
        <w:rPr>
          <w:rFonts w:ascii="IRNazanin" w:hAnsi="IRNazanin" w:eastAsia="IRNazanin"/>
          <w:color w:val="111111"/>
          <w:sz w:val="28"/>
          <w:sz w:val="28"/>
          <w:szCs w:val="28"/>
          <w:rtl w:val="true"/>
          <w:lang w:bidi="fa-IR"/>
        </w:rPr>
        <w:t xml:space="preserve">إذا أفسد الصبیّ حجّه بالجماع، فهل یجب علیه القضاء 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المضیّ فی أفعال الحجّ حتّی یتمّ؟ فیقع البحث فی ثلاث مسائل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 الصبیّ أو جومعت الصّبیّة فی إحرامها، فإن کان عن عمد</w:t>
      </w:r>
    </w:p>
    <w:p>
      <w:pPr>
        <w:pStyle w:val="BookText"/>
        <w:rPr/>
      </w:pPr>
      <w:r>
        <w:rPr>
          <w:rFonts w:ascii="IRNazanin" w:hAnsi="IRNazanin" w:eastAsia="IRNazanin"/>
          <w:color w:val="111111"/>
          <w:sz w:val="28"/>
          <w:sz w:val="28"/>
          <w:szCs w:val="28"/>
          <w:rtl w:val="true"/>
          <w:lang w:bidi="fa-IR"/>
        </w:rPr>
        <w:t>فسد حجّهما، و وجبت الکفّارة عند الشافعیّة، و علی من تجب؟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مال الصبیّ؛ لأنّ الوجوب بسبب ما ارتکبه، و ثانیهما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ولیّه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فسد حجّ الصبیّ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وجبت الکفّارة، و هی بدنة، و إن لم نوجب القضاء ففی البدنة وجهان، أصحّهما الوجوب</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الخرشی فی الفقه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الوطء إذا وقع قبل التحلّل فإنّه یفسد مطلقا، أی سواء وقع من بالغ أم لا</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فسد حجّه فعلیه القضاء و الهدی</w:t>
      </w:r>
      <w:r>
        <w:rPr>
          <w:rFonts w:eastAsia="IRNazanin" w:cs="IRNazanin"/>
          <w:color w:val="111111"/>
          <w:sz w:val="28"/>
          <w:szCs w:val="28"/>
          <w:rtl w:val="true"/>
          <w:lang w:bidi="fa-IR"/>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المصنّف حکم الهدی؛ و ذلک لأنّ موجب الهدی لا یکون غالبا إلاّ بتفریط من الولیّ فإذا فرّط، فذلک علیه، و یؤخذ ذلک من قوله فی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وجب علی الصبیّ من الدّم فی الحجّ فذلک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مناسکه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فسد حجّه فعلیه القضاء و الهدی</w:t>
      </w:r>
      <w:r>
        <w:rPr>
          <w:rFonts w:eastAsia="IRNazanin" w:cs="IRNazanin"/>
          <w:color w:val="111111"/>
          <w:sz w:val="28"/>
          <w:szCs w:val="28"/>
          <w:rtl w:val="true"/>
          <w:lang w:bidi="fa-IR"/>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فقه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وطئ الصبیّ أفسد حجّه و وجبت البدنة</w:t>
      </w:r>
      <w:r>
        <w:rPr>
          <w:rFonts w:eastAsia="IRNazanin" w:cs="IRNazanin"/>
          <w:color w:val="111111"/>
          <w:sz w:val="28"/>
          <w:szCs w:val="28"/>
          <w:rtl w:val="true"/>
          <w:lang w:bidi="fa-IR"/>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وطئ أفسد حجّه و یمضی فی فاسده، و فی وجوب القضاء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لئلا تجب عبادة بدنیّة علی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لأنّه إفساد موجب للبدنة، فأوجب القضاء کوطء البالغ</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الصبیّ فی إحرامه عامدا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عمده عمد فقد أفسد حجّه و لزم إتمامه؛ لأنّ سائر العبادات لا حرمة لها بعد الفساد، و یصیر الشخص خارجا منها، لکنّ الحجّ و العمرة و إن فسدا یجب المضیّ فیها، و ذلک بإتمام ما کان یفعله لو لا عروض الفساد، کما صرّح به الحنابلة</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وطئ الصبیّ أفسد حجّه و وجبت البدنة و یمضی فی فاسده</w:t>
      </w:r>
      <w:r>
        <w:rPr>
          <w:rStyle w:val="FootnoteAnchor"/>
          <w:rtl w:val="true"/>
        </w:rPr>
        <w:footnoteReference w:id="2060"/>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یفرّق بین الصحیح و الفاسد</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الصبیّ حجّه بالجماع، هل یجب علیه القضاء؟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 منصوصان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أنّه یجب القضاء؛ لأنّه إحرام صحیح فیوجب القضاء، کحجّ التطوّع فی حقّ البالغ؛ و لأنّ من لزمته الکفّارة بوطئه لزمه القضاء بوطئه کالبالغ</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القضاء علیه؛ لأنّ القضاء تکلیف و الصبیّ غیر مکلّف، و أنّه لیس أهلا لأداء فرض الحجّ، و أنّه عبادة بدنیّة فلم تجب علی الصبیّ</w:t>
      </w:r>
    </w:p>
    <w:p>
      <w:pPr>
        <w:pStyle w:val="BookText"/>
        <w:rPr/>
      </w:pPr>
      <w:r>
        <w:rPr>
          <w:rFonts w:ascii="IRNazanin" w:hAnsi="IRNazanin" w:eastAsia="IRNazanin"/>
          <w:color w:val="111111"/>
          <w:sz w:val="28"/>
          <w:sz w:val="28"/>
          <w:szCs w:val="28"/>
          <w:rtl w:val="true"/>
          <w:lang w:bidi="fa-IR"/>
        </w:rPr>
        <w:t>کالصوم و الصلاة</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وطئ الصبیّ فی إحرامه أفسد حجّه و یمضی فی فاسده، و فی وجوب القضاء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لئلاّ تجب عبادة بدنیّة علی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لأنّه إفساد موجب للبدنة فأوجب القضاء</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 الصبیّ کوطء البالغ ناسیا یمضی فی فاسده، و یلزمه القضاء علی الصحیح من المذهب، و قیل لا یلزمه قضاؤه</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الفروع</w:t>
      </w:r>
      <w:r>
        <w:rPr>
          <w:rStyle w:val="FootnoteAnchor"/>
          <w:rtl w:val="true"/>
        </w:rPr>
        <w:footnoteReference w:id="2066"/>
      </w:r>
      <w:r>
        <w:rPr>
          <w:rFonts w:ascii="IRNazanin" w:hAnsi="IRNazanin" w:eastAsia="IRNazanin"/>
          <w:color w:val="111111"/>
          <w:sz w:val="28"/>
          <w:sz w:val="28"/>
          <w:szCs w:val="28"/>
          <w:rtl w:val="true"/>
          <w:lang w:bidi="fa-IR"/>
        </w:rPr>
        <w:t>و کشّاف القناع</w:t>
      </w:r>
      <w:r>
        <w:rPr>
          <w:rStyle w:val="FootnoteAnchor"/>
          <w:rtl w:val="true"/>
        </w:rPr>
        <w:footnoteReference w:id="2067"/>
      </w:r>
      <w:r>
        <w:rPr>
          <w:rFonts w:ascii="IRNazanin" w:hAnsi="IRNazanin" w:eastAsia="IRNazanin"/>
          <w:color w:val="111111"/>
          <w:sz w:val="28"/>
          <w:sz w:val="28"/>
          <w:szCs w:val="28"/>
          <w:rtl w:val="true"/>
          <w:lang w:bidi="fa-IR"/>
        </w:rPr>
        <w:t>و الکافی</w:t>
      </w:r>
      <w:r>
        <w:rPr>
          <w:rStyle w:val="FootnoteAnchor"/>
          <w:rtl w:val="true"/>
        </w:rPr>
        <w:footnoteReference w:id="2068"/>
      </w:r>
      <w:r>
        <w:rPr>
          <w:rFonts w:ascii="IRNazanin" w:hAnsi="IRNazanin" w:eastAsia="IRNazanin"/>
          <w:color w:val="111111"/>
          <w:sz w:val="28"/>
          <w:sz w:val="28"/>
          <w:szCs w:val="28"/>
          <w:rtl w:val="true"/>
          <w:lang w:bidi="fa-IR"/>
        </w:rPr>
        <w:t>و منتهی الإرادات</w:t>
      </w:r>
      <w:r>
        <w:rPr>
          <w:rStyle w:val="FootnoteAnchor"/>
          <w:rtl w:val="true"/>
        </w:rPr>
        <w:footnoteReference w:id="2069"/>
      </w:r>
      <w:r>
        <w:rPr>
          <w:rFonts w:ascii="IRNazanin" w:hAnsi="IRNazanin" w:eastAsia="IRNazanin"/>
          <w:color w:val="111111"/>
          <w:sz w:val="28"/>
          <w:sz w:val="28"/>
          <w:szCs w:val="28"/>
          <w:rtl w:val="true"/>
          <w:lang w:bidi="fa-IR"/>
        </w:rPr>
        <w:t>و مواهب الجلیل</w:t>
      </w:r>
      <w:r>
        <w:rPr>
          <w:rStyle w:val="FootnoteAnchor"/>
          <w:rtl w:val="true"/>
        </w:rPr>
        <w:footnoteReference w:id="2070"/>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فیقع الکلام فی أنّه هل یصحّ منه فی حال صباه، أو لا یصحّ إلاّ بعد البلوغ؟ فیه خلاف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عند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و هو المنصوص؛ لأنّه لما جاز أن یتعلّق بذمّته فرض القضاء قبل بلوغه و لم یکن الصغر مانعا من وجوبه جاز أن یصحّ</w:t>
      </w:r>
      <w:bookmarkStart w:id="807" w:name="pg11756_104203"/>
    </w:p>
    <w:p>
      <w:pPr>
        <w:pStyle w:val="BookText"/>
        <w:rPr/>
      </w:pPr>
      <w:bookmarkEnd w:id="807"/>
      <w:r>
        <w:rPr>
          <w:rFonts w:ascii="IRNazanin" w:hAnsi="IRNazanin" w:eastAsia="IRNazanin"/>
          <w:color w:val="111111"/>
          <w:sz w:val="28"/>
          <w:sz w:val="28"/>
          <w:szCs w:val="28"/>
          <w:rtl w:val="true"/>
          <w:lang w:bidi="fa-IR"/>
        </w:rPr>
        <w:t>منه فعل القضاء قبل بلوغه، و لا یکون الصغر مانعا من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أن یقضیه حتّی یبلغ؛ لأنّ القضاء فرض، و غیر البالغ لا یصحّ منه أداء الفرض</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یجزئه القضاء فی الصبیّ؟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اعتبارا بالأداء، و الثّانی لا، و به قال مالک و أحمد؛ لأنّه فرض و هو لیس أهلا لأداء فرض الحجّ بدلیل حجّة الإسلام</w:t>
      </w:r>
      <w:r>
        <w:rPr>
          <w:rFonts w:eastAsia="IRNazanin" w:cs="IRNazanin"/>
          <w:color w:val="111111"/>
          <w:sz w:val="28"/>
          <w:szCs w:val="28"/>
          <w:rtl w:val="true"/>
          <w:lang w:bidi="fa-IR"/>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9644017_73709187"/>
      <w:bookmarkStart w:id="809" w:name="_Toc303"/>
      <w:bookmarkEnd w:id="808"/>
      <w:r>
        <w:rPr>
          <w:rtl w:val="true"/>
        </w:rPr>
        <w:t>إجزاء القضاء عن حجّة الإسلام</w:t>
      </w:r>
      <w:bookmarkEnd w:id="809"/>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القضاء علی الصبیّ و لم یقض حتّی بلغ، فهل یجزئ ذلک القضاء عن حجّة الإسلام؟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ینظر فی الحجّة الّتی أفسدها، فإن کانت بحیث لو سلمت من الإفساد أجزأته عن حجّة الإسلام، بأن بلغ قبل فوات الوقوف تأدّت حجّة الإسلام بالقضاء، و إن کانت بحیث لا تجزی عن حجّة الإسلام و إن سلمت عن الفساد، بأن بلغ بعد الوقوف، لم یقع القضاء عن حجّة الإسلام، بل علیه أن یبدأ بحجّة الإسلام، ثمّ یقضی، فإن نوی القضاء أوّلا انصرف إلی حجّة الإسلام و علیه القضاء، و إذا جوّزنا القضاء فی حال الصّبا فشرع فیه و بلغ قبل الوقوف انصرف إلی حجّة الإسلام</w:t>
      </w:r>
    </w:p>
    <w:p>
      <w:pPr>
        <w:pStyle w:val="BookText"/>
        <w:rPr/>
      </w:pPr>
      <w:r>
        <w:rPr>
          <w:rFonts w:ascii="IRNazanin" w:hAnsi="IRNazanin" w:eastAsia="IRNazanin"/>
          <w:color w:val="111111"/>
          <w:sz w:val="28"/>
          <w:sz w:val="28"/>
          <w:szCs w:val="28"/>
          <w:rtl w:val="true"/>
          <w:lang w:bidi="fa-IR"/>
        </w:rPr>
        <w:t>و علیه القضاء</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الحنابلة إلی أنّه لا یصحّ القضاء، إلاّ بعد البلوغ، و نصّ علیه أحمد؛ للجمع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قبل بلوغه کالبالغ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القضاء إذا بلغ</w:t>
      </w:r>
      <w:r>
        <w:rPr>
          <w:rFonts w:eastAsia="IRNazanin" w:cs="IRNazanin"/>
          <w:color w:val="111111"/>
          <w:sz w:val="28"/>
          <w:szCs w:val="28"/>
          <w:rtl w:val="true"/>
          <w:lang w:bidi="fa-IR"/>
        </w:rPr>
        <w:t>»</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منتهی الإرادات</w:t>
      </w:r>
      <w:r>
        <w:rPr>
          <w:rStyle w:val="FootnoteAnchor"/>
          <w:rtl w:val="true"/>
        </w:rPr>
        <w:footnoteReference w:id="2076"/>
      </w:r>
      <w:r>
        <w:rPr>
          <w:rFonts w:ascii="IRNazanin" w:hAnsi="IRNazanin" w:eastAsia="IRNazanin"/>
          <w:color w:val="111111"/>
          <w:sz w:val="28"/>
          <w:sz w:val="28"/>
          <w:szCs w:val="28"/>
          <w:rtl w:val="true"/>
          <w:lang w:bidi="fa-IR"/>
        </w:rPr>
        <w:t>و الفروع</w:t>
      </w:r>
      <w:r>
        <w:rPr>
          <w:rStyle w:val="FootnoteAnchor"/>
          <w:rtl w:val="true"/>
        </w:rPr>
        <w:footnoteReference w:id="2077"/>
      </w:r>
      <w:r>
        <w:rPr>
          <w:rFonts w:ascii="IRNazanin" w:hAnsi="IRNazanin" w:eastAsia="IRNazanin"/>
          <w:color w:val="111111"/>
          <w:sz w:val="28"/>
          <w:sz w:val="28"/>
          <w:szCs w:val="28"/>
          <w:rtl w:val="true"/>
          <w:lang w:bidi="fa-IR"/>
        </w:rPr>
        <w:t>و الإقناع</w:t>
      </w:r>
      <w:r>
        <w:rPr>
          <w:rStyle w:val="FootnoteAnchor"/>
          <w:rtl w:val="true"/>
        </w:rPr>
        <w:footnoteReference w:id="2078"/>
      </w:r>
      <w:r>
        <w:rPr>
          <w:rFonts w:ascii="IRNazanin" w:hAnsi="IRNazanin" w:eastAsia="IRNazanin"/>
          <w:color w:val="111111"/>
          <w:sz w:val="28"/>
          <w:sz w:val="28"/>
          <w:szCs w:val="28"/>
          <w:rtl w:val="true"/>
          <w:lang w:bidi="fa-IR"/>
        </w:rPr>
        <w:t>و الإنصاف</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أراد الصبیّ القضاء بعد البلوغ لزمه أن یقدّم حجّة الإسلام علی المقضیة، و لو خالف بأن قدّم المقضیّة علی حجّة الإسلام ینصرف فعله إلی حجّة الإسلام، ثمّ یقضی بعد ذلک</w:t>
      </w:r>
      <w:r>
        <w:rPr>
          <w:rStyle w:val="FootnoteAnchor"/>
          <w:rtl w:val="true"/>
        </w:rPr>
        <w:footnoteReference w:id="2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منتهی الإرادات</w:t>
      </w:r>
      <w:r>
        <w:rPr>
          <w:rStyle w:val="FootnoteAnchor"/>
          <w:rtl w:val="true"/>
        </w:rPr>
        <w:footnoteReference w:id="2081"/>
      </w:r>
      <w:r>
        <w:rPr>
          <w:rFonts w:ascii="IRNazanin" w:hAnsi="IRNazanin" w:eastAsia="IRNazanin"/>
          <w:color w:val="111111"/>
          <w:sz w:val="28"/>
          <w:sz w:val="28"/>
          <w:szCs w:val="28"/>
          <w:rtl w:val="true"/>
          <w:lang w:bidi="fa-IR"/>
        </w:rPr>
        <w:t>و الشرح الکبیر</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أفسد الصبیّ حجّه بالجماع فی أحد السبیلین قبل الوقوف بعرفة فلا کفّارة و لا قضاء علیه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دم و لا قضاء علیه، أی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مضیّ علیه فی إحرامه؛ لعدم تکلیفه</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إذا أحرم للحجّ أو للعمرة لا یؤمر بالمضیّ، و کذا لو أفسدهما؛ لأنّ بالمضیّ علیهما یلحقه مئونة من جهة المال، و لو تناول محظور إحرامه لا یلزمه شیء، و لو أفسد الصوم و الحجّ لا یقضی؛ لأنّه یلحقه فی ذلک مشقّة</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bookmarkStart w:id="810" w:name="pg11756_104206"/>
    </w:p>
    <w:p>
      <w:pPr>
        <w:pStyle w:val="Heading3"/>
        <w:numPr>
          <w:ilvl w:val="2"/>
          <w:numId w:val="1"/>
        </w:numPr>
        <w:rPr/>
      </w:pPr>
      <w:bookmarkStart w:id="811" w:name="__RefHeading___Toc9644019_73709187"/>
      <w:bookmarkStart w:id="812" w:name="_Toc304"/>
      <w:bookmarkEnd w:id="810"/>
      <w:bookmarkEnd w:id="811"/>
      <w:r>
        <w:rPr>
          <w:rtl w:val="true"/>
        </w:rPr>
        <w:t>المبحث السادس عشر</w:t>
      </w:r>
      <w:r>
        <w:rPr>
          <w:rtl w:val="true"/>
        </w:rPr>
        <w:t xml:space="preserve">: </w:t>
      </w:r>
      <w:r>
        <w:rPr>
          <w:rtl w:val="true"/>
        </w:rPr>
        <w:t>بلوغ الصبیّ أثناء النسک</w:t>
      </w:r>
      <w:bookmarkEnd w:id="812"/>
    </w:p>
    <w:p>
      <w:pPr>
        <w:pStyle w:val="Heading4"/>
        <w:numPr>
          <w:ilvl w:val="3"/>
          <w:numId w:val="1"/>
        </w:numPr>
        <w:rPr/>
      </w:pPr>
      <w:bookmarkStart w:id="813" w:name="__RefHeading___Toc9644021_73709187"/>
      <w:bookmarkStart w:id="814" w:name="_Toc305"/>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أجمع العلماء</w:t>
      </w:r>
      <w:r>
        <w:rPr>
          <w:rStyle w:val="FootnoteAnchor"/>
          <w:rtl w:val="true"/>
        </w:rPr>
        <w:footnoteReference w:id="2085"/>
      </w:r>
      <w:r>
        <w:rPr>
          <w:rFonts w:ascii="IRNazanin" w:hAnsi="IRNazanin" w:eastAsia="IRNazanin"/>
          <w:color w:val="111111"/>
          <w:sz w:val="28"/>
          <w:sz w:val="28"/>
          <w:szCs w:val="28"/>
          <w:rtl w:val="true"/>
          <w:lang w:bidi="fa-IR"/>
        </w:rPr>
        <w:t>علی أنّه لو حجّ الصبیّ فی حال صغره لم یجزئه عن حجّة الإسلام، بل یجب علیه بعد البلوغ و الاستطاعة</w:t>
      </w:r>
      <w:r>
        <w:rPr>
          <w:rStyle w:val="FootnoteAnchor"/>
          <w:rtl w:val="true"/>
        </w:rPr>
        <w:footnoteReference w:id="2086"/>
      </w:r>
      <w:r>
        <w:rPr>
          <w:rFonts w:ascii="IRNazanin" w:hAnsi="IRNazanin" w:eastAsia="IRNazanin"/>
          <w:color w:val="111111"/>
          <w:sz w:val="28"/>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بلغ الصبیّ فی أثناء الحجّ، فهل یجزیه عن حجّة الإسلام؟</w:t>
      </w:r>
    </w:p>
    <w:p>
      <w:pPr>
        <w:pStyle w:val="BookText"/>
        <w:rPr/>
      </w:pPr>
      <w:r>
        <w:rPr>
          <w:rFonts w:ascii="IRNazanin" w:hAnsi="IRNazanin" w:eastAsia="IRNazanin"/>
          <w:color w:val="111111"/>
          <w:sz w:val="28"/>
          <w:sz w:val="28"/>
          <w:szCs w:val="28"/>
          <w:rtl w:val="true"/>
          <w:lang w:bidi="fa-IR"/>
        </w:rPr>
        <w:t>اختلف الفقهاء فی ذلک، و یقع الکلام ضمن مسائل</w:t>
      </w:r>
      <w:r>
        <w:rPr>
          <w:rFonts w:eastAsia="IRNazanin" w:cs="IRNazanin"/>
          <w:color w:val="111111"/>
          <w:sz w:val="28"/>
          <w:szCs w:val="28"/>
          <w:rtl w:val="true"/>
          <w:lang w:bidi="fa-IR"/>
        </w:rPr>
        <w:t>:</w:t>
      </w:r>
    </w:p>
    <w:p>
      <w:pPr>
        <w:pStyle w:val="Heading4"/>
        <w:numPr>
          <w:ilvl w:val="3"/>
          <w:numId w:val="1"/>
        </w:numPr>
        <w:rPr/>
      </w:pPr>
      <w:bookmarkStart w:id="815" w:name="__RefHeading___Toc9644023_73709187"/>
      <w:bookmarkStart w:id="816" w:name="_Toc306"/>
      <w:bookmarkEnd w:id="815"/>
      <w:r>
        <w:rPr>
          <w:rtl w:val="true"/>
        </w:rPr>
        <w:t>الاولی</w:t>
      </w:r>
      <w:r>
        <w:rPr>
          <w:rtl w:val="true"/>
        </w:rPr>
        <w:t xml:space="preserve">: </w:t>
      </w:r>
      <w:r>
        <w:rPr>
          <w:rtl w:val="true"/>
        </w:rPr>
        <w:t>بلوغ الصبیّ قبل المشعر</w:t>
      </w:r>
      <w:bookmarkEnd w:id="816"/>
    </w:p>
    <w:p>
      <w:pPr>
        <w:pStyle w:val="Heading5"/>
        <w:numPr>
          <w:ilvl w:val="4"/>
          <w:numId w:val="1"/>
        </w:numPr>
        <w:rPr/>
      </w:pPr>
      <w:bookmarkStart w:id="817" w:name="__RefHeading___Toc9644025_73709187"/>
      <w:bookmarkStart w:id="818" w:name="_Toc307"/>
      <w:bookmarkEnd w:id="817"/>
      <w:r>
        <w:rPr>
          <w:rtl w:val="true"/>
        </w:rPr>
        <w:t>اشارة</w:t>
      </w:r>
      <w:bookmarkEnd w:id="81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بلغ الصبیّ قبل الوقوف فی المشعر ففی إجزاء حجّه عن حجّة الإسلام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من أنّه یجزیه،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الوقوف تعیّن إحرام کلّ واحد منهما بالفرض، و أجزأه عن حجّة الإسلام</w:t>
      </w:r>
      <w:r>
        <w:rPr>
          <w:rFonts w:eastAsia="IRNazanin" w:cs="IRNazanin"/>
          <w:color w:val="111111"/>
          <w:sz w:val="28"/>
          <w:szCs w:val="28"/>
          <w:rtl w:val="true"/>
          <w:lang w:bidi="fa-IR"/>
        </w:rPr>
        <w:t>»</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بلغ الصبیّ أو اعتق العبد قبل الوقوف بالمشعر، فوقف به أو بعرفة معتقا و فعل باقی الأرکان، أجزأ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بلغ أو اعتق و هو واقف</w:t>
      </w:r>
      <w:r>
        <w:rPr>
          <w:rFonts w:eastAsia="IRNazanin" w:cs="IRNazanin"/>
          <w:color w:val="111111"/>
          <w:sz w:val="28"/>
          <w:szCs w:val="28"/>
          <w:rtl w:val="true"/>
          <w:lang w:bidi="fa-IR"/>
        </w:rPr>
        <w:t>»</w:t>
      </w: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2091"/>
      </w:r>
      <w:r>
        <w:rPr>
          <w:rFonts w:ascii="IRNazanin" w:hAnsi="IRNazanin" w:eastAsia="IRNazanin"/>
          <w:color w:val="111111"/>
          <w:sz w:val="28"/>
          <w:sz w:val="28"/>
          <w:szCs w:val="28"/>
          <w:rtl w:val="true"/>
          <w:lang w:bidi="fa-IR"/>
        </w:rPr>
        <w:t>و القواعد</w:t>
      </w:r>
      <w:r>
        <w:rPr>
          <w:rStyle w:val="FootnoteAnchor"/>
          <w:rtl w:val="true"/>
        </w:rPr>
        <w:footnoteReference w:id="2092"/>
      </w:r>
      <w:r>
        <w:rPr>
          <w:rFonts w:ascii="Amiri" w:hAnsi="Amiri" w:eastAsia="Amiri" w:cs="Amiri"/>
          <w:color w:val="111111"/>
          <w:sz w:val="28"/>
          <w:sz w:val="28"/>
          <w:szCs w:val="28"/>
          <w:rtl w:val="true"/>
          <w:lang w:bidi="ar-SA"/>
        </w:rPr>
        <w:t>و الدّروس</w:t>
      </w:r>
      <w:r>
        <w:rPr>
          <w:rStyle w:val="FootnoteAnchor"/>
          <w:rtl w:val="true"/>
        </w:rPr>
        <w:footnoteReference w:id="2093"/>
      </w:r>
      <w:r>
        <w:rPr>
          <w:rFonts w:ascii="IRNazanin" w:hAnsi="IRNazanin" w:eastAsia="IRNazanin"/>
          <w:color w:val="111111"/>
          <w:sz w:val="28"/>
          <w:sz w:val="28"/>
          <w:szCs w:val="28"/>
          <w:rtl w:val="true"/>
          <w:lang w:bidi="fa-IR"/>
        </w:rPr>
        <w:t>و إصباح الشیعة</w:t>
      </w:r>
      <w:r>
        <w:rPr>
          <w:rStyle w:val="FootnoteAnchor"/>
          <w:rtl w:val="true"/>
        </w:rPr>
        <w:footnoteReference w:id="2094"/>
      </w:r>
      <w:r>
        <w:rPr>
          <w:rFonts w:ascii="IRNazanin" w:hAnsi="IRNazanin" w:eastAsia="IRNazanin"/>
          <w:color w:val="111111"/>
          <w:sz w:val="28"/>
          <w:sz w:val="28"/>
          <w:szCs w:val="28"/>
          <w:rtl w:val="true"/>
          <w:lang w:bidi="fa-IR"/>
        </w:rPr>
        <w:t>، و به قال جماعة من المتأخّرین</w:t>
      </w:r>
      <w:r>
        <w:rPr>
          <w:rStyle w:val="FootnoteAnchor"/>
          <w:rtl w:val="true"/>
        </w:rPr>
        <w:footnoteReference w:id="2095"/>
      </w:r>
      <w:r>
        <w:rPr>
          <w:rFonts w:ascii="IRNazanin" w:hAnsi="IRNazanin" w:eastAsia="IRNazanin"/>
          <w:color w:val="111111"/>
          <w:sz w:val="28"/>
          <w:sz w:val="28"/>
          <w:szCs w:val="28"/>
          <w:rtl w:val="true"/>
          <w:lang w:bidi="fa-IR"/>
        </w:rPr>
        <w:t>و بعض أعلام العصر</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حجّ الصبیّ الممیّز و أدرک المشعر بالغا، و المجنون و عقل قبل المشعر، یجزیهما عن حجّة الإسلام علی الأقوی</w:t>
      </w:r>
      <w:r>
        <w:rPr>
          <w:rFonts w:eastAsia="IRNazanin" w:cs="IRNazanin"/>
          <w:color w:val="111111"/>
          <w:sz w:val="28"/>
          <w:szCs w:val="28"/>
          <w:rtl w:val="true"/>
          <w:lang w:bidi="fa-IR"/>
        </w:rPr>
        <w:t>»</w:t>
      </w:r>
      <w:r>
        <w:rPr>
          <w:rStyle w:val="FootnoteAnchor"/>
          <w:rtl w:val="true"/>
        </w:rPr>
        <w:footnoteReference w:id="2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تفصیل الشّریعة</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bookmarkStart w:id="819" w:name="pg11756_104208"/>
    </w:p>
    <w:p>
      <w:pPr>
        <w:pStyle w:val="Heading5"/>
        <w:numPr>
          <w:ilvl w:val="4"/>
          <w:numId w:val="1"/>
        </w:numPr>
        <w:rPr/>
      </w:pPr>
      <w:bookmarkStart w:id="820" w:name="__RefHeading___Toc9644027_73709187"/>
      <w:bookmarkStart w:id="821" w:name="_Toc308"/>
      <w:bookmarkEnd w:id="819"/>
      <w:bookmarkEnd w:id="820"/>
      <w:r>
        <w:rPr>
          <w:rtl w:val="true"/>
        </w:rPr>
        <w:t>أدلّة إجزاء حجّ الصبیّ عن حجّة الإسلام إذا بلغ قبل المشعر</w:t>
      </w:r>
      <w:bookmarkEnd w:id="821"/>
    </w:p>
    <w:p>
      <w:pPr>
        <w:pStyle w:val="Heading6"/>
        <w:numPr>
          <w:ilvl w:val="5"/>
          <w:numId w:val="1"/>
        </w:numPr>
        <w:rPr/>
      </w:pPr>
      <w:bookmarkStart w:id="822" w:name="__RefHeading___Toc9644029_73709187"/>
      <w:bookmarkStart w:id="823" w:name="_Toc309"/>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و استدلّ لقول المشهور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الخلاف</w:t>
      </w:r>
      <w:r>
        <w:rPr>
          <w:rStyle w:val="FootnoteAnchor"/>
          <w:rtl w:val="true"/>
        </w:rPr>
        <w:footnoteReference w:id="2099"/>
      </w:r>
      <w:r>
        <w:rPr>
          <w:rFonts w:ascii="IRNazanin" w:hAnsi="IRNazanin" w:eastAsia="IRNazanin"/>
          <w:color w:val="111111"/>
          <w:sz w:val="28"/>
          <w:sz w:val="28"/>
          <w:szCs w:val="28"/>
          <w:rtl w:val="true"/>
          <w:lang w:bidi="fa-IR"/>
        </w:rPr>
        <w:t>، 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الإجزاء تعویلا علی الإجماع المنقول، و عدم العلم بالمخالف علی وجه یقدح فیه</w:t>
      </w:r>
      <w:r>
        <w:rPr>
          <w:rFonts w:eastAsia="IRNazanin" w:cs="IRNazanin"/>
          <w:color w:val="111111"/>
          <w:sz w:val="28"/>
          <w:szCs w:val="28"/>
          <w:rtl w:val="true"/>
          <w:lang w:bidi="fa-IR"/>
        </w:rPr>
        <w:t>»</w:t>
      </w:r>
      <w:r>
        <w:rPr>
          <w:rStyle w:val="FootnoteAnchor"/>
          <w:rtl w:val="true"/>
        </w:rPr>
        <w:footnoteReference w:id="2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وجه لمنع الإجماع الّذی نقله الثّقة العدل و شهد له التتبّع</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 بأنّه لا یتمّ حیث إنّ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سلّمنا تحقّق الإجماع فإنّه لیس من الإجماع المصطلح الکاشف عن رأی المعصوم علیه السّلام؛ لإمکان استنادهم فی الحکم المذکور إلی الروایات الواردة فی العبد و تعدّوا من مواردها إلی الصبیّ، فیکون إجماعا اجتهادیّا لا تعبّدیّا</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العبد إذا اعتق و أدرک المشعر بعده، الدّالّة علی إجزاء حجّه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شهاب عن أبی عبد اللّه علیه السّلام فی رجل أعتق عشیّة عرفة عبدا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عن العبد حجّة الإسلام</w:t>
      </w:r>
      <w:r>
        <w:rPr>
          <w:rFonts w:eastAsia="IRNazanin" w:cs="IRNazanin"/>
          <w:color w:val="111111"/>
          <w:sz w:val="28"/>
          <w:szCs w:val="28"/>
          <w:rtl w:val="true"/>
          <w:lang w:bidi="fa-IR"/>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اعتق 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2106"/>
      </w:r>
      <w:r>
        <w:rPr>
          <w:rFonts w:ascii="IRNazanin" w:hAnsi="IRNazanin" w:eastAsia="IRNazanin"/>
          <w:color w:val="111111"/>
          <w:sz w:val="28"/>
          <w:sz w:val="28"/>
          <w:szCs w:val="28"/>
          <w:rtl w:val="true"/>
          <w:lang w:bidi="fa-IR"/>
        </w:rPr>
        <w:t>، و غیرها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منها بإلغاء الخصوصیّة حکم عام بالإضافة إلی کلّ من کان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لأجله لا یکون علیه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کمل و أدرک المشعر یکون حجّه مجزیا عن حجّة الإسلام، و لا فرق بین العبد و الصبیّ و المجنون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بأنّه مع عدم تعرّض شیء من الرّوایات الواردة فی العبد لعلّة الإجزاء</w:t>
      </w:r>
      <w:r>
        <w:rPr>
          <w:rStyle w:val="FootnoteAnchor"/>
          <w:rtl w:val="true"/>
        </w:rPr>
        <w:footnoteReference w:id="2108"/>
      </w:r>
      <w:r>
        <w:rPr>
          <w:rFonts w:ascii="IRNazanin" w:hAnsi="IRNazanin" w:eastAsia="IRNazanin"/>
          <w:color w:val="111111"/>
          <w:sz w:val="28"/>
          <w:sz w:val="28"/>
          <w:szCs w:val="28"/>
          <w:rtl w:val="true"/>
          <w:lang w:bidi="fa-IR"/>
        </w:rPr>
        <w:t>حتی یتعدّی عن موردها إلی سائر موارد وجود العلّة لا بدّ من القطع بالملاک و المناط، و من الواضح أنّه لا مجال لتحقّق هذا القطع، خصوصا بعد ملاحظة عدم الإجزاء فی بعض الموارد المشابهة، کما فی تفصیل الشّریعة</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قیاس، مع أنّ لازمه الالتزام به فیمن حجّ متسکّعا، ثمّ</w:t>
      </w:r>
    </w:p>
    <w:p>
      <w:pPr>
        <w:pStyle w:val="BookText"/>
        <w:rPr/>
      </w:pPr>
      <w:r>
        <w:rPr>
          <w:rFonts w:ascii="IRNazanin" w:hAnsi="IRNazanin" w:eastAsia="IRNazanin"/>
          <w:color w:val="111111"/>
          <w:sz w:val="28"/>
          <w:sz w:val="28"/>
          <w:szCs w:val="28"/>
          <w:rtl w:val="true"/>
          <w:lang w:bidi="fa-IR"/>
        </w:rPr>
        <w:t>حصل له الاستطاعة قبل المشعر، و لا یقولون به</w:t>
      </w:r>
      <w:r>
        <w:rPr>
          <w:rFonts w:eastAsia="IRNazanin" w:cs="IRNazanin"/>
          <w:color w:val="111111"/>
          <w:sz w:val="28"/>
          <w:szCs w:val="28"/>
          <w:rtl w:val="true"/>
          <w:lang w:bidi="fa-IR"/>
        </w:rPr>
        <w:t>»</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العبد لیس قیاسا بعد ما عرفت من الإجماع، و ظهور نصوص العبد فی عدم الخصوصیّة له</w:t>
      </w:r>
      <w:r>
        <w:rPr>
          <w:rFonts w:eastAsia="IRNazanin" w:cs="IRNazanin"/>
          <w:color w:val="111111"/>
          <w:sz w:val="28"/>
          <w:szCs w:val="28"/>
          <w:rtl w:val="true"/>
          <w:lang w:bidi="fa-IR"/>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 من أنّ من لم یحرم من مکّة أحرم من حیث أمکنه و لو قبل المشعر، مثل روایة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الإحرام بالحجّ فذکر و هو بعرفات،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 سنّة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إحرامه، فإن جهل أن یحرم یوم التّرویة بالحجّ حتّی رجع إلی بلده إن کان قضی مناسکه کلّها فقد تمّ حجّه</w:t>
      </w:r>
      <w:r>
        <w:rPr>
          <w:rFonts w:eastAsia="IRNazanin" w:cs="IRNazanin"/>
          <w:color w:val="111111"/>
          <w:sz w:val="28"/>
          <w:szCs w:val="28"/>
          <w:rtl w:val="true"/>
          <w:lang w:bidi="fa-IR"/>
        </w:rPr>
        <w:t>»</w:t>
      </w:r>
      <w:r>
        <w:rPr>
          <w:rStyle w:val="FootnoteAnchor"/>
          <w:rtl w:val="true"/>
        </w:rPr>
        <w:footnoteReference w:id="2112"/>
      </w:r>
      <w:r>
        <w:rPr>
          <w:rFonts w:ascii="IRNazanin" w:hAnsi="IRNazanin" w:eastAsia="IRNazanin"/>
          <w:color w:val="111111"/>
          <w:sz w:val="28"/>
          <w:sz w:val="28"/>
          <w:szCs w:val="28"/>
          <w:rtl w:val="true"/>
          <w:lang w:bidi="fa-IR"/>
        </w:rPr>
        <w:t>، و غیرها</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فالوقت صالح لإنشاء الإحرام، فکذا لانقلابه أو قلبه، مع أنّهما قد أحرما من مکّة و أتیا بما علی الحاجّ من الأفعال، فلا یکونان أسوأ حالا ممّن أحرم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یدرک إلاّ المشعر</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عنها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موردها من لم یحرم، فلا یشمل من أحرم سابقا لغیر حجّة الإسلام</w:t>
      </w:r>
      <w:r>
        <w:rPr>
          <w:rFonts w:eastAsia="IRNazanin" w:cs="IRNazanin"/>
          <w:color w:val="111111"/>
          <w:sz w:val="28"/>
          <w:szCs w:val="28"/>
          <w:rtl w:val="true"/>
          <w:lang w:bidi="fa-IR"/>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فی المستند علی ما فی العروة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مورد الروایات لیس من لم یحرم، بل موردها من ترک الوقوف بعرفة من غیر عمد، و إنّما ترکه لمانع، کما</w:t>
      </w:r>
      <w:bookmarkStart w:id="824" w:name="pg11756_104211"/>
    </w:p>
    <w:p>
      <w:pPr>
        <w:pStyle w:val="BookText"/>
        <w:rPr/>
      </w:pPr>
      <w:bookmarkEnd w:id="824"/>
      <w:r>
        <w:rPr>
          <w:rFonts w:ascii="IRNazanin" w:hAnsi="IRNazanin" w:eastAsia="IRNazanin"/>
          <w:color w:val="111111"/>
          <w:sz w:val="28"/>
          <w:sz w:val="28"/>
          <w:szCs w:val="28"/>
          <w:rtl w:val="true"/>
          <w:lang w:bidi="fa-IR"/>
        </w:rPr>
        <w:t>إذا حبس أو منعه مانع، و نحو ذلک ممّا یوجب ترک الوقوف بعرفة و أدرک المشعر، ففی هذه المورد دلّت الروایات علی أنّ من أدرک المشعر فقد أدرک الحجّ، سواء کان قبل ذلک محرما أم لم یکن محرما</w:t>
      </w:r>
      <w:r>
        <w:rPr>
          <w:rFonts w:eastAsia="IRNazanin" w:cs="IRNazanin"/>
          <w:color w:val="111111"/>
          <w:sz w:val="28"/>
          <w:szCs w:val="28"/>
          <w:rtl w:val="true"/>
          <w:lang w:bidi="fa-IR"/>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5" w:name="__RefHeading___Toc9644031_73709187"/>
      <w:bookmarkStart w:id="826" w:name="_Toc310"/>
      <w:bookmarkEnd w:id="825"/>
      <w:r>
        <w:rPr>
          <w:rtl w:val="true"/>
        </w:rPr>
        <w:t>الصبیّ الّذی لا یجب علیه الحجّ و لا یکون مکلّفا به و نسی الاحرام هل یکفی حجه</w:t>
      </w:r>
      <w:bookmarkEnd w:id="826"/>
    </w:p>
    <w:p>
      <w:pPr>
        <w:pStyle w:val="BookText"/>
        <w:rPr/>
      </w:pPr>
      <w:r>
        <w:rPr>
          <w:rFonts w:ascii="IRNazanin" w:hAnsi="IRNazanin" w:eastAsia="IRNazanin"/>
          <w:color w:val="111111"/>
          <w:sz w:val="28"/>
          <w:sz w:val="28"/>
          <w:szCs w:val="28"/>
          <w:rtl w:val="true"/>
          <w:lang w:bidi="fa-IR"/>
        </w:rPr>
        <w:t>و بالجملة، مقتضی ظهور هذه النصوص اختصاص الحکم بمن کان الحجّ واجبا علیه و لم یتحقّق منه الإحرام فی مکّة لنسیان أو جهل أو عصیان أو مانع أو غیرها، فإنّه یجب علیه أن یحرم من حیث أمکن، و أمّا الصبیّ الّذی لا یجب علیه الحجّ و لا یکون مکلّفا به، فلا یستفاد حکمه منها</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من أدرک المشعر فقد أدرک الحجّ، مثل ما رواه فی العلل عن جمیل بن درّاج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یوم النحر قبل زوال الشّمس فقد أدرک الحجّ، و من أدرک یوم عرفة قبل زوال الشّمس فقد أدرک المتعة</w:t>
      </w:r>
      <w:r>
        <w:rPr>
          <w:rFonts w:eastAsia="IRNazanin" w:cs="IRNazanin"/>
          <w:color w:val="111111"/>
          <w:sz w:val="28"/>
          <w:szCs w:val="28"/>
          <w:rtl w:val="true"/>
          <w:lang w:bidi="fa-IR"/>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عن هشام بن الحکم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و علیه خمسة من النّاس فقد أدرک الحجّ</w:t>
      </w:r>
      <w:r>
        <w:rPr>
          <w:rFonts w:eastAsia="IRNazanin" w:cs="IRNazanin"/>
          <w:color w:val="111111"/>
          <w:sz w:val="28"/>
          <w:szCs w:val="28"/>
          <w:rtl w:val="true"/>
          <w:lang w:bidi="fa-IR"/>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الصدوق بإسناده عن ابن أبی عمیر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خمسة من النّاس</w:t>
      </w:r>
      <w:r>
        <w:rPr>
          <w:rFonts w:eastAsia="IRNazanin" w:cs="IRNazanin"/>
          <w:color w:val="111111"/>
          <w:sz w:val="28"/>
          <w:szCs w:val="28"/>
          <w:rtl w:val="true"/>
          <w:lang w:bidi="fa-IR"/>
        </w:rPr>
        <w:t>»</w:t>
      </w:r>
      <w:r>
        <w:rPr>
          <w:rStyle w:val="FootnoteAnchor"/>
          <w:rtl w:val="true"/>
        </w:rPr>
        <w:footnoteReference w:id="2120"/>
      </w:r>
      <w:r>
        <w:rPr>
          <w:rFonts w:ascii="IRNazanin" w:hAnsi="IRNazanin" w:eastAsia="IRNazanin"/>
          <w:color w:val="111111"/>
          <w:sz w:val="28"/>
          <w:sz w:val="28"/>
          <w:szCs w:val="28"/>
          <w:rtl w:val="true"/>
          <w:lang w:bidi="fa-IR"/>
        </w:rPr>
        <w:t>، و غیر ذلک من الروایات</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منها أنّ کلّ من أدرک المشعر جامعا للشرائط فقد</w:t>
      </w:r>
    </w:p>
    <w:p>
      <w:pPr>
        <w:pStyle w:val="BookText"/>
        <w:rPr/>
      </w:pPr>
      <w:r>
        <w:rPr>
          <w:rFonts w:ascii="IRNazanin" w:hAnsi="IRNazanin" w:eastAsia="IRNazanin"/>
          <w:color w:val="111111"/>
          <w:sz w:val="28"/>
          <w:sz w:val="28"/>
          <w:szCs w:val="28"/>
          <w:rtl w:val="true"/>
          <w:lang w:bidi="fa-IR"/>
        </w:rPr>
        <w:t>أدرک الحجّ، فإذا بلغ الصبیّ قبل الوقوف فی المشعر فقد أدرک الحجّ بالغا، فیجزی حجّه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تفصیل الشریعة بعدم انطباق الدلیل علی المدّعی، فإنّ مقتضی الرّوایات صحّة الحجّ و تمامیّته بسبب إدراک المشعر، و عدم کون فوت عرفة قادحا فی ذلک، و المدّعی یرجع إلی إجزاء الحجّ بعد البلوغ و إدراک المشعر عن حجّة الإسلام، و من المعلوم أنّ الإجزاء و عدمه أمر، و الصحّة و عدمها أمر آخر،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حجّ الصبیّ و لو بلغ قبل الوقوف بالمشعر، إنّما الإشکال فی الإجزاء</w:t>
      </w:r>
      <w:r>
        <w:rPr>
          <w:rStyle w:val="FootnoteAnchor"/>
          <w:rtl w:val="true"/>
        </w:rPr>
        <w:footnoteReference w:id="2122"/>
      </w:r>
      <w:r>
        <w:rPr>
          <w:rFonts w:ascii="IRNazanin" w:hAnsi="IRNazanin" w:eastAsia="IRNazanin"/>
          <w:color w:val="111111"/>
          <w:sz w:val="28"/>
          <w:sz w:val="28"/>
          <w:szCs w:val="28"/>
          <w:rtl w:val="true"/>
          <w:lang w:bidi="fa-IR"/>
        </w:rPr>
        <w:t>، و الروایات بعیدة عن إثباته، و أجنبیّة عن إفادته</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بعض، من کون الإجزاء علی طبق القاعدة، و قرّره بعض الأعلام بهذا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طبیعة واحدة مشترکة بین الصبیّ و البالغ، و إنّما الاختلاف فی الحکم، بمعنی أنّه مستحبّ لطائفة، و واجب علی طائفة اخری کالبالغین، و لا اختلاف فی الموضوع نظیر الصلاة، فإنّه إذا بلغ الطفل أثناء الصلاة أو بعدها فی أثناء الوقت لا یجب علیه إعادة الصلاة؛ لأنّها طبیعة واحدة و قد أتی بها، و لا موجب للإعادة، فالسقوط علی طبق القاعدة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وردت النصوص أن حجّ الصبیّ إذا وقع بتمامه حال الصغر لا یجزی، و بهذا المقدار نخرج عن مقتضی القاعدة، و لو لا النصّ لقلنا بالإجزاء حتّی إذا بلغ بعد إتمام الحجّ</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حجّ الصبیّ و البالغ، إلاّ فی ارتفاع الإلزام عن غیر البالغ بالأدلّة الامتنانیّة، و هذا لا یوجب تفاوتا فی نفس الطبیعة المطلوبة من البالغ 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شرع فی العمل قبل البلوغ و بلغ فی الأثناء یجب علیه الإتمام، و حینئذ لا یبقی موضوع للأمر بها ثانیا، فیجزی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تمامیّة القاعدة من أصلها ممنوعة؛ لعدم العلم بوحدة الطبیعة المطلوبة من البالغ و الصبیّ من حیث الملاک؛ لعدم الإحاطة بالملاکات لغیر علاّم الغیوب، فیحتمل أنّ للبلوغ دخلا فی أصل الملاک و المصلحة، بحیث لو لم یرد دلیل خاصّ علی مطلوبیّة العمل من الصبیّ أیضا لاحتملنا</w:t>
      </w:r>
      <w:r>
        <w:rPr>
          <w:rStyle w:val="FootnoteAnchor"/>
          <w:rtl w:val="true"/>
        </w:rPr>
        <w:footnoteReference w:id="2125"/>
      </w:r>
      <w:r>
        <w:rPr>
          <w:rFonts w:ascii="IRNazanin" w:hAnsi="IRNazanin" w:eastAsia="IRNazanin"/>
          <w:color w:val="111111"/>
          <w:sz w:val="28"/>
          <w:sz w:val="28"/>
          <w:szCs w:val="28"/>
          <w:rtl w:val="true"/>
          <w:lang w:bidi="fa-IR"/>
        </w:rPr>
        <w:t>عدم کون العمل قبل البلوغ ذا ملاک أصلا فضلا عن وحدة الملاک</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تفصیل الشریعة مشیرا إلی الروایات الدالّة علی عدم إجزاء حجّ الصبیّ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إسحاق بن عمّار،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الحسن علیه السّلام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هذه الروایة أنّ الجاریة إذا طمثت یجب علیها الحجّ، فالطمث موجب لثبوته و لزومه، و إذا انضمّت هذه الروایة إلی الروایات المتقدّمة الدالّة</w:t>
      </w:r>
      <w:r>
        <w:rPr>
          <w:rStyle w:val="FootnoteAnchor"/>
          <w:rtl w:val="true"/>
        </w:rPr>
        <w:footnoteReference w:id="2128"/>
      </w:r>
      <w:r>
        <w:rPr>
          <w:rFonts w:ascii="Amiri" w:hAnsi="Amiri" w:eastAsia="Amiri" w:cs="Amiri"/>
          <w:color w:val="111111"/>
          <w:sz w:val="28"/>
          <w:sz w:val="28"/>
          <w:szCs w:val="28"/>
          <w:rtl w:val="true"/>
          <w:lang w:bidi="ar-SA"/>
        </w:rPr>
        <w:t>علی أنّ من</w:t>
      </w:r>
    </w:p>
    <w:p>
      <w:pPr>
        <w:pStyle w:val="BookText"/>
        <w:rPr/>
      </w:pPr>
      <w:r>
        <w:rPr>
          <w:rFonts w:ascii="IRNazanin" w:hAnsi="IRNazanin" w:eastAsia="IRNazanin"/>
          <w:color w:val="111111"/>
          <w:sz w:val="28"/>
          <w:sz w:val="28"/>
          <w:szCs w:val="28"/>
          <w:rtl w:val="true"/>
          <w:lang w:bidi="fa-IR"/>
        </w:rPr>
        <w:t>أدرک المشعر فقد أدرک الحجّ، یستفاد أنّ ما تأتی به الجاریة بعد الطمث تکون حجّة الإسلام إذا کان الطمث قبل 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صحّة الحجّ و تمامیّته بإدراک المشعر، و مفاد هذه الروایة وجوب الحجّ الصحیح علیها بعد الطمث، فملاحظة مجموعهما تصیر دلیلا للمشهور القائل بالإجزاء و إن کان کلّ واحد منهما غیر صالح للاستدلال</w:t>
      </w:r>
      <w:r>
        <w:rPr>
          <w:rFonts w:eastAsia="IRNazanin" w:cs="IRNazanin"/>
          <w:color w:val="111111"/>
          <w:sz w:val="28"/>
          <w:szCs w:val="28"/>
          <w:rtl w:val="true"/>
          <w:lang w:bidi="fa-IR"/>
        </w:rPr>
        <w:t>»</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أیضا یظهر من کلام السیّد الخونساری أیضا</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عمومات التشریع الأوّلیّة تقتضی الصّحة، و لیس ما یستوجب الخروج عنها إلاّ ما تقدّم من النصوص الدالّة علی اعتبار البلوغ فی مشروعیّة حجّة الإسلام، لکنّها مختصّة بصورة ما إذا وقع تمام الحجّ قبل البلوغ، و لا تشمل صورة ما إذا بلغ فی الأثناء، فتبقی الصورة المذکورة داخلة فی الإطلاق المقتضی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لازم ذلک المشروعیّة أیضا لو بلغ بعد الوقوف قبل إتمام أعمال الحجّ، و قد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المذکور هو الموجب للخروج عن مقتضی الأدلّة</w:t>
      </w: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مصباح الهدی</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العمومات الدالّة علی اعتبار البلوغ فی مشروعیّة حجّة الإسلام</w:t>
      </w:r>
      <w:bookmarkStart w:id="827" w:name="pg11756_104215"/>
    </w:p>
    <w:p>
      <w:pPr>
        <w:pStyle w:val="BookText"/>
        <w:rPr/>
      </w:pPr>
      <w:bookmarkEnd w:id="827"/>
      <w:r>
        <w:rPr>
          <w:rFonts w:ascii="IRNazanin" w:hAnsi="IRNazanin" w:eastAsia="IRNazanin"/>
          <w:color w:val="111111"/>
          <w:sz w:val="28"/>
          <w:sz w:val="28"/>
          <w:szCs w:val="28"/>
          <w:rtl w:val="true"/>
          <w:lang w:bidi="fa-IR"/>
        </w:rPr>
        <w:t>تشمل ما إذا بلغ فی الأثناء، و لا دلیل للخروج عنها، و الحکم بإجزاء الصورة المذکورة إلاّ أن نتمسّک بصحیحة إسحاق بن عمّار المتقدّمة و غیرها</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2134"/>
      </w:r>
      <w:r>
        <w:rPr>
          <w:rFonts w:ascii="IRNazanin" w:hAnsi="IRNazanin" w:eastAsia="IRNazanin"/>
          <w:color w:val="111111"/>
          <w:sz w:val="28"/>
          <w:sz w:val="28"/>
          <w:szCs w:val="28"/>
          <w:rtl w:val="true"/>
          <w:lang w:bidi="fa-IR"/>
        </w:rPr>
        <w:t>ما ذهب إلیه المشهور من أنّه إن أدرک الصبیّ الممیّز أحد الموقفین بالغا یجزیه عن حجّة الإسلام، و إن کان الأحوط الإعادة بعد ذلک إن کان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الإجماع و 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 مع اعتضاد النقل بالشهرة الظاهرة و المحکیة حدّ الاستفاضة، و بسائر ما ذکروه من الأدلّة، و إن کان فی بلوغها حدّ الحجّیّة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ریب أنّ الأحوط الإعادة بعد الاستطاعة</w:t>
      </w:r>
      <w:r>
        <w:rPr>
          <w:rFonts w:eastAsia="IRNazanin" w:cs="IRNazanin"/>
          <w:color w:val="111111"/>
          <w:sz w:val="28"/>
          <w:szCs w:val="28"/>
          <w:rtl w:val="true"/>
          <w:lang w:bidi="fa-IR"/>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9644033_73709187"/>
      <w:bookmarkStart w:id="829" w:name="_Toc311"/>
      <w:bookmarkEnd w:id="828"/>
      <w:r>
        <w:rPr>
          <w:rtl w:val="true"/>
        </w:rPr>
        <w:t>عدم الإجزاء عن حجّة الإسلام</w:t>
      </w:r>
      <w:bookmarkEnd w:id="829"/>
    </w:p>
    <w:p>
      <w:pPr>
        <w:pStyle w:val="Heading6"/>
        <w:numPr>
          <w:ilvl w:val="5"/>
          <w:numId w:val="1"/>
        </w:numPr>
        <w:rPr/>
      </w:pPr>
      <w:bookmarkStart w:id="830" w:name="__RefHeading___Toc9644035_73709187"/>
      <w:bookmarkStart w:id="831" w:name="_Toc312"/>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الأصحاب من عدم إجزاء حجّ الصبیّ عن حجّة الإسلام إذا بلغ قبل الوقوف بالمشعر، قال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اعتق الرقیق و بلغ الصبیّ بعد إحرامهما و قبل الوقوف بأحد الموقفین أجزأهما، و الأولی أن لا یجزی عن الصبیّ</w:t>
      </w:r>
      <w:r>
        <w:rPr>
          <w:rFonts w:eastAsia="IRNazanin" w:cs="IRNazanin"/>
          <w:color w:val="111111"/>
          <w:sz w:val="28"/>
          <w:szCs w:val="28"/>
          <w:rtl w:val="true"/>
          <w:lang w:bidi="fa-IR"/>
        </w:rPr>
        <w:t>»</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عدم الإجزاء</w:t>
      </w:r>
      <w:r>
        <w:rPr>
          <w:rFonts w:eastAsia="IRNazanin" w:cs="IRNazanin"/>
          <w:color w:val="111111"/>
          <w:sz w:val="28"/>
          <w:szCs w:val="28"/>
          <w:rtl w:val="true"/>
          <w:lang w:bidi="fa-IR"/>
        </w:rPr>
        <w:t>»</w:t>
      </w:r>
      <w:r>
        <w:rPr>
          <w:rStyle w:val="FootnoteAnchor"/>
          <w:rtl w:val="true"/>
        </w:rPr>
        <w:footnoteReference w:id="2137"/>
      </w:r>
      <w:r>
        <w:rPr>
          <w:rFonts w:ascii="IRNazanin" w:hAnsi="IRNazanin" w:eastAsia="IRNazanin"/>
          <w:color w:val="111111"/>
          <w:sz w:val="28"/>
          <w:sz w:val="28"/>
          <w:szCs w:val="28"/>
          <w:rtl w:val="true"/>
          <w:lang w:bidi="fa-IR"/>
        </w:rPr>
        <w:t>، و به قال فی مفاتیح</w:t>
      </w:r>
      <w:bookmarkStart w:id="832" w:name="pg11756_104216"/>
    </w:p>
    <w:p>
      <w:pPr>
        <w:pStyle w:val="BookText"/>
        <w:rPr/>
      </w:pPr>
      <w:bookmarkEnd w:id="832"/>
      <w:r>
        <w:rPr>
          <w:rFonts w:ascii="IRNazanin" w:hAnsi="IRNazanin" w:eastAsia="IRNazanin"/>
          <w:color w:val="111111"/>
          <w:sz w:val="28"/>
          <w:sz w:val="28"/>
          <w:szCs w:val="28"/>
          <w:rtl w:val="true"/>
          <w:lang w:bidi="fa-IR"/>
        </w:rPr>
        <w:t>الشرائع</w:t>
      </w:r>
      <w:r>
        <w:rPr>
          <w:rStyle w:val="FootnoteAnchor"/>
          <w:rtl w:val="true"/>
        </w:rPr>
        <w:footnoteReference w:id="2138"/>
      </w:r>
      <w:r>
        <w:rPr>
          <w:rFonts w:ascii="IRNazanin" w:hAnsi="IRNazanin" w:eastAsia="IRNazanin"/>
          <w:color w:val="111111"/>
          <w:sz w:val="28"/>
          <w:sz w:val="28"/>
          <w:szCs w:val="28"/>
          <w:rtl w:val="true"/>
          <w:lang w:bidi="fa-IR"/>
        </w:rPr>
        <w:t>و المستند</w:t>
      </w:r>
      <w:r>
        <w:rPr>
          <w:rStyle w:val="FootnoteAnchor"/>
          <w:rtl w:val="true"/>
        </w:rPr>
        <w:footnoteReference w:id="2139"/>
      </w:r>
      <w:r>
        <w:rPr>
          <w:rFonts w:ascii="IRNazanin" w:hAnsi="IRNazanin" w:eastAsia="IRNazanin"/>
          <w:color w:val="111111"/>
          <w:sz w:val="28"/>
          <w:sz w:val="28"/>
          <w:szCs w:val="28"/>
          <w:rtl w:val="true"/>
          <w:lang w:bidi="fa-IR"/>
        </w:rPr>
        <w:t>، و اختاره بعض أعلام العصر</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بالإجزاء مشکل، و الأحوط الإعادة بعد ذلک إن کان مستطیعا، بل لا یخلو عن قوّة</w:t>
      </w:r>
      <w:r>
        <w:rPr>
          <w:rFonts w:eastAsia="IRNazanin" w:cs="IRNazanin"/>
          <w:color w:val="111111"/>
          <w:sz w:val="28"/>
          <w:szCs w:val="28"/>
          <w:rtl w:val="true"/>
          <w:lang w:bidi="fa-IR"/>
        </w:rPr>
        <w:t>»</w:t>
      </w:r>
      <w:r>
        <w:rPr>
          <w:rStyle w:val="FootnoteAnchor"/>
          <w:rtl w:val="true"/>
        </w:rPr>
        <w:footnoteReference w:id="2141"/>
      </w:r>
      <w:r>
        <w:rPr>
          <w:rFonts w:ascii="IRNazanin" w:hAnsi="IRNazanin" w:eastAsia="IRNazanin"/>
          <w:color w:val="111111"/>
          <w:sz w:val="28"/>
          <w:sz w:val="28"/>
          <w:szCs w:val="28"/>
          <w:rtl w:val="true"/>
          <w:lang w:bidi="fa-IR"/>
        </w:rPr>
        <w:t>، و اختاره فی المعتمد</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9644037_73709187"/>
      <w:bookmarkStart w:id="834" w:name="_Toc313"/>
      <w:bookmarkEnd w:id="833"/>
      <w:r>
        <w:rPr>
          <w:rtl w:val="true"/>
        </w:rPr>
        <w:t>أدلّة هذا القول</w:t>
      </w:r>
      <w:bookmarkEnd w:id="834"/>
    </w:p>
    <w:p>
      <w:pPr>
        <w:pStyle w:val="BookText"/>
        <w:rPr/>
      </w:pPr>
      <w:r>
        <w:rPr>
          <w:rFonts w:ascii="IRNazanin" w:hAnsi="IRNazanin" w:eastAsia="IRNazanin"/>
          <w:color w:val="111111"/>
          <w:sz w:val="28"/>
          <w:sz w:val="28"/>
          <w:szCs w:val="28"/>
          <w:rtl w:val="true"/>
          <w:lang w:bidi="fa-IR"/>
        </w:rPr>
        <w:t>و ما یمکن أن یستدلّ به لإثبات هذا القول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منع الإجماع، کما فی الجواهر</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دلیل حیث لا دلیل، و قد تقدّم أنّ الدلیل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المستند من أنّ فی شمول الإطلاقات الّتی دلّت علی أنّ من أدرک المشعر فقد أدرک الحجّ للصّبیّ نظر، سیّما فی حجّ التمتّع، حیث إنّ العمرة الواجبة وقعت فی زمان عدم التکلیف، و لم یثبت</w:t>
      </w:r>
      <w:r>
        <w:rPr>
          <w:rStyle w:val="FootnoteAnchor"/>
          <w:rtl w:val="true"/>
        </w:rPr>
        <w:footnoteReference w:id="2144"/>
      </w:r>
      <w:r>
        <w:rPr>
          <w:rFonts w:ascii="IRNazanin" w:hAnsi="IRNazanin" w:eastAsia="IRNazanin"/>
          <w:color w:val="111111"/>
          <w:sz w:val="28"/>
          <w:sz w:val="28"/>
          <w:szCs w:val="28"/>
          <w:rtl w:val="true"/>
          <w:lang w:bidi="fa-IR"/>
        </w:rPr>
        <w:t>إدراک العمرة بذلک</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من أدرک إنّما دلّت علی إدراک الحجّ بإدراک المشعر، و لکنّ إنّما یدرک الحجّ الّذی نواه و أحرم به، و صلاحیّة الوقت للإحرام</w:t>
      </w:r>
    </w:p>
    <w:p>
      <w:pPr>
        <w:pStyle w:val="BookText"/>
        <w:rPr/>
      </w:pPr>
      <w:r>
        <w:rPr>
          <w:rFonts w:ascii="IRNazanin" w:hAnsi="IRNazanin" w:eastAsia="IRNazanin"/>
          <w:color w:val="111111"/>
          <w:sz w:val="28"/>
          <w:sz w:val="28"/>
          <w:szCs w:val="28"/>
          <w:rtl w:val="true"/>
          <w:lang w:bidi="fa-IR"/>
        </w:rPr>
        <w:t>لا یفید</w:t>
      </w:r>
      <w:r>
        <w:rPr>
          <w:rStyle w:val="FootnoteAnchor"/>
          <w:rtl w:val="true"/>
        </w:rPr>
        <w:footnoteReference w:id="2146"/>
      </w:r>
      <w:r>
        <w:rPr>
          <w:rFonts w:ascii="IRNazanin" w:hAnsi="IRNazanin" w:eastAsia="IRNazanin"/>
          <w:color w:val="111111"/>
          <w:sz w:val="28"/>
          <w:sz w:val="28"/>
          <w:szCs w:val="28"/>
          <w:rtl w:val="true"/>
          <w:lang w:bidi="fa-IR"/>
        </w:rPr>
        <w:t>إلاّ إذا لم یکن محرما، أمّا المحرم فلیس له الإحرام ثانیا إلاّ بعد الإحلال، أو العدول إلی ما دلّ علیه الدلیل، و لا دلیل هنا</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الإطلاقات و إن کانت لا تشمل المورد و لکنّ الأدلّة الاخری موجودة لإثبات القول المشهور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الروایات الدالّة علی عدم إجزاء حجّ الصّبیّ یشمل ما إذا بلغ أثناء العمل، کصحیحة إسحاق بن عمّار</w:t>
      </w:r>
      <w:r>
        <w:rPr>
          <w:rStyle w:val="FootnoteAnchor"/>
          <w:rtl w:val="true"/>
        </w:rPr>
        <w:footnoteReference w:id="2148"/>
      </w:r>
      <w:r>
        <w:rPr>
          <w:rFonts w:ascii="IRNazanin" w:hAnsi="IRNazanin" w:eastAsia="IRNazanin"/>
          <w:color w:val="111111"/>
          <w:sz w:val="28"/>
          <w:sz w:val="28"/>
          <w:szCs w:val="28"/>
          <w:rtl w:val="true"/>
          <w:lang w:bidi="fa-IR"/>
        </w:rPr>
        <w:t>،</w:t>
      </w:r>
      <w:r>
        <w:rPr>
          <w:rStyle w:val="FootnoteAnchor"/>
          <w:rtl w:val="true"/>
        </w:rPr>
        <w:footnoteReference w:id="2149"/>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مقتضی القاعدة بعد شرطیّة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الإسلام هو عدم الإجزاء؛ لأنّ مقتضاها اعتبار اشتمال جمیع أجزاء الواجب علی الشرط، فکما أنّ مقتضی اعتبار شرطیّة الطهارة فی الصلاة لزوم تحقّقها فی جمیع أجزاء الصلاة من أوّلها إلی آخرها، فکذلک لازم اعتبار البلوغ فی حجّة الإسلام عدم تحقّقها بدونه و لو فی شیء من أجزائها، و علیه فاللازم علی القائل بالإجزاء إقامة الدلیل علیه</w:t>
      </w:r>
      <w:r>
        <w:rPr>
          <w:rFonts w:eastAsia="IRNazanin" w:cs="IRNazanin"/>
          <w:color w:val="111111"/>
          <w:sz w:val="28"/>
          <w:szCs w:val="28"/>
          <w:rtl w:val="true"/>
          <w:lang w:bidi="fa-IR"/>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یظهر ممّا تقدّم فلا نعیده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تردّد فی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دخل الصبیّ الممیّز و المجنون فی الحجّ ندبا، ثمّ کمل کلّ واحد منهما و أدرک المشعر أجزأ عن حجّة الإسلام علی</w:t>
      </w:r>
      <w:bookmarkStart w:id="835" w:name="pg11756_104218"/>
    </w:p>
    <w:p>
      <w:pPr>
        <w:pStyle w:val="BookText"/>
        <w:rPr/>
      </w:pPr>
      <w:bookmarkEnd w:id="835"/>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2152"/>
      </w:r>
      <w:r>
        <w:rPr>
          <w:rFonts w:ascii="IRNazanin" w:hAnsi="IRNazanin" w:eastAsia="IRNazanin"/>
          <w:color w:val="111111"/>
          <w:sz w:val="28"/>
          <w:sz w:val="28"/>
          <w:szCs w:val="28"/>
          <w:rtl w:val="true"/>
          <w:lang w:bidi="fa-IR"/>
        </w:rPr>
        <w:t>و التحریر</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فی المعتبر الإجزاء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زمان یصحّ إنشاء الحجّ فیه فکان مجزیا، بأن یجدّد نیّة الوجوب</w:t>
      </w:r>
      <w:r>
        <w:rPr>
          <w:rFonts w:eastAsia="IRNazanin" w:cs="IRNazanin"/>
          <w:color w:val="111111"/>
          <w:sz w:val="28"/>
          <w:szCs w:val="28"/>
          <w:rtl w:val="true"/>
          <w:lang w:bidi="fa-IR"/>
        </w:rPr>
        <w:t>»</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المدارک</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فی الحدائق إلی عدم الإجزاء،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جواز إنشاء الحجّ فی ذلک الزمان علی بعض الوجوه بنصّ خاصّ، لا یقتضی إلحاق غیره به، خصوصا مع مصادمته بمقتضی الأصل، من عدم إجزاء المندوب عن الواجب</w:t>
      </w:r>
      <w:r>
        <w:rPr>
          <w:rFonts w:eastAsia="IRNazanin" w:cs="IRNazanin"/>
          <w:color w:val="111111"/>
          <w:sz w:val="28"/>
          <w:szCs w:val="28"/>
          <w:rtl w:val="true"/>
          <w:lang w:bidi="fa-IR"/>
        </w:rPr>
        <w:t>»</w:t>
      </w:r>
      <w:r>
        <w:rPr>
          <w:rStyle w:val="FootnoteAnchor"/>
          <w:rtl w:val="true"/>
        </w:rPr>
        <w:footnoteReference w:id="2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الذخیرة</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9644039_73709187"/>
      <w:bookmarkStart w:id="837" w:name="_Toc314"/>
      <w:bookmarkEnd w:id="836"/>
      <w:r>
        <w:rPr>
          <w:rtl w:val="true"/>
        </w:rPr>
        <w:t>الامور المترتّبة علی القول بالإجزاء</w:t>
      </w:r>
      <w:bookmarkEnd w:id="837"/>
    </w:p>
    <w:p>
      <w:pPr>
        <w:pStyle w:val="Heading6"/>
        <w:numPr>
          <w:ilvl w:val="5"/>
          <w:numId w:val="1"/>
        </w:numPr>
        <w:rPr/>
      </w:pPr>
      <w:bookmarkStart w:id="838" w:name="__RefHeading___Toc9644041_73709187"/>
      <w:bookmarkStart w:id="839" w:name="_Toc315"/>
      <w:bookmarkEnd w:id="838"/>
      <w:r>
        <w:rPr>
          <w:rtl w:val="true"/>
        </w:rPr>
        <w:t xml:space="preserve">أ </w:t>
      </w:r>
      <w:r>
        <w:rPr>
          <w:rtl w:val="true"/>
        </w:rPr>
        <w:t xml:space="preserve">- </w:t>
      </w:r>
      <w:r>
        <w:rPr>
          <w:rtl w:val="true"/>
        </w:rPr>
        <w:t>تجدید النیّة</w:t>
      </w:r>
      <w:bookmarkEnd w:id="839"/>
    </w:p>
    <w:p>
      <w:pPr>
        <w:pStyle w:val="BookText"/>
        <w:rPr/>
      </w:pPr>
      <w:r>
        <w:rPr>
          <w:rFonts w:ascii="IRNazanin" w:hAnsi="IRNazanin" w:eastAsia="IRNazanin"/>
          <w:color w:val="111111"/>
          <w:sz w:val="28"/>
          <w:sz w:val="28"/>
          <w:szCs w:val="28"/>
          <w:rtl w:val="true"/>
          <w:lang w:bidi="fa-IR"/>
        </w:rPr>
        <w:t>بناء علی القول بالإجزاء هل یجب علی الصبیّ بعد بلوغه تجدید نیّة الوجوب لحجّة الإسلام؟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تجدید النیّة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w:t>
      </w:r>
      <w:r>
        <w:rPr>
          <w:rStyle w:val="FootnoteAnchor"/>
          <w:rtl w:val="true"/>
        </w:rPr>
        <w:footnoteReference w:id="2158"/>
      </w:r>
      <w:r>
        <w:rPr>
          <w:rFonts w:ascii="IRNazanin" w:hAnsi="IRNazanin" w:eastAsia="IRNazanin"/>
          <w:color w:val="111111"/>
          <w:sz w:val="28"/>
          <w:sz w:val="28"/>
          <w:szCs w:val="28"/>
          <w:rtl w:val="true"/>
          <w:lang w:bidi="fa-IR"/>
        </w:rPr>
        <w:t>، و اختاره فی مهذّب الأحکام</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bookmarkStart w:id="840" w:name="pg11756_104219"/>
    </w:p>
    <w:p>
      <w:pPr>
        <w:pStyle w:val="BookText"/>
        <w:rPr/>
      </w:pPr>
      <w:bookmarkEnd w:id="840"/>
      <w:r>
        <w:rPr>
          <w:rFonts w:ascii="IRNazanin" w:hAnsi="IRNazanin" w:eastAsia="IRNazanin"/>
          <w:color w:val="111111"/>
          <w:sz w:val="28"/>
          <w:sz w:val="28"/>
          <w:szCs w:val="28"/>
          <w:rtl w:val="true"/>
          <w:lang w:bidi="fa-IR"/>
        </w:rPr>
        <w:t>و استدلّ فی الجواهر بإطلاق النصوص الواردة فی العبد، و إطلاق الفتاوی فیه، و بأنّ عدم الوجوب هو مقتضی الأصل، و انعقاد الإحرام و انصراف الفعل إلی ما فی الذمّة إذا نوی عینه و إن غفل عن خصوصیّته و لم یتعرّض لها فی النیّة و لا للوجوب فی نیّة الوقوف</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یمکن الاستناد علی النصوص الواردة فی العبد لإثبات الإجزاء فی مفروض الکلام، فکیف یستند إلی إطلاقها لإثبات عدم وجوب تجدید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أیضا لا یکون دلیلا، و سیأتی قریبا زیادة توضیح</w:t>
      </w:r>
      <w:r>
        <w:rPr>
          <w:rFonts w:eastAsia="IRNazanin" w:cs="IRNazanin"/>
          <w:color w:val="111111"/>
          <w:sz w:val="28"/>
          <w:szCs w:val="28"/>
          <w:rtl w:val="true"/>
          <w:lang w:bidi="fa-IR"/>
        </w:rPr>
        <w:t>.</w:t>
      </w:r>
    </w:p>
    <w:p>
      <w:pPr>
        <w:pStyle w:val="Heading6"/>
        <w:numPr>
          <w:ilvl w:val="5"/>
          <w:numId w:val="1"/>
        </w:numPr>
        <w:rPr/>
      </w:pPr>
      <w:bookmarkStart w:id="841" w:name="__RefHeading___Toc9644043_73709187"/>
      <w:bookmarkStart w:id="842" w:name="_Toc316"/>
      <w:bookmarkEnd w:id="841"/>
      <w:r>
        <w:rPr>
          <w:rtl w:val="true"/>
        </w:rPr>
        <w:t>وجوب تجدید النیّة</w:t>
      </w:r>
      <w:bookmarkEnd w:id="84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تجدید النیّة کما هو ظاهر الخلاف</w:t>
      </w:r>
      <w:r>
        <w:rPr>
          <w:rStyle w:val="FootnoteAnchor"/>
          <w:rtl w:val="true"/>
        </w:rPr>
        <w:footnoteReference w:id="2161"/>
      </w:r>
      <w:r>
        <w:rPr>
          <w:rFonts w:ascii="IRNazanin" w:hAnsi="IRNazanin" w:eastAsia="IRNazanin"/>
          <w:color w:val="111111"/>
          <w:sz w:val="28"/>
          <w:sz w:val="28"/>
          <w:szCs w:val="28"/>
          <w:rtl w:val="true"/>
          <w:lang w:bidi="fa-IR"/>
        </w:rPr>
        <w:t>، و صریح المعتبر،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زمان یصحّ إنشاء الحجّ فیه، فکان مجزیا بأن یجدّد نیّة الوجوب</w:t>
      </w:r>
      <w:r>
        <w:rPr>
          <w:rFonts w:eastAsia="IRNazanin" w:cs="IRNazanin"/>
          <w:color w:val="111111"/>
          <w:sz w:val="28"/>
          <w:szCs w:val="28"/>
          <w:rtl w:val="true"/>
          <w:lang w:bidi="fa-IR"/>
        </w:rPr>
        <w:t>»</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2163"/>
      </w:r>
      <w:r>
        <w:rPr>
          <w:rFonts w:ascii="IRNazanin" w:hAnsi="IRNazanin" w:eastAsia="IRNazanin"/>
          <w:color w:val="111111"/>
          <w:sz w:val="28"/>
          <w:sz w:val="28"/>
          <w:szCs w:val="28"/>
          <w:rtl w:val="true"/>
          <w:lang w:bidi="fa-IR"/>
        </w:rPr>
        <w:t>و الدروس</w:t>
      </w:r>
      <w:r>
        <w:rPr>
          <w:rStyle w:val="FootnoteAnchor"/>
          <w:rtl w:val="true"/>
        </w:rPr>
        <w:footnoteReference w:id="2164"/>
      </w:r>
      <w:r>
        <w:rPr>
          <w:rFonts w:ascii="IRNazanin" w:hAnsi="IRNazanin" w:eastAsia="IRNazanin"/>
          <w:color w:val="111111"/>
          <w:sz w:val="28"/>
          <w:sz w:val="28"/>
          <w:szCs w:val="28"/>
          <w:rtl w:val="true"/>
          <w:lang w:bidi="fa-IR"/>
        </w:rPr>
        <w:t>و الذخیرة</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یریدوا به تجدید نیّة الإحرام علی وجه الوجوب؛ لأنّه مستمرّ إلی أن یأتی بالمحلّل، فتکون النیّة فی أثنائه واجبة لما بقی منه، کما لو کان فی أثناء الوقوف، أو أن یریدوا به نیّة باقی النسک جملة من حجّ أو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bookmarkStart w:id="843" w:name="pg11756_104220"/>
    </w:p>
    <w:p>
      <w:pPr>
        <w:pStyle w:val="BookText"/>
        <w:rPr/>
      </w:pPr>
      <w:bookmarkEnd w:id="843"/>
      <w:r>
        <w:rPr>
          <w:rFonts w:ascii="IRNazanin" w:hAnsi="IRNazanin" w:eastAsia="IRNazanin"/>
          <w:color w:val="111111"/>
          <w:sz w:val="28"/>
          <w:sz w:val="28"/>
          <w:szCs w:val="28"/>
          <w:rtl w:val="true"/>
          <w:lang w:bidi="fa-IR"/>
        </w:rPr>
        <w:t xml:space="preserve">علی وجوب نیّة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النیّة الّتی تذکر عند الخروج، فإذا فات بعضها جدّد الباقی</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تجدید نیّة الإحرام، بمعنی أن ینوی أنّه من الآن محرم بحجّة الإسلام</w:t>
      </w:r>
      <w:r>
        <w:rPr>
          <w:rStyle w:val="FootnoteAnchor"/>
          <w:rtl w:val="true"/>
        </w:rPr>
        <w:footnoteReference w:id="2167"/>
      </w:r>
      <w:r>
        <w:rPr>
          <w:rFonts w:ascii="IRNazanin" w:hAnsi="IRNazanin" w:eastAsia="IRNazanin"/>
          <w:color w:val="111111"/>
          <w:sz w:val="28"/>
          <w:sz w:val="28"/>
          <w:szCs w:val="28"/>
          <w:rtl w:val="true"/>
          <w:lang w:bidi="fa-IR"/>
        </w:rPr>
        <w:t>، و لکن صرّح فی المسالک بکفایة نیّة الوجوب بباقی الأفعال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علی تقدیر الإجزاء فی وجوب نیّة الوجوب بباقی الأفعال بعد الکمال</w:t>
      </w:r>
      <w:r>
        <w:rPr>
          <w:rFonts w:eastAsia="IRNazanin" w:cs="IRNazanin"/>
          <w:color w:val="111111"/>
          <w:sz w:val="28"/>
          <w:szCs w:val="28"/>
          <w:rtl w:val="true"/>
          <w:lang w:bidi="fa-IR"/>
        </w:rPr>
        <w:t>»</w:t>
      </w:r>
      <w:r>
        <w:rPr>
          <w:rStyle w:val="FootnoteAnchor"/>
          <w:rtl w:val="true"/>
        </w:rPr>
        <w:footnoteReference w:id="2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المدارک</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9644045_73709187"/>
      <w:bookmarkStart w:id="845" w:name="_Toc317"/>
      <w:bookmarkEnd w:id="844"/>
      <w:r>
        <w:rPr>
          <w:rtl w:val="true"/>
        </w:rPr>
        <w:t>أدلّة وجوب تجدید النیّة</w:t>
      </w:r>
      <w:bookmarkEnd w:id="845"/>
    </w:p>
    <w:p>
      <w:pPr>
        <w:pStyle w:val="BookText"/>
        <w:rPr/>
      </w:pPr>
      <w:r>
        <w:rPr>
          <w:rFonts w:ascii="IRNazanin" w:hAnsi="IRNazanin" w:eastAsia="IRNazanin"/>
          <w:color w:val="111111"/>
          <w:sz w:val="28"/>
          <w:sz w:val="28"/>
          <w:szCs w:val="28"/>
          <w:rtl w:val="true"/>
          <w:lang w:bidi="fa-IR"/>
        </w:rPr>
        <w:t>و استدلّ لوجوب تجدید النیّة بأنّ الأعمال بالنیّات، و لا عبرة بنیّة غیر المکلّف، مع أنّه لم ینو حجّة الإسلام، و خصوصا إذا اعتبر فی النیّات التعرّض للوجوب أو الندب، فلا ینقلب إلی الفرض إلاّ بنیّة، کما فی کشف اللّثام</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المستند فی الإجزاء بالنسبة إلی الصّبیّ هو إلغاء الخصوصیّة من الروایات الواردة فی انعتاق العبد قبل الوقوف بالمشعر، الدالّة علی إجزاء حجّه عن حجّة الإسلام فلا مانع من التمسّک بإطلاق تلک الروایات بالإضافة إلی المقام أیضا، و الحکم بعدم لزوم تجدید النیّة و إن أمکنت المناقشة علی هذا التقدیر أیضا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کان المستند فی الحکم بالإجزاء فی الصّبیّ البالغ هو أنّ</w:t>
      </w:r>
      <w:bookmarkStart w:id="846" w:name="pg11756_104221"/>
    </w:p>
    <w:p>
      <w:pPr>
        <w:pStyle w:val="BookText"/>
        <w:rPr/>
      </w:pPr>
      <w:bookmarkEnd w:id="846"/>
      <w:r>
        <w:rPr>
          <w:rFonts w:ascii="IRNazanin" w:hAnsi="IRNazanin" w:eastAsia="IRNazanin"/>
          <w:color w:val="111111"/>
          <w:sz w:val="28"/>
          <w:sz w:val="28"/>
          <w:szCs w:val="28"/>
          <w:rtl w:val="true"/>
          <w:lang w:bidi="fa-IR"/>
        </w:rPr>
        <w:t>الحجّ لا یکون حقائق متعدّدة و طبائع متکثّرة، بل هو حقیقة واحدة و طبیعة فاردة، قد یعرض لها الاستحباب، و قد یعرض لها الوجوب، و لا یوجب ذلک الاختلاف بوجه، فاللازم أیضا أن یقال بعدم لزوم تجدید النیّة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منعنا إلغاء الخصوصیّة فی روایات العبد و منعنا وحدة الطبیعة و اتّحاد الحقیقة، بل قلنا بالتعدّد و التکثّر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استندنا فی الحکم بالإجزاء إلی ما ذکرنا من ضمّ روایات</w:t>
      </w:r>
      <w:r>
        <w:rPr>
          <w:rStyle w:val="FootnoteAnchor"/>
          <w:rtl w:val="true"/>
        </w:rPr>
        <w:footnoteReference w:id="2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 الإطلاق فی روایة الجاریة الدالّة علی أنّ علیها الحجّ إذا طمثت، فاللازم الحکم بلزوم تجدید نیّة الإحرام؛ لأنّ مقتضی ذلک الدلیل وجوب الحجّ بالبلوغ، لفرض التمکّن منه بسبب إدراک المشعر، و هذا لا ینافی لزوم تجدید النیّة بعد کون مقتضی القاعدة ذلک لفرض اختلاف الحقیقة و تعدّد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اللازم بحسب القاعدة تجدید النیّة لیس هناک ما یدلّ علی عدم اللزوم و الاکتفاء بالنیّة الاولی، کما فی تفصیل الشریعة</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الثمرة بین القولین، فستأتی قریبا فی بیان فروع المسألة</w:t>
      </w:r>
      <w:r>
        <w:rPr>
          <w:rFonts w:eastAsia="IRNazanin" w:cs="IRNazanin"/>
          <w:color w:val="111111"/>
          <w:sz w:val="28"/>
          <w:szCs w:val="28"/>
          <w:rtl w:val="true"/>
          <w:lang w:bidi="fa-IR"/>
        </w:rPr>
        <w:t>.</w:t>
      </w:r>
    </w:p>
    <w:p>
      <w:pPr>
        <w:pStyle w:val="Heading6"/>
        <w:numPr>
          <w:ilvl w:val="5"/>
          <w:numId w:val="1"/>
        </w:numPr>
        <w:rPr/>
      </w:pPr>
      <w:bookmarkStart w:id="847" w:name="__RefHeading___Toc9644047_73709187"/>
      <w:bookmarkStart w:id="848" w:name="_Toc318"/>
      <w:bookmarkEnd w:id="847"/>
      <w:r>
        <w:rPr>
          <w:rtl w:val="true"/>
        </w:rPr>
        <w:t>ب</w:t>
      </w:r>
      <w:r>
        <w:rPr>
          <w:rtl w:val="true"/>
        </w:rPr>
        <w:t xml:space="preserve">: </w:t>
      </w:r>
      <w:r>
        <w:rPr>
          <w:rtl w:val="true"/>
        </w:rPr>
        <w:t>اشتراط الاستطاعة أو عدمها</w:t>
      </w:r>
      <w:bookmarkEnd w:id="84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یشترط فی الإجزاء کونه مستطیعا حین الدخول فی الإحرام، أو یکفی استطاعته من حین البلوغ أو لا یشترط ذلک أصلا؟ أقوال</w:t>
      </w:r>
      <w:r>
        <w:rPr>
          <w:rFonts w:eastAsia="IRNazanin" w:cs="IRNazanin"/>
          <w:color w:val="111111"/>
          <w:sz w:val="28"/>
          <w:szCs w:val="28"/>
          <w:rtl w:val="true"/>
          <w:lang w:bidi="fa-IR"/>
        </w:rPr>
        <w:t>:</w:t>
      </w:r>
      <w:bookmarkStart w:id="849" w:name="pg11756_104222"/>
    </w:p>
    <w:p>
      <w:pPr>
        <w:pStyle w:val="Heading6"/>
        <w:numPr>
          <w:ilvl w:val="5"/>
          <w:numId w:val="1"/>
        </w:numPr>
        <w:rPr/>
      </w:pPr>
      <w:bookmarkStart w:id="850" w:name="__RefHeading___Toc9644049_73709187"/>
      <w:bookmarkStart w:id="851" w:name="_Toc319"/>
      <w:bookmarkEnd w:id="849"/>
      <w:bookmarkEnd w:id="850"/>
      <w:r>
        <w:rPr>
          <w:rtl w:val="true"/>
        </w:rPr>
        <w:t>عدم اعتبار الاستطاعة من حین الإحرام</w:t>
      </w:r>
      <w:bookmarkEnd w:id="85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الاستطاعة، کما هو الظاهر من التذکرة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 الصّبیّ أو اعتق العبد قبل الوقوف أو فی وقته و أمکنهما الإتیان بالحجّ وجب علیهما ذلک؛ لأن الحجّ واجب علی الفور، فلا یجوز لهما تأخیره مع إمکانه کالبالغ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لم یفعلا الحجّ مع إمکانه فقد استقرّ الوجوب علیهما، سواء کانا موسرین أو معسرین؛ لأنّ ذلک وجب علیهما بإمکانه فی موضعه، فلم یسقط بفوات القدرة بعده</w:t>
      </w:r>
      <w:r>
        <w:rPr>
          <w:rFonts w:eastAsia="IRNazanin" w:cs="IRNazanin"/>
          <w:color w:val="111111"/>
          <w:sz w:val="28"/>
          <w:szCs w:val="28"/>
          <w:rtl w:val="true"/>
          <w:lang w:bidi="fa-IR"/>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کالصریح فی عدم اعتبار الاستطاعة فی إجزاء حجّ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فی المدارک إلی الأکثر</w:t>
      </w:r>
      <w:r>
        <w:rPr>
          <w:rStyle w:val="FootnoteAnchor"/>
          <w:rtl w:val="true"/>
        </w:rPr>
        <w:footnoteReference w:id="2174"/>
      </w:r>
      <w:r>
        <w:rPr>
          <w:rFonts w:ascii="IRNazanin" w:hAnsi="IRNazanin" w:eastAsia="IRNazanin"/>
          <w:color w:val="111111"/>
          <w:sz w:val="28"/>
          <w:sz w:val="28"/>
          <w:szCs w:val="28"/>
          <w:rtl w:val="true"/>
          <w:lang w:bidi="fa-IR"/>
        </w:rPr>
        <w:t>، و قوّاه فی الذخیرة</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المشهور حیث لم یتعرّضوا لاشتراط ذلک، و هو الأظهر</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الأقوی عدم اعتبار الاستطاعة بعد الکمال من البلد أو المیقات فی الإجزاء عن حجّة الإسلام</w:t>
      </w:r>
      <w:r>
        <w:rPr>
          <w:rFonts w:eastAsia="IRNazanin" w:cs="IRNazanin"/>
          <w:color w:val="111111"/>
          <w:sz w:val="28"/>
          <w:szCs w:val="28"/>
          <w:rtl w:val="true"/>
          <w:lang w:bidi="fa-IR"/>
        </w:rPr>
        <w:t>»</w:t>
      </w:r>
      <w:r>
        <w:rPr>
          <w:rStyle w:val="FootnoteAnchor"/>
          <w:rtl w:val="true"/>
        </w:rPr>
        <w:footnoteReference w:id="2177"/>
      </w:r>
      <w:r>
        <w:rPr>
          <w:rFonts w:ascii="IRNazanin" w:hAnsi="IRNazanin" w:eastAsia="IRNazanin"/>
          <w:color w:val="111111"/>
          <w:sz w:val="28"/>
          <w:sz w:val="28"/>
          <w:szCs w:val="28"/>
          <w:rtl w:val="true"/>
          <w:lang w:bidi="fa-IR"/>
        </w:rPr>
        <w:t>، و اختاره فی العروة فی مسألة انعتاق العبد قبل المشعر</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له بإطلاق النصوص، و التفاتا إلی النصوص الصحیحة المتضمّنة للإجزاء فی العبد إذا أدرک المشعر معتقا مع امتناع الاستطاعة السابقة فی حقّه</w:t>
      </w:r>
    </w:p>
    <w:p>
      <w:pPr>
        <w:pStyle w:val="BookText"/>
        <w:rPr/>
      </w:pPr>
      <w:r>
        <w:rPr>
          <w:rFonts w:ascii="IRNazanin" w:hAnsi="IRNazanin" w:eastAsia="IRNazanin"/>
          <w:color w:val="111111"/>
          <w:sz w:val="28"/>
          <w:sz w:val="28"/>
          <w:szCs w:val="28"/>
          <w:rtl w:val="true"/>
          <w:lang w:bidi="fa-IR"/>
        </w:rPr>
        <w:t>عند من قال بإحالة ملکه، کما فی المدارک</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استبعاد فی استثناء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دلّ علی اعتبارها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الإیراد علی ما فی الدروس و الرّوضة و غیرهما من اعتبار سبق الاستطاعة و 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سلّم أنّ التعارض بین ما هنا و بین ما دلّ علی اعتبار الاستطاعة من وجه، أمکن الترجیح لما هنا من وجوه، خصوصا بملاحظة نصوص العبد</w:t>
      </w:r>
      <w:r>
        <w:rPr>
          <w:rFonts w:eastAsia="IRNazanin" w:cs="IRNazanin"/>
          <w:color w:val="111111"/>
          <w:sz w:val="28"/>
          <w:szCs w:val="28"/>
          <w:rtl w:val="true"/>
          <w:lang w:bidi="fa-IR"/>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العروة انصراف ما دلّ علی اعتبار الاستطاعة عن المقام</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المستند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لا عموم فیه، فینصرف إلی الغالب من حصول الاستطاعة البدنیّة المعتبرة فی المورد، فلا یشمل ما لو لم تکن هناک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الإطلاق فیعارض ما دلّ علی اشتراط الاستطاعة من الکتاب و السّنة بالعموم من وجه، و الأخیر أرجح؛ لموافقة الکتاب</w:t>
      </w:r>
      <w:r>
        <w:rPr>
          <w:rFonts w:eastAsia="IRNazanin" w:cs="IRNazanin"/>
          <w:color w:val="111111"/>
          <w:sz w:val="28"/>
          <w:szCs w:val="28"/>
          <w:rtl w:val="true"/>
          <w:lang w:bidi="fa-IR"/>
        </w:rPr>
        <w:t>»</w:t>
      </w:r>
      <w:r>
        <w:rPr>
          <w:rStyle w:val="FootnoteAnchor"/>
          <w:rtl w:val="true"/>
        </w:rPr>
        <w:footnoteReference w:id="2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الروایات الواردة فی انعتاق العبد غیر ناظرة إلی هذه الجهة، و إنّما هی ناظرة إلی الحرّیّة و العبودیّة، و أنّ الحرّیّة تکفی بهذا المقدار، فهی تخصیص فی اعتبار الحرّیّة و إلغاء لشرطیّة الحرّیّة فی تمام الأعمال، و أما بالنسبة إلی اعتبار بقیة الشرائط بعد الانعتاق فالنصوص غیر ناظرة إلیه و لا إطلاق لها من هذه الجهة، و لذا لو جنّ العبد بعد الانعتاق لا یمکن القول بالصحّة لأجل</w:t>
      </w:r>
      <w:bookmarkStart w:id="852" w:name="pg11756_104224"/>
    </w:p>
    <w:p>
      <w:pPr>
        <w:pStyle w:val="BookText"/>
        <w:rPr/>
      </w:pPr>
      <w:bookmarkEnd w:id="852"/>
      <w:r>
        <w:rPr>
          <w:rFonts w:ascii="IRNazanin" w:hAnsi="IRNazanin" w:eastAsia="IRNazanin"/>
          <w:color w:val="111111"/>
          <w:sz w:val="28"/>
          <w:sz w:val="28"/>
          <w:szCs w:val="28"/>
          <w:rtl w:val="true"/>
          <w:lang w:bidi="fa-IR"/>
        </w:rPr>
        <w:t>إطلاق النصوص، و هذا شاهد قویّ علی أنّ الروایات ناظرة إلی خصوص الحرّیّة و العبودیّة و غیر ناظرة إلی سائر الشرائط، کما فی المعتمد</w:t>
      </w:r>
      <w:r>
        <w:rPr>
          <w:rStyle w:val="FootnoteAnchor"/>
          <w:rtl w:val="true"/>
        </w:rPr>
        <w:footnoteReference w:id="2184"/>
      </w:r>
      <w:r>
        <w:rPr>
          <w:rFonts w:ascii="IRNazanin" w:hAnsi="IRNazanin" w:eastAsia="IRNazanin"/>
          <w:color w:val="111111"/>
          <w:sz w:val="28"/>
          <w:sz w:val="28"/>
          <w:szCs w:val="28"/>
          <w:rtl w:val="true"/>
          <w:lang w:bidi="fa-IR"/>
        </w:rPr>
        <w:t>و تفصیل الشریعة</w:t>
      </w:r>
      <w:r>
        <w:rPr>
          <w:rStyle w:val="FootnoteAnchor"/>
          <w:rtl w:val="true"/>
        </w:rPr>
        <w:footnoteReference w:id="2185"/>
      </w:r>
      <w:r>
        <w:rPr>
          <w:rFonts w:ascii="IRNazanin" w:hAnsi="IRNazanin" w:eastAsia="IRNazanin"/>
          <w:color w:val="111111"/>
          <w:sz w:val="28"/>
          <w:sz w:val="28"/>
          <w:szCs w:val="28"/>
          <w:rtl w:val="true"/>
          <w:lang w:bidi="fa-IR"/>
        </w:rPr>
        <w:t>و غیرهما</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المشار إلیها إنّما وردت فی مقام بیان أنّ الحرّیّة و إن کانت من شرائط حجّة الإسلام لکن یکفی تحقّقها من حین الوقوف بالمشعر، و لیست فی مقام البیان من حیث تحقّق سائر الشروط و عدمه حتی یقال بمقتضی إطلاقها بالإجزاء مطلقا، فلا تعارض بین روایات العبد و بین ما دلّ علی اعتبار الاستطاعة، لا بنحو العموم و الخصوص مطلقا الّذی عبّر عنه فی الجواهر بالاستثناء، و لا بنحو العموم و الخصوص من وجه، کما بیّنه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فی العروة من الانصراف فغیر ظاهر؛ إذ لیس حال الصّبیّ الّذی بلغ أثناء الحجّ إلاّ حال غیر المستطیع الّذی تکلّف الحجّ، فإنّه إذا شرع فیه لا یتوجّه علیه الأمر بحجّ الإسلام مطلقا و إن لم یکن مستطیعا، کما فی المستمسک</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9644051_73709187"/>
      <w:bookmarkStart w:id="854" w:name="_Toc320"/>
      <w:bookmarkEnd w:id="853"/>
      <w:r>
        <w:rPr>
          <w:rtl w:val="true"/>
        </w:rPr>
        <w:t>اشتراط تقدّم الاستطاعة</w:t>
      </w:r>
      <w:bookmarkEnd w:id="85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الأصحاب من أنّه یشترط فی الإجزاء الاستطاعة من البلد و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اعتق قبل الوقوف أجزأ عن حجّة الإسلام بشرط تقدّم الاستطاعة و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 لو کمل و المجنون</w:t>
      </w:r>
      <w:r>
        <w:rPr>
          <w:rFonts w:eastAsia="IRNazanin" w:cs="IRNazanin"/>
          <w:color w:val="111111"/>
          <w:sz w:val="28"/>
          <w:szCs w:val="28"/>
          <w:rtl w:val="true"/>
          <w:lang w:bidi="fa-IR"/>
        </w:rPr>
        <w:t>»</w:t>
      </w:r>
      <w:r>
        <w:rPr>
          <w:rStyle w:val="FootnoteAnchor"/>
          <w:rtl w:val="true"/>
        </w:rPr>
        <w:footnoteReference w:id="2188"/>
      </w:r>
      <w:r>
        <w:rPr>
          <w:rFonts w:ascii="IRNazanin" w:hAnsi="IRNazanin" w:eastAsia="IRNazanin"/>
          <w:color w:val="111111"/>
          <w:sz w:val="28"/>
          <w:sz w:val="28"/>
          <w:szCs w:val="28"/>
          <w:rtl w:val="true"/>
          <w:lang w:bidi="fa-IR"/>
        </w:rPr>
        <w:t>، و اختاره فی المسالک</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استطاعتهم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و المجنون 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سابقا و لاحقا، لأن الکمال الحاصل أحد الشرائط</w:t>
      </w:r>
      <w:r>
        <w:rPr>
          <w:rFonts w:eastAsia="IRNazanin" w:cs="IRNazanin"/>
          <w:color w:val="111111"/>
          <w:sz w:val="28"/>
          <w:szCs w:val="28"/>
          <w:rtl w:val="true"/>
          <w:lang w:bidi="fa-IR"/>
        </w:rPr>
        <w:t>»</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ذلک من إطلاق الریاض</w:t>
      </w:r>
      <w:r>
        <w:rPr>
          <w:rStyle w:val="FootnoteAnchor"/>
          <w:rtl w:val="true"/>
        </w:rPr>
        <w:footnoteReference w:id="2191"/>
      </w:r>
      <w:r>
        <w:rPr>
          <w:rFonts w:ascii="IRNazanin" w:hAnsi="IRNazanin" w:eastAsia="IRNazanin"/>
          <w:color w:val="111111"/>
          <w:sz w:val="28"/>
          <w:sz w:val="28"/>
          <w:szCs w:val="28"/>
          <w:rtl w:val="true"/>
          <w:lang w:bidi="fa-IR"/>
        </w:rPr>
        <w:t>و جامع المدارک</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عندهم إطلاق الآیة</w:t>
      </w:r>
      <w:r>
        <w:rPr>
          <w:rStyle w:val="FootnoteAnchor"/>
          <w:rtl w:val="true"/>
        </w:rPr>
        <w:footnoteReference w:id="2193"/>
      </w:r>
      <w:r>
        <w:rPr>
          <w:rFonts w:ascii="IRNazanin" w:hAnsi="IRNazanin" w:eastAsia="IRNazanin"/>
          <w:color w:val="111111"/>
          <w:sz w:val="28"/>
          <w:sz w:val="28"/>
          <w:szCs w:val="28"/>
          <w:rtl w:val="true"/>
          <w:lang w:bidi="fa-IR"/>
        </w:rPr>
        <w:t>، و النصوص</w:t>
      </w:r>
      <w:r>
        <w:rPr>
          <w:rStyle w:val="FootnoteAnchor"/>
          <w:rtl w:val="true"/>
        </w:rPr>
        <w:footnoteReference w:id="2194"/>
      </w:r>
      <w:r>
        <w:rPr>
          <w:rFonts w:ascii="IRNazanin" w:hAnsi="IRNazanin" w:eastAsia="IRNazanin"/>
          <w:color w:val="111111"/>
          <w:sz w:val="28"/>
          <w:sz w:val="28"/>
          <w:szCs w:val="28"/>
          <w:rtl w:val="true"/>
          <w:lang w:bidi="fa-IR"/>
        </w:rPr>
        <w:t>الدالّة علی اعتبار الاستطاعة فی حجّة الإسلام الشامل لمن کان صبیّا فبلغ قبل المشعر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الاستطاعة إنّما تکون شرطا حال الوجوب لا قبله، و لا دلیل علی اعتبارها قبله، و الشاهد علی ذلک أنّه لو ذهب الفقیر المعسر إلی المیقات متسکّعا و عند بلوغه إلی المیقات صار مستطیعا کموت مورّثه و انتقال أمواله إلیه، أو ببذل باذل له، فأحرم من المیقات لا ینبغی الإشکال فی کون حجّه حجّة الإسلام، کما فی مصباح الهدی</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bookmarkStart w:id="855" w:name="pg11756_104226"/>
    </w:p>
    <w:p>
      <w:pPr>
        <w:pStyle w:val="Heading6"/>
        <w:numPr>
          <w:ilvl w:val="5"/>
          <w:numId w:val="1"/>
        </w:numPr>
        <w:rPr/>
      </w:pPr>
      <w:bookmarkStart w:id="856" w:name="__RefHeading___Toc9644053_73709187"/>
      <w:bookmarkStart w:id="857" w:name="_Toc321"/>
      <w:bookmarkEnd w:id="855"/>
      <w:bookmarkEnd w:id="856"/>
      <w:r>
        <w:rPr>
          <w:rtl w:val="true"/>
        </w:rPr>
        <w:t>اشتراط الاستطاعة من المیقات</w:t>
      </w:r>
      <w:bookmarkEnd w:id="857"/>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جمع من أعلام المعاصرین من اعتبار الاستطاعة من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الاستطاعة السّابقة فالظاهر اعتبارها أیضا لکن من المیقات، و ذلک لاعتبارها فی وجوب حجّة الإسلام و أنّ الإجزاء عنهما متوقّف علی وجوبها</w:t>
      </w:r>
      <w:r>
        <w:rPr>
          <w:rFonts w:eastAsia="IRNazanin" w:cs="IRNazanin"/>
          <w:color w:val="111111"/>
          <w:sz w:val="28"/>
          <w:szCs w:val="28"/>
          <w:rtl w:val="true"/>
          <w:lang w:bidi="fa-IR"/>
        </w:rPr>
        <w:t>»</w:t>
      </w:r>
      <w:r>
        <w:rPr>
          <w:rStyle w:val="FootnoteAnchor"/>
          <w:rtl w:val="true"/>
        </w:rPr>
        <w:footnoteReference w:id="2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طیّ الطریق إلی المیقات لیس داخلا فی الحجّ، لا شرطا و لا شطرا، و إنّما هو مقدّمة وجودیّة لا أثر لاقترانها بالاستطاعة و عدم اقترانها بها، فیکفی تحقّقها من أوّل الأعمال کما لا یخفی</w:t>
      </w:r>
      <w:r>
        <w:rPr>
          <w:rFonts w:eastAsia="IRNazanin" w:cs="IRNazanin"/>
          <w:color w:val="111111"/>
          <w:sz w:val="28"/>
          <w:szCs w:val="28"/>
          <w:rtl w:val="true"/>
          <w:lang w:bidi="fa-IR"/>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8" w:name="__RefHeading___Toc9644055_73709187"/>
      <w:bookmarkStart w:id="859" w:name="_Toc322"/>
      <w:bookmarkEnd w:id="858"/>
      <w:r>
        <w:rPr>
          <w:rtl w:val="true"/>
        </w:rPr>
        <w:t>اشتراط الاستطاعة من حین البلوغ</w:t>
      </w:r>
      <w:bookmarkEnd w:id="859"/>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الإجزاء الاستطاعة من حین البلوغ، 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مراد المطلق ذلک بمعنی أنّ حصول ذلک الشرط فی الأثناء کاف بالنسبة إلیه</w:t>
      </w:r>
      <w:r>
        <w:rPr>
          <w:rFonts w:eastAsia="IRNazanin" w:cs="IRNazanin"/>
          <w:color w:val="111111"/>
          <w:sz w:val="28"/>
          <w:szCs w:val="28"/>
          <w:rtl w:val="true"/>
          <w:lang w:bidi="fa-IR"/>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قلنا باعتبار الاستطاعة فیکفی حصولها من المیقات، بل لا یبعد الاکتفاء بحصولها من حین التکلیف</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وجود باقی الشرائط مثل حصول الاستطاعة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بلده کما قیل</w:t>
      </w:r>
      <w:r>
        <w:rPr>
          <w:rFonts w:eastAsia="IRNazanin" w:cs="IRNazanin"/>
          <w:color w:val="111111"/>
          <w:sz w:val="28"/>
          <w:szCs w:val="28"/>
          <w:rtl w:val="true"/>
          <w:lang w:bidi="fa-IR"/>
        </w:rPr>
        <w:t>»</w:t>
      </w: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کشف اللّثام</w:t>
      </w:r>
      <w:r>
        <w:rPr>
          <w:rStyle w:val="FootnoteAnchor"/>
          <w:rtl w:val="true"/>
        </w:rPr>
        <w:footnoteReference w:id="2202"/>
      </w:r>
      <w:r>
        <w:rPr>
          <w:rFonts w:ascii="IRNazanin" w:hAnsi="IRNazanin" w:eastAsia="IRNazanin"/>
          <w:color w:val="111111"/>
          <w:sz w:val="28"/>
          <w:sz w:val="28"/>
          <w:szCs w:val="28"/>
          <w:rtl w:val="true"/>
          <w:lang w:bidi="fa-IR"/>
        </w:rPr>
        <w:t>و الحدائق</w:t>
      </w:r>
      <w:r>
        <w:rPr>
          <w:rStyle w:val="FootnoteAnchor"/>
          <w:rtl w:val="true"/>
        </w:rPr>
        <w:footnoteReference w:id="2203"/>
      </w:r>
      <w:r>
        <w:rPr>
          <w:rFonts w:ascii="IRNazanin" w:hAnsi="IRNazanin" w:eastAsia="IRNazanin"/>
          <w:color w:val="111111"/>
          <w:sz w:val="28"/>
          <w:sz w:val="28"/>
          <w:szCs w:val="28"/>
          <w:rtl w:val="true"/>
          <w:lang w:bidi="fa-IR"/>
        </w:rPr>
        <w:t>، و به قال کثیر من أعلامنا المعاصرین فی تعلیقاتهم علی العروة</w:t>
      </w:r>
      <w:r>
        <w:rPr>
          <w:rStyle w:val="FootnoteAnchor"/>
          <w:rtl w:val="true"/>
        </w:rPr>
        <w:footnoteReference w:id="2204"/>
      </w:r>
      <w:r>
        <w:rPr>
          <w:rFonts w:ascii="IRNazanin" w:hAnsi="IRNazanin" w:eastAsia="IRNazanin"/>
          <w:color w:val="111111"/>
          <w:sz w:val="28"/>
          <w:sz w:val="28"/>
          <w:szCs w:val="28"/>
          <w:rtl w:val="true"/>
          <w:lang w:bidi="fa-IR"/>
        </w:rPr>
        <w:t>، و کذا فی المستمسک</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المستند بإطلاق الآیة و النصوص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القول بالإجزاء ففی اشتراط استطاعته من البلد أو المیقات أو حین التکلیف أقوال، أظهرها الأخیر کما یظهر ممّا سنذکره فی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بیان شرط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تشترط فی إجزائه عنها استطاعته حین العتق أم 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ارید الاستطاعة البدنیّة بل المالیّة بقدر ما یحتاج إلیه من الزاد و الراحلة من الموقف إلی تمام الحجّ؛ لإطلاق الآیة</w:t>
      </w:r>
      <w:r>
        <w:rPr>
          <w:rStyle w:val="FootnoteAnchor"/>
          <w:rtl w:val="true"/>
        </w:rPr>
        <w:footnoteReference w:id="2206"/>
      </w:r>
      <w:r>
        <w:rPr>
          <w:rFonts w:ascii="IRNazanin" w:hAnsi="IRNazanin" w:eastAsia="IRNazanin"/>
          <w:color w:val="111111"/>
          <w:sz w:val="28"/>
          <w:sz w:val="28"/>
          <w:szCs w:val="28"/>
          <w:rtl w:val="true"/>
          <w:lang w:bidi="fa-IR"/>
        </w:rPr>
        <w:t>و النصوص، فلو لم یکن کذلک و أتمّ الحجّ بجهد لم یجز عن حجّة الإسلام</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القول الوسط، و هو اعتبار الاستطاعة من حین البلوغ و العتق؛ لما عرفت من أنّ الروایات غیر ناظرة إلی إلغاء جمیع الشرائط،</w:t>
      </w:r>
      <w:bookmarkStart w:id="860" w:name="pg11756_104228"/>
    </w:p>
    <w:p>
      <w:pPr>
        <w:pStyle w:val="BookText"/>
        <w:rPr/>
      </w:pPr>
      <w:bookmarkEnd w:id="860"/>
      <w:r>
        <w:rPr>
          <w:rFonts w:ascii="IRNazanin" w:hAnsi="IRNazanin" w:eastAsia="IRNazanin"/>
          <w:color w:val="111111"/>
          <w:sz w:val="28"/>
          <w:sz w:val="28"/>
          <w:szCs w:val="28"/>
          <w:rtl w:val="true"/>
          <w:lang w:bidi="fa-IR"/>
        </w:rPr>
        <w:t>فلا بدّ من الرجوع إلی الأدلّة الأوّلیّة المقتضیة لاعتبار الاستطاعة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هذه الاستطاعة إلاّ الاستطاعة و لو فی ساعة قبل إدراک المشعر، و لا مجال هنا لدعوی لزوم کون الاستطاعة متحقّقة من أوّل أعمال الحجّ بحیث لو کان یأتی بالحجّ بتمام أفعاله و أجزائه کان مع الاستطاعة، فالاستطاعة المعتبرة هی الاستطاعة عند وجوب الحجّ</w:t>
      </w:r>
      <w:r>
        <w:rPr>
          <w:rFonts w:eastAsia="IRNazanin" w:cs="IRNazanin"/>
          <w:color w:val="111111"/>
          <w:sz w:val="28"/>
          <w:szCs w:val="28"/>
          <w:rtl w:val="true"/>
          <w:lang w:bidi="fa-IR"/>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النصوص الواردة فی المقام أنّ حجّ الصّبیّ إلی زمان البلوغ محکوم بالصحّة، و أمّا بعد البلوغ فیرجع إلی الأدلّة الأوّلیّة المقتضیة لاعتبار الاستطاعة، فإلغاء شرطیّة الاستطاعة من الأصل لا دلیل علیه، کما أنّ الالتزام باعتبار الاستطاعة من أوّل الأمر لا شاهد علیه؛ لأن النصوص دلّت علی أنّ الأعمال السابقة و إن صدرت من غیر البالغ غیر قادحة فی صحّة الحجّ</w:t>
      </w:r>
      <w:r>
        <w:rPr>
          <w:rFonts w:eastAsia="IRNazanin" w:cs="IRNazanin"/>
          <w:color w:val="111111"/>
          <w:sz w:val="28"/>
          <w:szCs w:val="28"/>
          <w:rtl w:val="true"/>
          <w:lang w:bidi="fa-IR"/>
        </w:rPr>
        <w:t>.</w:t>
      </w:r>
    </w:p>
    <w:p>
      <w:pPr>
        <w:pStyle w:val="Heading6"/>
        <w:numPr>
          <w:ilvl w:val="5"/>
          <w:numId w:val="1"/>
        </w:numPr>
        <w:rPr/>
      </w:pPr>
      <w:bookmarkStart w:id="861" w:name="__RefHeading___Toc9644057_73709187"/>
      <w:bookmarkStart w:id="862" w:name="_Toc323"/>
      <w:bookmarkEnd w:id="861"/>
      <w:r>
        <w:rPr>
          <w:rtl w:val="true"/>
        </w:rPr>
        <w:t>ج</w:t>
      </w:r>
      <w:r>
        <w:rPr>
          <w:rtl w:val="true"/>
        </w:rPr>
        <w:t xml:space="preserve">: </w:t>
      </w:r>
      <w:r>
        <w:rPr>
          <w:rtl w:val="true"/>
        </w:rPr>
        <w:t>عدم اختصاص الإجزاء بحجّ القران و الإفراد</w:t>
      </w:r>
      <w:bookmarkEnd w:id="86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تقدیر الإجزاء، هل یختصّ الحکم بحجّ الإفراد و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عمرة هذین الحجّین متأخّرة فیأتی الصبیّ بها بعد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حجّ التمتّع فیلاحظ تقدّم عمرته علی حجّه و وقوعها مندوبة، فلا یجری حکم الإجزاء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علی الصبیّ أن یأتی بعد الحجّ بالعمرة المفردة أو المتمتّع بها فی عامه هذا أو السنة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 فیه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إطلاق کلمات الأصحاب و صریح بعضهم التعمیم،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قلنا إنّه یجزیهما عن حجّة الإسلام، فإن کانا متمتّعین یلزمهما الدم للتمتّع، و إن لم یکونا متمتّعین لم یلزمهما دم</w:t>
      </w:r>
      <w:r>
        <w:rPr>
          <w:rFonts w:eastAsia="IRNazanin" w:cs="IRNazanin"/>
          <w:color w:val="111111"/>
          <w:sz w:val="28"/>
          <w:szCs w:val="28"/>
          <w:rtl w:val="true"/>
          <w:lang w:bidi="fa-IR"/>
        </w:rPr>
        <w:t>»</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اعتق قبل الوقوف أجزأ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الدم لو کان متمتّعا، و کذا الصبیّ لو 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یعتدّ بالعمرة المتقدّمة لو کان الحجّ تمتّعا فی ظاهر الفتوی</w:t>
      </w:r>
      <w:r>
        <w:rPr>
          <w:rFonts w:eastAsia="IRNazanin" w:cs="IRNazanin"/>
          <w:color w:val="111111"/>
          <w:sz w:val="28"/>
          <w:szCs w:val="28"/>
          <w:rtl w:val="true"/>
          <w:lang w:bidi="fa-IR"/>
        </w:rPr>
        <w:t>»</w:t>
      </w: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الجواهر</w:t>
      </w:r>
      <w:r>
        <w:rPr>
          <w:rStyle w:val="FootnoteAnchor"/>
          <w:rtl w:val="true"/>
        </w:rPr>
        <w:footnoteReference w:id="2213"/>
      </w:r>
      <w:r>
        <w:rPr>
          <w:rFonts w:ascii="IRNazanin" w:hAnsi="IRNazanin" w:eastAsia="IRNazanin"/>
          <w:color w:val="111111"/>
          <w:sz w:val="28"/>
          <w:sz w:val="28"/>
          <w:szCs w:val="28"/>
          <w:rtl w:val="true"/>
          <w:lang w:bidi="fa-IR"/>
        </w:rPr>
        <w:t>، و به قال کثیر من أعلام العصر</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وجّهه فی المسالک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مطلقة، و کذلک الإجماع المنقول، فینبغی استصحابهما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الفتوی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لإطلاق معقد الإجماع علی الأجزاء الشامل لما إذا کان فریضة التمتّع، و کان البلوغ بعد تمام العمرة</w:t>
      </w:r>
      <w:r>
        <w:rPr>
          <w:rFonts w:eastAsia="IRNazanin" w:cs="IRNazanin"/>
          <w:color w:val="111111"/>
          <w:sz w:val="28"/>
          <w:szCs w:val="28"/>
          <w:rtl w:val="true"/>
          <w:lang w:bidi="fa-IR"/>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الاجماع غیر ثابت مع ذهاب بعضهم إلی خلافه و عدم تعرّض بعضهم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یدلّ علیه إطلاق النصوص، فإنّها شاملة لجمیع أقسام الحجّ، و لا مقتضی للتقیید بحجّ الإفراد و القران، کما فی العروة</w:t>
      </w:r>
      <w:r>
        <w:rPr>
          <w:rStyle w:val="FootnoteAnchor"/>
          <w:rtl w:val="true"/>
        </w:rPr>
        <w:footnoteReference w:id="2217"/>
      </w:r>
      <w:r>
        <w:rPr>
          <w:rFonts w:ascii="IRNazanin" w:hAnsi="IRNazanin" w:eastAsia="IRNazanin"/>
          <w:color w:val="111111"/>
          <w:sz w:val="28"/>
          <w:sz w:val="28"/>
          <w:szCs w:val="28"/>
          <w:rtl w:val="true"/>
          <w:lang w:bidi="fa-IR"/>
        </w:rPr>
        <w:t>و تفصیل الشریعة</w:t>
      </w:r>
      <w:r>
        <w:rPr>
          <w:rStyle w:val="FootnoteAnchor"/>
          <w:rtl w:val="true"/>
        </w:rPr>
        <w:footnoteReference w:id="2218"/>
      </w:r>
      <w:r>
        <w:rPr>
          <w:rFonts w:ascii="IRNazanin" w:hAnsi="IRNazanin" w:eastAsia="IRNazanin"/>
          <w:color w:val="111111"/>
          <w:sz w:val="28"/>
          <w:sz w:val="28"/>
          <w:szCs w:val="28"/>
          <w:rtl w:val="true"/>
          <w:lang w:bidi="fa-IR"/>
        </w:rPr>
        <w:t>و غیرهما</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بالقران و الإفراد، حکاه فی المسالک</w:t>
      </w:r>
      <w:r>
        <w:rPr>
          <w:rStyle w:val="FootnoteAnchor"/>
          <w:rtl w:val="true"/>
        </w:rPr>
        <w:footnoteReference w:id="2220"/>
      </w:r>
      <w:r>
        <w:rPr>
          <w:rFonts w:ascii="IRNazanin" w:hAnsi="IRNazanin" w:eastAsia="IRNazanin"/>
          <w:color w:val="111111"/>
          <w:sz w:val="28"/>
          <w:sz w:val="28"/>
          <w:szCs w:val="28"/>
          <w:rtl w:val="true"/>
          <w:lang w:bidi="fa-IR"/>
        </w:rPr>
        <w:t>عن إیضاح تردّدات الشرائع</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قصرا</w:t>
      </w:r>
      <w:r>
        <w:rPr>
          <w:rStyle w:val="FootnoteAnchor"/>
          <w:rtl w:val="true"/>
        </w:rPr>
        <w:footnoteReference w:id="2222"/>
      </w:r>
      <w:r>
        <w:rPr>
          <w:rFonts w:ascii="IRNazanin" w:hAnsi="IRNazanin" w:eastAsia="IRNazanin"/>
          <w:color w:val="111111"/>
          <w:sz w:val="28"/>
          <w:sz w:val="28"/>
          <w:szCs w:val="28"/>
          <w:rtl w:val="true"/>
          <w:lang w:bidi="fa-IR"/>
        </w:rPr>
        <w:t>لما خالف الأصل علی موضع الوفاق إن تمّ، و إلاّ اتّجه عدم الإجزاء مطلقا</w:t>
      </w:r>
      <w:r>
        <w:rPr>
          <w:rFonts w:eastAsia="IRNazanin" w:cs="IRNazanin"/>
          <w:color w:val="111111"/>
          <w:sz w:val="28"/>
          <w:szCs w:val="28"/>
          <w:rtl w:val="true"/>
          <w:lang w:bidi="fa-IR"/>
        </w:rPr>
        <w:t>»</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استحسنه فی الذخیرة</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بالإجزاء فالحکم مشکل؛ لعدم النصّ فیه</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 ردّا علی القول بالتعمیم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یساعده الدلیل و لم یکن علیه إجماع، فإن أدرک أحد الاختیارین بعد صحّة الحجّ و العمرة فعل آخر مفصول منه وقعت بتمامها فی الصغر أو الجنون، کعمرة أوقعها فی عام آخر، فلا جهة للاکتفاء بها، و لذا قیل بالعدم، فیکون کمن عدل اضطرارا إلی الإفراد، فإذا تمّ المناسک أتی بعمرة مفردة فی عامه ذلک أو بعده، و من القریب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یأتی إذا أتمّها بعمرة اخری للتمتّع فی ذلک العام إن کانت أشهر الحجّ باقیة، و یسقط الترتیب بین عمرة التمتّع و حجّه للضرورة، و إن لم یبق أشهر الحجّ أتی بالعمرة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فرضه الإفراد أو التمتّع و کان الّذی أتی به الإفراد، فالأمر واضح و یأتی بعد الإتمام بعمرة مفردة</w:t>
      </w:r>
      <w:r>
        <w:rPr>
          <w:rFonts w:eastAsia="IRNazanin" w:cs="IRNazanin"/>
          <w:color w:val="111111"/>
          <w:sz w:val="28"/>
          <w:szCs w:val="28"/>
          <w:rtl w:val="true"/>
          <w:lang w:bidi="fa-IR"/>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الحجّ 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واحد</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المستمسک</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إشارة إلی ما رواه فی التهذیب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شبّک أصابعه بعضها إلی بعض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فی الحجّ إلی یوم القیامة؛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w:t>
      </w:r>
      <w:r>
        <w:rPr>
          <w:rStyle w:val="FootnoteAnchor"/>
          <w:rtl w:val="true"/>
        </w:rPr>
        <w:footnoteReference w:id="2230"/>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لذلک لا یجوز للحاجّ الخروج من مکّة بین العمرة و الحجّ</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التردید فی أنّ المستفاد من أدلّة الإجزاء بحسب ما هو المتفاهم منها هو کفایة العمرة الواقعة فی حال الصغر أو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کون حجّ التمتّع و عمرته فعلا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الالتزام بشمول أدلّة الإجزاء لحجّ التمتّع لا یکون مفادها إلاّ ذلک</w:t>
      </w:r>
      <w:r>
        <w:rPr>
          <w:rFonts w:eastAsia="IRNazanin" w:cs="IRNazanin"/>
          <w:color w:val="111111"/>
          <w:sz w:val="28"/>
          <w:szCs w:val="28"/>
          <w:rtl w:val="true"/>
          <w:lang w:bidi="fa-IR"/>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bookmarkStart w:id="863" w:name="pg11756_104232"/>
    </w:p>
    <w:p>
      <w:pPr>
        <w:pStyle w:val="BookText"/>
        <w:rPr/>
      </w:pPr>
      <w:bookmarkEnd w:id="863"/>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شمول الإطلاقات الواردة لحجّ التمتّع، فالقول باختصاص الحکم بحجّ القران و الإفراد بلحاظ تأخّر عمرتهما اجتهاد فی مقابل النصّ</w:t>
      </w:r>
      <w:r>
        <w:rPr>
          <w:rFonts w:eastAsia="IRNazanin" w:cs="IRNazanin"/>
          <w:color w:val="111111"/>
          <w:sz w:val="28"/>
          <w:szCs w:val="28"/>
          <w:rtl w:val="true"/>
          <w:lang w:bidi="fa-IR"/>
        </w:rPr>
        <w:t>.</w:t>
      </w:r>
    </w:p>
    <w:p>
      <w:pPr>
        <w:pStyle w:val="Heading6"/>
        <w:numPr>
          <w:ilvl w:val="5"/>
          <w:numId w:val="1"/>
        </w:numPr>
        <w:rPr/>
      </w:pPr>
      <w:bookmarkStart w:id="864" w:name="__RefHeading___Toc9644059_73709187"/>
      <w:bookmarkStart w:id="865" w:name="_Toc324"/>
      <w:bookmarkEnd w:id="864"/>
      <w:r>
        <w:rPr>
          <w:rtl w:val="true"/>
        </w:rPr>
        <w:t>اشتراط الإجزاء بإدراک خصوص المشعر</w:t>
      </w:r>
      <w:bookmarkEnd w:id="865"/>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نصوص</w:t>
      </w:r>
      <w:r>
        <w:rPr>
          <w:rStyle w:val="FootnoteAnchor"/>
          <w:rtl w:val="true"/>
        </w:rPr>
        <w:footnoteReference w:id="2233"/>
      </w:r>
      <w:r>
        <w:rPr>
          <w:rFonts w:ascii="IRNazanin" w:hAnsi="IRNazanin" w:eastAsia="IRNazanin"/>
          <w:color w:val="111111"/>
          <w:sz w:val="28"/>
          <w:sz w:val="28"/>
          <w:szCs w:val="28"/>
          <w:rtl w:val="true"/>
          <w:lang w:bidi="fa-IR"/>
        </w:rPr>
        <w:t>العبد و معقد إجماع التذکرة</w:t>
      </w:r>
      <w:r>
        <w:rPr>
          <w:rStyle w:val="FootnoteAnchor"/>
          <w:rtl w:val="true"/>
        </w:rPr>
        <w:footnoteReference w:id="2234"/>
      </w:r>
      <w:r>
        <w:rPr>
          <w:rFonts w:ascii="IRNazanin" w:hAnsi="IRNazanin" w:eastAsia="IRNazanin"/>
          <w:color w:val="111111"/>
          <w:sz w:val="28"/>
          <w:sz w:val="28"/>
          <w:szCs w:val="28"/>
          <w:rtl w:val="true"/>
          <w:lang w:bidi="fa-IR"/>
        </w:rPr>
        <w:t xml:space="preserve">و جملة من العبائر الاکتفاء فی إدراک الحجّ بإدراک أحد الموقفین لا خصوص المشعر کما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العبارات؛ و لعلّه لأنّ إدراک المشعر متأخّر عن موقف عرفة، فالاجتزاء بأحدهما یقتضی أنّه الاقصی فی الإدراک، و لو فرض تمکّنه من موقف عرفة دون المشعر، فلا یبعد عدم الإجزاء؛ ضرورة ظهور النصّ و الفتوی فی أنّ کلّ واحد منهما مجز مع الإتیان بما بعده لا هو نفسه</w:t>
      </w:r>
      <w:r>
        <w:rPr>
          <w:rFonts w:eastAsia="IRNazanin" w:cs="IRNazanin"/>
          <w:color w:val="111111"/>
          <w:sz w:val="28"/>
          <w:szCs w:val="28"/>
          <w:rtl w:val="true"/>
          <w:lang w:bidi="fa-IR"/>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اعتبار إدراک الاختیاری من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اعتبار إدراک کلا الموقفین</w:t>
      </w:r>
      <w:r>
        <w:rPr>
          <w:rFonts w:eastAsia="IRNazanin" w:cs="IRNazanin"/>
          <w:color w:val="111111"/>
          <w:sz w:val="28"/>
          <w:szCs w:val="28"/>
          <w:rtl w:val="true"/>
          <w:lang w:bidi="fa-IR"/>
        </w:rPr>
        <w:t>»</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جماعة من أعلام العصر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وجّهه فی المستمسک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انصراف الدلیل إلی هذه الصورة بخصوصها؛ لأنّها الفرد الاختیاری الأوّلیّ</w:t>
      </w:r>
      <w:r>
        <w:rPr>
          <w:rFonts w:eastAsia="IRNazanin" w:cs="IRNazanin"/>
          <w:color w:val="111111"/>
          <w:sz w:val="28"/>
          <w:szCs w:val="28"/>
          <w:rtl w:val="true"/>
          <w:lang w:bidi="fa-IR"/>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من هذه الجهة لا یکون حکما جدیدا، بل حال الصبیّ من هذه الجهة حال غیره، سواء کان المستند هو إلغاء</w:t>
      </w:r>
      <w:bookmarkStart w:id="866" w:name="pg11756_104233"/>
    </w:p>
    <w:p>
      <w:pPr>
        <w:pStyle w:val="BookText"/>
        <w:rPr/>
      </w:pPr>
      <w:bookmarkEnd w:id="866"/>
      <w:r>
        <w:rPr>
          <w:rFonts w:ascii="IRNazanin" w:hAnsi="IRNazanin" w:eastAsia="IRNazanin"/>
          <w:color w:val="111111"/>
          <w:sz w:val="28"/>
          <w:sz w:val="28"/>
          <w:szCs w:val="28"/>
          <w:rtl w:val="true"/>
          <w:lang w:bidi="fa-IR"/>
        </w:rPr>
        <w:t>الخصوصیّة من الروایات الواردة فی العبد، أو کان المستند هی الروایات الدّالة علی من أدرک المشعر فقد أدرک الحجّ علی ما عرفت، أمّا علی الثانی فواضح؛ لعدم ورودها فی خصوص الصبیّ و مثله، بل الحکم عام، فاللازم ملاحظة أنّ الموجب لإدراک الحجّ هو إدراک خصوص المشعر أو أنّ المناط هو إدراک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الأوّل فلأنّ الظاهر عدم کون الروایات الواردة فی العبد ناظرة إلی خصوصیّة للعبد من هذه الجهة، بل مفادها عدم اعتبار الحرّیّة فی تمام الأعمال و کفایة تحقّقها فی المقدار الّذی یوجب إدراک الحجّ</w:t>
      </w:r>
      <w:r>
        <w:rPr>
          <w:rFonts w:eastAsia="IRNazanin" w:cs="IRNazanin"/>
          <w:color w:val="111111"/>
          <w:sz w:val="28"/>
          <w:szCs w:val="28"/>
          <w:rtl w:val="true"/>
          <w:lang w:bidi="fa-IR"/>
        </w:rPr>
        <w:t>»</w:t>
      </w:r>
      <w:r>
        <w:rPr>
          <w:rStyle w:val="FootnoteAnchor"/>
          <w:rtl w:val="true"/>
        </w:rPr>
        <w:footnoteReference w:id="2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المعتمد</w:t>
      </w:r>
      <w:r>
        <w:rPr>
          <w:rStyle w:val="FootnoteAnchor"/>
          <w:rtl w:val="true"/>
        </w:rPr>
        <w:footnoteReference w:id="2239"/>
      </w:r>
      <w:r>
        <w:rPr>
          <w:rFonts w:ascii="IRNazanin" w:hAnsi="IRNazanin" w:eastAsia="IRNazanin"/>
          <w:color w:val="111111"/>
          <w:sz w:val="28"/>
          <w:sz w:val="28"/>
          <w:szCs w:val="28"/>
          <w:rtl w:val="true"/>
          <w:lang w:bidi="fa-IR"/>
        </w:rPr>
        <w:t>، و قریب من هذا فی مصباح الهدی</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7" w:name="__RefHeading___Toc9644061_73709187"/>
      <w:bookmarkStart w:id="868" w:name="_Toc325"/>
      <w:bookmarkEnd w:id="867"/>
      <w:r>
        <w:rPr>
          <w:rtl w:val="true"/>
        </w:rPr>
        <w:t>عدم الإجزاء إن أدرک الاضطراری من المشعر</w:t>
      </w:r>
      <w:bookmarkEnd w:id="868"/>
    </w:p>
    <w:p>
      <w:pPr>
        <w:pStyle w:val="BookText"/>
        <w:rPr/>
      </w:pPr>
      <w:r>
        <w:rPr>
          <w:rFonts w:ascii="IRNazanin" w:hAnsi="IRNazanin" w:eastAsia="IRNazanin"/>
          <w:color w:val="111111"/>
          <w:sz w:val="28"/>
          <w:sz w:val="28"/>
          <w:szCs w:val="28"/>
          <w:rtl w:val="true"/>
          <w:lang w:bidi="fa-IR"/>
        </w:rPr>
        <w:t>ظاهر کلام الأصحاب من إطلاق الوقوف هو اختیاری الوقوف بالمشعر، بل صرّح بعضهم بأنّه إن بلغ بعد طلوع الفجر من یوم النحر کان الحجّ تطوّعا، و لا یجزیه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فوات وقت الوقوف، مثل أن یکملا بعد طلوع الفجر من یوم النحر مضیا علی الإحرام، و کان الحجّ تطوّعا و لا یجزئ عن حجّة الإسلام</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کان، فالمنساق من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اعتبار إدراک اختیاری المشعر، فلا یجزیه اضطراریّه و إن وجب علیهما ما أمکنهما من</w:t>
      </w:r>
    </w:p>
    <w:p>
      <w:pPr>
        <w:pStyle w:val="BookText"/>
        <w:rPr/>
      </w:pPr>
      <w:r>
        <w:rPr>
          <w:rFonts w:ascii="IRNazanin" w:hAnsi="IRNazanin" w:eastAsia="IRNazanin"/>
          <w:color w:val="111111"/>
          <w:sz w:val="28"/>
          <w:sz w:val="28"/>
          <w:szCs w:val="28"/>
          <w:rtl w:val="true"/>
          <w:lang w:bidi="fa-IR"/>
        </w:rPr>
        <w:t>اضطراری عرفة</w:t>
      </w:r>
      <w:r>
        <w:rPr>
          <w:rFonts w:eastAsia="IRNazanin" w:cs="IRNazanin"/>
          <w:color w:val="111111"/>
          <w:sz w:val="28"/>
          <w:szCs w:val="28"/>
          <w:rtl w:val="true"/>
          <w:lang w:bidi="fa-IR"/>
        </w:rPr>
        <w:t>»</w:t>
      </w:r>
      <w:r>
        <w:rPr>
          <w:rStyle w:val="FootnoteAnchor"/>
          <w:rtl w:val="true"/>
        </w:rPr>
        <w:footnoteReference w:id="2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اللّثام</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الأحوط اعتبار إدراک الاختیاری من المشعر فلا یکفی إدراک الاضطراری منه</w:t>
      </w:r>
      <w:r>
        <w:rPr>
          <w:rFonts w:eastAsia="IRNazanin" w:cs="IRNazanin"/>
          <w:color w:val="111111"/>
          <w:sz w:val="28"/>
          <w:szCs w:val="28"/>
          <w:rtl w:val="true"/>
          <w:lang w:bidi="fa-IR"/>
        </w:rPr>
        <w:t>»</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للاقتصار علی القدر المتیقّن فیما خالف الأصل، کما فی الجواهر</w:t>
      </w:r>
      <w:r>
        <w:rPr>
          <w:rStyle w:val="FootnoteAnchor"/>
          <w:rtl w:val="true"/>
        </w:rPr>
        <w:footnoteReference w:id="2245"/>
      </w:r>
      <w:r>
        <w:rPr>
          <w:rFonts w:ascii="IRNazanin" w:hAnsi="IRNazanin" w:eastAsia="IRNazanin"/>
          <w:color w:val="111111"/>
          <w:sz w:val="28"/>
          <w:sz w:val="28"/>
          <w:szCs w:val="28"/>
          <w:rtl w:val="true"/>
          <w:lang w:bidi="fa-IR"/>
        </w:rPr>
        <w:t>و مهذّب الأحکام</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احتمال انصراف النصوص عن الاضطراری إلی الاختیاری المجعول الأوّلی، فإنّه بدوی، کما فی المستمسک</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بعد الوقوف بالمشعر قبل مضیّ وقته، فإن عاد أجزأ عنه، و إن لم یعد لم یجزئ عن حجّة الإسلام</w:t>
      </w:r>
      <w:r>
        <w:rPr>
          <w:rFonts w:eastAsia="IRNazanin" w:cs="IRNazanin"/>
          <w:color w:val="111111"/>
          <w:sz w:val="28"/>
          <w:szCs w:val="28"/>
          <w:rtl w:val="true"/>
          <w:lang w:bidi="fa-IR"/>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الکمال بعد مفارقته لکن أمکنه الرجوع إلیه و أدرک اضطراریّه بنیّة الوجوب أمکن الإجزاء أیضا مع فعله</w:t>
      </w:r>
      <w:r>
        <w:rPr>
          <w:rFonts w:eastAsia="IRNazanin" w:cs="IRNazanin"/>
          <w:color w:val="111111"/>
          <w:sz w:val="28"/>
          <w:szCs w:val="28"/>
          <w:rtl w:val="true"/>
          <w:lang w:bidi="fa-IR"/>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للجمود علی الإطلاق حیث یقتضی الاکتفاء بالاضطراری أیضا؛ لأنّ إدراک اضطراری المشعر إدراک لأحد الموقفین، و لذلک جعله فی العروة أحوط</w:t>
      </w:r>
      <w:r>
        <w:rPr>
          <w:rStyle w:val="FootnoteAnchor"/>
          <w:rtl w:val="true"/>
        </w:rPr>
        <w:footnoteReference w:id="2250"/>
      </w:r>
      <w:r>
        <w:rPr>
          <w:rFonts w:ascii="IRNazanin" w:hAnsi="IRNazanin" w:eastAsia="IRNazanin"/>
          <w:color w:val="111111"/>
          <w:sz w:val="28"/>
          <w:sz w:val="28"/>
          <w:szCs w:val="28"/>
          <w:rtl w:val="true"/>
          <w:lang w:bidi="fa-IR"/>
        </w:rPr>
        <w:t>، و نعم ما قال</w:t>
      </w:r>
      <w:r>
        <w:rPr>
          <w:rFonts w:eastAsia="IRNazanin" w:cs="IRNazanin"/>
          <w:color w:val="111111"/>
          <w:sz w:val="28"/>
          <w:szCs w:val="28"/>
          <w:rtl w:val="true"/>
          <w:lang w:bidi="fa-IR"/>
        </w:rPr>
        <w:t>.</w:t>
      </w:r>
      <w:bookmarkStart w:id="869" w:name="pg11756_104235"/>
    </w:p>
    <w:p>
      <w:pPr>
        <w:pStyle w:val="Heading4"/>
        <w:numPr>
          <w:ilvl w:val="3"/>
          <w:numId w:val="1"/>
        </w:numPr>
        <w:rPr/>
      </w:pPr>
      <w:bookmarkStart w:id="870" w:name="__RefHeading___Toc9644063_73709187"/>
      <w:bookmarkStart w:id="871" w:name="_Toc326"/>
      <w:bookmarkEnd w:id="869"/>
      <w:bookmarkEnd w:id="870"/>
      <w:r>
        <w:rPr>
          <w:rtl w:val="true"/>
        </w:rPr>
        <w:t>المسألة الثانیة</w:t>
      </w:r>
      <w:r>
        <w:rPr>
          <w:rtl w:val="true"/>
        </w:rPr>
        <w:t xml:space="preserve">: </w:t>
      </w:r>
      <w:r>
        <w:rPr>
          <w:rtl w:val="true"/>
        </w:rPr>
        <w:t>بلوغ الصبیّ بعد الوقوف فی عرفة</w:t>
      </w:r>
      <w:bookmarkEnd w:id="871"/>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البلوغ و العتق بعد 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الوقوف فی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فوات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المشعر، مثل أن کملا قبل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رجعا إلی عرفات و المشعر إن أمکنهما، و إن لم یمکنهما رجعا إلی المشعر و وقفا و قد أجزأهما، فإن لم یعودا إلیهما أو إلی أحدهما، فلا یجزیهما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الفرقة</w:t>
      </w:r>
      <w:r>
        <w:rPr>
          <w:rFonts w:eastAsia="IRNazanin" w:cs="IRNazanin"/>
          <w:color w:val="111111"/>
          <w:sz w:val="28"/>
          <w:szCs w:val="28"/>
          <w:rtl w:val="true"/>
          <w:lang w:bidi="fa-IR"/>
        </w:rPr>
        <w:t>»</w:t>
      </w: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علیه ما تقدّم فی الصورة الاولی فلا نعیده؛ إذ المفروض أنّه أدرک المشعر، فیدخل فی الأدلّة الّتی تدلّ علی أنّ من أدرک المشعر فقد أدرک الحجّ</w:t>
      </w:r>
      <w:r>
        <w:rPr>
          <w:rFonts w:eastAsia="IRNazanin" w:cs="IRNazanin"/>
          <w:color w:val="111111"/>
          <w:sz w:val="28"/>
          <w:szCs w:val="28"/>
          <w:rtl w:val="true"/>
          <w:lang w:bidi="fa-IR"/>
        </w:rPr>
        <w:t>.</w:t>
      </w:r>
    </w:p>
    <w:p>
      <w:pPr>
        <w:pStyle w:val="Heading4"/>
        <w:numPr>
          <w:ilvl w:val="3"/>
          <w:numId w:val="1"/>
        </w:numPr>
        <w:rPr/>
      </w:pPr>
      <w:bookmarkStart w:id="872" w:name="__RefHeading___Toc9644065_73709187"/>
      <w:bookmarkStart w:id="873" w:name="_Toc327"/>
      <w:bookmarkEnd w:id="872"/>
      <w:r>
        <w:rPr>
          <w:rtl w:val="true"/>
        </w:rPr>
        <w:t>المسألة الثالثة</w:t>
      </w:r>
      <w:r>
        <w:rPr>
          <w:rtl w:val="true"/>
        </w:rPr>
        <w:t xml:space="preserve">: </w:t>
      </w:r>
      <w:r>
        <w:rPr>
          <w:rtl w:val="true"/>
        </w:rPr>
        <w:t>بلوغ الصبیّ بعد المشعر</w:t>
      </w:r>
      <w:bookmarkEnd w:id="873"/>
    </w:p>
    <w:p>
      <w:pPr>
        <w:pStyle w:val="BookText"/>
        <w:rPr/>
      </w:pPr>
      <w:r>
        <w:rPr>
          <w:rFonts w:ascii="IRNazanin" w:hAnsi="IRNazanin" w:eastAsia="IRNazanin"/>
          <w:color w:val="111111"/>
          <w:sz w:val="28"/>
          <w:sz w:val="28"/>
          <w:szCs w:val="28"/>
          <w:rtl w:val="true"/>
          <w:lang w:bidi="fa-IR"/>
        </w:rPr>
        <w:t>لا خلاف بین الفقهاء فی أنّه لو بلغ الصبیّ بعد الوقوف بالمشعر الحرام فلا یجزیه عن حجّة الإسلام، و کان الحجّ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کملا بعد فوات وقت الوقوف، مثل أن یکملا بعد طلوع الفجر من یوم النحر مضیا علی الإحرام، و کان الحجّ تطوّعا، و لا یجزی عن حجّة الإسلام بلا خلاف</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حجّ الصبیّ أو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زوال العذر بعد الوقوف بالمشعر الحرام لم یجزئهما عن حجّة الإسلام، و هو قول العلماء</w:t>
      </w:r>
      <w:r>
        <w:rPr>
          <w:rFonts w:eastAsia="IRNazanin" w:cs="IRNazanin"/>
          <w:color w:val="111111"/>
          <w:sz w:val="28"/>
          <w:szCs w:val="28"/>
          <w:rtl w:val="true"/>
          <w:lang w:bidi="fa-IR"/>
        </w:rPr>
        <w:t>»</w:t>
      </w:r>
      <w:r>
        <w:rPr>
          <w:rStyle w:val="FootnoteAnchor"/>
          <w:rtl w:val="true"/>
        </w:rPr>
        <w:footnoteReference w:id="2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w:t>
      </w:r>
      <w:bookmarkStart w:id="874" w:name="pg11756_104236"/>
    </w:p>
    <w:p>
      <w:pPr>
        <w:pStyle w:val="BookText"/>
        <w:rPr/>
      </w:pPr>
      <w:bookmarkEnd w:id="874"/>
      <w:r>
        <w:rPr>
          <w:rFonts w:ascii="IRNazanin" w:hAnsi="IRNazanin" w:eastAsia="IRNazanin"/>
          <w:color w:val="111111"/>
          <w:sz w:val="28"/>
          <w:sz w:val="28"/>
          <w:szCs w:val="28"/>
          <w:rtl w:val="true"/>
          <w:lang w:bidi="fa-IR"/>
        </w:rPr>
        <w:t>التحریر</w:t>
      </w:r>
      <w:r>
        <w:rPr>
          <w:rStyle w:val="FootnoteAnchor"/>
          <w:rtl w:val="true"/>
        </w:rPr>
        <w:footnoteReference w:id="2255"/>
      </w:r>
      <w:r>
        <w:rPr>
          <w:rFonts w:ascii="IRNazanin" w:hAnsi="IRNazanin" w:eastAsia="IRNazanin"/>
          <w:color w:val="111111"/>
          <w:sz w:val="28"/>
          <w:sz w:val="28"/>
          <w:szCs w:val="28"/>
          <w:rtl w:val="true"/>
          <w:lang w:bidi="fa-IR"/>
        </w:rPr>
        <w:t>و المدارک</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أن الأصل عدم إجزاء المندوب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الإجزاء فی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معظم العبادة وقع فی النقصان، کما فی التذکرة</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یکون دلیلا إن لم یکن الحجّ حقیقة واحدة، و أنّ ما یصدر من الصبیّ الممیّز غیر ما هو صادر عن البالغ، فلا یجزی أحدهما عن الآخر، و إلاّ فغیر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و الاستبصار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مملوک اعتق 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2258"/>
      </w:r>
      <w:r>
        <w:rPr>
          <w:rFonts w:ascii="IRNazanin" w:hAnsi="IRNazanin" w:eastAsia="IRNazanin"/>
          <w:color w:val="111111"/>
          <w:sz w:val="28"/>
          <w:sz w:val="28"/>
          <w:szCs w:val="28"/>
          <w:rtl w:val="true"/>
          <w:lang w:bidi="fa-IR"/>
        </w:rPr>
        <w:t>، فإنّه دلّ بمفهومه علی عدم إدراکه للحجّ إذا لم یدرکهما معتقا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فی الکافی عن شهاب</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النصوص الواردة فی العبد دلّت علی الصحّة لا الإجزاء</w:t>
      </w:r>
      <w:r>
        <w:rPr>
          <w:rFonts w:eastAsia="IRNazanin" w:cs="IRNazanin"/>
          <w:color w:val="111111"/>
          <w:sz w:val="28"/>
          <w:szCs w:val="28"/>
          <w:rtl w:val="true"/>
          <w:lang w:bidi="fa-IR"/>
        </w:rPr>
        <w:t>.</w:t>
      </w:r>
    </w:p>
    <w:p>
      <w:pPr>
        <w:pStyle w:val="Heading4"/>
        <w:numPr>
          <w:ilvl w:val="3"/>
          <w:numId w:val="1"/>
        </w:numPr>
        <w:rPr/>
      </w:pPr>
      <w:bookmarkStart w:id="875" w:name="__RefHeading___Toc9644067_73709187"/>
      <w:bookmarkStart w:id="876" w:name="_Toc328"/>
      <w:bookmarkEnd w:id="875"/>
      <w:r>
        <w:rPr>
          <w:rtl w:val="true"/>
        </w:rPr>
        <w:t>المسألة الرابعة</w:t>
      </w:r>
      <w:r>
        <w:rPr>
          <w:rtl w:val="true"/>
        </w:rPr>
        <w:t xml:space="preserve">: </w:t>
      </w:r>
      <w:r>
        <w:rPr>
          <w:rtl w:val="true"/>
        </w:rPr>
        <w:t>بلوغ الصبیّ قبل أن یحرم من المیقات</w:t>
      </w:r>
      <w:bookmarkEnd w:id="87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الفقهاء أیضا فی أنّه إذا مشی الصبیّ إلی الحجّ، فبلغ قبل أن یحرم من المیقات و کان مستطیعا فحجّه حجّة الإسلام، کما فی العروة</w:t>
      </w:r>
      <w:r>
        <w:rPr>
          <w:rStyle w:val="FootnoteAnchor"/>
          <w:rtl w:val="true"/>
        </w:rPr>
        <w:footnoteReference w:id="2260"/>
      </w:r>
      <w:bookmarkStart w:id="877" w:name="pg11756_104237"/>
    </w:p>
    <w:p>
      <w:pPr>
        <w:pStyle w:val="BookText"/>
        <w:rPr/>
      </w:pPr>
      <w:bookmarkEnd w:id="877"/>
      <w:r>
        <w:rPr>
          <w:rFonts w:ascii="IRNazanin" w:hAnsi="IRNazanin" w:eastAsia="IRNazanin"/>
          <w:color w:val="111111"/>
          <w:sz w:val="28"/>
          <w:sz w:val="28"/>
          <w:szCs w:val="28"/>
          <w:rtl w:val="true"/>
          <w:lang w:bidi="fa-IR"/>
        </w:rPr>
        <w:t>و المستمسک</w:t>
      </w:r>
      <w:r>
        <w:rPr>
          <w:rStyle w:val="FootnoteAnchor"/>
          <w:rtl w:val="true"/>
        </w:rPr>
        <w:footnoteReference w:id="2261"/>
      </w:r>
      <w:r>
        <w:rPr>
          <w:rFonts w:ascii="IRNazanin" w:hAnsi="IRNazanin" w:eastAsia="IRNazanin"/>
          <w:color w:val="111111"/>
          <w:sz w:val="28"/>
          <w:sz w:val="28"/>
          <w:szCs w:val="28"/>
          <w:rtl w:val="true"/>
          <w:lang w:bidi="fa-IR"/>
        </w:rPr>
        <w:t>و المعتمد</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مستطیعا و لو من ذلک الموضع</w:t>
      </w:r>
      <w:r>
        <w:rPr>
          <w:rFonts w:eastAsia="IRNazanin" w:cs="IRNazanin"/>
          <w:color w:val="111111"/>
          <w:sz w:val="28"/>
          <w:szCs w:val="28"/>
          <w:rtl w:val="true"/>
          <w:lang w:bidi="fa-IR"/>
        </w:rPr>
        <w:t>»</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264"/>
      </w:r>
      <w:r>
        <w:rPr>
          <w:rFonts w:ascii="IRNazanin" w:hAnsi="IRNazanin" w:eastAsia="IRNazanin"/>
          <w:color w:val="111111"/>
          <w:sz w:val="28"/>
          <w:sz w:val="28"/>
          <w:szCs w:val="28"/>
          <w:rtl w:val="true"/>
          <w:lang w:bidi="fa-IR"/>
        </w:rPr>
        <w:t>، و غیرها</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عمومات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إتیان المقدّمات حال الصغر غیر ضائر فی احتساب الحجّ عن حجّة الإسلام؛ لفرض وقوع الحجّ بتمامه فی حال الکمال مع الاستطاعة، و طیّ الطریق حال الصغر مقدّمة لا دخل له فی أصل الحجّ کما هو ظاهر</w:t>
      </w:r>
      <w:r>
        <w:rPr>
          <w:rFonts w:eastAsia="IRNazanin" w:cs="IRNazanin"/>
          <w:color w:val="111111"/>
          <w:sz w:val="28"/>
          <w:szCs w:val="28"/>
          <w:rtl w:val="true"/>
          <w:lang w:bidi="fa-IR"/>
        </w:rPr>
        <w:t>.</w:t>
      </w:r>
    </w:p>
    <w:p>
      <w:pPr>
        <w:pStyle w:val="Heading4"/>
        <w:numPr>
          <w:ilvl w:val="3"/>
          <w:numId w:val="1"/>
        </w:numPr>
        <w:rPr/>
      </w:pPr>
      <w:bookmarkStart w:id="878" w:name="__RefHeading___Toc9644069_73709187"/>
      <w:bookmarkStart w:id="879" w:name="_Toc329"/>
      <w:bookmarkEnd w:id="878"/>
      <w:r>
        <w:rPr>
          <w:rtl w:val="true"/>
        </w:rPr>
        <w:t>المسألة الخامسة</w:t>
      </w:r>
      <w:r>
        <w:rPr>
          <w:rtl w:val="true"/>
        </w:rPr>
        <w:t xml:space="preserve">: </w:t>
      </w:r>
      <w:r>
        <w:rPr>
          <w:rtl w:val="true"/>
        </w:rPr>
        <w:t>بلوغ الصبیّ بعد الإحرام و قبل الأعمال</w:t>
      </w:r>
      <w:bookmarkEnd w:id="879"/>
    </w:p>
    <w:p>
      <w:pPr>
        <w:pStyle w:val="BookText"/>
        <w:rPr/>
      </w:pPr>
      <w:r>
        <w:rPr>
          <w:rFonts w:ascii="IRNazanin" w:hAnsi="IRNazanin" w:eastAsia="IRNazanin"/>
          <w:color w:val="111111"/>
          <w:sz w:val="28"/>
          <w:sz w:val="28"/>
          <w:szCs w:val="28"/>
          <w:rtl w:val="true"/>
          <w:lang w:bidi="fa-IR"/>
        </w:rPr>
        <w:t>ذکر السیّد الخوئی قدّس سرّه أنّه لو بلغ الصبیّ بعد الإحرام و قبل الشروع فی الأعمال، فهل یتمّ ذلک ندبا، أو حین البلوغ ینقلب إلی حجّة الإسلام فیعدل إلیها، أو یستأنف و یحرم ثانیا من المیقات؟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فالاکتفاء بالإحرام الأوّل بدعوی انقلاب حجّه إلی حجّة الإسلام لا دلیل علیه، و أمّا إتمامه ندبا فلا وجه له إلاّ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المحرم لیس له أن یحرم ثانیا، و هذا واضح الدفع، فإنّ الإحرام الأوّل ینکشف فساده بالبلوغ المتأخّر و الاستطاعة الطارئة، و لذا لو علم حال الإحرام بأنّه یبلغ بعد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یستطیع بعدهما، لیس له أن یحرم و هو صبیّ، فلا بدّ</w:t>
      </w:r>
      <w:bookmarkStart w:id="880" w:name="pg11756_104238"/>
    </w:p>
    <w:p>
      <w:pPr>
        <w:pStyle w:val="BookText"/>
        <w:rPr/>
      </w:pPr>
      <w:bookmarkEnd w:id="880"/>
      <w:r>
        <w:rPr>
          <w:rFonts w:ascii="IRNazanin" w:hAnsi="IRNazanin" w:eastAsia="IRNazanin"/>
          <w:color w:val="111111"/>
          <w:sz w:val="28"/>
          <w:sz w:val="28"/>
          <w:szCs w:val="28"/>
          <w:rtl w:val="true"/>
          <w:lang w:bidi="fa-IR"/>
        </w:rPr>
        <w:t>من إعادة الإحرام، و یرجع إلی المیقات و یحرم إحرام حجّة الإسلام</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تفصیل الشریعة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الفرع فرعا جدیدا لما وقع التعرّض له فیما تقدّم، و هو إذا بلغ الصبیّ و أدرک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المستفاد من إطلاق النصوص عدم الفرق بین حصول الحرّیّة قبل الشروع فی أعمال الحجّ و حصولها فی أثناء العمرة، و بین حصول الحرّیّة بعد العمرة و قبل الموقف بمدّة 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المیزان فی الاجتزاء کونه حرّا فی أحد الموقفین، سواء حصلت الحرّیّة فی أثناء العمرة أم بعدها قبل أحد الموقفین، فیکون حال الصبیّ أیضا کذلک؛ لأنّه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مستند الحکم بالإجزاء فی الصبیّ هی الروایات الدالّة علی أنّ من أدرک المشعر فقد أدرک الحجّ، فإنّ مقتضاها أنّ إدراک المشعر و إن کان مقرونا بفوات عرفات یوجب إدراک الحجّ، فالمیزان هو إدراک المشعر، و من المعلوم تحقّقه فی المقام</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9644071_73709187"/>
      <w:bookmarkStart w:id="882" w:name="_Toc330"/>
      <w:bookmarkEnd w:id="881"/>
      <w:r>
        <w:rPr>
          <w:rtl w:val="true"/>
        </w:rPr>
        <w:t xml:space="preserve">المسألة السادسة لو کان الصبیّ مستطیعا فی البلد و لکنّه غیر بالغ و یعلم بأنّه سیصیر بالغا قبل الإحرام و فی المدینة لتمامیّة سنّه المعتبر فی البلوغ فی ذلک الوقت، فهل یلزمه </w:t>
      </w:r>
      <w:r>
        <w:rPr>
          <w:rtl w:val="true"/>
        </w:rPr>
        <w:t xml:space="preserve">- </w:t>
      </w:r>
      <w:r>
        <w:rPr>
          <w:rtl w:val="true"/>
        </w:rPr>
        <w:t xml:space="preserve">و لو من ناحیة العقل </w:t>
      </w:r>
      <w:r>
        <w:rPr>
          <w:rtl w:val="true"/>
        </w:rPr>
        <w:t xml:space="preserve">- </w:t>
      </w:r>
      <w:r>
        <w:rPr>
          <w:rtl w:val="true"/>
        </w:rPr>
        <w:t>أن یسلک الطریق إلی المیقات للإحرام و یأتی بحجّة الإسلام</w:t>
      </w:r>
      <w:bookmarkEnd w:id="882"/>
    </w:p>
    <w:p>
      <w:pPr>
        <w:pStyle w:val="BookText"/>
        <w:rPr/>
      </w:pPr>
      <w:r>
        <w:rPr>
          <w:rFonts w:ascii="IRNazanin" w:hAnsi="IRNazanin" w:eastAsia="IRNazanin"/>
          <w:color w:val="111111"/>
          <w:sz w:val="28"/>
          <w:sz w:val="28"/>
          <w:szCs w:val="28"/>
          <w:rtl w:val="true"/>
          <w:lang w:bidi="fa-IR"/>
        </w:rPr>
        <w:t xml:space="preserve">لو کان الصبیّ مستطیعا فی البلد و لکنّه غیر بالغ و یعلم بأنّه سیصیر بالغا قبل الإحرام و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لتمامیّة سنّه المعتبر فی البلوغ فی ذلک الوقت، فهل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 ناحیة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یسلک الطریق إلی المیقات للإحرام و یأتی بحجّة الإسلام، أو أنّه لا یجب علیه الحجّ فی هذا العام، بل فی العام القابل؟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یتخیّل الثانی؛ لأنّه لا سبیل إلی إلزام الصبیّ بشیء، و لکنّ الظاهر</w:t>
      </w:r>
    </w:p>
    <w:p>
      <w:pPr>
        <w:pStyle w:val="BookText"/>
        <w:rPr/>
      </w:pPr>
      <w:r>
        <w:rPr>
          <w:rFonts w:ascii="IRNazanin" w:hAnsi="IRNazanin" w:eastAsia="IRNazanin"/>
          <w:color w:val="111111"/>
          <w:sz w:val="28"/>
          <w:sz w:val="28"/>
          <w:szCs w:val="28"/>
          <w:rtl w:val="true"/>
          <w:lang w:bidi="fa-IR"/>
        </w:rPr>
        <w:t>بطلان هذا التخیّل، فإنّ الإلزامات الشرعیّة و إن کانت مرفوعة عن الصبیّ بحدیث رفع القلم و نحوه، إلاّ أنّ الإلزامات العقلیّة لا مجال لدعوی عدم ثبوتها فی حق الصبیّ الممیّز، و طی الطریق یکون مشمولا لذلک، و علیه فإذا کانت الاستطاعة البلدیّة موجودة علی الفرض، و الصبیّ یعلم بارتفاع النقص قبل الشروع فی العمل، فما المانع من توجّه وجوب الحجّ إلیه؟ لا فعلا، بل عند البلوغ، و ما المسوّغ لترک الواجب فی حقّه؟ و عدم فعلیّة وجوب الحجّ فعلا لا یمنع عن تحقّق الإلزام العقلی بعد فرض اجتماع شرائط الوجوب قبل الإتیان بالواجب، نظیر المقدّمة الّتی یعلم المکلّف بعدم التمکّن منها فی ظرف فعلیّة التکلیف و تحقّق شرائطه و لکنّه متمکّن منها فعلا، فالظاهر أنّه محکوم من ناحیة العقل بطیّ الطریق للإتیان بالواجب فی وقته، کما فی تفصیل الشریعة</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الإلزامات العقلیّة توجب التکلیف علی الصبیّ، بمعنی أنّه إن لم یفعل یترتّب علیه العقاب، فیکون مخالفا لما ثبت من أنّ الصبیّ مرفوع عنه القلم، و أمّا إن لم یوجب التکلیف فلا إلزام علی الصبیّ من ناحیه العقل أیضا، مضافا إلی أنّ حکم العقل بإتیان المقدّمة یختصّ</w:t>
      </w:r>
      <w:r>
        <w:rPr>
          <w:rStyle w:val="FootnoteAnchor"/>
          <w:rtl w:val="true"/>
        </w:rPr>
        <w:footnoteReference w:id="2269"/>
      </w:r>
      <w:r>
        <w:rPr>
          <w:rFonts w:ascii="IRNazanin" w:hAnsi="IRNazanin" w:eastAsia="IRNazanin"/>
          <w:color w:val="111111"/>
          <w:sz w:val="28"/>
          <w:sz w:val="28"/>
          <w:szCs w:val="28"/>
          <w:rtl w:val="true"/>
          <w:lang w:bidi="fa-IR"/>
        </w:rPr>
        <w:t>بما إذا تنجّز التکلیف، و أنّ الغرض اللازم الإتیان به، و أمّا فی ما نحن فیه فحیث إنّ ذا</w:t>
      </w:r>
      <w:bookmarkStart w:id="883" w:name="pg11756_104240"/>
    </w:p>
    <w:p>
      <w:pPr>
        <w:pStyle w:val="BookText"/>
        <w:rPr/>
      </w:pPr>
      <w:bookmarkEnd w:id="883"/>
      <w:r>
        <w:rPr>
          <w:rFonts w:ascii="IRNazanin" w:hAnsi="IRNazanin" w:eastAsia="IRNazanin"/>
          <w:color w:val="111111"/>
          <w:sz w:val="28"/>
          <w:sz w:val="28"/>
          <w:szCs w:val="28"/>
          <w:rtl w:val="true"/>
          <w:lang w:bidi="fa-IR"/>
        </w:rPr>
        <w:t>المقدّمة لم یتنجّز علی الصبیّ، فلا یلزم علیه إتیان المقدّمة و طیّ الطریق إلی المیقات فی مفروض الکلام</w:t>
      </w:r>
      <w:r>
        <w:rPr>
          <w:rFonts w:eastAsia="IRNazanin" w:cs="IRNazanin"/>
          <w:color w:val="111111"/>
          <w:sz w:val="28"/>
          <w:szCs w:val="28"/>
          <w:rtl w:val="true"/>
          <w:lang w:bidi="fa-IR"/>
        </w:rPr>
        <w:t>.</w:t>
      </w:r>
    </w:p>
    <w:p>
      <w:pPr>
        <w:pStyle w:val="Heading4"/>
        <w:numPr>
          <w:ilvl w:val="3"/>
          <w:numId w:val="1"/>
        </w:numPr>
        <w:rPr/>
      </w:pPr>
      <w:bookmarkStart w:id="884" w:name="__RefHeading___Toc9644073_73709187"/>
      <w:bookmarkStart w:id="885" w:name="_Toc331"/>
      <w:bookmarkEnd w:id="884"/>
      <w:r>
        <w:rPr>
          <w:rtl w:val="true"/>
        </w:rPr>
        <w:t>فروع</w:t>
      </w:r>
      <w:bookmarkEnd w:id="885"/>
    </w:p>
    <w:p>
      <w:pPr>
        <w:pStyle w:val="Heading5"/>
        <w:numPr>
          <w:ilvl w:val="4"/>
          <w:numId w:val="1"/>
        </w:numPr>
        <w:rPr/>
      </w:pPr>
      <w:bookmarkStart w:id="886" w:name="__RefHeading___Toc9644075_73709187"/>
      <w:bookmarkStart w:id="887" w:name="_Toc332"/>
      <w:bookmarkEnd w:id="886"/>
      <w:r>
        <w:rPr>
          <w:rtl w:val="true"/>
        </w:rPr>
        <w:t>الفرع الأوّل إذا حجّ باعتقاد أنّه غیر بالغ ندبا فبان بعد الحجّ أنّه کان بالغا، فهل یجزی عن حجّة الإسلام أو لا؟</w:t>
      </w:r>
      <w:bookmarkEnd w:id="887"/>
    </w:p>
    <w:p>
      <w:pPr>
        <w:pStyle w:val="BookText"/>
        <w:rPr/>
      </w:pPr>
      <w:r>
        <w:rPr>
          <w:rFonts w:ascii="IRNazanin" w:hAnsi="IRNazanin" w:eastAsia="IRNazanin"/>
          <w:color w:val="111111"/>
          <w:sz w:val="28"/>
          <w:sz w:val="28"/>
          <w:szCs w:val="28"/>
          <w:rtl w:val="true"/>
          <w:lang w:bidi="fa-IR"/>
        </w:rPr>
        <w:t>إذا حجّ باعتقاد أنّه غیر بالغ ندبا فبان بعد الحجّ أنّه کان بالغا، فهل یجزی</w:t>
      </w:r>
      <w:r>
        <w:rPr>
          <w:rStyle w:val="FootnoteAnchor"/>
          <w:rtl w:val="true"/>
        </w:rPr>
        <w:footnoteReference w:id="2270"/>
      </w:r>
      <w:r>
        <w:rPr>
          <w:rFonts w:ascii="Amiri" w:hAnsi="Amiri" w:eastAsia="Amiri" w:cs="Amiri"/>
          <w:color w:val="111111"/>
          <w:sz w:val="28"/>
          <w:sz w:val="28"/>
          <w:szCs w:val="28"/>
          <w:rtl w:val="true"/>
          <w:lang w:bidi="ar-SA"/>
        </w:rPr>
        <w:t>عن حجّة الإسلام أو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بیان القولین نذکر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الصحّة فی هذه المسألة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حجّة الإسلام تخالف غیرها من أنواع الحجّ بالخصوصیّات الداخلیّة، نظیر الاختلاف بین صلاة الصبح و نافلة الصبح، فالحجّ مع فقد بعض الشرائط لیس حجّ الإسلام و لیس بواجب، و الحجّ مع الشرائط حجّ الإسلام، و هو واجب، فإذا حجّ بعد ما حجّ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حجّه غیر حجّة الإسلام، فالاختلاف بینهما بالخصوصیّات الداخلیّة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قصد الوجوب و الندب فی العبادة، فلا تصحّ مع عدم قصدهما و لا قصد أحدهما فی مقام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باختلاف حقیقة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باعتبار قصد الوجوب و الندب فی العبادة قال بعدم الإجزاء فی مفروض الکلام، کما أفتی به السیّدان البروجردی و الکلپایکانی فی تعلیقاتهما علی العروة</w:t>
      </w:r>
      <w:r>
        <w:rPr>
          <w:rStyle w:val="FootnoteAnchor"/>
          <w:rtl w:val="true"/>
        </w:rPr>
        <w:footnoteReference w:id="2271"/>
      </w:r>
      <w:r>
        <w:rPr>
          <w:rFonts w:ascii="IRNazanin" w:hAnsi="IRNazanin" w:eastAsia="IRNazanin"/>
          <w:color w:val="111111"/>
          <w:sz w:val="28"/>
          <w:sz w:val="28"/>
          <w:szCs w:val="28"/>
          <w:rtl w:val="true"/>
          <w:lang w:bidi="fa-IR"/>
        </w:rPr>
        <w:t>، و اختاره السیّد الخوئی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حجّة الإسلام مغایرة فی الحقیقة مع غیرها، فلا بدّ من سقوط أمرها من قصد عنوانها فی مقام الامتثال، فما لم یقصد عنوانها لا یصدق علی ما أتی به فی الخارج أنّه حجّة الإسلام، و مع عدم الصدق لا موجب لسقوط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یعتبر فی العناوین القصدیّة الّتی لا تمتاز إلاّ بالقصد قصد عنوان المأمور به، کالقصد إلی خصوص صلاة الظهر أو العصر أو القضاء أو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المقصود أحدهما و کان الواقع شیئا آخر لا یقع المأتی به عن شیء منهما؛ لأنّ الواقع لم یقصد، و ما هو مقصود لا واقع له، فإنّ المأتی به غیر ممیّز لیقع مصداقا لأحدهما، فالبطلان لأجل عدم القصد و عدم الممیّز، لا لأجل اعتبار قصد الوجه من الوجوب و الندب</w:t>
      </w:r>
      <w:r>
        <w:rPr>
          <w:rFonts w:eastAsia="IRNazanin" w:cs="IRNazanin"/>
          <w:color w:val="111111"/>
          <w:sz w:val="28"/>
          <w:szCs w:val="28"/>
          <w:rtl w:val="true"/>
          <w:lang w:bidi="fa-IR"/>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عن حجّة الإسلام علی الأقوی إلاّ إذا أمکن الاشتباه فی التطبیق</w:t>
      </w:r>
      <w:r>
        <w:rPr>
          <w:rFonts w:eastAsia="IRNazanin" w:cs="IRNazanin"/>
          <w:color w:val="111111"/>
          <w:sz w:val="28"/>
          <w:szCs w:val="28"/>
          <w:rtl w:val="true"/>
          <w:lang w:bidi="fa-IR"/>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أوضحه فی تفصیل الشریعة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الحقیقة و تکثیر الطبیعة لا محیص عن الإشکال و الحکم بالبطلان؛ لما ذکر من مغایرة ما قصده لما علیه من جهة الحقیقة، و لا مجال معها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فرض یمکن أن یتحقّق، و هو ما إذا أخطأ فی التطبیق، و نظیره فی مثال الصلاة أن تکون نیّته امتثال الأمر المتعلّق بما هو الواجب أوّلا بعد زوال الشمس، غایة الأمر أنّه یتخیّل أنّه معنون بعنوان صلاة العصر، فالمنوی و إن کان هذا العنوان، إلاّ أنّ النیّة کانت متعلّقة بالأصل بما هو الواجب أوّلا، فیکون الخطأ و الاشتباه فی التطبیق، بحیث لو کان یعلم بأنّ الواجب أوّلا هی صلاة الظهر لکان یقصدها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أن تکون نیّته امتثال الأمر المتعلّق بالحجّ المتوجّه إلیه بعنوان أنّه یأتی به أوّل مرّة مثلا، غایة الأمر أنّه یتخیل لأجل اعتقاد عدم البلوغ أو عدم الاستطاعة أنّه أمر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فالمنوی أوّلا و بالأصل هو الحجّ الّذی تکون وظیفته فی هذه السنة الإتیان به، و لأجل الاشتباه فی التطبیق تخیّل أنّه الحجّ الندبی، فنواه و قصده لأجل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هو تعدّد حقیقة الحجّ و اختلاف أنواعه، و علیه فالحکم فی الفرضین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الإجزاء، إلاّ فی صورة الخطأ و الاشتباه فی التطبیق</w:t>
      </w:r>
      <w:r>
        <w:rPr>
          <w:rFonts w:eastAsia="IRNazanin" w:cs="IRNazanin"/>
          <w:color w:val="111111"/>
          <w:sz w:val="28"/>
          <w:szCs w:val="28"/>
          <w:rtl w:val="true"/>
          <w:lang w:bidi="fa-IR"/>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قال بعدم اختلاف حقیقة الحجّ و عدم اعتبار قصد الوجوب و الندب فی العبادة قال بالإجزاء فی مفروض الکلام، کما فی العروة</w:t>
      </w:r>
      <w:r>
        <w:rPr>
          <w:rStyle w:val="FootnoteAnchor"/>
          <w:rtl w:val="true"/>
        </w:rPr>
        <w:footnoteReference w:id="2275"/>
      </w:r>
      <w:r>
        <w:rPr>
          <w:rFonts w:ascii="IRNazanin" w:hAnsi="IRNazanin" w:eastAsia="IRNazanin"/>
          <w:color w:val="111111"/>
          <w:sz w:val="28"/>
          <w:sz w:val="28"/>
          <w:szCs w:val="28"/>
          <w:rtl w:val="true"/>
          <w:lang w:bidi="fa-IR"/>
        </w:rPr>
        <w:t>، و اختاره السیّد الشاهرودی قدّس سرّه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عنوان الوجوب و الاستحباب و عنوان حجّة الإسلام من العناوین المنوّعة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قصد الحجّ الندبی و کان علیه حجّة الإسلام لا یجزی عنها؛ لکونه قاصدا لنوع مغایر للنوع الّذی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قصده للحجّ الندبی علی نحو التقیید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الحجّ ندبیّا فأنا أحجّ، و إلاّ فلا، فحینئذ لا یجزی ذلک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أتی به من الحجّ لا ینقص عن حجة الإسلام بشعرة، فالانطباق قهری و الإجزاء عقلی</w:t>
      </w:r>
      <w:r>
        <w:rPr>
          <w:rFonts w:eastAsia="IRNazanin" w:cs="IRNazanin"/>
          <w:color w:val="111111"/>
          <w:sz w:val="28"/>
          <w:szCs w:val="28"/>
          <w:rtl w:val="true"/>
          <w:lang w:bidi="fa-IR"/>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حقیقة حجة الإسلام مع الحجّ الندبی و هو خلاف مرتکزات المتشرّعة، و إطلاق الأدلّة بعد عدم دلیل علی التباین، و مجرّد الاختلاف فی بعض الآثار أعمّ من اختلاف الحقیقة و تباینها، خصوصا فی الشرعیّات المبنیّة علی تفریق المتّحد و جمع المتفرّق</w:t>
      </w:r>
      <w:r>
        <w:rPr>
          <w:rFonts w:eastAsia="IRNazanin" w:cs="IRNazanin"/>
          <w:color w:val="111111"/>
          <w:sz w:val="28"/>
          <w:szCs w:val="28"/>
          <w:rtl w:val="true"/>
          <w:lang w:bidi="fa-IR"/>
        </w:rPr>
        <w:t>»</w:t>
      </w:r>
      <w:r>
        <w:rPr>
          <w:rStyle w:val="FootnoteAnchor"/>
          <w:rtl w:val="true"/>
        </w:rPr>
        <w:footnoteReference w:id="2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مصباح الهدی</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ممّا ذکرنا ضعف القول الثانی،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فی الآثار یرجع إلی الاختلاف فی الحقیقة، و ظهر أیضا أنّ الاحتمالات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مطلقا؛ لأن ظاهر حال المسلم أنّه یقصد فی کلّ الأحوال ما هو وظیفته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 لأنّه نوی الأمر الندبی و لم ینو الأمر الوجوبی، فلا یتحقّق الامتثال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أن یکون القصد بنحو التقیید و وحدة المطلوب بحیث</w:t>
      </w:r>
      <w:bookmarkStart w:id="888" w:name="pg11756_104244"/>
    </w:p>
    <w:p>
      <w:pPr>
        <w:pStyle w:val="BookText"/>
        <w:rPr/>
      </w:pPr>
      <w:bookmarkEnd w:id="888"/>
      <w:r>
        <w:rPr>
          <w:rFonts w:ascii="IRNazanin" w:hAnsi="IRNazanin" w:eastAsia="IRNazanin"/>
          <w:color w:val="111111"/>
          <w:sz w:val="28"/>
          <w:sz w:val="28"/>
          <w:szCs w:val="28"/>
          <w:rtl w:val="true"/>
          <w:lang w:bidi="fa-IR"/>
        </w:rPr>
        <w:t>رجع إلی عدم قصد حجّة الإسلام، و بین أن یکون بنحو تعدّد المطلوب و الخطأ فی التطبیق</w:t>
      </w:r>
      <w:r>
        <w:rPr>
          <w:rFonts w:eastAsia="IRNazanin" w:cs="IRNazanin"/>
          <w:color w:val="111111"/>
          <w:sz w:val="28"/>
          <w:szCs w:val="28"/>
          <w:rtl w:val="true"/>
          <w:lang w:bidi="fa-IR"/>
        </w:rPr>
        <w:t>.</w:t>
      </w:r>
    </w:p>
    <w:p>
      <w:pPr>
        <w:pStyle w:val="Heading5"/>
        <w:numPr>
          <w:ilvl w:val="4"/>
          <w:numId w:val="1"/>
        </w:numPr>
        <w:rPr/>
      </w:pPr>
      <w:bookmarkStart w:id="889" w:name="__RefHeading___Toc9644077_73709187"/>
      <w:bookmarkStart w:id="890" w:name="_Toc333"/>
      <w:bookmarkEnd w:id="889"/>
      <w:r>
        <w:rPr>
          <w:rtl w:val="true"/>
        </w:rPr>
        <w:t>الفرع الثانی لو اعتقد کونه بالغا أو حرّا فحجّ مع تحقّق سائر الشرائط، ثمّ تبیّن أنّه کان صغیرا أو عبدا، فهل یجزی عن حجّة الإسلام أم لا؟</w:t>
      </w:r>
      <w:bookmarkEnd w:id="890"/>
    </w:p>
    <w:p>
      <w:pPr>
        <w:pStyle w:val="Heading6"/>
        <w:numPr>
          <w:ilvl w:val="5"/>
          <w:numId w:val="1"/>
        </w:numPr>
        <w:rPr/>
      </w:pPr>
      <w:bookmarkStart w:id="891" w:name="__RefHeading___Toc9644079_73709187"/>
      <w:bookmarkStart w:id="892" w:name="_Toc334"/>
      <w:bookmarkEnd w:id="891"/>
      <w:r>
        <w:rPr>
          <w:rtl w:val="true"/>
        </w:rPr>
        <w:t>اشارة</w:t>
      </w:r>
      <w:bookmarkEnd w:id="892"/>
    </w:p>
    <w:p>
      <w:pPr>
        <w:pStyle w:val="BookText"/>
        <w:rPr/>
      </w:pPr>
      <w:r>
        <w:rPr>
          <w:rFonts w:ascii="IRNazanin" w:hAnsi="IRNazanin" w:eastAsia="IRNazanin"/>
          <w:color w:val="111111"/>
          <w:sz w:val="28"/>
          <w:sz w:val="28"/>
          <w:szCs w:val="28"/>
          <w:rtl w:val="true"/>
          <w:lang w:bidi="fa-IR"/>
        </w:rPr>
        <w:t>لو اعتقد کونه بالغا أو حرّا فحجّ مع تحقّق سائر الشرائط، ثمّ تبیّن أنّه کان صغیرا أو عبدا، فهل یجزی عن حجّة الإسلام أم لا؟ الظاهر أنّه لا خلاف فی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بل المقطوع عدم إجزائه عن حجّة الإسلام</w:t>
      </w:r>
      <w:r>
        <w:rPr>
          <w:rFonts w:eastAsia="IRNazanin" w:cs="IRNazanin"/>
          <w:color w:val="111111"/>
          <w:sz w:val="28"/>
          <w:szCs w:val="28"/>
          <w:rtl w:val="true"/>
          <w:lang w:bidi="fa-IR"/>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التعلیقات علیها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ذهب إلیه فی المستمسک</w:t>
      </w:r>
      <w:r>
        <w:rPr>
          <w:rStyle w:val="FootnoteAnchor"/>
          <w:rtl w:val="true"/>
        </w:rPr>
        <w:footnoteReference w:id="2280"/>
      </w:r>
      <w:r>
        <w:rPr>
          <w:rFonts w:ascii="IRNazanin" w:hAnsi="IRNazanin" w:eastAsia="IRNazanin"/>
          <w:color w:val="111111"/>
          <w:sz w:val="28"/>
          <w:sz w:val="28"/>
          <w:szCs w:val="28"/>
          <w:rtl w:val="true"/>
          <w:lang w:bidi="fa-IR"/>
        </w:rPr>
        <w:t>و المستند</w:t>
      </w:r>
      <w:r>
        <w:rPr>
          <w:rStyle w:val="FootnoteAnchor"/>
          <w:rtl w:val="true"/>
        </w:rPr>
        <w:footnoteReference w:id="2281"/>
      </w:r>
      <w:r>
        <w:rPr>
          <w:rFonts w:ascii="IRNazanin" w:hAnsi="IRNazanin" w:eastAsia="IRNazanin"/>
          <w:color w:val="111111"/>
          <w:sz w:val="28"/>
          <w:sz w:val="28"/>
          <w:szCs w:val="28"/>
          <w:rtl w:val="true"/>
          <w:lang w:bidi="fa-IR"/>
        </w:rPr>
        <w:t>و تحریر الوسیلة</w:t>
      </w:r>
      <w:r>
        <w:rPr>
          <w:rStyle w:val="FootnoteAnchor"/>
          <w:rtl w:val="true"/>
        </w:rPr>
        <w:footnoteReference w:id="2282"/>
      </w:r>
      <w:r>
        <w:rPr>
          <w:rFonts w:ascii="IRNazanin" w:hAnsi="IRNazanin" w:eastAsia="IRNazanin"/>
          <w:color w:val="111111"/>
          <w:sz w:val="28"/>
          <w:sz w:val="28"/>
          <w:szCs w:val="28"/>
          <w:rtl w:val="true"/>
          <w:lang w:bidi="fa-IR"/>
        </w:rPr>
        <w:t>و تفصیل الشریعة</w:t>
      </w:r>
      <w:r>
        <w:rPr>
          <w:rStyle w:val="FootnoteAnchor"/>
          <w:rtl w:val="true"/>
        </w:rPr>
        <w:footnoteReference w:id="2283"/>
      </w:r>
      <w:r>
        <w:rPr>
          <w:rFonts w:ascii="IRNazanin" w:hAnsi="IRNazanin" w:eastAsia="IRNazanin"/>
          <w:color w:val="111111"/>
          <w:sz w:val="28"/>
          <w:sz w:val="28"/>
          <w:szCs w:val="28"/>
          <w:rtl w:val="true"/>
          <w:lang w:bidi="fa-IR"/>
        </w:rPr>
        <w:t>و غیرها</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للحکم بعدم الإجزاء بامور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المستند بعدم الأمر بحجّ الاسلام، و اعتقاده خطأ لا یحدث و لا یوجد تکلیفا، فما أتی به من الحجّ حجّ ندبی غیر حجّة الإسلام، و إجزاء حجّ الصبیّ أو العبد عن حجّ الإسلام للبالغ و الحرّ یحتاج إلی دلیل خاصّ، و هو مفقود فی البین</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أتی به لم یکن واجدا لشرائطها؛ لعدم وقوعه فی حال البلوغ، فلا محالة یقع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الندبی لا یجزئ عن حجّة الإسلام الّتی هی حجّ واجب بأصل الشرع</w:t>
      </w:r>
      <w:r>
        <w:rPr>
          <w:rFonts w:eastAsia="IRNazanin" w:cs="IRNazanin"/>
          <w:color w:val="111111"/>
          <w:sz w:val="28"/>
          <w:szCs w:val="28"/>
          <w:rtl w:val="true"/>
          <w:lang w:bidi="fa-IR"/>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بان الخلاف یکشف عن عدم التکلیف؛ لأنّ التکلیف یدور مدار الواقع، و مجرّد الاعتقاد الخاطئ بأنّه بالغ و حرّ لا یضرّ و لا یغیّر الواقع، و من المعلوم أنّ هذا الظنّ الخاطئ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النصوص الواردة فی اشتراط</w:t>
      </w:r>
      <w:r>
        <w:rPr>
          <w:rStyle w:val="FootnoteAnchor"/>
          <w:rtl w:val="true"/>
        </w:rPr>
        <w:footnoteReference w:id="2287"/>
      </w:r>
      <w:r>
        <w:rPr>
          <w:rFonts w:ascii="IRNazanin" w:hAnsi="IRNazanin" w:eastAsia="IRNazanin"/>
          <w:color w:val="111111"/>
          <w:sz w:val="28"/>
          <w:sz w:val="28"/>
          <w:szCs w:val="28"/>
          <w:rtl w:val="true"/>
          <w:lang w:bidi="fa-IR"/>
        </w:rPr>
        <w:t>البلوغ و الحرّیّة فی وجوب الحجّ هو اشتراطهما شرطا واقعیّا بلا دخل علم الفاعل و جهله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أدلّة الوجوب عند اجتماع الشرائط</w:t>
      </w:r>
      <w:r>
        <w:rPr>
          <w:rStyle w:val="FootnoteAnchor"/>
          <w:rtl w:val="true"/>
        </w:rPr>
        <w:footnoteReference w:id="2288"/>
      </w:r>
      <w:r>
        <w:rPr>
          <w:rFonts w:ascii="IRNazanin" w:hAnsi="IRNazanin" w:eastAsia="IRNazanin"/>
          <w:color w:val="111111"/>
          <w:sz w:val="28"/>
          <w:sz w:val="28"/>
          <w:szCs w:val="28"/>
          <w:rtl w:val="true"/>
          <w:lang w:bidi="fa-IR"/>
        </w:rPr>
        <w:t>، أی بعد ما صار بالغا و تحقّق سائر الشرائط یکون مقتضی إطلاق الکتاب و السنّة وجوب الحجّ علیه، و لا یکون فی مقابله ما یدلّ علی العدم، فاللازم حینئذ الحکم بعدم الإجزاء</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غیر واحد من الأخبار المصرّحة بعدم الإجزاء الشامل لما إذا أتی بالحجّ فی حال الصبا باعتقاد البلوغ،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مسمع بن عبد الملک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bookmarkStart w:id="893" w:name="pg11756_104246"/>
    </w:p>
    <w:p>
      <w:pPr>
        <w:pStyle w:val="Heading6"/>
        <w:numPr>
          <w:ilvl w:val="5"/>
          <w:numId w:val="1"/>
        </w:numPr>
        <w:rPr/>
      </w:pPr>
      <w:bookmarkStart w:id="894" w:name="__RefHeading___Toc9644081_73709187"/>
      <w:bookmarkStart w:id="895" w:name="_Toc335"/>
      <w:bookmarkEnd w:id="893"/>
      <w:bookmarkEnd w:id="894"/>
      <w:r>
        <w:rPr>
          <w:rtl w:val="true"/>
        </w:rPr>
        <w:t>وقوع الحجّ عن الصبیّ استحبابا</w:t>
      </w:r>
      <w:bookmarkEnd w:id="895"/>
    </w:p>
    <w:p>
      <w:pPr>
        <w:pStyle w:val="BookText"/>
        <w:rPr/>
      </w:pPr>
      <w:r>
        <w:rPr>
          <w:rFonts w:ascii="IRNazanin" w:hAnsi="IRNazanin" w:eastAsia="IRNazanin"/>
          <w:color w:val="111111"/>
          <w:sz w:val="28"/>
          <w:sz w:val="28"/>
          <w:szCs w:val="28"/>
          <w:rtl w:val="true"/>
          <w:lang w:bidi="fa-IR"/>
        </w:rPr>
        <w:t>فی مفروض الکلام حیث إنّه لم یکن الحجّ واجبا، فهل یمکن أن یقع استحبابا أم لا؟</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الندبی و الحجّ الوجوبی مختلفان ذاتا و عنوانا، و علی هذا فإذا حجّ بنیّة حجّة الإسلام و لم ینو الاستحباب لم یقع شیء منهما؛ لأنّ کلّ عبادة إذا کان لها اسم خاصّ ممیّز لها شرعا فعلی المکلّف أن یقصد ذلک الاسم حین الإتیان بها، و فی المقام بما أنّ الحجّ الندبی الّذی شرّع للصبیّ لم ینوه؛ لأنّه اعتقد بکونه بالغا و أتی بنیّة حجّة الإسلام و لم یأت به بقصد الاسم الخاصّ المقوّم له شرعا، مضافا إلی أنّه جاهل بالحال، فلا دلیل علی استحباب الحجّ علیه فی هذه الحالة، و أمّا الحجّ الوجوبی فلأنّه لا موضوع له باعتبار أنّه واجب علی البالغ دون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أنّ الحجّ الندبی هو الّذی یقع من غیر البالغ و هو ممیّز بنفسه، سواء قصد الصبیّ هذا العنوان أم لم یقصده، بل و إن قصد الحجّ الوجوبی فإنّه لا یخرجه عن حقیقته إذا کان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قصد القربة کون الداعی للعبد المطیع نفس أمر المولی دون خصوصیّة کون أمره وجوبیّا أو ندبیّا، فغیر البالغ و إن لم یقصد الحجّ الندبی إلاّ أنّ داعیه إلی الإتیان هو ذات الأمر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حقّق فی محلّه أنّ المعیار فی صحّة العبادات هو تعلّق إرادة الفاعل بعین ما تعلّقت به إرادة الآمر، و هذا الأمر محقّق فی المقام، حیث إنّ الفاعل یقصد ما أراده الآمر، و یکون قصده له لأجل أنّ الآمر أراده، غایة الأمر تخیّل کون</w:t>
      </w:r>
      <w:bookmarkStart w:id="896" w:name="pg11756_104247"/>
    </w:p>
    <w:p>
      <w:pPr>
        <w:pStyle w:val="BookText"/>
        <w:rPr/>
      </w:pPr>
      <w:bookmarkEnd w:id="896"/>
      <w:r>
        <w:rPr>
          <w:rFonts w:ascii="IRNazanin" w:hAnsi="IRNazanin" w:eastAsia="IRNazanin"/>
          <w:color w:val="111111"/>
          <w:sz w:val="28"/>
          <w:sz w:val="28"/>
          <w:szCs w:val="28"/>
          <w:rtl w:val="true"/>
          <w:lang w:bidi="fa-IR"/>
        </w:rPr>
        <w:t>أمره وجوبیّا، فانکشف أنّه کان ندبیّا، و لم یکن قصد الوجوب وصفا للأمر و لا للمأمور به علی وجه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یدّعی أنّ غیر البالغ یأتی بالحجّ بعنوان أنّه وظیفته فی الإسلام، و لکن ظنّ أنّه واجب باعتبار اعتقاده بأنّه بالغ، إذن فلا یبعد أن یقع الحجّ منه ندبا؛ لأنّه نوی الحجّ الّذی أمر به الشارع</w:t>
      </w:r>
      <w:r>
        <w:rPr>
          <w:rFonts w:eastAsia="IRNazanin" w:cs="IRNazanin"/>
          <w:color w:val="111111"/>
          <w:sz w:val="28"/>
          <w:szCs w:val="28"/>
          <w:rtl w:val="true"/>
          <w:lang w:bidi="fa-IR"/>
        </w:rPr>
        <w:t>.</w:t>
      </w:r>
    </w:p>
    <w:p>
      <w:pPr>
        <w:pStyle w:val="Heading5"/>
        <w:numPr>
          <w:ilvl w:val="4"/>
          <w:numId w:val="1"/>
        </w:numPr>
        <w:rPr/>
      </w:pPr>
      <w:bookmarkStart w:id="897" w:name="__RefHeading___Toc9644083_73709187"/>
      <w:bookmarkStart w:id="898" w:name="_Toc336"/>
      <w:bookmarkEnd w:id="897"/>
      <w:r>
        <w:rPr>
          <w:rtl w:val="true"/>
        </w:rPr>
        <w:t>الفرع الثالث أنّه إذا استطاع للحجّ و اعتقد أنّه غیر بالغ فترک الحجّ، ثمّ تبیّن کونه بالغا، هل یستقرّ علیه الحجّ مع بقاء سائر الشرائط أم لا؟</w:t>
      </w:r>
      <w:bookmarkEnd w:id="898"/>
    </w:p>
    <w:p>
      <w:pPr>
        <w:pStyle w:val="Heading6"/>
        <w:numPr>
          <w:ilvl w:val="5"/>
          <w:numId w:val="1"/>
        </w:numPr>
        <w:rPr/>
      </w:pPr>
      <w:bookmarkStart w:id="899" w:name="__RefHeading___Toc9644085_73709187"/>
      <w:bookmarkStart w:id="900" w:name="_Toc337"/>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أنّه إذا استطاع للحجّ و اعتقد أنّه غیر بالغ فترک الحجّ، ثمّ تبیّن کونه بالغا، هل یستقرّ علیه الحجّ مع بقاء سائر الشرائط أم لا؟ فیه قولان</w:t>
      </w:r>
      <w:r>
        <w:rPr>
          <w:rFonts w:eastAsia="IRNazanin" w:cs="IRNazanin"/>
          <w:color w:val="111111"/>
          <w:sz w:val="28"/>
          <w:szCs w:val="28"/>
          <w:rtl w:val="true"/>
          <w:lang w:bidi="fa-IR"/>
        </w:rPr>
        <w:t>:</w:t>
      </w:r>
    </w:p>
    <w:p>
      <w:pPr>
        <w:pStyle w:val="Heading6"/>
        <w:numPr>
          <w:ilvl w:val="5"/>
          <w:numId w:val="1"/>
        </w:numPr>
        <w:rPr/>
      </w:pPr>
      <w:bookmarkStart w:id="901" w:name="__RefHeading___Toc9644087_73709187"/>
      <w:bookmarkStart w:id="902" w:name="_Toc338"/>
      <w:bookmarkEnd w:id="901"/>
      <w:r>
        <w:rPr>
          <w:rtl w:val="true"/>
        </w:rPr>
        <w:t>الأوّل</w:t>
      </w:r>
      <w:r>
        <w:rPr>
          <w:rtl w:val="true"/>
        </w:rPr>
        <w:t xml:space="preserve">: </w:t>
      </w:r>
      <w:r>
        <w:rPr>
          <w:rtl w:val="true"/>
        </w:rPr>
        <w:t>أنّه یستقرّ علیه الحجّ و لو زالت الاستطاعة بعد ذلک</w:t>
      </w:r>
      <w:bookmarkEnd w:id="902"/>
    </w:p>
    <w:p>
      <w:pPr>
        <w:pStyle w:val="BookText"/>
        <w:rPr/>
      </w:pPr>
      <w:r>
        <w:rPr>
          <w:rFonts w:ascii="IRNazanin" w:hAnsi="IRNazanin" w:eastAsia="IRNazanin"/>
          <w:color w:val="111111"/>
          <w:sz w:val="28"/>
          <w:sz w:val="28"/>
          <w:szCs w:val="28"/>
          <w:rtl w:val="true"/>
          <w:lang w:bidi="fa-IR"/>
        </w:rPr>
        <w:t>، و معنی الاستقرار أنّه إذا استکملت الشرائط و أهمل حتی زالت أو زال بعضها صار دینا علیه، و وجب الإتیان بأیّ وجه تمکّن، و إن مات فیجب أن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فالظاهر استقرار وجوب الحجّ علیه، فإن فقد بعض الشرائط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تلف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 و لو متسکّعا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 جماعة ممّن علّقوا علیها</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الحکم فی الجملة ممّا لا ینبغی الإشکال فیه</w:t>
      </w:r>
      <w:r>
        <w:rPr>
          <w:rFonts w:eastAsia="IRNazanin" w:cs="IRNazanin"/>
          <w:color w:val="111111"/>
          <w:sz w:val="28"/>
          <w:szCs w:val="28"/>
          <w:rtl w:val="true"/>
          <w:lang w:bidi="fa-IR"/>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اعتقد کونه غیر بالغ فترکه مع بقاء الشرائط إلی تمام الأعمال استقرّ علیه، و یحتمل اشتراط بقائها إلی زمان إمکان العود إلی محلّه علی إشکال</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bookmarkStart w:id="903" w:name="pg11756_104248"/>
    </w:p>
    <w:p>
      <w:pPr>
        <w:pStyle w:val="BookText"/>
        <w:rPr/>
      </w:pPr>
      <w:bookmarkEnd w:id="903"/>
      <w:r>
        <w:rPr>
          <w:rFonts w:ascii="IRNazanin" w:hAnsi="IRNazanin" w:eastAsia="IRNazanin"/>
          <w:color w:val="111111"/>
          <w:sz w:val="28"/>
          <w:sz w:val="28"/>
          <w:szCs w:val="28"/>
          <w:rtl w:val="true"/>
          <w:lang w:bidi="fa-IR"/>
        </w:rPr>
        <w:t>و قال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الاستقرار علی وفق القاعدة، فالحکم فی المقام ما فی المتن من الاستقرار</w:t>
      </w:r>
      <w:r>
        <w:rPr>
          <w:rFonts w:eastAsia="IRNazanin" w:cs="IRNazanin"/>
          <w:color w:val="111111"/>
          <w:sz w:val="28"/>
          <w:szCs w:val="28"/>
          <w:rtl w:val="true"/>
          <w:lang w:bidi="fa-IR"/>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9644089_73709187"/>
      <w:bookmarkStart w:id="905" w:name="_Toc339"/>
      <w:bookmarkEnd w:id="904"/>
      <w:r>
        <w:rPr>
          <w:rtl w:val="true"/>
        </w:rPr>
        <w:t>أدلّة هذا القول</w:t>
      </w:r>
      <w:bookmarkEnd w:id="905"/>
    </w:p>
    <w:p>
      <w:pPr>
        <w:pStyle w:val="BookText"/>
        <w:rPr/>
      </w:pPr>
      <w:r>
        <w:rPr>
          <w:rFonts w:ascii="IRNazanin" w:hAnsi="IRNazanin" w:eastAsia="IRNazanin"/>
          <w:color w:val="111111"/>
          <w:sz w:val="28"/>
          <w:sz w:val="28"/>
          <w:szCs w:val="28"/>
          <w:rtl w:val="true"/>
          <w:lang w:bidi="fa-IR"/>
        </w:rPr>
        <w:t>و استدلّ للحکم المذکور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الفقهاء کما ادّعاه فی مهذّب الأحکام</w:t>
      </w:r>
      <w:r>
        <w:rPr>
          <w:rStyle w:val="FootnoteAnchor"/>
          <w:rtl w:val="true"/>
        </w:rPr>
        <w:footnoteReference w:id="2294"/>
      </w:r>
      <w:r>
        <w:rPr>
          <w:rFonts w:ascii="IRNazanin" w:hAnsi="IRNazanin" w:eastAsia="IRNazanin"/>
          <w:color w:val="111111"/>
          <w:sz w:val="28"/>
          <w:sz w:val="28"/>
          <w:szCs w:val="28"/>
          <w:rtl w:val="true"/>
          <w:lang w:bidi="fa-IR"/>
        </w:rPr>
        <w:t>، و لعلّ المقصود من الاتّفاق ما جاء فی الجواهر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نصّا و فتوی فی أنّه یستقرّ الحجّ فی الذمّة إذا استکملت الشرائط فأهمل حتّی فات، فیحجّ فی زمن حیاته و إن ذهبت الشرائط الّتی لا ینتفی معها أصل القدرة، و یقضی عنه بعد وفاته</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استشهد بذلک فی المستمسک</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لأنّ المقام خارج عمّا جاء فی عبارة الجواهر، فإنّ الإهمال فی عبارته راجع إلی التسویف، و أمّا المقام فلیس فیه تسویف؛ إذ الاعتقاد المخالف، غیر الإهمال فیه، حیث اعتقد أنّه غیر بالغ، ثمّ تبیّن کونه بالغا فی ذاک الوقت، و زالت الاستطاعة قبل العام القابل، فلا دلالة له علی حکم المقام، و الدلیل علی ما ادّعیناه أنّ المتقدّمین و المتأخّرین من الفقهاء لم یتعرّضوا لهذا الفرع</w:t>
      </w:r>
      <w:r>
        <w:rPr>
          <w:rStyle w:val="FootnoteAnchor"/>
          <w:rtl w:val="true"/>
        </w:rPr>
        <w:footnoteReference w:id="2297"/>
      </w:r>
      <w:r>
        <w:rPr>
          <w:rFonts w:ascii="IRNazanin" w:hAnsi="IRNazanin" w:eastAsia="IRNazanin"/>
          <w:color w:val="111111"/>
          <w:sz w:val="28"/>
          <w:sz w:val="28"/>
          <w:szCs w:val="28"/>
          <w:rtl w:val="true"/>
          <w:lang w:bidi="fa-IR"/>
        </w:rPr>
        <w:t>، فکیف یمکن أن یکون متّفقا علیه؟</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الاستطاعة، فإنّ المفروض أنّه کان مستطیعا و استکملت فیه الشرائط فتشمله الإطلاقات، و هی کثیرة، و أهمّها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22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لمن کان عنده مال و صحّة، و إن کان سوّفه للتجارة فلا یسعه</w:t>
      </w:r>
      <w:r>
        <w:rPr>
          <w:rFonts w:eastAsia="IRNazanin" w:cs="IRNazanin"/>
          <w:color w:val="111111"/>
          <w:sz w:val="28"/>
          <w:szCs w:val="28"/>
          <w:rtl w:val="true"/>
          <w:lang w:bidi="fa-IR"/>
        </w:rPr>
        <w:t>»</w:t>
      </w:r>
      <w:r>
        <w:rPr>
          <w:rStyle w:val="FootnoteAnchor"/>
          <w:rtl w:val="true"/>
        </w:rPr>
        <w:footnoteReference w:id="229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له ما یحجّ به</w:t>
      </w:r>
      <w:r>
        <w:rPr>
          <w:rFonts w:eastAsia="Amiri" w:cs="Amiri" w:ascii="Amiri" w:hAnsi="Amiri"/>
          <w:color w:val="111111"/>
          <w:sz w:val="28"/>
          <w:szCs w:val="28"/>
          <w:rtl w:val="true"/>
          <w:lang w:bidi="ar-SA"/>
        </w:rPr>
        <w:t>»</w:t>
      </w:r>
      <w:r>
        <w:rPr>
          <w:rStyle w:val="FootnoteAnchor"/>
          <w:rtl w:val="true"/>
        </w:rPr>
        <w:footnoteReference w:id="230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الحلبی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 أبا عبد اللّه علیه السّلام و أنا عنده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ما یعنی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صحیحا فی بدنه، مخلّی فی سربه، له زاد و راحلة، فهو ممّن یستطیع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کان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حفص الکناسی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صحیحا فی بدنه، مخلّی فی سربه، له زاد و راحلة فلم یحجّ، فهو ممّن یستطیع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01"/>
      </w:r>
      <w:r>
        <w:rPr>
          <w:rFonts w:ascii="IRNazanin" w:hAnsi="IRNazanin" w:eastAsia="IRNazanin"/>
          <w:color w:val="111111"/>
          <w:sz w:val="28"/>
          <w:sz w:val="28"/>
          <w:szCs w:val="28"/>
          <w:rtl w:val="true"/>
          <w:lang w:bidi="fa-IR"/>
        </w:rPr>
        <w:t>، و کذا ما رواه الصدوق فی العیون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التوحید</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الموضوع فی هذه الروایات هو النّاس، و یعمّ العالم و الجاهل و المعتقد بالخلاف، فکما یکون الجاهل مشمولا للخطاب کذلک یکون المعتقد بالخلاف أیضا مکلّفا واقعا و التکلیف ثابت علیه، غایة الأمر أنّه غیر منجّز له فعلا، و یکون معذورا فی المخالفة غیر مستحقّ للعقوبة؛ لأنّ المراد من قوله تعالی</w:t>
      </w:r>
      <w:bookmarkStart w:id="906" w:name="pg11756_104250"/>
    </w:p>
    <w:p>
      <w:pPr>
        <w:pStyle w:val="BookText"/>
        <w:rPr/>
      </w:pPr>
      <w:bookmarkEnd w:id="906"/>
      <w:r>
        <w:rPr>
          <w:rFonts w:ascii="IRNazanin" w:hAnsi="IRNazanin" w:eastAsia="IRNazanin"/>
          <w:color w:val="111111"/>
          <w:sz w:val="28"/>
          <w:sz w:val="28"/>
          <w:szCs w:val="28"/>
          <w:rtl w:val="true"/>
          <w:lang w:bidi="fa-IR"/>
        </w:rPr>
        <w:t>مَنِ اسْتَطاعَ هو الاستطاعة الواقعیّة، لا کونه مستطیعا فی اعتقاده؛ لأنّ الألفاظ إنّما وضعت للمعانی الواقعیّة</w:t>
      </w:r>
      <w:r>
        <w:rPr>
          <w:rStyle w:val="FootnoteAnchor"/>
          <w:rtl w:val="true"/>
        </w:rPr>
        <w:footnoteReference w:id="2302"/>
      </w:r>
      <w:r>
        <w:rPr>
          <w:rFonts w:ascii="IRNazanin" w:hAnsi="IRNazanin" w:eastAsia="IRNazanin"/>
          <w:color w:val="111111"/>
          <w:sz w:val="28"/>
          <w:sz w:val="28"/>
          <w:szCs w:val="28"/>
          <w:rtl w:val="true"/>
          <w:lang w:bidi="fa-IR"/>
        </w:rPr>
        <w:t>لا المعلومة، و لا اعتبار للعلم و الجهل و الغفلة فی معانی الألفاظ، فالمدار علی تحقّق الاستطاعة واقعا، فإذن لا یختصّ التکلیف بالعالم، بل یعمّ الجاهل و المعتقد بالخلاف</w:t>
      </w:r>
      <w:r>
        <w:rPr>
          <w:rFonts w:eastAsia="IRNazanin" w:cs="IRNazanin"/>
          <w:color w:val="111111"/>
          <w:sz w:val="28"/>
          <w:szCs w:val="28"/>
          <w:rtl w:val="true"/>
          <w:lang w:bidi="fa-IR"/>
        </w:rPr>
        <w:t>.</w:t>
      </w:r>
    </w:p>
    <w:p>
      <w:pPr>
        <w:pStyle w:val="Heading6"/>
        <w:numPr>
          <w:ilvl w:val="5"/>
          <w:numId w:val="1"/>
        </w:numPr>
        <w:rPr/>
      </w:pPr>
      <w:bookmarkStart w:id="907" w:name="__RefHeading___Toc9644091_73709187"/>
      <w:bookmarkStart w:id="908" w:name="_Toc340"/>
      <w:bookmarkEnd w:id="907"/>
      <w:r>
        <w:rPr>
          <w:rtl w:val="true"/>
        </w:rPr>
        <w:t>القول الثانی</w:t>
      </w:r>
      <w:r>
        <w:rPr>
          <w:rtl w:val="true"/>
        </w:rPr>
        <w:t xml:space="preserve">: </w:t>
      </w:r>
      <w:r>
        <w:rPr>
          <w:rtl w:val="true"/>
        </w:rPr>
        <w:t>عدم استقرار الحجّ علیه</w:t>
      </w:r>
      <w:bookmarkEnd w:id="908"/>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زالت الاستطاعة لا یستقرّ الحجّ علیه،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زالت الاستطاعة فالظاهر عدم استقرار الحجّ علیه</w:t>
      </w:r>
      <w:r>
        <w:rPr>
          <w:rStyle w:val="FootnoteAnchor"/>
          <w:rtl w:val="true"/>
        </w:rPr>
        <w:footnoteReference w:id="2303"/>
      </w:r>
      <w:r>
        <w:rPr>
          <w:rFonts w:ascii="IRNazanin" w:hAnsi="IRNazanin" w:eastAsia="IRNazanin"/>
          <w:color w:val="111111"/>
          <w:sz w:val="28"/>
          <w:sz w:val="28"/>
          <w:szCs w:val="28"/>
          <w:rtl w:val="true"/>
          <w:lang w:bidi="fa-IR"/>
        </w:rPr>
        <w:t>، و اختاره السیّد الفیروزآبادی</w:t>
      </w:r>
      <w:r>
        <w:rPr>
          <w:rStyle w:val="FootnoteAnchor"/>
          <w:rtl w:val="true"/>
        </w:rPr>
        <w:footnoteReference w:id="2304"/>
      </w:r>
      <w:r>
        <w:rPr>
          <w:rFonts w:ascii="IRNazanin" w:hAnsi="IRNazanin" w:eastAsia="IRNazanin"/>
          <w:color w:val="111111"/>
          <w:sz w:val="28"/>
          <w:sz w:val="28"/>
          <w:szCs w:val="28"/>
          <w:rtl w:val="true"/>
          <w:lang w:bidi="fa-IR"/>
        </w:rPr>
        <w:t>و الشیخ محمّد إسحاق الفیّاض</w:t>
      </w:r>
      <w:r>
        <w:rPr>
          <w:rStyle w:val="FootnoteAnchor"/>
          <w:rtl w:val="true"/>
        </w:rPr>
        <w:footnoteReference w:id="2305"/>
      </w:r>
      <w:r>
        <w:rPr>
          <w:rFonts w:ascii="IRNazanin" w:hAnsi="IRNazanin" w:eastAsia="IRNazanin"/>
          <w:color w:val="111111"/>
          <w:sz w:val="28"/>
          <w:sz w:val="28"/>
          <w:szCs w:val="28"/>
          <w:rtl w:val="true"/>
          <w:lang w:bidi="fa-IR"/>
        </w:rPr>
        <w:t>و الشیخ محمّد تقی الآملی فی مصباحه</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السیّد الخوئی بوجوه ثلاثة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وجوب الحجّ هو المستطیع، و متی تحقّق عنوان الاستطاعة صار الحکم بوجوب الحجّ فعلیّا؛ لفعلیّة الحکم بفعلیّة موضوعه، و إذا زالت الاستطاعة</w:t>
      </w:r>
      <w:r>
        <w:rPr>
          <w:rStyle w:val="FootnoteAnchor"/>
          <w:rtl w:val="true"/>
        </w:rPr>
        <w:footnoteReference w:id="2307"/>
      </w:r>
      <w:r>
        <w:rPr>
          <w:rFonts w:ascii="IRNazanin" w:hAnsi="IRNazanin" w:eastAsia="IRNazanin"/>
          <w:color w:val="111111"/>
          <w:sz w:val="28"/>
          <w:sz w:val="28"/>
          <w:szCs w:val="28"/>
          <w:rtl w:val="true"/>
          <w:lang w:bidi="fa-IR"/>
        </w:rPr>
        <w:t>و ارتفع الموضوع یرتفع وجوب الحجّ؛ لارتفاع</w:t>
      </w:r>
    </w:p>
    <w:p>
      <w:pPr>
        <w:pStyle w:val="BookText"/>
        <w:rPr/>
      </w:pPr>
      <w:r>
        <w:rPr>
          <w:rFonts w:ascii="IRNazanin" w:hAnsi="IRNazanin" w:eastAsia="IRNazanin"/>
          <w:color w:val="111111"/>
          <w:sz w:val="28"/>
          <w:sz w:val="28"/>
          <w:szCs w:val="28"/>
          <w:rtl w:val="true"/>
          <w:lang w:bidi="fa-IR"/>
        </w:rPr>
        <w:t>الحکم حتّی بالإتلاف و العصیان، نظیر القصر و التمام بالنسبة إلی السفر و الحضر</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أمره یدور بین مدخلیّة الاستطاعة لوجوب الحجّ حدوثا فقط أو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وجوب الحجّ کونه مستطیعا أیّام الحجّ فقط، أو یشترط بقاؤها إلی السنة القادمة، مثل عنوانی المسافر و الحاضر، یعنی أنّ عنوان الاستطاعة من العناوین الّتی لها دخل فی ترتّب الحکم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مقتضی الأخبار الواردة أنّ مدخلیّة الاستطاعة فی وجوب الحجّ هی حدوثا فقط؛ لأنّها تدلّ علی وجوب الحجّ إذا استطاع، فمتی تحقّق عنوان المستطیع استقرّ علیه وجوب الحجّ، أمّا العلم و الجهل و اعتقاد الخلاف فلا اعتبار لها فی ترتّب الحکم علی الموضوع کما ذکرناه آنفا، و إذا استقرّ علیه التکلیف فلا موجب لسقوطه، و الاعتقاد بالخلاف یکون عذرا فی ترکه و عدم کونه مستحقّا للعقاب و عدم تنجّز التکلیف علیه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الأدلّة الأوّلیّة هو استقرار الحجّ؛ لأنّ موضوع وجوب الحجّ و إن کان هو عنوان المستطیع إلاّ أنّه لا دلیل علی کونه مثل عنوانی المسافر و الحاضر من العناوین الّتی لها دخل فی ترتّب الحکم حدوثا و بقاء، بل الظاهر کونه من العناوین الّتی لها دخل فی ترتّب الحکم حدوثا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لیس المراد بالحدوث مجرّده، بل ما به یتحقّق الاستقرار</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و إن کانت تشمل الجاهل و لکن لا تشمل المعتقد بالخلاف</w:t>
      </w:r>
      <w:r>
        <w:rPr>
          <w:rStyle w:val="FootnoteAnchor"/>
          <w:rtl w:val="true"/>
        </w:rPr>
        <w:footnoteReference w:id="2310"/>
      </w:r>
      <w:r>
        <w:rPr>
          <w:rFonts w:ascii="IRNazanin" w:hAnsi="IRNazanin" w:eastAsia="IRNazanin"/>
          <w:color w:val="111111"/>
          <w:sz w:val="28"/>
          <w:sz w:val="28"/>
          <w:szCs w:val="28"/>
          <w:rtl w:val="true"/>
          <w:lang w:bidi="fa-IR"/>
        </w:rPr>
        <w:t>؛ لأنّه غیر قابل لتوجّه الخطاب إلیه، فهو غیر مأمور بالحکم واقعا، فلا یکون وجوب فی البین حتّی یستقرّ علیه، ففی زمان الاعتقاد بالخلاف و أنّه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علیه بالوجوب؛ لعدم قابلیّته للتکلیف بالحجّ، و فی زمان انکشاف الخلاف و العلم بالبلوغ لا یکون مستطیعا علی الفرض حتّی یجب علیه الحجّ</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2312"/>
      </w:r>
      <w:r>
        <w:rPr>
          <w:rFonts w:ascii="IRNazanin" w:hAnsi="IRNazanin" w:eastAsia="IRNazanin"/>
          <w:color w:val="111111"/>
          <w:sz w:val="28"/>
          <w:sz w:val="28"/>
          <w:szCs w:val="28"/>
          <w:rtl w:val="true"/>
          <w:lang w:bidi="fa-IR"/>
        </w:rPr>
        <w:t>ثابت للعاقل البالغ المستطیع، و هذا الحکم یترتّب علی واقع المستطیع، لا علی من یعلم کونه عاقلا و بالغا و مستطیعا؛ إذ لا أثر لعلمه فی ذلک؛ إذ الشرط فی القضیّة الحقیقیّة هو وجود الموضوع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فکما یکون الجاهل مشمولا للخطابات کذلک المعتقد بالخلاف یکون مکلّفا واقعا و التکلیف ثابت علیه، غایة الأمر یکون معذورا فی المخالفة غیر مستحقّ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المخاطب النوع، و لمکان انطباق النوع علی الآحاد یکون کلّ فرد من أفراد المکلّفین مخاطبا بذلک الخطاب الواحد</w:t>
      </w:r>
      <w:r>
        <w:rPr>
          <w:rFonts w:eastAsia="IRNazanin" w:cs="IRNazanin"/>
          <w:color w:val="111111"/>
          <w:sz w:val="28"/>
          <w:szCs w:val="28"/>
          <w:rtl w:val="true"/>
          <w:lang w:bidi="fa-IR"/>
        </w:rPr>
        <w:t>»</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یستقرّ الحجّ إذا لم یکن الترک عن عذر</w:t>
      </w:r>
      <w:r>
        <w:rPr>
          <w:rStyle w:val="FootnoteAnchor"/>
          <w:rtl w:val="true"/>
        </w:rPr>
        <w:footnoteReference w:id="2314"/>
      </w:r>
      <w:r>
        <w:rPr>
          <w:rFonts w:ascii="IRNazanin" w:hAnsi="IRNazanin" w:eastAsia="IRNazanin"/>
          <w:color w:val="111111"/>
          <w:sz w:val="28"/>
          <w:sz w:val="28"/>
          <w:szCs w:val="28"/>
          <w:rtl w:val="true"/>
          <w:lang w:bidi="fa-IR"/>
        </w:rPr>
        <w:t>؛ و أمّا إذا کان الترک</w:t>
      </w:r>
    </w:p>
    <w:p>
      <w:pPr>
        <w:pStyle w:val="BookText"/>
        <w:rPr/>
      </w:pPr>
      <w:r>
        <w:rPr>
          <w:rFonts w:ascii="IRNazanin" w:hAnsi="IRNazanin" w:eastAsia="IRNazanin"/>
          <w:color w:val="111111"/>
          <w:sz w:val="28"/>
          <w:sz w:val="28"/>
          <w:szCs w:val="28"/>
          <w:rtl w:val="true"/>
          <w:lang w:bidi="fa-IR"/>
        </w:rPr>
        <w:t>مستندا إلی العذر فلا موجب للاستقرار، و الاعتقاد بالخلاف من أحسن الأعذار، فإن بقیت الاستطاعة إلی السّنة القادمة یجب الحجّ، و إلاّ فلا</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استقرار وجوب الحجّ علی المکلّف إنّما یکون لترک الحجّ عامدا و ملتفتا إلی الحکم الشرعی؛ للتساهل و التسامح فیه، و أمّا إذا کان من جهة اعتقاده بعدم البلوغ فلا یوجب ذلک؛ لأنّه فی حال الاعتقاد الجزمی بعدم البلوغ لا یمکن أن یکون مکلّفا بالحجّ؛ لأنّ توجّه الخطاب إلیه فی هذه الحالة لغو و جزاف، و أنّ الغرض من جعل الخطاب هو إمکان داعویّته للمکلّف و محرّکیّته له، و مع الاعتقاد بالخلاف لا یمکن أن یکون داعیا و محرّکا، فإذن لا وجوب علیه فی الواقع حتّی یستقرّ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علیه بأنّ فعلیّة الحکم بفعلیّة موضوعه و تحقّقه فی الخارج، و المعتقد بالخلاف قد وصل إلیه خطاب الحجّ و یعلم أنّه یجب علی المستطیع أن یحجّ، و هو مستطیع فی الواقع، و لکنّه من أجل اعتقاده بالخلاف یترک الحجّ، فیکون معذورا فی مخالفته و لا یستحقّ العقاب؛ لأنّه لا یتنجّز وجوب الحجّ علیه؛ لاعتقاده بعدم البلوغ، و التنجّز حکم عقلی غیر مربوط بالحکم المجعول، و لا یؤثّر فی تغییر الحکم و لا فی الإرادة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الموضوع مساوق لفعلیّة حکمه و إن کان یشترط فی تنجّزه علی المکلّف و استحقاق العقاب علی مخالفته أن یکون واصلا إلیه، و فی ظرف عدم الوصول وجدانا أو تعبّدا لا یمکن أن یکون منجّزا و إن کان فعلیّا بوجود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موضوع</w:t>
      </w:r>
      <w:bookmarkStart w:id="909" w:name="pg11756_104254"/>
    </w:p>
    <w:p>
      <w:pPr>
        <w:pStyle w:val="BookText"/>
        <w:rPr/>
      </w:pPr>
      <w:bookmarkEnd w:id="909"/>
      <w:r>
        <w:rPr>
          <w:rFonts w:ascii="IRNazanin" w:hAnsi="IRNazanin" w:eastAsia="IRNazanin"/>
          <w:color w:val="111111"/>
          <w:sz w:val="28"/>
          <w:sz w:val="28"/>
          <w:szCs w:val="28"/>
          <w:rtl w:val="true"/>
          <w:lang w:bidi="fa-IR"/>
        </w:rPr>
        <w:t>الحکم موجودا، و مع ذلک لا یکون الحکم فعلیّا بعد فرض کونه حکما لهذا الموضوع أو تکون فعلیّته متوقّفة علی وجود شیء آخر لم یؤخذ فی الموضوع</w:t>
      </w:r>
      <w:r>
        <w:rPr>
          <w:rFonts w:eastAsia="IRNazanin" w:cs="IRNazanin"/>
          <w:color w:val="111111"/>
          <w:sz w:val="28"/>
          <w:szCs w:val="28"/>
          <w:rtl w:val="true"/>
          <w:lang w:bidi="fa-IR"/>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9644093_73709187"/>
      <w:bookmarkStart w:id="911" w:name="_Toc341"/>
      <w:bookmarkEnd w:id="910"/>
      <w:r>
        <w:rPr>
          <w:rtl w:val="true"/>
        </w:rPr>
        <w:t>ما تحقّق به استقرار الحجّ علی المکلّف</w:t>
      </w:r>
      <w:bookmarkEnd w:id="911"/>
    </w:p>
    <w:p>
      <w:pPr>
        <w:pStyle w:val="BookText"/>
        <w:rPr/>
      </w:pPr>
      <w:r>
        <w:rPr>
          <w:rFonts w:ascii="IRNazanin" w:hAnsi="IRNazanin" w:eastAsia="IRNazanin"/>
          <w:color w:val="111111"/>
          <w:sz w:val="28"/>
          <w:sz w:val="28"/>
          <w:szCs w:val="28"/>
          <w:rtl w:val="true"/>
          <w:lang w:bidi="fa-IR"/>
        </w:rPr>
        <w:t>و حیث انتهی الکلام إلی هنا فلا بأس أن نشیر إلی ما یتحقّق به استقرار الحجّ علی المکلّف، و هذا و إن کان لا یختصّ بالصبیّ لکنّه مرتبط بالفرع المتقدّم،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کلام الأصحاب فیما یتحقّق به الاستقرار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المشهور من أنّ الاستقرار یتحقّق بمضی زمان یمکن فیه الإتیان بجمیع أفعال الحجّ حتّی مثل طواف النساء و المبیت فی منی مستجمعا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إلی الیوم الثانی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التذکرة</w:t>
      </w:r>
      <w:r>
        <w:rPr>
          <w:rStyle w:val="FootnoteAnchor"/>
          <w:rtl w:val="true"/>
        </w:rPr>
        <w:footnoteReference w:id="2317"/>
      </w:r>
      <w:r>
        <w:rPr>
          <w:rFonts w:ascii="IRNazanin" w:hAnsi="IRNazanin" w:eastAsia="IRNazanin"/>
          <w:color w:val="111111"/>
          <w:sz w:val="28"/>
          <w:sz w:val="28"/>
          <w:szCs w:val="28"/>
          <w:rtl w:val="true"/>
          <w:lang w:bidi="fa-IR"/>
        </w:rPr>
        <w:t>و القواعد</w:t>
      </w:r>
      <w:r>
        <w:rPr>
          <w:rStyle w:val="FootnoteAnchor"/>
          <w:rtl w:val="true"/>
        </w:rPr>
        <w:footnoteReference w:id="2318"/>
      </w:r>
      <w:r>
        <w:rPr>
          <w:rFonts w:ascii="IRNazanin" w:hAnsi="IRNazanin" w:eastAsia="IRNazanin"/>
          <w:color w:val="111111"/>
          <w:sz w:val="28"/>
          <w:sz w:val="28"/>
          <w:szCs w:val="28"/>
          <w:rtl w:val="true"/>
          <w:lang w:bidi="fa-IR"/>
        </w:rPr>
        <w:t>و المسالک</w:t>
      </w:r>
      <w:r>
        <w:rPr>
          <w:rStyle w:val="FootnoteAnchor"/>
          <w:rtl w:val="true"/>
        </w:rPr>
        <w:footnoteReference w:id="2319"/>
      </w:r>
      <w:r>
        <w:rPr>
          <w:rFonts w:ascii="Amiri" w:hAnsi="Amiri" w:eastAsia="Amiri" w:cs="Amiri"/>
          <w:color w:val="111111"/>
          <w:sz w:val="28"/>
          <w:sz w:val="28"/>
          <w:szCs w:val="28"/>
          <w:rtl w:val="true"/>
          <w:lang w:bidi="ar-SA"/>
        </w:rPr>
        <w:t>و الروضة</w:t>
      </w:r>
      <w:r>
        <w:rPr>
          <w:rStyle w:val="FootnoteAnchor"/>
          <w:rtl w:val="true"/>
        </w:rPr>
        <w:footnoteReference w:id="2320"/>
      </w:r>
      <w:r>
        <w:rPr>
          <w:rFonts w:ascii="IRNazanin" w:hAnsi="IRNazanin" w:eastAsia="IRNazanin"/>
          <w:color w:val="111111"/>
          <w:sz w:val="28"/>
          <w:sz w:val="28"/>
          <w:szCs w:val="28"/>
          <w:rtl w:val="true"/>
          <w:lang w:bidi="fa-IR"/>
        </w:rPr>
        <w:t>و الذخیرة</w:t>
      </w:r>
      <w:r>
        <w:rPr>
          <w:rStyle w:val="FootnoteAnchor"/>
          <w:rtl w:val="true"/>
        </w:rPr>
        <w:footnoteReference w:id="2321"/>
      </w:r>
      <w:r>
        <w:rPr>
          <w:rFonts w:ascii="IRNazanin" w:hAnsi="IRNazanin" w:eastAsia="IRNazanin"/>
          <w:color w:val="111111"/>
          <w:sz w:val="28"/>
          <w:sz w:val="28"/>
          <w:szCs w:val="28"/>
          <w:rtl w:val="true"/>
          <w:lang w:bidi="fa-IR"/>
        </w:rPr>
        <w:t>و الحدائق</w:t>
      </w:r>
      <w:r>
        <w:rPr>
          <w:rStyle w:val="FootnoteAnchor"/>
          <w:rtl w:val="true"/>
        </w:rPr>
        <w:footnoteReference w:id="2322"/>
      </w:r>
      <w:r>
        <w:rPr>
          <w:rFonts w:ascii="IRNazanin" w:hAnsi="IRNazanin" w:eastAsia="IRNazanin"/>
          <w:color w:val="111111"/>
          <w:sz w:val="28"/>
          <w:sz w:val="28"/>
          <w:szCs w:val="28"/>
          <w:rtl w:val="true"/>
          <w:lang w:bidi="fa-IR"/>
        </w:rPr>
        <w:t>و المستند</w:t>
      </w:r>
      <w:r>
        <w:rPr>
          <w:rStyle w:val="FootnoteAnchor"/>
          <w:rtl w:val="true"/>
        </w:rPr>
        <w:footnoteReference w:id="2323"/>
      </w:r>
      <w:r>
        <w:rPr>
          <w:rFonts w:ascii="IRNazanin" w:hAnsi="IRNazanin" w:eastAsia="IRNazanin"/>
          <w:color w:val="111111"/>
          <w:sz w:val="28"/>
          <w:sz w:val="28"/>
          <w:szCs w:val="28"/>
          <w:rtl w:val="true"/>
          <w:lang w:bidi="fa-IR"/>
        </w:rPr>
        <w:t>و الجواهر</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الشرائط المعتبرة فی وجوب الحجّ</w:t>
      </w:r>
    </w:p>
    <w:p>
      <w:pPr>
        <w:pStyle w:val="BookText"/>
        <w:rPr/>
      </w:pPr>
      <w:r>
        <w:rPr>
          <w:rFonts w:ascii="IRNazanin" w:hAnsi="IRNazanin" w:eastAsia="IRNazanin"/>
          <w:color w:val="111111"/>
          <w:sz w:val="28"/>
          <w:sz w:val="28"/>
          <w:szCs w:val="28"/>
          <w:rtl w:val="true"/>
          <w:lang w:bidi="fa-IR"/>
        </w:rPr>
        <w:t>متحقّقة بأجمعها و المکلّف عالم بها و بوجوب الحجّ علیه، و مع ذلک ترکه عامدا اختیارا، و فهذا هو القدر المسلّم من مورد استقرار الحجّ علیه و لزوم الإتیان به فی القابل و لو متسکّعا مع بقاء الشرائط إلی تمام الأعمال التی یمکن تحقّقها فی الیوم الثانی عشر من ذی الحجّة</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نوقش فیه بأنّه لا عبرة باعتبار الاستطاعة بالنسبة إلی غیر أعمال الحجّ، کطواف النساء و المبیت فی منی، فإنّهما لیسا من أعمال الحجّ و أجزائه، و إنّما هما واجبان مستقلاّن، و من ترکهما حتّی عمدا لا یفسد حجّه</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الاستقرار یتحقّق ببقاء الاستطاعة إلی زمان یمکن فیه الإحرام و دخول الحرم، فلو زالت الاستطاعة بعد هذا الزمان یستقرّ علیه الحجّ، کما احتمله فی التذکرة</w:t>
      </w:r>
      <w:r>
        <w:rPr>
          <w:rStyle w:val="FootnoteAnchor"/>
          <w:rtl w:val="true"/>
        </w:rPr>
        <w:footnoteReference w:id="2327"/>
      </w:r>
      <w:r>
        <w:rPr>
          <w:rFonts w:ascii="IRNazanin" w:hAnsi="IRNazanin" w:eastAsia="IRNazanin"/>
          <w:color w:val="111111"/>
          <w:sz w:val="28"/>
          <w:sz w:val="28"/>
          <w:szCs w:val="28"/>
          <w:rtl w:val="true"/>
          <w:lang w:bidi="fa-IR"/>
        </w:rPr>
        <w:t>و القواعد</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نوقش فیه أیضا بأنّه لا نعرف لذلک وجها، فإنّ العبرة بأعمال الحجّ و أفعاله لا بالإحرام و دخول الحرم، و من أجل ذلک لو علم بالموت بعد ذلک لا یجب علیه الخروج، بل لا یصحّ منه الإحرام، فإنّه لو علم بالموت قبل الطواف و السعی و قبل الاشتغال بالأعمال أو قبل أن ینتهی من عمله لا یصحّ منه الإحرام، فإن الإحرام حینئذ لا ینعقد للعمل الناقص</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مات اتّفاقا</w:t>
      </w:r>
      <w:r>
        <w:rPr>
          <w:rStyle w:val="FootnoteAnchor"/>
          <w:rtl w:val="true"/>
        </w:rPr>
        <w:footnoteReference w:id="2329"/>
      </w:r>
      <w:r>
        <w:rPr>
          <w:rFonts w:ascii="IRNazanin" w:hAnsi="IRNazanin" w:eastAsia="IRNazanin"/>
          <w:color w:val="111111"/>
          <w:sz w:val="28"/>
          <w:sz w:val="28"/>
          <w:szCs w:val="28"/>
          <w:rtl w:val="true"/>
          <w:lang w:bidi="fa-IR"/>
        </w:rPr>
        <w:t>بعد الإحرام و دخول الحرم یجزی عن الحجّ</w:t>
      </w:r>
    </w:p>
    <w:p>
      <w:pPr>
        <w:pStyle w:val="BookText"/>
        <w:rPr/>
      </w:pPr>
      <w:r>
        <w:rPr>
          <w:rFonts w:ascii="Amiri" w:hAnsi="Amiri" w:eastAsia="Amiri" w:cs="Amiri"/>
          <w:color w:val="111111"/>
          <w:sz w:val="28"/>
          <w:sz w:val="28"/>
          <w:szCs w:val="28"/>
          <w:rtl w:val="true"/>
          <w:lang w:bidi="ar-SA"/>
        </w:rPr>
        <w:t>للنصّ</w:t>
      </w:r>
      <w:r>
        <w:rPr>
          <w:rStyle w:val="FootnoteAnchor"/>
          <w:rtl w:val="true"/>
        </w:rPr>
        <w:footnoteReference w:id="2330"/>
      </w:r>
      <w:r>
        <w:rPr>
          <w:rFonts w:ascii="IRNazanin" w:hAnsi="IRNazanin" w:eastAsia="IRNazanin"/>
          <w:color w:val="111111"/>
          <w:sz w:val="28"/>
          <w:sz w:val="28"/>
          <w:szCs w:val="28"/>
          <w:rtl w:val="true"/>
          <w:lang w:bidi="fa-IR"/>
        </w:rPr>
        <w:t>، و هذا حکم تعبّدی ثبت فی مورده بدلیل خاصّ</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یستقرّ علیه الحجّ بعد مضیّ زمان یمکن فیه الإتیان بالأرکان جامعا للشرائط، و هو المحکی عن التذکرة</w:t>
      </w:r>
      <w:r>
        <w:rPr>
          <w:rStyle w:val="FootnoteAnchor"/>
          <w:rtl w:val="true"/>
        </w:rPr>
        <w:footnoteReference w:id="2332"/>
      </w:r>
      <w:r>
        <w:rPr>
          <w:rFonts w:ascii="IRNazanin" w:hAnsi="IRNazanin" w:eastAsia="IRNazanin"/>
          <w:color w:val="111111"/>
          <w:sz w:val="28"/>
          <w:sz w:val="28"/>
          <w:szCs w:val="28"/>
          <w:rtl w:val="true"/>
          <w:lang w:bidi="fa-IR"/>
        </w:rPr>
        <w:t>، و لکنّه غیر موجود فیما عندنا من نسخها، و إن کان محتملا</w:t>
      </w:r>
      <w:r>
        <w:rPr>
          <w:rStyle w:val="FootnoteAnchor"/>
          <w:rtl w:val="true"/>
        </w:rPr>
        <w:footnoteReference w:id="2333"/>
      </w:r>
      <w:r>
        <w:rPr>
          <w:rFonts w:ascii="IRNazanin" w:hAnsi="IRNazanin" w:eastAsia="IRNazanin"/>
          <w:color w:val="111111"/>
          <w:sz w:val="28"/>
          <w:sz w:val="28"/>
          <w:szCs w:val="28"/>
          <w:rtl w:val="true"/>
          <w:lang w:bidi="fa-IR"/>
        </w:rPr>
        <w:t>فیکفی بقاء الاستطاعة إلی مضیّ جزء من یوم النحر یمکن فیه الطواف و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الشرائط معتبرة فی جمیع أعمال الحجّ و أفعاله و لا تختصّ بالأرکان، بل هی معتبرة حتّی بعد الانتهاء من الأعمال کتخلیة السرب، فإنّها معتبرة ذهابا و إیابا، و لو علم بعدم تخلیة السرب إیابا لا یجب علیه الحجّ من الأوّل</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یستقرّ علیه إذا کانت الاستطاعة باقیة إلی حین خروج الرفقة، فلو أهمل و لم یخرج معهم استقرّ علیه الحجّ و إن زالت الاستطاعة بعد ذلک؛ لأنّه کان مأمورا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ظاهری لا واقعی، و إنّما تخیّل ثبوت الوجوب علیه، و أمّا فی الواقع فالوجوب غیر ثابت، فلا موجب للاستقرار</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ببقاء الاستطاعة إلی زمان یمکن فیه العود إلی وطنه بالنسبة إلی الاستطاعة المالیّة و البدنیّة و السربیّة و لو کان عالما بحدوث المرض عند العود و قبل الوصول إلی وطنه، و لو بعد انتهاء جمیع</w:t>
      </w:r>
      <w:bookmarkStart w:id="912" w:name="pg11756_104257"/>
    </w:p>
    <w:p>
      <w:pPr>
        <w:pStyle w:val="BookText"/>
        <w:rPr/>
      </w:pPr>
      <w:bookmarkEnd w:id="912"/>
      <w:r>
        <w:rPr>
          <w:rFonts w:ascii="IRNazanin" w:hAnsi="IRNazanin" w:eastAsia="IRNazanin"/>
          <w:color w:val="111111"/>
          <w:sz w:val="28"/>
          <w:sz w:val="28"/>
          <w:szCs w:val="28"/>
          <w:rtl w:val="true"/>
          <w:lang w:bidi="fa-IR"/>
        </w:rPr>
        <w:t>الأعمال لا یجب علیه الحجّ من الأوّل، و لا یستقرّ علیه إذا زالت الاستطاعة قبل إمکان الرجوع إلی مقرّه، فإنّ فقد بعض هذه الشروط یکشف عن عدم الوجوب واقعا من أوّل الأمر، و أنّ وجوب الحجّ مع الرفقة کان حکما ظاهریّا، اختاره السیّد الیزدی فی العروة</w:t>
      </w:r>
      <w:r>
        <w:rPr>
          <w:rStyle w:val="FootnoteAnchor"/>
          <w:rtl w:val="true"/>
        </w:rPr>
        <w:footnoteReference w:id="2336"/>
      </w:r>
      <w:r>
        <w:rPr>
          <w:rFonts w:ascii="IRNazanin" w:hAnsi="IRNazanin" w:eastAsia="IRNazanin"/>
          <w:color w:val="111111"/>
          <w:sz w:val="28"/>
          <w:sz w:val="28"/>
          <w:szCs w:val="28"/>
          <w:rtl w:val="true"/>
          <w:lang w:bidi="fa-IR"/>
        </w:rPr>
        <w:t>، و کذا جماعة من الأعلام الذین علّقوا علیها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الخوئی</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أدلّة الأقوال یطلب مجالا واسعا، و لأجل عدم اختصاص المسألة بالصبیّ ترکناها؛ خوفا من التطویل، و من أرادها فلیراجع المطوّلات</w:t>
      </w:r>
      <w:r>
        <w:rPr>
          <w:rFonts w:eastAsia="IRNazanin" w:cs="IRNazanin"/>
          <w:color w:val="111111"/>
          <w:sz w:val="28"/>
          <w:szCs w:val="28"/>
          <w:rtl w:val="true"/>
          <w:lang w:bidi="fa-IR"/>
        </w:rPr>
        <w:t>.</w:t>
      </w:r>
    </w:p>
    <w:p>
      <w:pPr>
        <w:pStyle w:val="Heading4"/>
        <w:numPr>
          <w:ilvl w:val="3"/>
          <w:numId w:val="1"/>
        </w:numPr>
        <w:rPr/>
      </w:pPr>
      <w:bookmarkStart w:id="913" w:name="__RefHeading___Toc9644095_73709187"/>
      <w:bookmarkStart w:id="914" w:name="_Toc342"/>
      <w:bookmarkEnd w:id="913"/>
      <w:r>
        <w:rPr>
          <w:rtl w:val="true"/>
        </w:rPr>
        <w:t>بلوغ الصبیّ فی أثناء النسک عند أهل السنّة</w:t>
      </w:r>
      <w:bookmarkEnd w:id="914"/>
    </w:p>
    <w:p>
      <w:pPr>
        <w:pStyle w:val="BookText"/>
        <w:rPr/>
      </w:pPr>
      <w:r>
        <w:rPr>
          <w:rFonts w:ascii="IRNazanin" w:hAnsi="IRNazanin" w:eastAsia="IRNazanin"/>
          <w:color w:val="111111"/>
          <w:sz w:val="28"/>
          <w:sz w:val="28"/>
          <w:szCs w:val="28"/>
          <w:rtl w:val="true"/>
          <w:lang w:bidi="fa-IR"/>
        </w:rPr>
        <w:t>إن بلغ الصبیّ قبل الوقوف بعرفة فأحرم و وقف بعرفة و أتی المناسک، فهل یجزیه عن حجّة الإسلام؟ اختلفوا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الحنفیّة و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بلغ الصبیّ الحلم بعد ما أحرم فمضی فی نسکه علی إحرامه الأوّل صحّ حجّه تطوّعا، و لم یجزه حجّه عن فرض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فقه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الصبیّ العاقل ثمّ بلغ قبل الوقوف بعرفة أو فی حال الوقوف، فإن مضی علی إحرامه یکون حجّه تطوّعا و لم یجزه عن حجّة الإسلام؛ لأنّ إحرامه انعقد أوّلا نفلا، فلا ینعقد لأداء الفرض</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فقه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الصبیّ قبل البلوغ ثمّ بلغ فی أثناء الحجّ فلا ینقلب</w:t>
      </w:r>
    </w:p>
    <w:p>
      <w:pPr>
        <w:pStyle w:val="BookText"/>
        <w:rPr/>
      </w:pPr>
      <w:r>
        <w:rPr>
          <w:rFonts w:ascii="IRNazanin" w:hAnsi="IRNazanin" w:eastAsia="IRNazanin"/>
          <w:color w:val="111111"/>
          <w:sz w:val="28"/>
          <w:sz w:val="28"/>
          <w:szCs w:val="28"/>
          <w:rtl w:val="true"/>
          <w:lang w:bidi="fa-IR"/>
        </w:rPr>
        <w:t>ذلک الإحرام فرضا، و لا یرفض إحرامه السابق، و لا یجوز له أن یجدّد إحراما بعد البلوغ، و لو رفضه و نوی الإحرام لحجّ الفرضی لم یرتفض، و هو باق علی إحرامه السابق، و کان الإحرام الثانی بمنزلة العدم، و فی حکم الصبیّ الصبیّة</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بعض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جدّد الصبیّ الإحرام قبل الوقوف بعرفة و نوی حجّة الإسلام بأن یرجع إلی میقات من المواقیت، و جدّد التلبیة لحجّ الفرض و أتمّ أعمال الحجّ من وقوف و زیارة و سعی و غیرها یجزی عن حجّة الإسلام</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و الحنابلة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الصبیّ فی أثناء الحجّ ینظر إلی حاله من الوقوف فینقسم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بعد خروج وقت الوقوف أو قبل خروجه و بعد مفارقة عرفات لکن لم یعد إلیها بعد البلوغ، فهذا لا یجزیه حجّه عن حجّة الإسلام؛ لأنّه لم یدرک وقت العبادة فأشبه من أدرک الإمام بعد فوات الرکوع</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فی حال الوقوف أو یبلغ بعد وقوفه بعرفة، فیعود و یقف بها فی وقت الوقوف، أی قبل طلوع فجر یوم النحر، فهذا یجزیه حجّه عن حجّة الإسلام؛ لأنّه وقف بعرفات کاملا فأجزأه عن حجّة الإسلام، و لکن یجب علیه إعادة السعی إن کان سعی عقیب طواف القدوم</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bookmarkStart w:id="915" w:name="pg11756_104259"/>
    </w:p>
    <w:p>
      <w:pPr>
        <w:pStyle w:val="Heading3"/>
        <w:numPr>
          <w:ilvl w:val="2"/>
          <w:numId w:val="1"/>
        </w:numPr>
        <w:rPr/>
      </w:pPr>
      <w:bookmarkStart w:id="916" w:name="__RefHeading___Toc9644097_73709187"/>
      <w:bookmarkStart w:id="917" w:name="_Toc343"/>
      <w:bookmarkEnd w:id="915"/>
      <w:bookmarkEnd w:id="916"/>
      <w:r>
        <w:rPr>
          <w:rtl w:val="true"/>
        </w:rPr>
        <w:t>المبحث السابع عشر</w:t>
      </w:r>
      <w:r>
        <w:rPr>
          <w:rtl w:val="true"/>
        </w:rPr>
        <w:t xml:space="preserve">: </w:t>
      </w:r>
      <w:r>
        <w:rPr>
          <w:rtl w:val="true"/>
        </w:rPr>
        <w:t>نیابة الصبیّ فی الحجّ و النیابة عنه</w:t>
      </w:r>
      <w:bookmarkEnd w:id="917"/>
    </w:p>
    <w:p>
      <w:pPr>
        <w:pStyle w:val="Heading4"/>
        <w:numPr>
          <w:ilvl w:val="3"/>
          <w:numId w:val="1"/>
        </w:numPr>
        <w:rPr/>
      </w:pPr>
      <w:bookmarkStart w:id="918" w:name="__RefHeading___Toc9644099_73709187"/>
      <w:bookmarkStart w:id="919" w:name="_Toc344"/>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الصبیّ إمّا ممیّز و إمّا غیر ممیّز، و النیابة عن الغیر تارة تکون فی الحجّ الواجب، و اخری فی الحجّ المندوب، و ثالثة فی بعض أفعال الحجّ کالطواف، و قد عقدنا هذا المبحث للتحقیق فی هذه المسائل فی مقامات ثلاث</w:t>
      </w:r>
      <w:r>
        <w:rPr>
          <w:rFonts w:eastAsia="IRNazanin" w:cs="IRNazanin"/>
          <w:color w:val="111111"/>
          <w:sz w:val="28"/>
          <w:szCs w:val="28"/>
          <w:rtl w:val="true"/>
          <w:lang w:bidi="fa-IR"/>
        </w:rPr>
        <w:t>.</w:t>
      </w:r>
    </w:p>
    <w:p>
      <w:pPr>
        <w:pStyle w:val="Heading4"/>
        <w:numPr>
          <w:ilvl w:val="3"/>
          <w:numId w:val="1"/>
        </w:numPr>
        <w:rPr/>
      </w:pPr>
      <w:bookmarkStart w:id="920" w:name="__RefHeading___Toc9644101_73709187"/>
      <w:bookmarkStart w:id="921" w:name="_Toc345"/>
      <w:bookmarkEnd w:id="920"/>
      <w:r>
        <w:rPr>
          <w:rtl w:val="true"/>
        </w:rPr>
        <w:t>الأوّل</w:t>
      </w:r>
      <w:r>
        <w:rPr>
          <w:rtl w:val="true"/>
        </w:rPr>
        <w:t xml:space="preserve">: </w:t>
      </w:r>
      <w:r>
        <w:rPr>
          <w:rtl w:val="true"/>
        </w:rPr>
        <w:t>نیابة الصبیّ غیر الممیّز</w:t>
      </w:r>
      <w:bookmarkEnd w:id="921"/>
    </w:p>
    <w:p>
      <w:pPr>
        <w:pStyle w:val="BookText"/>
        <w:rPr/>
      </w:pPr>
      <w:r>
        <w:rPr>
          <w:rFonts w:ascii="IRNazanin" w:hAnsi="IRNazanin" w:eastAsia="IRNazanin"/>
          <w:color w:val="111111"/>
          <w:sz w:val="28"/>
          <w:sz w:val="28"/>
          <w:szCs w:val="28"/>
          <w:rtl w:val="true"/>
          <w:lang w:bidi="fa-IR"/>
        </w:rPr>
        <w:t>لا خلاف فی عدم صحّة نیابة الصبیّ غیر الممیّز عن غیره، بل ثبت الإجماع القطعی علی ذلک،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نیابة المجنون؛ لأنّه لیس من أهل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 غیر الممیّز، و لیس للولیّ أن یحرم به نائبا عن غیره؛ لأنّه لا حکم لنیّة الولیّ إلاّ فی حقّ الصبیّ؛ عملا بالنصّ فلا یؤثّر فی غیره</w:t>
      </w:r>
      <w:r>
        <w:rPr>
          <w:rFonts w:eastAsia="IRNazanin" w:cs="IRNazanin"/>
          <w:color w:val="111111"/>
          <w:sz w:val="28"/>
          <w:szCs w:val="28"/>
          <w:rtl w:val="true"/>
          <w:lang w:bidi="fa-IR"/>
        </w:rPr>
        <w:t>»</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النائب 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نیابة المجنون</w:t>
      </w:r>
    </w:p>
    <w:p>
      <w:pPr>
        <w:pStyle w:val="BookText"/>
        <w:rPr/>
      </w:pPr>
      <w:r>
        <w:rPr>
          <w:rFonts w:ascii="IRNazanin" w:hAnsi="IRNazanin" w:eastAsia="IRNazanin"/>
          <w:color w:val="111111"/>
          <w:sz w:val="28"/>
          <w:sz w:val="28"/>
          <w:szCs w:val="28"/>
          <w:rtl w:val="true"/>
          <w:lang w:bidi="fa-IR"/>
        </w:rPr>
        <w:t>و لا الصبیّ غیر الممیّز لارتفاع تحقّق القصد منهما</w:t>
      </w:r>
      <w:r>
        <w:rPr>
          <w:rFonts w:eastAsia="IRNazanin" w:cs="IRNazanin"/>
          <w:color w:val="111111"/>
          <w:sz w:val="28"/>
          <w:szCs w:val="28"/>
          <w:rtl w:val="true"/>
          <w:lang w:bidi="fa-IR"/>
        </w:rPr>
        <w:t>»</w:t>
      </w:r>
      <w:r>
        <w:rPr>
          <w:rStyle w:val="FootnoteAnchor"/>
          <w:rtl w:val="true"/>
        </w:rPr>
        <w:footnoteReference w:id="2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344"/>
      </w:r>
      <w:r>
        <w:rPr>
          <w:rFonts w:ascii="IRNazanin" w:hAnsi="IRNazanin" w:eastAsia="IRNazanin"/>
          <w:color w:val="111111"/>
          <w:sz w:val="28"/>
          <w:sz w:val="28"/>
          <w:szCs w:val="28"/>
          <w:rtl w:val="true"/>
          <w:lang w:bidi="fa-IR"/>
        </w:rPr>
        <w:t>و الدروس</w:t>
      </w:r>
      <w:r>
        <w:rPr>
          <w:rStyle w:val="FootnoteAnchor"/>
          <w:rtl w:val="true"/>
        </w:rPr>
        <w:footnoteReference w:id="2345"/>
      </w:r>
      <w:r>
        <w:rPr>
          <w:rFonts w:ascii="IRNazanin" w:hAnsi="IRNazanin" w:eastAsia="IRNazanin"/>
          <w:color w:val="111111"/>
          <w:sz w:val="28"/>
          <w:sz w:val="28"/>
          <w:szCs w:val="28"/>
          <w:rtl w:val="true"/>
          <w:lang w:bidi="fa-IR"/>
        </w:rPr>
        <w:t>و مدارک الأحکام</w:t>
      </w:r>
      <w:r>
        <w:rPr>
          <w:rStyle w:val="FootnoteAnchor"/>
          <w:rtl w:val="true"/>
        </w:rPr>
        <w:footnoteReference w:id="2346"/>
      </w:r>
      <w:r>
        <w:rPr>
          <w:rFonts w:ascii="Amiri" w:hAnsi="Amiri" w:eastAsia="Amiri" w:cs="Amiri"/>
          <w:color w:val="111111"/>
          <w:sz w:val="28"/>
          <w:sz w:val="28"/>
          <w:szCs w:val="28"/>
          <w:rtl w:val="true"/>
          <w:lang w:bidi="ar-SA"/>
        </w:rPr>
        <w:t>و مجمع الفائدة</w:t>
      </w:r>
      <w:r>
        <w:rPr>
          <w:rStyle w:val="FootnoteAnchor"/>
          <w:rtl w:val="true"/>
        </w:rPr>
        <w:footnoteReference w:id="2347"/>
      </w:r>
      <w:r>
        <w:rPr>
          <w:rFonts w:ascii="IRNazanin" w:hAnsi="IRNazanin" w:eastAsia="IRNazanin"/>
          <w:color w:val="111111"/>
          <w:sz w:val="28"/>
          <w:sz w:val="28"/>
          <w:szCs w:val="28"/>
          <w:rtl w:val="true"/>
          <w:lang w:bidi="fa-IR"/>
        </w:rPr>
        <w:t>و الحدائق</w:t>
      </w:r>
      <w:r>
        <w:rPr>
          <w:rStyle w:val="FootnoteAnchor"/>
          <w:rtl w:val="true"/>
        </w:rPr>
        <w:footnoteReference w:id="2348"/>
      </w:r>
      <w:r>
        <w:rPr>
          <w:rFonts w:ascii="IRNazanin" w:hAnsi="IRNazanin" w:eastAsia="IRNazanin"/>
          <w:color w:val="111111"/>
          <w:sz w:val="28"/>
          <w:sz w:val="28"/>
          <w:szCs w:val="28"/>
          <w:rtl w:val="true"/>
          <w:lang w:bidi="fa-IR"/>
        </w:rPr>
        <w:t>و الجواهر</w:t>
      </w:r>
      <w:r>
        <w:rPr>
          <w:rStyle w:val="FootnoteAnchor"/>
          <w:rtl w:val="true"/>
        </w:rPr>
        <w:footnoteReference w:id="2349"/>
      </w:r>
      <w:r>
        <w:rPr>
          <w:rFonts w:ascii="IRNazanin" w:hAnsi="IRNazanin" w:eastAsia="IRNazanin"/>
          <w:color w:val="111111"/>
          <w:sz w:val="28"/>
          <w:sz w:val="28"/>
          <w:szCs w:val="28"/>
          <w:rtl w:val="true"/>
          <w:lang w:bidi="fa-IR"/>
        </w:rPr>
        <w:t>و مفاتیح الشرائع</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ادّعی فی کشف اللّثام الاتّفاق علیه</w:t>
      </w:r>
      <w:r>
        <w:rPr>
          <w:rStyle w:val="FootnoteAnchor"/>
          <w:rtl w:val="true"/>
        </w:rPr>
        <w:footnoteReference w:id="2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 لا إشکال</w:t>
      </w:r>
      <w:r>
        <w:rPr>
          <w:rFonts w:eastAsia="IRNazanin" w:cs="IRNazanin"/>
          <w:color w:val="111111"/>
          <w:sz w:val="28"/>
          <w:szCs w:val="28"/>
          <w:rtl w:val="true"/>
          <w:lang w:bidi="fa-IR"/>
        </w:rPr>
        <w:t>»</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المحقّق و المحکی</w:t>
      </w:r>
      <w:r>
        <w:rPr>
          <w:rFonts w:eastAsia="IRNazanin" w:cs="IRNazanin"/>
          <w:color w:val="111111"/>
          <w:sz w:val="28"/>
          <w:szCs w:val="28"/>
          <w:rtl w:val="true"/>
          <w:lang w:bidi="fa-IR"/>
        </w:rPr>
        <w:t>»</w:t>
      </w:r>
      <w:r>
        <w:rPr>
          <w:rStyle w:val="FootnoteAnchor"/>
          <w:rtl w:val="true"/>
        </w:rPr>
        <w:footnoteReference w:id="2353"/>
      </w:r>
      <w:r>
        <w:rPr>
          <w:rFonts w:ascii="IRNazanin" w:hAnsi="IRNazanin" w:eastAsia="IRNazanin"/>
          <w:color w:val="111111"/>
          <w:sz w:val="28"/>
          <w:sz w:val="28"/>
          <w:szCs w:val="28"/>
          <w:rtl w:val="true"/>
          <w:lang w:bidi="fa-IR"/>
        </w:rPr>
        <w:t>، و صرّح به أیضا جماعة من أعلام العصر</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کما تقدّم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تمشّی القصد المعتبر فی العبادات منه، فلا یکون الصادر منه فعلا عبادیّا</w:t>
      </w:r>
      <w:r>
        <w:rPr>
          <w:rFonts w:eastAsia="IRNazanin" w:cs="IRNazanin"/>
          <w:color w:val="111111"/>
          <w:sz w:val="28"/>
          <w:szCs w:val="28"/>
          <w:rtl w:val="true"/>
          <w:lang w:bidi="fa-IR"/>
        </w:rPr>
        <w:t>.</w:t>
      </w:r>
      <w:bookmarkStart w:id="922" w:name="pg11756_104261"/>
    </w:p>
    <w:p>
      <w:pPr>
        <w:pStyle w:val="BookText"/>
        <w:rPr/>
      </w:pPr>
      <w:bookmarkEnd w:id="922"/>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کمال العقل معتبر فی النائب بلا خلاف بین الأصحاب، و الصبیّ غیر الممیّز لم یکن کذلک، مضافا إلی أنّ النیابة علی خلاف الأصل فلا تثبت لغیر الممیّز، و المفروض أنّه لا دلیل علی جوازها فی حقّه، بل الدلیل علی خلافه</w:t>
      </w:r>
      <w:r>
        <w:rPr>
          <w:rFonts w:eastAsia="IRNazanin" w:cs="IRNazanin"/>
          <w:color w:val="111111"/>
          <w:sz w:val="28"/>
          <w:szCs w:val="28"/>
          <w:rtl w:val="true"/>
          <w:lang w:bidi="fa-IR"/>
        </w:rPr>
        <w:t>.</w:t>
      </w:r>
    </w:p>
    <w:p>
      <w:pPr>
        <w:pStyle w:val="Heading4"/>
        <w:numPr>
          <w:ilvl w:val="3"/>
          <w:numId w:val="1"/>
        </w:numPr>
        <w:rPr/>
      </w:pPr>
      <w:bookmarkStart w:id="923" w:name="__RefHeading___Toc9644103_73709187"/>
      <w:bookmarkStart w:id="924" w:name="_Toc346"/>
      <w:bookmarkEnd w:id="923"/>
      <w:r>
        <w:rPr>
          <w:rtl w:val="true"/>
        </w:rPr>
        <w:t>المقام الثانی</w:t>
      </w:r>
      <w:r>
        <w:rPr>
          <w:rtl w:val="true"/>
        </w:rPr>
        <w:t xml:space="preserve">: </w:t>
      </w:r>
      <w:r>
        <w:rPr>
          <w:rtl w:val="true"/>
        </w:rPr>
        <w:t>نیابة الصبیّ الممیّز</w:t>
      </w:r>
      <w:bookmarkEnd w:id="924"/>
    </w:p>
    <w:p>
      <w:pPr>
        <w:pStyle w:val="Heading5"/>
        <w:numPr>
          <w:ilvl w:val="4"/>
          <w:numId w:val="1"/>
        </w:numPr>
        <w:rPr/>
      </w:pPr>
      <w:bookmarkStart w:id="925" w:name="__RefHeading___Toc9644105_73709187"/>
      <w:bookmarkStart w:id="926" w:name="_Toc347"/>
      <w:bookmarkEnd w:id="925"/>
      <w:r>
        <w:rPr>
          <w:rtl w:val="true"/>
        </w:rPr>
        <w:t>اشارة</w:t>
      </w:r>
      <w:bookmarkEnd w:id="926"/>
    </w:p>
    <w:p>
      <w:pPr>
        <w:pStyle w:val="BookText"/>
        <w:rPr/>
      </w:pPr>
      <w:r>
        <w:rPr>
          <w:rFonts w:ascii="IRNazanin" w:hAnsi="IRNazanin" w:eastAsia="IRNazanin"/>
          <w:color w:val="111111"/>
          <w:sz w:val="28"/>
          <w:sz w:val="28"/>
          <w:szCs w:val="28"/>
          <w:rtl w:val="true"/>
          <w:lang w:bidi="fa-IR"/>
        </w:rPr>
        <w:t>و البحث عنه أیضا فی جهتین</w:t>
      </w:r>
      <w:r>
        <w:rPr>
          <w:rFonts w:eastAsia="IRNazanin" w:cs="IRNazanin"/>
          <w:color w:val="111111"/>
          <w:sz w:val="28"/>
          <w:szCs w:val="28"/>
          <w:rtl w:val="true"/>
          <w:lang w:bidi="fa-IR"/>
        </w:rPr>
        <w:t>:</w:t>
      </w:r>
    </w:p>
    <w:p>
      <w:pPr>
        <w:pStyle w:val="Heading5"/>
        <w:numPr>
          <w:ilvl w:val="4"/>
          <w:numId w:val="1"/>
        </w:numPr>
        <w:rPr/>
      </w:pPr>
      <w:bookmarkStart w:id="927" w:name="__RefHeading___Toc9644107_73709187"/>
      <w:bookmarkStart w:id="928" w:name="_Toc348"/>
      <w:bookmarkEnd w:id="927"/>
      <w:r>
        <w:rPr>
          <w:rtl w:val="true"/>
        </w:rPr>
        <w:t>الاولی</w:t>
      </w:r>
      <w:r>
        <w:rPr>
          <w:rtl w:val="true"/>
        </w:rPr>
        <w:t xml:space="preserve">: </w:t>
      </w:r>
      <w:r>
        <w:rPr>
          <w:rtl w:val="true"/>
        </w:rPr>
        <w:t>نیابته علی فرض عدم مشروعیّة عباداته</w:t>
      </w:r>
      <w:bookmarkEnd w:id="928"/>
    </w:p>
    <w:p>
      <w:pPr>
        <w:pStyle w:val="BookText"/>
        <w:rPr/>
      </w:pPr>
      <w:r>
        <w:rPr>
          <w:rFonts w:ascii="IRNazanin" w:hAnsi="IRNazanin" w:eastAsia="IRNazanin"/>
          <w:color w:val="111111"/>
          <w:sz w:val="28"/>
          <w:sz w:val="28"/>
          <w:szCs w:val="28"/>
          <w:rtl w:val="true"/>
          <w:lang w:bidi="fa-IR"/>
        </w:rPr>
        <w:t>علی تقدیر عدم مشروعیّة عبادات الصبیّ و أنّها تمرینیّة فلا ریب فی عدم صحّة نیابته، و لکن قال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القول بصحّة النیابة إن کان لدلیلها إطلاق و لو قیل بکون عباداته تمرینیّة</w:t>
      </w:r>
      <w:r>
        <w:rPr>
          <w:rFonts w:eastAsia="IRNazanin" w:cs="IRNazanin"/>
          <w:color w:val="111111"/>
          <w:sz w:val="28"/>
          <w:szCs w:val="28"/>
          <w:rtl w:val="true"/>
          <w:lang w:bidi="fa-IR"/>
        </w:rPr>
        <w:t>»</w:t>
      </w:r>
      <w:r>
        <w:rPr>
          <w:rStyle w:val="FootnoteAnchor"/>
          <w:rtl w:val="true"/>
        </w:rPr>
        <w:footnoteReference w:id="2355"/>
      </w:r>
      <w:r>
        <w:rPr>
          <w:rFonts w:ascii="IRNazanin" w:hAnsi="IRNazanin" w:eastAsia="IRNazanin"/>
          <w:color w:val="111111"/>
          <w:sz w:val="28"/>
          <w:sz w:val="28"/>
          <w:szCs w:val="28"/>
          <w:rtl w:val="true"/>
          <w:lang w:bidi="fa-IR"/>
        </w:rPr>
        <w:t>، و قریب من هذا فی المستند</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لو بنی علی کون عباداته تمرینیّة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صحّة نیابته عن غیره فی الحجّ و غیره من العبادات المشروعة فی حقّ المنوب عنه؛ لأنّ النائب یتعبّد بأمر المنوب عنه لا بأمره، و لذا تصحّ نیابة غیر المستطیع عن المستطیع فی حجّ الإسلام، و نیابة من أدّی فریضة الظهر عن غیره فی فریضته، و إن لم یکن حجّ الإسلام أو فریضة الظهر مشروعة فی حقّه</w:t>
      </w:r>
      <w:r>
        <w:rPr>
          <w:rFonts w:eastAsia="IRNazanin" w:cs="IRNazanin"/>
          <w:color w:val="111111"/>
          <w:sz w:val="28"/>
          <w:szCs w:val="28"/>
          <w:rtl w:val="true"/>
          <w:lang w:bidi="fa-IR"/>
        </w:rPr>
        <w:t>»</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کونها تمرینیّة تارة بمعنی أنّها لیست موضوعا لأمر شرعی، بناء علی أنّ الأمر بالأمر لیس أمرا، و اخری أنّها مأمور بها بالأمر الشرعی؛ لأنّ الأمر بالأمر أمر، لکنّ الغرض من الأمر هو التمرین لا المصلحة الموجبة للأمر المتوجّه إلی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ذلک من الجواهر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المختار عندنا صحّة عمله، لکن علی وجه التمرین لا علی کیفیّة أمر المکلّف بالنافلة مثلا؛ لاختصاص ما عدا ذلک بالمکلّفین؛ لأنّ الحکم الشرعی خطاب اللّه المتعلّق بأفعالهم، من غیر فرق بین خطاب الوجوب و الحرمة، و الندب و الکراهة، بل لا یبعد إلحاق خطاب الإباحة بها، و أنّ عدم مؤاخذة الصبیّ لارتفاع القلم عنه کالمجنون لا لأنّه مخاطب بالخطاب الإباحی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 ذلک لو قیل بأنّ التمرین فیه نحو تمرین الحیوانات علی بعض الأعمال، فإنّه لا مشروعیّة لفعله من حیث نفسه أصلا</w:t>
      </w:r>
      <w:r>
        <w:rPr>
          <w:rFonts w:eastAsia="IRNazanin" w:cs="IRNazanin"/>
          <w:color w:val="111111"/>
          <w:sz w:val="28"/>
          <w:szCs w:val="28"/>
          <w:rtl w:val="true"/>
          <w:lang w:bidi="fa-IR"/>
        </w:rPr>
        <w:t>»</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علی فرض تمرینیّة عبادات الصبیّ لا یمکن تصحیح نیابته و إن قلنا بثبوت الإطلاق فی أدلّة النّیابة؛ لأنّ معنی التمرینیّة هو أنّ عباداته لیست عبادة فی الحقیقة لتقع عن الغیر، بل علی صورة العبادة و شکلها، و لیست فیها ما یعتبر فی العبادة، فینصرف إطلاق النصوص</w:t>
      </w:r>
      <w:r>
        <w:rPr>
          <w:rStyle w:val="FootnoteAnchor"/>
          <w:rtl w:val="true"/>
        </w:rPr>
        <w:footnoteReference w:id="2359"/>
      </w:r>
      <w:r>
        <w:rPr>
          <w:rFonts w:ascii="IRNazanin" w:hAnsi="IRNazanin" w:eastAsia="IRNazanin"/>
          <w:color w:val="111111"/>
          <w:sz w:val="28"/>
          <w:sz w:val="28"/>
          <w:szCs w:val="28"/>
          <w:rtl w:val="true"/>
          <w:lang w:bidi="fa-IR"/>
        </w:rPr>
        <w:t>عن شموله لذلک العمل قطعا، و لا أقلّ من الشکّ فی ذلک، و أمّا قصد أمر المنوب عنه فلا یفید؛ حیث إنّ فعل</w:t>
      </w:r>
      <w:bookmarkStart w:id="929" w:name="pg11756_104263"/>
    </w:p>
    <w:p>
      <w:pPr>
        <w:pStyle w:val="BookText"/>
        <w:rPr/>
      </w:pPr>
      <w:bookmarkEnd w:id="929"/>
      <w:r>
        <w:rPr>
          <w:rFonts w:ascii="IRNazanin" w:hAnsi="IRNazanin" w:eastAsia="IRNazanin"/>
          <w:color w:val="111111"/>
          <w:sz w:val="28"/>
          <w:sz w:val="28"/>
          <w:szCs w:val="28"/>
          <w:rtl w:val="true"/>
          <w:lang w:bidi="fa-IR"/>
        </w:rPr>
        <w:t>الصبیّ صورة عبادة لا حقیقتها، و لیست صحیحة فی نفسها، فکیف تقع عن الغیر بقصد أمر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فعله غیر المستطیع الّذی یقصد أمر المستطیع؛ لأنّ فعله صحیح فی نفسه فیمکن أن یقع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نیابة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عباداته عن الشرعیّة و إنّما هی تمرینیّة، فلا یجزی عمّن یجب علیه أو یندب إلیها؛ لأنّ التّمرینیّة و إن استحقّ الثواب علیها لیست بواجبة و لا مندوبة؛ لاختصاصها بالمکلّف</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9644109_73709187"/>
      <w:bookmarkStart w:id="931" w:name="_Toc349"/>
      <w:bookmarkEnd w:id="930"/>
      <w:r>
        <w:rPr>
          <w:rtl w:val="true"/>
        </w:rPr>
        <w:t>الجهة الثانیة</w:t>
      </w:r>
      <w:r>
        <w:rPr>
          <w:rtl w:val="true"/>
        </w:rPr>
        <w:t xml:space="preserve">: </w:t>
      </w:r>
      <w:r>
        <w:rPr>
          <w:rtl w:val="true"/>
        </w:rPr>
        <w:t>نیابة الصبیّ علی تقدیر مشروعیّة عباداته</w:t>
      </w:r>
      <w:bookmarkEnd w:id="931"/>
    </w:p>
    <w:p>
      <w:pPr>
        <w:pStyle w:val="Heading6"/>
        <w:numPr>
          <w:ilvl w:val="5"/>
          <w:numId w:val="1"/>
        </w:numPr>
        <w:rPr/>
      </w:pPr>
      <w:bookmarkStart w:id="932" w:name="__RefHeading___Toc9644111_73709187"/>
      <w:bookmarkStart w:id="933" w:name="_Toc350"/>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 xml:space="preserve">علی تقدیر مشروعیّة عبادات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نیابته فی الحجّ عن غیره؟ اختلف الفقهاء فی ذلک علی أربعة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یصحّ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بین الفقهاء عدم صحّة نیابة الصبیّ الممیّز عن غیره فی الحجّ مطلقا، أی سواء کان الحجّ واجبا أو مندوبا، و سواء کان عن المیّت أو عن الحیّ، بالإجارة أو بالتبرّع، بإذن الولیّ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الصبیّ فلا یصحّ أن یحجّ عن غیره؛ لأنّه لیس بمکلّف تصحّ منه العبادة</w:t>
      </w:r>
      <w:r>
        <w:rPr>
          <w:rFonts w:eastAsia="IRNazanin" w:cs="IRNazanin"/>
          <w:color w:val="111111"/>
          <w:sz w:val="28"/>
          <w:szCs w:val="28"/>
          <w:rtl w:val="true"/>
          <w:lang w:bidi="fa-IR"/>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الصبیّ الممیّز تردّد؛ لأنّه لا یصحّ منه الاستقلال بالحجّ، و الأشبه أنّه لا یصحّ نیابة</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 و المختلف</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bookmarkStart w:id="934" w:name="pg11756_104264"/>
    </w:p>
    <w:p>
      <w:pPr>
        <w:pStyle w:val="BookText"/>
        <w:rPr/>
      </w:pPr>
      <w:bookmarkEnd w:id="934"/>
      <w:r>
        <w:rPr>
          <w:rFonts w:ascii="IRNazanin" w:hAnsi="IRNazanin" w:eastAsia="IRNazanin"/>
          <w:color w:val="111111"/>
          <w:sz w:val="28"/>
          <w:sz w:val="28"/>
          <w:szCs w:val="28"/>
          <w:rtl w:val="true"/>
          <w:lang w:bidi="fa-IR"/>
        </w:rPr>
        <w:t>و فی القواعد</w:t>
      </w:r>
      <w:r>
        <w:rPr>
          <w:rStyle w:val="FootnoteAnchor"/>
          <w:rtl w:val="true"/>
        </w:rPr>
        <w:footnoteReference w:id="2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علی رأی، و کذا فی جامع المقاصد</w:t>
      </w:r>
      <w:r>
        <w:rPr>
          <w:rStyle w:val="FootnoteAnchor"/>
          <w:rtl w:val="true"/>
        </w:rPr>
        <w:footnoteReference w:id="2366"/>
      </w:r>
      <w:r>
        <w:rPr>
          <w:rFonts w:ascii="IRNazanin" w:hAnsi="IRNazanin" w:eastAsia="IRNazanin"/>
          <w:color w:val="111111"/>
          <w:sz w:val="28"/>
          <w:sz w:val="28"/>
          <w:szCs w:val="28"/>
          <w:rtl w:val="true"/>
          <w:lang w:bidi="fa-IR"/>
        </w:rPr>
        <w:t>، و اختاره فی المسالک</w:t>
      </w:r>
      <w:r>
        <w:rPr>
          <w:rStyle w:val="FootnoteAnchor"/>
          <w:rtl w:val="true"/>
        </w:rPr>
        <w:footnoteReference w:id="2367"/>
      </w:r>
      <w:r>
        <w:rPr>
          <w:rFonts w:ascii="IRNazanin" w:hAnsi="IRNazanin" w:eastAsia="IRNazanin"/>
          <w:color w:val="111111"/>
          <w:sz w:val="28"/>
          <w:sz w:val="28"/>
          <w:szCs w:val="28"/>
          <w:rtl w:val="true"/>
          <w:lang w:bidi="fa-IR"/>
        </w:rPr>
        <w:t>و الحدائق</w:t>
      </w:r>
      <w:r>
        <w:rPr>
          <w:rStyle w:val="FootnoteAnchor"/>
          <w:rtl w:val="true"/>
        </w:rPr>
        <w:footnoteReference w:id="2368"/>
      </w:r>
      <w:r>
        <w:rPr>
          <w:rFonts w:ascii="IRNazanin" w:hAnsi="IRNazanin" w:eastAsia="IRNazanin"/>
          <w:color w:val="111111"/>
          <w:sz w:val="28"/>
          <w:sz w:val="28"/>
          <w:szCs w:val="28"/>
          <w:rtl w:val="true"/>
          <w:lang w:bidi="fa-IR"/>
        </w:rPr>
        <w:t>و التنقیح الرائع</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القول بالمنع</w:t>
      </w:r>
      <w:r>
        <w:rPr>
          <w:rStyle w:val="FootnoteAnchor"/>
          <w:rtl w:val="true"/>
        </w:rPr>
        <w:footnoteReference w:id="2370"/>
      </w:r>
      <w:r>
        <w:rPr>
          <w:rFonts w:ascii="IRNazanin" w:hAnsi="IRNazanin" w:eastAsia="IRNazanin"/>
          <w:color w:val="111111"/>
          <w:sz w:val="28"/>
          <w:sz w:val="28"/>
          <w:szCs w:val="28"/>
          <w:rtl w:val="true"/>
          <w:lang w:bidi="fa-IR"/>
        </w:rPr>
        <w:t>، و اختاره فی الریاض</w:t>
      </w:r>
      <w:r>
        <w:rPr>
          <w:rStyle w:val="FootnoteAnchor"/>
          <w:rtl w:val="true"/>
        </w:rPr>
        <w:footnoteReference w:id="2371"/>
      </w:r>
      <w:r>
        <w:rPr>
          <w:rFonts w:ascii="IRNazanin" w:hAnsi="IRNazanin" w:eastAsia="IRNazanin"/>
          <w:color w:val="111111"/>
          <w:sz w:val="28"/>
          <w:sz w:val="28"/>
          <w:szCs w:val="28"/>
          <w:rtl w:val="true"/>
          <w:lang w:bidi="fa-IR"/>
        </w:rPr>
        <w:t>و کشف اللّثام</w:t>
      </w:r>
      <w:r>
        <w:rPr>
          <w:rStyle w:val="FootnoteAnchor"/>
          <w:rtl w:val="true"/>
        </w:rPr>
        <w:footnoteReference w:id="2372"/>
      </w:r>
      <w:r>
        <w:rPr>
          <w:rFonts w:ascii="IRNazanin" w:hAnsi="IRNazanin" w:eastAsia="IRNazanin"/>
          <w:color w:val="111111"/>
          <w:sz w:val="28"/>
          <w:sz w:val="28"/>
          <w:szCs w:val="28"/>
          <w:rtl w:val="true"/>
          <w:lang w:bidi="fa-IR"/>
        </w:rPr>
        <w:t>و الجواهر</w:t>
      </w:r>
      <w:r>
        <w:rPr>
          <w:rStyle w:val="FootnoteAnchor"/>
          <w:rtl w:val="true"/>
        </w:rPr>
        <w:footnoteReference w:id="2373"/>
      </w:r>
      <w:r>
        <w:rPr>
          <w:rFonts w:ascii="IRNazanin" w:hAnsi="IRNazanin" w:eastAsia="IRNazanin"/>
          <w:color w:val="111111"/>
          <w:sz w:val="28"/>
          <w:sz w:val="28"/>
          <w:szCs w:val="28"/>
          <w:rtl w:val="true"/>
          <w:lang w:bidi="fa-IR"/>
        </w:rPr>
        <w:t>و المستند</w:t>
      </w:r>
      <w:r>
        <w:rPr>
          <w:rStyle w:val="FootnoteAnchor"/>
          <w:rtl w:val="true"/>
        </w:rPr>
        <w:footnoteReference w:id="2374"/>
      </w:r>
      <w:r>
        <w:rPr>
          <w:rFonts w:ascii="Amiri" w:hAnsi="Amiri" w:eastAsia="Amiri" w:cs="Amiri"/>
          <w:color w:val="111111"/>
          <w:sz w:val="28"/>
          <w:sz w:val="28"/>
          <w:szCs w:val="28"/>
          <w:rtl w:val="true"/>
          <w:lang w:bidi="ar-SA"/>
        </w:rPr>
        <w:t>، و به قال جماعة من أعلام العصر</w:t>
      </w:r>
      <w:r>
        <w:rPr>
          <w:rStyle w:val="FootnoteAnchor"/>
          <w:rtl w:val="true"/>
        </w:rPr>
        <w:footnoteReference w:id="2375"/>
      </w:r>
      <w:r>
        <w:rPr>
          <w:rFonts w:ascii="IRNazanin" w:hAnsi="IRNazanin" w:eastAsia="IRNazanin"/>
          <w:color w:val="111111"/>
          <w:sz w:val="28"/>
          <w:sz w:val="28"/>
          <w:szCs w:val="28"/>
          <w:rtl w:val="true"/>
          <w:lang w:bidi="fa-IR"/>
        </w:rPr>
        <w:t>، و جعله فی العروة</w:t>
      </w:r>
      <w:r>
        <w:rPr>
          <w:rStyle w:val="FootnoteAnchor"/>
          <w:rtl w:val="true"/>
        </w:rPr>
        <w:footnoteReference w:id="2376"/>
      </w:r>
      <w:r>
        <w:rPr>
          <w:rFonts w:ascii="IRNazanin" w:hAnsi="IRNazanin" w:eastAsia="IRNazanin"/>
          <w:color w:val="111111"/>
          <w:sz w:val="28"/>
          <w:sz w:val="28"/>
          <w:szCs w:val="28"/>
          <w:rtl w:val="true"/>
          <w:lang w:bidi="fa-IR"/>
        </w:rPr>
        <w:t>و کذا فی تحریر الوسیلة، مقتضی الاحتیاط اللزومی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النائب البلوغ علی الأحوط، من غیر فرق بین الإجاری و التبرّعی، بإذن الولیّ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صحّتها فی المندوب تأمّل</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5" w:name="__RefHeading___Toc9644113_73709187"/>
      <w:bookmarkStart w:id="936" w:name="_Toc351"/>
      <w:bookmarkEnd w:id="935"/>
      <w:r>
        <w:rPr>
          <w:rtl w:val="true"/>
        </w:rPr>
        <w:t>الأدلّة علی عدم صحّة نیابة الصبیّ</w:t>
      </w:r>
      <w:bookmarkEnd w:id="936"/>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عباداته و عدم 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أنّ عبادات الصبیّ مشروعة، و لا فرق بینها و بین عبادة البالغین إلاّ بالوجوب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الوثوق بعمله، إمّا من جهة عدم الرادع له؛ حیث إنّه لا تکلیف له، و علمه بعدم المؤاخذة بأفعاله، و إمّا لجهله بعد بالمسائل و الأحکام، فلا یوثق بإتیانه بالحجّ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العروة</w:t>
      </w:r>
      <w:r>
        <w:rPr>
          <w:rStyle w:val="FootnoteAnchor"/>
          <w:rtl w:val="true"/>
        </w:rPr>
        <w:footnoteReference w:id="2378"/>
      </w:r>
      <w:r>
        <w:rPr>
          <w:rFonts w:ascii="IRNazanin" w:hAnsi="IRNazanin" w:eastAsia="IRNazanin"/>
          <w:color w:val="111111"/>
          <w:sz w:val="28"/>
          <w:sz w:val="28"/>
          <w:szCs w:val="28"/>
          <w:rtl w:val="true"/>
          <w:lang w:bidi="fa-IR"/>
        </w:rPr>
        <w:t>و غیرها</w:t>
      </w:r>
      <w:r>
        <w:rPr>
          <w:rStyle w:val="FootnoteAnchor"/>
          <w:rtl w:val="true"/>
        </w:rPr>
        <w:footnoteReference w:id="2379"/>
      </w:r>
      <w:r>
        <w:rPr>
          <w:rFonts w:ascii="IRNazanin" w:hAnsi="IRNazanin" w:eastAsia="IRNazanin"/>
          <w:color w:val="111111"/>
          <w:sz w:val="28"/>
          <w:sz w:val="28"/>
          <w:szCs w:val="28"/>
          <w:rtl w:val="true"/>
          <w:lang w:bidi="fa-IR"/>
        </w:rPr>
        <w:t>من أنّه أخصّ من المدّعی الّذی هو عدم قابلیّة الصبیّ فی نفسه للنیابة، و لا ربط له بالوثوق و عدمه؛ ضرورة أنّ الوثوق طریق لإحراز صحّة العمل بعد فرض تشریع النّیابة فیه، سواء کان النائب بالغا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التقدیر یکون الدلیل أخصّ من المدّعی؛ لأنّه قد یتحقّق الوثوق بالصدور لا من جهة التکلیف، بل من بعض الجهات الرّوحیّة و الأخلاقیّة</w:t>
      </w:r>
      <w:r>
        <w:rPr>
          <w:rFonts w:eastAsia="IRNazanin" w:cs="IRNazanin"/>
          <w:color w:val="111111"/>
          <w:sz w:val="28"/>
          <w:szCs w:val="28"/>
          <w:rtl w:val="true"/>
          <w:lang w:bidi="fa-IR"/>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عدم المؤاخذة عنه إنّما هو فی حال الصغر، و لکنّه یعلم بکونه مؤاخذا بعد البلوغ بغرامة ما یتلفه فی حال الصّغر و ذلک منه، کما فی المستند</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النیابة علی خلاف الأصل، فنشکّ فی تناول إطلاقات النیابة للصبیّ، و الأصل عدم جوازها له کما فی الریاض</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الصیغة فی کلّ واجب یقتضی صدور الفعل من</w:t>
      </w:r>
    </w:p>
    <w:p>
      <w:pPr>
        <w:pStyle w:val="BookText"/>
        <w:rPr/>
      </w:pPr>
      <w:r>
        <w:rPr>
          <w:rFonts w:ascii="IRNazanin" w:hAnsi="IRNazanin" w:eastAsia="IRNazanin"/>
          <w:color w:val="111111"/>
          <w:sz w:val="28"/>
          <w:sz w:val="28"/>
          <w:szCs w:val="28"/>
          <w:rtl w:val="true"/>
          <w:lang w:bidi="fa-IR"/>
        </w:rPr>
        <w:t xml:space="preserve">المأمور مباشرة، فإجزاء فعل الغیر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أتی به بعنوانه نیابة أو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خلاف الأصل، و نخرج عن هذا الأصل فی نیابة البالغ العارف بالأحکام بالدلیل و بقی غیر البالغ تحت الأصل؛ إمّا لانصراف الأدلّة عن الصبیّ، و إمّا لدعوی عدم کون الأخبار فی مقام بیان الشرائط حتّی یستفاد من إطلاقها عدم اشتراط البلوغ فی صحّة النّیابة، فیبقی حینئذ الشکّ بحاله، فیتعیّن الرّجوع إلی مقتضی الأصل، و هو بطلان الاستنابة، فإنّ الأخبار الواردة فی الاستنابة فی الحجّ عن المیّت أو عن الحیّ فی بعض الموارد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مقام تشریع أصل الاستنابة الّتی هی علی خلاف الأصل الأوّلی، لا فی مقام بیان شرائطها، کما یدفع الشکّ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غیر واحد ممّا ورد فی النّیابة هو أصل مشروعیّتها لا خصوصیّتها سعة و ضیقا</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یلاحظ علیه بأنّه و إن کانت طائفة من الأخبار فی مقام بیان أصل التشریع و هی خالیة عن ذلک البلوغ، فنتمسّک بإطلاقها لدفع الشکّ، إلاّ أنّ إثبات هذا المدّعی مشکل جدّا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مرجع صحّة الاستنابة إلی إجزاء العمل الصادر من النائب عن المنوب عنه، و مدخلیّته فی براءة ذمّته بعد ثبوت الاشتغال لها، و هذا یحتاج إلی نهوض دلیل علیه، و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الأصل بقاء الاشتغال، و عدم حصول الفراغ للمنوب عنه بسبب فعل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شمول أدلّة المستحبّات للصبیّ بناء علی القول</w:t>
      </w:r>
    </w:p>
    <w:p>
      <w:pPr>
        <w:pStyle w:val="BookText"/>
        <w:rPr/>
      </w:pPr>
      <w:r>
        <w:rPr>
          <w:rFonts w:ascii="IRNazanin" w:hAnsi="IRNazanin" w:eastAsia="IRNazanin"/>
          <w:color w:val="111111"/>
          <w:sz w:val="28"/>
          <w:sz w:val="28"/>
          <w:szCs w:val="28"/>
          <w:rtl w:val="true"/>
          <w:lang w:bidi="fa-IR"/>
        </w:rPr>
        <w:t>بشرعیّة عبادات الصبیّ،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استحباب النیابة، لا یقتضی جواز استنابته أیضا</w:t>
      </w:r>
      <w:r>
        <w:rPr>
          <w:rFonts w:eastAsia="IRNazanin" w:cs="IRNazanin"/>
          <w:color w:val="111111"/>
          <w:sz w:val="28"/>
          <w:szCs w:val="28"/>
          <w:rtl w:val="true"/>
          <w:lang w:bidi="fa-IR"/>
        </w:rPr>
        <w:t>»</w:t>
      </w:r>
      <w:r>
        <w:rPr>
          <w:rStyle w:val="FootnoteAnchor"/>
          <w:rtl w:val="true"/>
        </w:rPr>
        <w:footnoteReference w:id="2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المعتمد</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النظر إلی الأدلّة و الرّوایات الواردة فی باب النیابة، و هی کثیرة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صحّة حجّ الرّجل عن المرأة و بالعکس،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المرأة و المرأة تحج عن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حدیث حکم بن حکیم،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الرّجل عن المرأة، و المرأة عن الرّجل، و المرأة عن المرأة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والدتی توفّیت و لم تحجّ،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عنها رجل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أحبّ إلیّ</w:t>
      </w:r>
      <w:r>
        <w:rPr>
          <w:rFonts w:eastAsia="Amiri" w:cs="Amiri" w:ascii="Amiri" w:hAnsi="Amiri"/>
          <w:color w:val="111111"/>
          <w:sz w:val="28"/>
          <w:szCs w:val="28"/>
          <w:rtl w:val="true"/>
          <w:lang w:bidi="ar-SA"/>
        </w:rPr>
        <w:t>»</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الواردة فی تشریع الاستنابة فی الحجّ المشتملة علی لفظ الرجل، کمرسلة أبی بصیر عمّن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بعشرین دینارا فی 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له رجل من حیث یبلغه</w:t>
      </w:r>
      <w:r>
        <w:rPr>
          <w:rFonts w:eastAsia="IRNazanin" w:cs="IRNazanin"/>
          <w:color w:val="111111"/>
          <w:sz w:val="28"/>
          <w:szCs w:val="28"/>
          <w:rtl w:val="true"/>
          <w:lang w:bidi="fa-IR"/>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ما رواه فی التهذیب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علیه السّلام أمر شیخا کبیرا لم یحجّ قط و لم یطق الحجّ لکبره أن</w:t>
      </w:r>
    </w:p>
    <w:p>
      <w:pPr>
        <w:pStyle w:val="BookText"/>
        <w:rPr/>
      </w:pPr>
      <w:r>
        <w:rPr>
          <w:rFonts w:ascii="Amiri" w:hAnsi="Amiri" w:eastAsia="Amiri" w:cs="Amiri"/>
          <w:color w:val="111111"/>
          <w:sz w:val="28"/>
          <w:sz w:val="28"/>
          <w:szCs w:val="28"/>
          <w:rtl w:val="true"/>
          <w:lang w:bidi="ar-SA"/>
        </w:rPr>
        <w:t>یجهّز رجلا یحجّ عنه</w:t>
      </w:r>
      <w:r>
        <w:rPr>
          <w:rFonts w:eastAsia="Amiri" w:cs="Amiri" w:ascii="Amiri" w:hAnsi="Amiri"/>
          <w:color w:val="111111"/>
          <w:sz w:val="28"/>
          <w:szCs w:val="28"/>
          <w:rtl w:val="true"/>
          <w:lang w:bidi="ar-SA"/>
        </w:rPr>
        <w:t>»</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رواه عن معاویة بن عمّار</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یموت و لم یحجّ حجّة الإسلام و یترک مالا،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یحجّ من ماله رجلا صرورة لا مال له</w:t>
      </w:r>
      <w:r>
        <w:rPr>
          <w:rFonts w:eastAsia="IRNazanin" w:cs="IRNazanin"/>
          <w:color w:val="111111"/>
          <w:sz w:val="28"/>
          <w:szCs w:val="28"/>
          <w:rtl w:val="true"/>
          <w:lang w:bidi="fa-IR"/>
        </w:rPr>
        <w:t>»</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 الرّجل فیها ظاهر فی البالغ أو منصرف عن غیر البالغ، فلا بدّ أن یکون النائب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انصراف الرّجل عن غیر المکلّف مع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أربعة عشر سنة مع صدقه علی المکلّف و إن کان عمره أقل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بلوغه إلی حدّ التکلیف بغیر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مسموعة لعدم الانصراف أوّلا، و بدویّته علی فرض ثبوته ثانیا، فلا عبرة به</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مدخلیّة هذا العنوان، و هو کما لا یصدق علی المرأة کذلک لا یصدق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عند العرف بین من بلغ و بین من بقی إلی بلوغه خمس 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صدق عنوان الرّجل علیه؛ مدفوعة بوجود الفرق عندهم، و أنّ التعبیر بالرجل إنّما هو فی موارد تحقّق البلوغ، فلا وجه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کیف یمکن الفرق بین من بلغ بالاحتلام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السنّ و بین من هو أزید سنّا منه، و لکنّه لم یتحقّق البلوغ له، و لأجل کون بلوغه بالسنّ؟ و الظاهر عدم صدق الرّجل المذکور فی الدلیل للصبیّ، و علی تقدیر الشکّ، لا مجال للاستدلال به أیضا، بل اللاّزم</w:t>
      </w:r>
    </w:p>
    <w:p>
      <w:pPr>
        <w:pStyle w:val="BookText"/>
        <w:rPr/>
      </w:pPr>
      <w:r>
        <w:rPr>
          <w:rFonts w:ascii="IRNazanin" w:hAnsi="IRNazanin" w:eastAsia="IRNazanin"/>
          <w:color w:val="111111"/>
          <w:sz w:val="28"/>
          <w:sz w:val="28"/>
          <w:szCs w:val="28"/>
          <w:rtl w:val="true"/>
          <w:lang w:bidi="fa-IR"/>
        </w:rPr>
        <w:t>الرجوع إلی مقتضی الأصل</w:t>
      </w:r>
      <w:r>
        <w:rPr>
          <w:rFonts w:eastAsia="IRNazanin" w:cs="IRNazanin"/>
          <w:color w:val="111111"/>
          <w:sz w:val="28"/>
          <w:szCs w:val="28"/>
          <w:rtl w:val="true"/>
          <w:lang w:bidi="fa-IR"/>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بعد ذکر النصوص المتقدّمة الّتی تدلّ علی جواز النیابة عن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فیعلم من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استقصاء موارد النّیابة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النّیابة تنحصر فی هذه الموارد، فکأنّ المغروس فی ذهن السائل شبهة، و هی احتمال اتّحاد الجنس بین النائب و المنوب عنه، و لذا حکم علیه السّلام بجواز النّیابة فی هذه الموارد المشتبهة المحتملة عند السائل، و حیث إنّه علیه السّلام فی مقام البیان تنحصر موارد جواز النیابة فی الموارد المذکورة، و لم یذکر الصبیّ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النّیابة علی خلاف القاعدة، و الاکتفاء بفعل النائب علی خلاف الأصل، فلا بدّ من الاقتصار علی مقدار ما دلّ الدلیل علیه، و فی غیره فالمرجع هو الأصل و لم یقم أیّ دلیل علی جواز نیابة الصبیّ و الاکتفاء بفعله فی الواجبات الثابتة علی ذمّة الغیر</w:t>
      </w:r>
      <w:r>
        <w:rPr>
          <w:rFonts w:eastAsia="IRNazanin" w:cs="IRNazanin"/>
          <w:color w:val="111111"/>
          <w:sz w:val="28"/>
          <w:szCs w:val="28"/>
          <w:rtl w:val="true"/>
          <w:lang w:bidi="fa-IR"/>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الاستدلال علی عدم الجواز بروایة عمّار الواردة فی استئجار الصلاة و الصوم عن الصّادق علیه السّلام فی الرجل یکون علیه صلاة أو صوم، هل یجوز له أن یقضیه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یقضیه إلاّ مسلم عارف</w:t>
      </w:r>
      <w:r>
        <w:rPr>
          <w:rFonts w:eastAsia="IRNazanin" w:cs="IRNazanin"/>
          <w:color w:val="111111"/>
          <w:sz w:val="28"/>
          <w:szCs w:val="28"/>
          <w:rtl w:val="true"/>
          <w:lang w:bidi="fa-IR"/>
        </w:rPr>
        <w:t>»</w:t>
      </w:r>
      <w:r>
        <w:rPr>
          <w:rStyle w:val="FootnoteAnchor"/>
          <w:rtl w:val="true"/>
        </w:rPr>
        <w:footnoteReference w:id="2395"/>
      </w:r>
      <w:r>
        <w:rPr>
          <w:rFonts w:ascii="IRNazanin" w:hAnsi="IRNazanin" w:eastAsia="IRNazanin"/>
          <w:color w:val="111111"/>
          <w:sz w:val="28"/>
          <w:sz w:val="28"/>
          <w:szCs w:val="28"/>
          <w:rtl w:val="true"/>
          <w:lang w:bidi="fa-IR"/>
        </w:rPr>
        <w:t>؛ إمّا من جهة الإجماع المرکّب، أو من جهة اشتمال أفعال الحجّ علی الصلاة أیضا، المؤیّد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w:t>
      </w:r>
      <w:r>
        <w:rPr>
          <w:rStyle w:val="FootnoteAnchor"/>
          <w:rtl w:val="true"/>
        </w:rPr>
        <w:footnoteReference w:id="2396"/>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bookmarkStart w:id="937" w:name="pg11756_104270"/>
    </w:p>
    <w:p>
      <w:pPr>
        <w:pStyle w:val="BookText"/>
        <w:rPr/>
      </w:pPr>
      <w:bookmarkEnd w:id="937"/>
      <w:r>
        <w:rPr>
          <w:rFonts w:ascii="IRNazanin" w:hAnsi="IRNazanin" w:eastAsia="IRNazanin"/>
          <w:color w:val="111111"/>
          <w:sz w:val="28"/>
          <w:sz w:val="28"/>
          <w:szCs w:val="28"/>
          <w:rtl w:val="true"/>
          <w:lang w:bidi="fa-IR"/>
        </w:rPr>
        <w:t>و لکنّ الظاهر</w:t>
      </w:r>
      <w:r>
        <w:rPr>
          <w:rStyle w:val="FootnoteAnchor"/>
          <w:rtl w:val="true"/>
        </w:rPr>
        <w:footnoteReference w:id="2398"/>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یقضیه إلاّ مسلم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الصبیّ الممیّز الّذی یکون عارفا بالأحکام، إلاّ أنّ الروایة فی مقام بیان اعتبار المعرفة فی النائب، و لیست بصدد بیان اعتبار البلوغ حتّی یستند بها للقول بعدم جواز النّیابة للصبیّ فی المقام، فالأحوط أنّه لا یجوز نیابة الصبیّ عن الحیّ فی الحجّ الواجب، و أمّا النّیابة عن المیّت و کذا فی الحجّ المندوب فیأتی الکلام فیهما قریبا</w:t>
      </w:r>
      <w:r>
        <w:rPr>
          <w:rFonts w:eastAsia="IRNazanin" w:cs="IRNazanin"/>
          <w:color w:val="111111"/>
          <w:sz w:val="28"/>
          <w:szCs w:val="28"/>
          <w:rtl w:val="true"/>
          <w:lang w:bidi="fa-IR"/>
        </w:rPr>
        <w:t>.</w:t>
      </w:r>
    </w:p>
    <w:p>
      <w:pPr>
        <w:pStyle w:val="Heading6"/>
        <w:numPr>
          <w:ilvl w:val="5"/>
          <w:numId w:val="1"/>
        </w:numPr>
        <w:rPr/>
      </w:pPr>
      <w:bookmarkStart w:id="938" w:name="__RefHeading___Toc9644115_73709187"/>
      <w:bookmarkStart w:id="939" w:name="_Toc352"/>
      <w:bookmarkEnd w:id="938"/>
      <w:r>
        <w:rPr>
          <w:rtl w:val="true"/>
        </w:rPr>
        <w:t>جواز نیابة الصبیّ</w:t>
      </w:r>
      <w:bookmarkEnd w:id="939"/>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تجوز نیابة الصبیّ فی الحجّ مطلقا، کما ذهب إلیه فی المدارک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استدلال المانعین بأنّ حجّ الصبیّ إنّما هو تمرین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جیّد لما بیّناه فی ما سبق من أنّ الأظهر أنّ عبادات الصبیّ شرعیّة یستحقّ علیها الثواب</w:t>
      </w:r>
      <w:r>
        <w:rPr>
          <w:rFonts w:eastAsia="IRNazanin" w:cs="IRNazanin"/>
          <w:color w:val="111111"/>
          <w:sz w:val="28"/>
          <w:szCs w:val="28"/>
          <w:rtl w:val="true"/>
          <w:lang w:bidi="fa-IR"/>
        </w:rPr>
        <w:t>»</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عبادته شرعیّة صحیحة، و أنّه قد یوثق به أکثر من غیره، و أیضا الکلام فی أنّه إذا فعل فهو صحیح و یبرأ ذمّة المنوب أم لا؟ و الظاهر أنّه کذلک، و الاحتیاط واضح</w:t>
      </w:r>
      <w:r>
        <w:rPr>
          <w:rFonts w:eastAsia="IRNazanin" w:cs="IRNazanin"/>
          <w:color w:val="111111"/>
          <w:sz w:val="28"/>
          <w:szCs w:val="28"/>
          <w:rtl w:val="true"/>
          <w:lang w:bidi="fa-IR"/>
        </w:rPr>
        <w:t>»</w:t>
      </w:r>
      <w:r>
        <w:rPr>
          <w:rStyle w:val="FootnoteAnchor"/>
          <w:rtl w:val="true"/>
        </w:rPr>
        <w:footnoteReference w:id="2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الذخیرة</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مفاتیح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نیابة الطفل الممیّز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الجواز مع</w:t>
      </w:r>
    </w:p>
    <w:p>
      <w:pPr>
        <w:pStyle w:val="BookText"/>
        <w:rPr/>
      </w:pPr>
      <w:r>
        <w:rPr>
          <w:rFonts w:ascii="IRNazanin" w:hAnsi="IRNazanin" w:eastAsia="IRNazanin"/>
          <w:color w:val="111111"/>
          <w:sz w:val="28"/>
          <w:sz w:val="28"/>
          <w:szCs w:val="28"/>
          <w:rtl w:val="true"/>
          <w:lang w:bidi="fa-IR"/>
        </w:rPr>
        <w:t>الوثوق بأخباره و لا سیّما فی المندوب</w:t>
      </w:r>
      <w:r>
        <w:rPr>
          <w:rFonts w:eastAsia="IRNazanin" w:cs="IRNazanin"/>
          <w:color w:val="111111"/>
          <w:sz w:val="28"/>
          <w:szCs w:val="28"/>
          <w:rtl w:val="true"/>
          <w:lang w:bidi="fa-IR"/>
        </w:rPr>
        <w:t>»</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المستمسک</w:t>
      </w:r>
      <w:r>
        <w:rPr>
          <w:rStyle w:val="FootnoteAnchor"/>
          <w:rtl w:val="true"/>
        </w:rPr>
        <w:footnoteReference w:id="2403"/>
      </w:r>
      <w:r>
        <w:rPr>
          <w:rFonts w:ascii="IRNazanin" w:hAnsi="IRNazanin" w:eastAsia="IRNazanin"/>
          <w:color w:val="111111"/>
          <w:sz w:val="28"/>
          <w:sz w:val="28"/>
          <w:szCs w:val="28"/>
          <w:rtl w:val="true"/>
          <w:lang w:bidi="fa-IR"/>
        </w:rPr>
        <w:t>و مهذّب الأحکام</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منه الإتیان بالحجّ، فیصحّ أن یکون نائبا کالبالغ، کما فی المختلف</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شرعیّة عباداته و صحّة نیابته، مع أنّ النّیابة علی خلاف القاعدة، و المفروض أنّه لا دلیل علی سقوط الواجب عن ذمّة المنوب عنه بفعل الصبیّ، بل مقتضی القاعدة اشتغال ذمّة المنوب عنه بالواجب و إن صحّت العبادة من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النّیابة مطلقة و ذکر الرّجل فیها من باب الغالب و المثال، و إلاّ فلا ریب فی صحّة استنابة المرأة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الأدلّة عن غیر البالغ ممّا لا وجه له؛ لکونه ناشئا من انس الذهن بالفتاوی، و علی فرض ثبوته مع قطع النظر عن الفتاوی فهو بدوی؛ لعدم کونه کالقرینة الحافّة بالکلام الّذی هو الضابط فی الانصراف الصالح للتقیید، کما أشار إلیه بعض الأعلام</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العناوین هو الموضوعیّة، و الرّجل کما لا یصدق علی المرأة کذلک لا یصدق علی الصبیّ، و جواز نیابة المرأة عن الرّجل للنصّ</w:t>
      </w:r>
    </w:p>
    <w:p>
      <w:pPr>
        <w:pStyle w:val="BookText"/>
        <w:rPr/>
      </w:pPr>
      <w:r>
        <w:rPr>
          <w:rFonts w:ascii="IRNazanin" w:hAnsi="IRNazanin" w:eastAsia="IRNazanin"/>
          <w:color w:val="111111"/>
          <w:sz w:val="28"/>
          <w:sz w:val="28"/>
          <w:szCs w:val="28"/>
          <w:rtl w:val="true"/>
          <w:lang w:bidi="fa-IR"/>
        </w:rPr>
        <w:t>الخاصّ فیه، فلا وجه لرفع الید</w:t>
      </w:r>
      <w:r>
        <w:rPr>
          <w:rStyle w:val="FootnoteAnchor"/>
          <w:rtl w:val="true"/>
        </w:rPr>
        <w:footnoteReference w:id="2407"/>
      </w:r>
      <w:r>
        <w:rPr>
          <w:rFonts w:ascii="IRNazanin" w:hAnsi="IRNazanin" w:eastAsia="IRNazanin"/>
          <w:color w:val="111111"/>
          <w:sz w:val="28"/>
          <w:sz w:val="28"/>
          <w:szCs w:val="28"/>
          <w:rtl w:val="true"/>
          <w:lang w:bidi="fa-IR"/>
        </w:rPr>
        <w:t>عن ظهور الرّجل فی اشتراط النّیابة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عدم صدق الرّجل المذکور فی الدلیل علی الصبیّ، و لا أقل من الشک فیه، فلا مجال للاستدلال به، بل اللازم الرّجوع إلی مقتضی الأصل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النصوص الخاصّة، 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أکثر أخبار المقام و إن تضمّن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 الّذی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البالغ؛ إذ غیره لا یحتاج إلی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الأخبار ما یشمل غیر الممیّز بالإطلاق، کروایة عامر بن عمیرة الصحیح عمّن أجمعت العصابة علی تصحیح ما یصحّ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مات و لم یحجّ حجّة الإسلام، فحجّ عنه بعض أهله أجزأ ذلک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0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الصرورة یجزی عنه و عمّن حجّ عنه</w:t>
      </w:r>
      <w:r>
        <w:rPr>
          <w:rFonts w:eastAsia="IRNazanin" w:cs="IRNazanin"/>
          <w:color w:val="111111"/>
          <w:sz w:val="28"/>
          <w:szCs w:val="28"/>
          <w:rtl w:val="true"/>
          <w:lang w:bidi="fa-IR"/>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یحجّ الصرورة عن الصرورة</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bookmarkStart w:id="940" w:name="pg11756_104273"/>
    </w:p>
    <w:p>
      <w:pPr>
        <w:pStyle w:val="BookText"/>
        <w:rPr/>
      </w:pPr>
      <w:bookmarkEnd w:id="940"/>
      <w:r>
        <w:rPr>
          <w:rFonts w:ascii="IRNazanin" w:hAnsi="IRNazanin" w:eastAsia="IRNazanin"/>
          <w:color w:val="111111"/>
          <w:sz w:val="28"/>
          <w:sz w:val="28"/>
          <w:szCs w:val="28"/>
          <w:rtl w:val="true"/>
          <w:lang w:bidi="fa-IR"/>
        </w:rPr>
        <w:t>فإنّ الإطلاق فیها یشمل الصبیّ؛ بدعوی کونها فی مقام بیان دائرة التشریع سعة و ضیقا</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هذه النصوص واردة فی مقام بیان أصل شرعیّة النّیابة الّتی هی علی خلاف القاعدة کما عرفت، فلا یمکن التمسّک بإطلاقها و ادّعاء شمولها للصبیّ؛ لعدم ثبوت الإطلاق لها، و عدم تمامیّة مقدّمات الحکمة فیها</w:t>
      </w:r>
      <w:r>
        <w:rPr>
          <w:rFonts w:eastAsia="IRNazanin" w:cs="IRNazanin"/>
          <w:color w:val="111111"/>
          <w:sz w:val="28"/>
          <w:szCs w:val="28"/>
          <w:rtl w:val="true"/>
          <w:lang w:bidi="fa-IR"/>
        </w:rPr>
        <w:t>.</w:t>
      </w:r>
    </w:p>
    <w:p>
      <w:pPr>
        <w:pStyle w:val="Heading6"/>
        <w:numPr>
          <w:ilvl w:val="5"/>
          <w:numId w:val="1"/>
        </w:numPr>
        <w:rPr/>
      </w:pPr>
      <w:bookmarkStart w:id="941" w:name="__RefHeading___Toc9644117_73709187"/>
      <w:bookmarkStart w:id="942" w:name="_Toc353"/>
      <w:bookmarkEnd w:id="941"/>
      <w:r>
        <w:rPr>
          <w:rtl w:val="true"/>
        </w:rPr>
        <w:t>جواز نیابة الصبیّ عن المیّت</w:t>
      </w:r>
      <w:bookmarkEnd w:id="94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نیابة الصبیّ الممیّز فی الحجّ عن المیّت لا عن الحیّ، کما ذهب إلیه السیّد الخوئی،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فی خصوص نیابة الحجّ عن المیّت ما یشمل بإطلاقه الصبیّ، کما فی معتبرة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الولد الطیّب یدعو لوالدیه بعد موتهما، و یحجّ و یتصدّق و یعتق عنهما، و یصلّی و یصوم عنهما</w:t>
      </w:r>
      <w:r>
        <w:rPr>
          <w:rFonts w:eastAsia="IRNazanin" w:cs="IRNazanin"/>
          <w:color w:val="111111"/>
          <w:sz w:val="28"/>
          <w:szCs w:val="28"/>
          <w:rtl w:val="true"/>
          <w:lang w:bidi="fa-IR"/>
        </w:rPr>
        <w:t>»</w:t>
      </w:r>
      <w:r>
        <w:rPr>
          <w:rStyle w:val="FootnoteAnchor"/>
          <w:rtl w:val="true"/>
        </w:rPr>
        <w:footnoteReference w:id="2413"/>
      </w:r>
      <w:r>
        <w:rPr>
          <w:rFonts w:ascii="IRNazanin" w:hAnsi="IRNazanin" w:eastAsia="IRNazanin"/>
          <w:color w:val="111111"/>
          <w:sz w:val="28"/>
          <w:sz w:val="28"/>
          <w:szCs w:val="28"/>
          <w:rtl w:val="true"/>
          <w:lang w:bidi="fa-IR"/>
        </w:rPr>
        <w:t>، الحدیث؛ فإنّ الولد یشمل غیر البالغ أیضا</w:t>
      </w:r>
      <w:r>
        <w:rPr>
          <w:rFonts w:eastAsia="IRNazanin" w:cs="IRNazanin"/>
          <w:color w:val="111111"/>
          <w:sz w:val="28"/>
          <w:szCs w:val="28"/>
          <w:rtl w:val="true"/>
          <w:lang w:bidi="fa-IR"/>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یلاحظ علیه بأنّ عطف التّصدّق و العتق علی الحجّ یمنع عن الإطلاق، کما فی تفصیل الشریعة</w:t>
      </w:r>
      <w:r>
        <w:rPr>
          <w:rStyle w:val="FootnoteAnchor"/>
          <w:rtl w:val="true"/>
        </w:rPr>
        <w:footnoteReference w:id="2415"/>
      </w:r>
      <w:r>
        <w:rPr>
          <w:rFonts w:ascii="IRNazanin" w:hAnsi="IRNazanin" w:eastAsia="IRNazanin"/>
          <w:color w:val="111111"/>
          <w:sz w:val="28"/>
          <w:sz w:val="28"/>
          <w:szCs w:val="28"/>
          <w:rtl w:val="true"/>
          <w:lang w:bidi="fa-IR"/>
        </w:rPr>
        <w:t>؛ لأنّه لا إشکال فی عدم صحّة عتق الصبیّ، فتحمل الروایة علی ما بعد البلوغ، و کذا الحجّ</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فی خروج بعض أفرادها بالتقیّد؛ لأنّ</w:t>
      </w:r>
    </w:p>
    <w:p>
      <w:pPr>
        <w:pStyle w:val="BookText"/>
        <w:rPr/>
      </w:pPr>
      <w:r>
        <w:rPr>
          <w:rFonts w:ascii="IRNazanin" w:hAnsi="IRNazanin" w:eastAsia="IRNazanin"/>
          <w:color w:val="111111"/>
          <w:sz w:val="28"/>
          <w:sz w:val="28"/>
          <w:szCs w:val="28"/>
          <w:rtl w:val="true"/>
          <w:lang w:bidi="fa-IR"/>
        </w:rPr>
        <w:t>الظاهر منها هو جواز عتق الولد و إن کان غیر بالغ، فیقیّد بالنسبة إلی العتق لدلیل خاصّ، و لم یثبت تقیید بالنسبة إلی الحجّ، مضافا إلی أنّه یمکن أن یکون العتق و الصّدقة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أیضا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فی مقام بیان أصل شرعیّة النّیابة الّتی هی علی خلاف القاعدة، و علیه لا یمکن التمسّک بإطلاقها</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الرّوایة فی مقام بیان الحکم لجمیع جهاته، إلاّ أن تقوم القرینة علی خلاف ذلک، و فی المقام یکون الإمام علیه السّلام فی مقام بیان ما یلحق بالمیّت، و منه حجّ الصبیّ و دعاؤه، و حیث إنّ دعاء الصّبیّ و صدقته یلحق بوالدیه، فکذا حجّه لوحدة السیاق؛ لأنّ الموضوع فی الکلّ واحد، و هو الولد الّذی هو مطلق و یشمل غیر البالغ، هذا بالنسبة إلی نیابة الصّبیّ عن المیّت، و أمّا جواز نیابته عن الحیّ فلا دلیل علیه، إلاّ أنّه ورد فی خصوص الحجّ روایة یحیی الأزرق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عن إنسان اشترکا حتّی إذا قضی طواف الفریضة انقطعت الشرکة</w:t>
      </w:r>
      <w:r>
        <w:rPr>
          <w:rFonts w:eastAsia="IRNazanin" w:cs="IRNazanin"/>
          <w:color w:val="111111"/>
          <w:sz w:val="28"/>
          <w:szCs w:val="28"/>
          <w:rtl w:val="true"/>
          <w:lang w:bidi="fa-IR"/>
        </w:rPr>
        <w:t>»</w:t>
      </w:r>
      <w:r>
        <w:rPr>
          <w:rStyle w:val="FootnoteAnchor"/>
          <w:rtl w:val="true"/>
        </w:rPr>
        <w:footnoteReference w:id="241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الصّبیّ، 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و المستفاد من الرّوایة أنّ کلّ من ناب عن إنسان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النائب بالغا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فی الثواب و الأجر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تفصیل الشریعة بأنّ الرّوایة بصدد بیان أصل مشروعیّة النّیابة، و أنّها توجب اشتراک النائب و المنوب عنه فی الأجر و الثواب، و إن کانت النّیابة علی خلاف القاعدة فلا إطلاق لها، و ألاّ یشمل نیابة المسلم</w:t>
      </w:r>
      <w:bookmarkStart w:id="943" w:name="pg11756_104275"/>
    </w:p>
    <w:p>
      <w:pPr>
        <w:pStyle w:val="BookText"/>
        <w:rPr/>
      </w:pPr>
      <w:bookmarkEnd w:id="943"/>
      <w:r>
        <w:rPr>
          <w:rFonts w:ascii="IRNazanin" w:hAnsi="IRNazanin" w:eastAsia="IRNazanin"/>
          <w:color w:val="111111"/>
          <w:sz w:val="28"/>
          <w:sz w:val="28"/>
          <w:szCs w:val="28"/>
          <w:rtl w:val="true"/>
          <w:lang w:bidi="fa-IR"/>
        </w:rPr>
        <w:t>عن الکافر، و المخالف عن المؤمن و مثلهما</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الظّاهر أنّ الإطلاق تامّ</w:t>
      </w:r>
      <w:r>
        <w:rPr>
          <w:rStyle w:val="FootnoteAnchor"/>
          <w:rtl w:val="true"/>
        </w:rPr>
        <w:footnoteReference w:id="2419"/>
      </w:r>
      <w:r>
        <w:rPr>
          <w:rFonts w:ascii="IRNazanin" w:hAnsi="IRNazanin" w:eastAsia="IRNazanin"/>
          <w:color w:val="111111"/>
          <w:sz w:val="28"/>
          <w:sz w:val="28"/>
          <w:szCs w:val="28"/>
          <w:rtl w:val="true"/>
          <w:lang w:bidi="fa-IR"/>
        </w:rPr>
        <w:t>؛ لأنّ الأصل هو أنّ الإمام علیه السّلام یکون فی مقام بیان الحکم بجمیع جهاته و خرجت نیابة المسلم عن الکافر و المخالف عن المؤمن و بالعکس بالدلیل الخاصّ، و إنّما الکلام فی سند هذه الروایة، فإنّ یحیی الأزرق مردّد بین یحیی بن عبد الرحمن الثّقة الّذی هو من مشاهیر الرّواة و له کتاب، و بین یحیی بن حسّان الکوفی الأزرق الّذی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الأزرق المذکور فی أسانید الفقیه منصرف إلی یحیی بن عبد الرحمن؛ لشهرته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یبعدّه أنّ الشیخ ذکر یحیی الأزرق مستقلاّ فی قبال یحیی بن عبد الرحمن و یحیی بن حسّان</w:t>
      </w:r>
      <w:r>
        <w:rPr>
          <w:rStyle w:val="FootnoteAnchor"/>
          <w:rtl w:val="true"/>
        </w:rPr>
        <w:footnoteReference w:id="2420"/>
      </w:r>
      <w:r>
        <w:rPr>
          <w:rFonts w:ascii="IRNazanin" w:hAnsi="IRNazanin" w:eastAsia="IRNazanin"/>
          <w:color w:val="111111"/>
          <w:sz w:val="28"/>
          <w:sz w:val="28"/>
          <w:szCs w:val="28"/>
          <w:rtl w:val="true"/>
          <w:lang w:bidi="fa-IR"/>
        </w:rPr>
        <w:t>، فیعلم من ذلک أنّه شخص ثالث لم یوثّق، و لا قرینة علی انصرافه إلی یحیی بن عبد الرحمن الثّقة، فالرّوایة ضعیفة، کما فی المعتمد</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4" w:name="__RefHeading___Toc9644119_73709187"/>
      <w:bookmarkStart w:id="945" w:name="_Toc354"/>
      <w:bookmarkEnd w:id="944"/>
      <w:r>
        <w:rPr>
          <w:rtl w:val="true"/>
        </w:rPr>
        <w:t>جواز نیابة الصّبیّ فی المندوب</w:t>
      </w:r>
      <w:bookmarkEnd w:id="945"/>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المسألة، و هو أنّه تجوز نیابة الصّبیّ فی المندوب و لا تجوز فی غیره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فینبغی القطع بجواز استنابته فی الحجّ</w:t>
      </w:r>
    </w:p>
    <w:p>
      <w:pPr>
        <w:pStyle w:val="BookText"/>
        <w:rPr/>
      </w:pPr>
      <w:r>
        <w:rPr>
          <w:rFonts w:ascii="IRNazanin" w:hAnsi="IRNazanin" w:eastAsia="IRNazanin"/>
          <w:color w:val="111111"/>
          <w:sz w:val="28"/>
          <w:sz w:val="28"/>
          <w:szCs w:val="28"/>
          <w:rtl w:val="true"/>
          <w:lang w:bidi="fa-IR"/>
        </w:rPr>
        <w:t>المندوب کما فی الفاسق</w:t>
      </w:r>
      <w:r>
        <w:rPr>
          <w:rFonts w:eastAsia="IRNazanin" w:cs="IRNazanin"/>
          <w:color w:val="111111"/>
          <w:sz w:val="28"/>
          <w:szCs w:val="28"/>
          <w:rtl w:val="true"/>
          <w:lang w:bidi="fa-IR"/>
        </w:rPr>
        <w:t>»</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مفاتیح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سیّما فی المندوب</w:t>
      </w:r>
      <w:r>
        <w:rPr>
          <w:rFonts w:eastAsia="IRNazanin" w:cs="IRNazanin"/>
          <w:color w:val="111111"/>
          <w:sz w:val="28"/>
          <w:szCs w:val="28"/>
          <w:rtl w:val="true"/>
          <w:lang w:bidi="fa-IR"/>
        </w:rPr>
        <w:t>»</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یبعد دعوی صحّة نیابته فی الحجّ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اختاره جماعة من الأعلام الّذین علّقوا علیها</w:t>
      </w:r>
      <w:r>
        <w:rPr>
          <w:rStyle w:val="FootnoteAnchor"/>
          <w:rtl w:val="true"/>
        </w:rPr>
        <w:footnoteReference w:id="2424"/>
      </w:r>
      <w:r>
        <w:rPr>
          <w:rFonts w:ascii="IRNazanin" w:hAnsi="IRNazanin" w:eastAsia="IRNazanin"/>
          <w:color w:val="111111"/>
          <w:sz w:val="28"/>
          <w:sz w:val="28"/>
          <w:szCs w:val="28"/>
          <w:rtl w:val="true"/>
          <w:lang w:bidi="fa-IR"/>
        </w:rPr>
        <w:t>، و به قال فی المهذّب</w:t>
      </w:r>
      <w:r>
        <w:rPr>
          <w:rStyle w:val="FootnoteAnchor"/>
          <w:rtl w:val="true"/>
        </w:rPr>
        <w:footnoteReference w:id="2425"/>
      </w:r>
      <w:r>
        <w:rPr>
          <w:rFonts w:ascii="IRNazanin" w:hAnsi="IRNazanin" w:eastAsia="IRNazanin"/>
          <w:color w:val="111111"/>
          <w:sz w:val="28"/>
          <w:sz w:val="28"/>
          <w:szCs w:val="28"/>
          <w:rtl w:val="true"/>
          <w:lang w:bidi="fa-IR"/>
        </w:rPr>
        <w:t>و المعتمد</w:t>
      </w:r>
      <w:r>
        <w:rPr>
          <w:rStyle w:val="FootnoteAnchor"/>
          <w:rtl w:val="true"/>
        </w:rPr>
        <w:footnoteReference w:id="2426"/>
      </w:r>
      <w:r>
        <w:rPr>
          <w:rFonts w:ascii="IRNazanin" w:hAnsi="IRNazanin" w:eastAsia="IRNazanin"/>
          <w:color w:val="111111"/>
          <w:sz w:val="28"/>
          <w:sz w:val="28"/>
          <w:szCs w:val="28"/>
          <w:rtl w:val="true"/>
          <w:lang w:bidi="fa-IR"/>
        </w:rPr>
        <w:t>و غیرها</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علیه فی المهذّب بأنّه یصحّ عن نفسه، فلا بدّ و أن یصحّ عن غیره أیضا</w:t>
      </w:r>
      <w:r>
        <w:rPr>
          <w:rStyle w:val="FootnoteAnchor"/>
          <w:rtl w:val="true"/>
        </w:rPr>
        <w:footnoteReference w:id="2428"/>
      </w:r>
      <w:r>
        <w:rPr>
          <w:rFonts w:ascii="IRNazanin" w:hAnsi="IRNazanin" w:eastAsia="IRNazanin"/>
          <w:color w:val="111111"/>
          <w:sz w:val="28"/>
          <w:sz w:val="28"/>
          <w:szCs w:val="28"/>
          <w:rtl w:val="true"/>
          <w:lang w:bidi="fa-IR"/>
        </w:rPr>
        <w:t>؛ بمعنی أنّ عمل المندوب من الصبیّ صحیح و مشروع، فلا بدّ أن یصحّ منه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فرق بین النّیابة عن الواجب و المندوب من جهة صحّة عمل المندوب لنفس الصبیّ؛ لأنّ عمله صحیح مطلقا إلاّ أنّه لا تکلیف علیه، و لکن بما أنّ النّیابة علی خلاف الأصل لا بدّ من إقامة الدلیل علی جوازها و لو فی الحجّ المندوب</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 أنّ العاجز عن بعض الأفعال و المعذور یصحّ عملهما لنفسهما، و لا یجوز أن یکونا نائبین عن الغیر، فالصحّة لا تقتضی الإجزاء</w:t>
      </w:r>
    </w:p>
    <w:p>
      <w:pPr>
        <w:pStyle w:val="BookText"/>
        <w:rPr/>
      </w:pPr>
      <w:r>
        <w:rPr>
          <w:rFonts w:ascii="IRNazanin" w:hAnsi="IRNazanin" w:eastAsia="IRNazanin"/>
          <w:color w:val="111111"/>
          <w:sz w:val="28"/>
          <w:sz w:val="28"/>
          <w:szCs w:val="28"/>
          <w:rtl w:val="true"/>
          <w:lang w:bidi="fa-IR"/>
        </w:rPr>
        <w:t>و جواز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 الوجه فی الفرق بینه و بین الواجب، صحّة الحجّ المندوب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شرعیّة عباداته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صحّة الحجّ الواجب، و هذا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فارق</w:t>
      </w:r>
      <w:r>
        <w:rPr>
          <w:rFonts w:eastAsia="IRNazanin" w:cs="IRNazanin"/>
          <w:color w:val="111111"/>
          <w:sz w:val="28"/>
          <w:szCs w:val="28"/>
          <w:rtl w:val="true"/>
          <w:lang w:bidi="fa-IR"/>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یمکن أن یکون دلیلا فی المقام هو إطلاق أدلّة استحباب النّیابة، و هی کثیرة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 اصلّی و أتصدق عن الأحیاء و الأموات من قرابتی و أصحابی؟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تصدّق عنه، و صلّ عنه، و لک أجر بصلتک إیّاه</w:t>
      </w:r>
      <w:r>
        <w:rPr>
          <w:rFonts w:eastAsia="IRNazanin" w:cs="IRNazanin"/>
          <w:color w:val="111111"/>
          <w:sz w:val="28"/>
          <w:szCs w:val="28"/>
          <w:rtl w:val="true"/>
          <w:lang w:bidi="fa-IR"/>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 هلکت و لم أتصدّق بصدقة منذ هلکت إلاّ عنها، فیلحق ذلک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عثمان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و الصّوم و الصدقة و الحجّ و العمرة و کلّ عمل صالح ینفع المیّت، حتی أنّ المیّت لیکون فی ضیق فیوسّع علیه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بعمل ابنک فلان، و بعمل أخیک فلان، أخوک فی الدّین</w:t>
      </w:r>
      <w:r>
        <w:rPr>
          <w:rFonts w:eastAsia="IRNazanin" w:cs="IRNazanin"/>
          <w:color w:val="111111"/>
          <w:sz w:val="28"/>
          <w:szCs w:val="28"/>
          <w:rtl w:val="true"/>
          <w:lang w:bidi="fa-IR"/>
        </w:rPr>
        <w:t>»</w:t>
      </w:r>
      <w:r>
        <w:rPr>
          <w:rStyle w:val="FootnoteAnchor"/>
          <w:rtl w:val="true"/>
        </w:rPr>
        <w:footnoteReference w:id="2432"/>
      </w:r>
      <w:r>
        <w:rPr>
          <w:rFonts w:ascii="IRNazanin" w:hAnsi="IRNazanin" w:eastAsia="IRNazanin"/>
          <w:color w:val="111111"/>
          <w:sz w:val="28"/>
          <w:sz w:val="28"/>
          <w:szCs w:val="28"/>
          <w:rtl w:val="true"/>
          <w:lang w:bidi="fa-IR"/>
        </w:rPr>
        <w:t>، و غیره</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یکفینا فی صحّة نیابة الصّبیّ عن الحیّ فی المستحبّات</w:t>
      </w:r>
    </w:p>
    <w:p>
      <w:pPr>
        <w:pStyle w:val="BookText"/>
        <w:rPr/>
      </w:pPr>
      <w:r>
        <w:rPr>
          <w:rFonts w:ascii="IRNazanin" w:hAnsi="IRNazanin" w:eastAsia="IRNazanin"/>
          <w:color w:val="111111"/>
          <w:sz w:val="28"/>
          <w:sz w:val="28"/>
          <w:szCs w:val="28"/>
          <w:rtl w:val="true"/>
          <w:lang w:bidi="fa-IR"/>
        </w:rPr>
        <w:t>إطلاق</w:t>
      </w:r>
      <w:r>
        <w:rPr>
          <w:rStyle w:val="FootnoteAnchor"/>
          <w:rtl w:val="true"/>
        </w:rPr>
        <w:footnoteReference w:id="2433"/>
      </w:r>
      <w:r>
        <w:rPr>
          <w:rFonts w:ascii="Amiri" w:hAnsi="Amiri" w:eastAsia="Amiri" w:cs="Amiri"/>
          <w:color w:val="111111"/>
          <w:sz w:val="28"/>
          <w:sz w:val="28"/>
          <w:szCs w:val="28"/>
          <w:rtl w:val="true"/>
          <w:lang w:bidi="ar-SA"/>
        </w:rPr>
        <w:t>أدلّة النّیابة</w:t>
      </w:r>
      <w:r>
        <w:rPr>
          <w:rFonts w:eastAsia="Amiri" w:cs="Amiri" w:ascii="Amiri" w:hAnsi="Amiri"/>
          <w:color w:val="111111"/>
          <w:sz w:val="28"/>
          <w:szCs w:val="28"/>
          <w:rtl w:val="true"/>
          <w:lang w:bidi="ar-SA"/>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الإطلاق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الصّبیّ الممیّز؛ بدعوی کون هذه النصوص فی مقام بیان دائرة التشریع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یستفاد من إطلاق کلمات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2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نیابة الصّبیّ فی الحجّ و لو کان مندوبا، و صرّح به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صحّة نیابته مطلقا، سواء کان المنوب فیه حجّا ندبیّا أو واجبیّا</w:t>
      </w:r>
      <w:r>
        <w:rPr>
          <w:rFonts w:eastAsia="IRNazanin" w:cs="IRNazanin"/>
          <w:color w:val="111111"/>
          <w:sz w:val="28"/>
          <w:szCs w:val="28"/>
          <w:rtl w:val="true"/>
          <w:lang w:bidi="fa-IR"/>
        </w:rPr>
        <w:t>»</w:t>
      </w:r>
      <w:r>
        <w:rPr>
          <w:rStyle w:val="FootnoteAnchor"/>
          <w:rtl w:val="true"/>
        </w:rPr>
        <w:footnoteReference w:id="2436"/>
      </w:r>
      <w:r>
        <w:rPr>
          <w:rFonts w:ascii="IRNazanin" w:hAnsi="IRNazanin" w:eastAsia="IRNazanin"/>
          <w:color w:val="111111"/>
          <w:sz w:val="28"/>
          <w:sz w:val="28"/>
          <w:szCs w:val="28"/>
          <w:rtl w:val="true"/>
          <w:lang w:bidi="fa-IR"/>
        </w:rPr>
        <w:t>، و قد تأمّل فی صحّتها فی تحریر الوسیلة</w:t>
      </w:r>
      <w:r>
        <w:rPr>
          <w:rStyle w:val="FootnoteAnchor"/>
          <w:rtl w:val="true"/>
        </w:rPr>
        <w:footnoteReference w:id="2437"/>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علی تقدیر إطلاق أدلّة استحباب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لعدم جواز نیابة الصبیّ فی الحجّ المندوب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المستفاد من الأخبار المتقدّمة و غیرها أنّ النّائب و المنوب عنه یشترکان فی المثوبة علی فعل المندوب الّذی کان الصّبیّ نائبا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لحرمان الصّبیّ عن هذه المثوبة</w:t>
      </w:r>
      <w:r>
        <w:rPr>
          <w:rFonts w:eastAsia="IRNazanin" w:cs="IRNazanin"/>
          <w:color w:val="111111"/>
          <w:sz w:val="28"/>
          <w:szCs w:val="28"/>
          <w:rtl w:val="true"/>
          <w:lang w:bidi="fa-IR"/>
        </w:rPr>
        <w:t>.</w:t>
      </w:r>
      <w:bookmarkStart w:id="946" w:name="pg11756_104279"/>
    </w:p>
    <w:p>
      <w:pPr>
        <w:pStyle w:val="Heading6"/>
        <w:numPr>
          <w:ilvl w:val="5"/>
          <w:numId w:val="1"/>
        </w:numPr>
        <w:rPr/>
      </w:pPr>
      <w:bookmarkStart w:id="947" w:name="__RefHeading___Toc9644121_73709187"/>
      <w:bookmarkStart w:id="948" w:name="_Toc355"/>
      <w:bookmarkEnd w:id="946"/>
      <w:bookmarkEnd w:id="947"/>
      <w:r>
        <w:rPr>
          <w:rtl w:val="true"/>
        </w:rPr>
        <w:t>فرعان ینبغی ذکرهما</w:t>
      </w:r>
      <w:bookmarkEnd w:id="948"/>
    </w:p>
    <w:p>
      <w:pPr>
        <w:pStyle w:val="Heading6"/>
        <w:numPr>
          <w:ilvl w:val="5"/>
          <w:numId w:val="1"/>
        </w:numPr>
        <w:rPr/>
      </w:pPr>
      <w:bookmarkStart w:id="949" w:name="__RefHeading___Toc9644123_73709187"/>
      <w:bookmarkStart w:id="950" w:name="_Toc356"/>
      <w:bookmarkEnd w:id="949"/>
      <w:r>
        <w:rPr>
          <w:rtl w:val="true"/>
        </w:rPr>
        <w:t>الفرع الأوّل علی تقدیر صحّة نیابة الصّبیّ فی الحجّ لو کانت بالإجارة</w:t>
      </w:r>
      <w:bookmarkEnd w:id="950"/>
    </w:p>
    <w:p>
      <w:pPr>
        <w:pStyle w:val="BookText"/>
        <w:rPr/>
      </w:pPr>
      <w:r>
        <w:rPr>
          <w:rFonts w:ascii="IRNazanin" w:hAnsi="IRNazanin" w:eastAsia="IRNazanin"/>
          <w:color w:val="111111"/>
          <w:sz w:val="28"/>
          <w:sz w:val="28"/>
          <w:szCs w:val="28"/>
          <w:rtl w:val="true"/>
          <w:lang w:bidi="fa-IR"/>
        </w:rPr>
        <w:t>علی تقدیر صحّة نیابة الصّبیّ فی الحجّ لو کانت بالإجارة، فحینئذ تتوقّف علی إذن الولیّ من باب توقّف معاملاته علی إذنه و عدم استقلاله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الصّبیّ محجور علیه بالنّسبة إلی ماله فهو محجور علیه بالنسبة إلی ذمّته، فلا تصحّ منه الإجارة إلاّ بإذن ولیّه</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یظهر من العروة و وافقه فی ذلک بعض من علّق علیها من أنّه علی القول بصحّة نیابة الصّبیّ تتوقّف علی إذن الولیّ مطلقا، سواء کان عن إجارة أو تبرّع، فلیس الأمر کذلک</w:t>
      </w:r>
      <w:r>
        <w:rPr>
          <w:rStyle w:val="FootnoteAnchor"/>
          <w:rtl w:val="true"/>
        </w:rPr>
        <w:footnoteReference w:id="2440"/>
      </w:r>
      <w:r>
        <w:rPr>
          <w:rFonts w:ascii="IRNazanin" w:hAnsi="IRNazanin" w:eastAsia="IRNazanin"/>
          <w:color w:val="111111"/>
          <w:sz w:val="28"/>
          <w:sz w:val="28"/>
          <w:szCs w:val="28"/>
          <w:rtl w:val="true"/>
          <w:lang w:bidi="fa-IR"/>
        </w:rPr>
        <w:t>؛ لأنّ المتوقّف علی إذن الولیّ إنّما هو معاملاته من العقود و الإیقاعات، لا عباداته و سائر أفعاله غیر العقود و الإیقاعات، کما أشار إلی بعض ذلک فی المعتمد</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1" w:name="__RefHeading___Toc9644125_73709187"/>
      <w:bookmarkStart w:id="952" w:name="_Toc357"/>
      <w:bookmarkEnd w:id="951"/>
      <w:r>
        <w:rPr>
          <w:rtl w:val="true"/>
        </w:rPr>
        <w:t>الفرع الثانی إذا حجّ الصّبیّ جاز إهداء ثواب حجّه إلی الغیر</w:t>
      </w:r>
      <w:bookmarkEnd w:id="952"/>
    </w:p>
    <w:p>
      <w:pPr>
        <w:pStyle w:val="BookText"/>
        <w:rPr/>
      </w:pPr>
      <w:r>
        <w:rPr>
          <w:rFonts w:ascii="IRNazanin" w:hAnsi="IRNazanin" w:eastAsia="IRNazanin"/>
          <w:color w:val="111111"/>
          <w:sz w:val="28"/>
          <w:sz w:val="28"/>
          <w:szCs w:val="28"/>
          <w:rtl w:val="true"/>
          <w:lang w:bidi="fa-IR"/>
        </w:rPr>
        <w:t>لا خلاف بین الفقهاء فی أنّه إذا حجّ الصّبیّ جاز إهداء ثواب حجّه إلی الغیر، کما یستفاد ذلک من إطلاق کلام بعضهم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العروة فی البحث عن الحجّ 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إهداء ثواب الحجّ إلی الغیر بعد الفراغ عنه، کما یجوز أن یکون ذلک من نیّته قبل الشروع فیه</w:t>
      </w:r>
      <w:r>
        <w:rPr>
          <w:rFonts w:eastAsia="IRNazanin" w:cs="IRNazanin"/>
          <w:color w:val="111111"/>
          <w:sz w:val="28"/>
          <w:szCs w:val="28"/>
          <w:rtl w:val="true"/>
          <w:lang w:bidi="fa-IR"/>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2443"/>
      </w:r>
      <w:r>
        <w:rPr>
          <w:rFonts w:ascii="IRNazanin" w:hAnsi="IRNazanin" w:eastAsia="IRNazanin"/>
          <w:color w:val="111111"/>
          <w:sz w:val="28"/>
          <w:sz w:val="28"/>
          <w:szCs w:val="28"/>
          <w:rtl w:val="true"/>
          <w:lang w:bidi="fa-IR"/>
        </w:rPr>
        <w:t>، و تفصیل الشریعة</w:t>
      </w:r>
      <w:r>
        <w:rPr>
          <w:rStyle w:val="FootnoteAnchor"/>
          <w:rtl w:val="true"/>
        </w:rPr>
        <w:footnoteReference w:id="2444"/>
      </w:r>
      <w:r>
        <w:rPr>
          <w:rFonts w:ascii="IRNazanin" w:hAnsi="IRNazanin" w:eastAsia="IRNazanin"/>
          <w:color w:val="111111"/>
          <w:sz w:val="28"/>
          <w:sz w:val="28"/>
          <w:szCs w:val="28"/>
          <w:rtl w:val="true"/>
          <w:lang w:bidi="fa-IR"/>
        </w:rPr>
        <w:t>و المستمسک</w:t>
      </w:r>
      <w:r>
        <w:rPr>
          <w:rStyle w:val="FootnoteAnchor"/>
          <w:rtl w:val="true"/>
        </w:rPr>
        <w:footnoteReference w:id="2445"/>
      </w:r>
      <w:r>
        <w:rPr>
          <w:rFonts w:ascii="IRNazanin" w:hAnsi="IRNazanin" w:eastAsia="IRNazanin"/>
          <w:color w:val="111111"/>
          <w:sz w:val="28"/>
          <w:sz w:val="28"/>
          <w:szCs w:val="28"/>
          <w:rtl w:val="true"/>
          <w:lang w:bidi="fa-IR"/>
        </w:rPr>
        <w:t>و غیرها</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إهداء ثواب العمل إلی الأحیاء و الأموات فی الواجبات و المستحبّات، کما ورد فی بعض الروایات، و حکی فعله عن بعض أجلاّء أصحاب الأئمّة علیه السّلام</w:t>
      </w:r>
      <w:r>
        <w:rPr>
          <w:rFonts w:eastAsia="IRNazanin" w:cs="IRNazanin"/>
          <w:color w:val="111111"/>
          <w:sz w:val="28"/>
          <w:szCs w:val="28"/>
          <w:rtl w:val="true"/>
          <w:lang w:bidi="fa-IR"/>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فی الجواهر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للصّبیّ إهداء ثواب حجّه إلی الغیر بأذن الولیّ أو مطلقا کما هو الأقوی</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أن نشیر أوّلا إلی جهات تمتاز بها النّیابة عن إهداء الثواب، ثمّ نذکر دلیل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العمل فی النّیابة إنّما هو للمنوب عنه ابتداء، و لیس للنائب شیء من الثواب المترتّب علی ذات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القربة فی النّیابة یثاب، بخلافه فی الثانی؛ لأنّه للعامل و یترتّب علی عمله الثواب و لکن یهدیه هو إلی غیره</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شیء فی الإهداء عن ذمّة من أهدی إلیه، بخلافه فی النّیابة، فإنّه یسقط ما فی ذمّة المنوب عنه بإتیان النائب صحیحا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النّیابة قصد النّیابة و تعیین المنوب عنه فی النیّة و لو بالإجمال؛ لأنّ النّیابة عنوان قصدی لا یتحقّق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الفعل عن الغیر یفتقر إلی قصده و إیقاعه نیابة عنه</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إهداء الثواب فلا یحتاج فیه إلی تعیین المثاب به حین العمل، بل یصحّ إهداؤه إلی کلّ من یرید، سواء کان ذلک قبل العمل، أم حینه أم بعده</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الإهداء من الطفل لا یحتاج إلی إذن الولیّ؛ لأن الطفل محجور فی التصرّفات المالیّة و العقود و الإیقاعات، و لیس الإهداء منها، بخلاف النّیابة، فإنّه یحتاج إلی الإذن فی بعض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صحّة إهداء الصّبیّ ثواب حجّه للغیر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أنّ الثواب حقّه</w:t>
      </w:r>
      <w:r>
        <w:rPr>
          <w:rStyle w:val="FootnoteAnchor"/>
          <w:rtl w:val="true"/>
        </w:rPr>
        <w:footnoteReference w:id="2452"/>
      </w:r>
      <w:r>
        <w:rPr>
          <w:rFonts w:ascii="IRNazanin" w:hAnsi="IRNazanin" w:eastAsia="IRNazanin"/>
          <w:color w:val="111111"/>
          <w:sz w:val="28"/>
          <w:sz w:val="28"/>
          <w:szCs w:val="28"/>
          <w:rtl w:val="true"/>
          <w:lang w:bidi="fa-IR"/>
        </w:rPr>
        <w:t xml:space="preserve">، فیجوز له إهداؤه إلی کلّ من یرید قبل العمل، أم حینه أم بعده، و أنّه موافق لقاعدة تسلّط النّاس علی أموالهم و منافعهم و حقوقهم، و لم یکن الإهداء من الامور الّتی تشملها أدلّة حجر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الکثیرة، نذکر بعضها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أبوی فی حجّتی؟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إخوتی فی حجّتی؟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عزّ و جلّ جاعل لک حجّا، و لهم حجّا، و لک أجر لصلتک إیّاهم</w:t>
      </w:r>
      <w:r>
        <w:rPr>
          <w:rFonts w:eastAsia="IRNazanin" w:cs="IRNazanin"/>
          <w:color w:val="111111"/>
          <w:sz w:val="28"/>
          <w:szCs w:val="28"/>
          <w:rtl w:val="true"/>
          <w:lang w:bidi="fa-IR"/>
        </w:rPr>
        <w:t>»</w:t>
      </w:r>
      <w:r>
        <w:rPr>
          <w:rStyle w:val="FootnoteAnchor"/>
          <w:rtl w:val="true"/>
        </w:rPr>
        <w:footnoteReference w:id="245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أیضا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قد حجّ و والدتی قد حجّت، و إنّ أخوی قد حجّا، و قد</w:t>
      </w:r>
    </w:p>
    <w:p>
      <w:pPr>
        <w:pStyle w:val="BookText"/>
        <w:rPr/>
      </w:pPr>
      <w:r>
        <w:rPr>
          <w:rFonts w:ascii="IRNazanin" w:hAnsi="IRNazanin" w:eastAsia="IRNazanin"/>
          <w:color w:val="111111"/>
          <w:sz w:val="28"/>
          <w:sz w:val="28"/>
          <w:szCs w:val="28"/>
          <w:rtl w:val="true"/>
          <w:lang w:bidi="fa-IR"/>
        </w:rPr>
        <w:t>أردت أن أدخلهم فی حجّتی، کأنّی قد أحببت أن یکونوا معی،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اجعلهم معک، فإنّ اللّه جاعل لهم حجّا، و لک حجّا، و لک أجرا بصلتک إیّاهم</w:t>
      </w:r>
      <w:r>
        <w:rPr>
          <w:rFonts w:eastAsia="IRNazanin" w:cs="IRNazanin"/>
          <w:color w:val="111111"/>
          <w:sz w:val="28"/>
          <w:szCs w:val="28"/>
          <w:rtl w:val="true"/>
          <w:lang w:bidi="fa-IR"/>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الفقیه عن علیّ بن یقطین، أنّه سأل أبا الحسن علیه السّلام عن رجل دفع إلی خمسة نفر حجّة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بها بعضهم، و کلّهم شرکاء فی الأجر</w:t>
      </w:r>
      <w:r>
        <w:rPr>
          <w:rFonts w:eastAsia="IRNazanin" w:cs="IRNazanin"/>
          <w:color w:val="111111"/>
          <w:sz w:val="28"/>
          <w:szCs w:val="28"/>
          <w:rtl w:val="true"/>
          <w:lang w:bidi="fa-IR"/>
        </w:rPr>
        <w:t>...»</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جواز إهداء الحجّ حین الإتیان للغیر و إشراکه فیه، و إطلاقها یشمل الصّبیّ الممیّز الّذی حجّ، و المفروض أنّ حجّه صحیح مشروع، و ظاهرها و إن دلّ علی جواز إهداء نفس العمل، و لکن لا فرق بین العمل و ثوابه، و الشاهد علی ذلک ما ورد فی جواز إهداء ثواب الحجّ إلی الغیر بعد الفراغ، و قد عقد فی الوسائل بابا لذلک، و ذکر فیه روایتین،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 أنا بالمدینة بعد ما رجعت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أحجّ عن ابنتی،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ذلک لها الآن</w:t>
      </w:r>
      <w:r>
        <w:rPr>
          <w:rFonts w:eastAsia="IRNazanin" w:cs="IRNazanin"/>
          <w:color w:val="111111"/>
          <w:sz w:val="28"/>
          <w:szCs w:val="28"/>
          <w:rtl w:val="true"/>
          <w:lang w:bidi="fa-IR"/>
        </w:rPr>
        <w:t>»</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کنت نویت أن أدخل فی حجّتی العام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أهلی فنسیت،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فاشرکها</w:t>
      </w:r>
      <w:r>
        <w:rPr>
          <w:rFonts w:eastAsia="IRNazanin" w:cs="IRNazanin"/>
          <w:color w:val="111111"/>
          <w:sz w:val="28"/>
          <w:szCs w:val="28"/>
          <w:rtl w:val="true"/>
          <w:lang w:bidi="fa-IR"/>
        </w:rPr>
        <w:t>»</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ظاهرهما و إن کان صحّة جعل نفس الحجّ للغیر بعد الفراغ منه، و لکنّه مخالف للإجماع، فلا بدّ أن یحمل علی إهداء الثواب؛ ضرورة أنّ قصد النّیابة إنّما ینفع فی حال الشروع فی العمل، و أمّا ما بعد الفراغ منه فلا تأثیر للنّیة فی صیرورة العمل للغیر، و هذا بخلاف إهداء الثواب فإنّ محلّه بعد الفراغ من العمل، حیث إنّ استحقاق الثواب إنّما یکون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 مصباح الهدی بأنّ ظهورهما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إهداء ثواب الحجّ بعد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لاستحالة جعل ما عمله لنفسه بعد فراغه منه لغیره، و صیرورته له إذا قام الدلیل علیه، و نظیره من نسی صلاة الظهر فنوی العصر، و لم یتذکر إلاّ بعد الفراغ، حیث إنّ الدّلیل دلّ علی أنّه ینویها ظهرا، ثمّ یصلّی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الإنصاف عدم ظهور الأخبار المتقدّمة فی خصوص النّیابة، بل تعمّها و إهداء الثواب</w:t>
      </w:r>
      <w:r>
        <w:rPr>
          <w:rFonts w:eastAsia="IRNazanin" w:cs="IRNazanin"/>
          <w:color w:val="111111"/>
          <w:sz w:val="28"/>
          <w:szCs w:val="28"/>
          <w:rtl w:val="true"/>
          <w:lang w:bidi="fa-IR"/>
        </w:rPr>
        <w:t>»</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فکما أنّه یستفاد من الخبرین الأخیرین جواز إهداء الثواب إلی الغیر یستفاد ذلک من الأخبار المتقدّمة أیضا؛ إذ لا فرق بین إهداء نفس العمل، أو ثوابه، إلاّ أنّ الإجماع قائم علی أنّه لا یصحّ إهداء العمل بعد إتیانه إلی الغیر، بخلاف إهداء ثوابه</w:t>
      </w:r>
      <w:r>
        <w:rPr>
          <w:rStyle w:val="FootnoteAnchor"/>
          <w:rtl w:val="true"/>
        </w:rPr>
        <w:footnoteReference w:id="2459"/>
      </w:r>
      <w:r>
        <w:rPr>
          <w:rFonts w:ascii="IRNazanin" w:hAnsi="IRNazanin" w:eastAsia="IRNazanin"/>
          <w:color w:val="111111"/>
          <w:sz w:val="28"/>
          <w:sz w:val="28"/>
          <w:szCs w:val="28"/>
          <w:rtl w:val="true"/>
          <w:lang w:bidi="fa-IR"/>
        </w:rPr>
        <w:t>، فیستفاد من النصوص المذکورة و غیرها، جواز إهداء العمل إلی الغیر حین العمل، و جواز إهداء ثوابه إلی الغیر حین العمل أو بعده، و إطلاقها یشمل الصّبیّ الممیّز قطعا</w:t>
      </w:r>
      <w:r>
        <w:rPr>
          <w:rFonts w:eastAsia="IRNazanin" w:cs="IRNazanin"/>
          <w:color w:val="111111"/>
          <w:sz w:val="28"/>
          <w:szCs w:val="28"/>
          <w:rtl w:val="true"/>
          <w:lang w:bidi="fa-IR"/>
        </w:rPr>
        <w:t>.</w:t>
      </w:r>
      <w:bookmarkStart w:id="953" w:name="pg11756_104284"/>
    </w:p>
    <w:p>
      <w:pPr>
        <w:pStyle w:val="Heading4"/>
        <w:numPr>
          <w:ilvl w:val="3"/>
          <w:numId w:val="1"/>
        </w:numPr>
        <w:rPr/>
      </w:pPr>
      <w:bookmarkStart w:id="954" w:name="__RefHeading___Toc9644127_73709187"/>
      <w:bookmarkStart w:id="955" w:name="_Toc358"/>
      <w:bookmarkEnd w:id="953"/>
      <w:bookmarkEnd w:id="954"/>
      <w:r>
        <w:rPr>
          <w:rtl w:val="true"/>
        </w:rPr>
        <w:t>المقام الثالث</w:t>
      </w:r>
      <w:r>
        <w:rPr>
          <w:rtl w:val="true"/>
        </w:rPr>
        <w:t xml:space="preserve">: </w:t>
      </w:r>
      <w:r>
        <w:rPr>
          <w:rtl w:val="true"/>
        </w:rPr>
        <w:t>النّیابة عن الصّبیّ</w:t>
      </w:r>
      <w:bookmarkEnd w:id="955"/>
    </w:p>
    <w:p>
      <w:pPr>
        <w:pStyle w:val="Heading5"/>
        <w:numPr>
          <w:ilvl w:val="4"/>
          <w:numId w:val="1"/>
        </w:numPr>
        <w:rPr/>
      </w:pPr>
      <w:bookmarkStart w:id="956" w:name="__RefHeading___Toc9644129_73709187"/>
      <w:bookmarkStart w:id="957" w:name="_Toc359"/>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لا ینبغی الإشکال فی عدم صحّة النّیابة عن الصّبیّ غیر الممیّز؛ لعدم تعلّق الخطاب به و لو علی وجه التّمرین، و قد تقدّم فی المباحث السابقة أنّ حقیقة النّیابة إنّما هی إتیان النائب للعمل الّذی هو عمل للمنوب عنه، فیکون فعله فعل المنوب عنه تنزیلا، و من الواضح أنّ صحّة ذلک إنّما هی فیما إذا کان للمنوب عنه عمل مندوب إلیه، إمّا وجوبا و إمّا ندبا، حتّی یحصل الامتثال بفعل النائب، و المفروض أنّ الصّبیّ غیر الممیّز لا یکون له عمل وجوبیّ و لا ندبیّ، فانتفاء النّیابة عنه باعتبار سلب الموضوع، و من أجل ذلک صرّح الفقهاء بأنّ الصّحة تختصّ بالصّبیّ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النّیابة عن الصّبیّ الممیّز</w:t>
      </w:r>
      <w:r>
        <w:rPr>
          <w:rFonts w:eastAsia="Amiri" w:cs="Amiri" w:ascii="Amiri" w:hAnsi="Amiri"/>
          <w:color w:val="111111"/>
          <w:sz w:val="28"/>
          <w:szCs w:val="28"/>
          <w:rtl w:val="true"/>
          <w:lang w:bidi="ar-SA"/>
        </w:rPr>
        <w:t>»</w:t>
      </w:r>
      <w:r>
        <w:rPr>
          <w:rStyle w:val="FootnoteAnchor"/>
          <w:rtl w:val="true"/>
        </w:rPr>
        <w:footnoteReference w:id="2460"/>
      </w:r>
      <w:r>
        <w:rPr>
          <w:rFonts w:ascii="IRNazanin" w:hAnsi="IRNazanin" w:eastAsia="IRNazanin"/>
          <w:color w:val="111111"/>
          <w:sz w:val="28"/>
          <w:sz w:val="28"/>
          <w:szCs w:val="28"/>
          <w:rtl w:val="true"/>
          <w:lang w:bidi="fa-IR"/>
        </w:rPr>
        <w:t>، و وافقه جماعة من أعلام العصر، حیث لم یستشکلوا فی تعلیقاتهم علی ما فی المتن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اختاره فی المستمسک</w:t>
      </w:r>
      <w:r>
        <w:rPr>
          <w:rStyle w:val="FootnoteAnchor"/>
          <w:rtl w:val="true"/>
        </w:rPr>
        <w:footnoteReference w:id="2461"/>
      </w:r>
      <w:r>
        <w:rPr>
          <w:rFonts w:ascii="IRNazanin" w:hAnsi="IRNazanin" w:eastAsia="IRNazanin"/>
          <w:color w:val="111111"/>
          <w:sz w:val="28"/>
          <w:sz w:val="28"/>
          <w:szCs w:val="28"/>
          <w:rtl w:val="true"/>
          <w:lang w:bidi="fa-IR"/>
        </w:rPr>
        <w:t>و المعتمد</w:t>
      </w:r>
      <w:r>
        <w:rPr>
          <w:rStyle w:val="FootnoteAnchor"/>
          <w:rtl w:val="true"/>
        </w:rPr>
        <w:footnoteReference w:id="2462"/>
      </w:r>
      <w:r>
        <w:rPr>
          <w:rFonts w:ascii="IRNazanin" w:hAnsi="IRNazanin" w:eastAsia="IRNazanin"/>
          <w:color w:val="111111"/>
          <w:sz w:val="28"/>
          <w:sz w:val="28"/>
          <w:szCs w:val="28"/>
          <w:rtl w:val="true"/>
          <w:lang w:bidi="fa-IR"/>
        </w:rPr>
        <w:t>، و مهذّب الأحکام</w:t>
      </w:r>
      <w:r>
        <w:rPr>
          <w:rStyle w:val="FootnoteAnchor"/>
          <w:rtl w:val="true"/>
        </w:rPr>
        <w:footnoteReference w:id="2463"/>
      </w:r>
      <w:r>
        <w:rPr>
          <w:rFonts w:ascii="IRNazanin" w:hAnsi="IRNazanin" w:eastAsia="IRNazanin"/>
          <w:color w:val="111111"/>
          <w:sz w:val="28"/>
          <w:sz w:val="28"/>
          <w:szCs w:val="28"/>
          <w:rtl w:val="true"/>
          <w:lang w:bidi="fa-IR"/>
        </w:rPr>
        <w:t>و مصباح الهدی</w:t>
      </w:r>
      <w:r>
        <w:rPr>
          <w:rStyle w:val="FootnoteAnchor"/>
          <w:rtl w:val="true"/>
        </w:rPr>
        <w:footnoteReference w:id="2464"/>
      </w:r>
      <w:r>
        <w:rPr>
          <w:rFonts w:ascii="IRNazanin" w:hAnsi="IRNazanin" w:eastAsia="IRNazanin"/>
          <w:color w:val="111111"/>
          <w:sz w:val="28"/>
          <w:sz w:val="28"/>
          <w:szCs w:val="28"/>
          <w:rtl w:val="true"/>
          <w:lang w:bidi="fa-IR"/>
        </w:rPr>
        <w:t>و غیرها</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صحّة النّیابة عن الصّبیّ الممیّز تبتنی علی القول بشرعیّة عباداته، فإن لم نقل بذلک فلا وجه لصحّة النّیابة عنه؛ لأنّ النائب یمتثل أمر المنوب عنه، فإذا فرض انتفاؤه تعذّرت النّیابة</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bookmarkStart w:id="958" w:name="pg11756_104285"/>
    </w:p>
    <w:p>
      <w:pPr>
        <w:pStyle w:val="BookText"/>
        <w:rPr/>
      </w:pPr>
      <w:bookmarkEnd w:id="958"/>
      <w:r>
        <w:rPr>
          <w:rFonts w:ascii="IRNazanin" w:hAnsi="IRNazanin" w:eastAsia="IRNazanin"/>
          <w:color w:val="111111"/>
          <w:sz w:val="28"/>
          <w:sz w:val="28"/>
          <w:szCs w:val="28"/>
          <w:rtl w:val="true"/>
          <w:lang w:bidi="fa-IR"/>
        </w:rPr>
        <w:t>و الظاهر أنّ من قال بشرعیّة عبادات الصّبیّ یقول بصحّة النّیابة عنه و إن لم یتعرّضوا للمسألة، و لعلّه من حیث کونها مفروغا عنها عندهم، و الشاهد علی ذلک أنّهم لم یعتبروا فی المنوب عنه البلوغ</w:t>
      </w:r>
      <w:r>
        <w:rPr>
          <w:rFonts w:eastAsia="IRNazanin" w:cs="IRNazanin"/>
          <w:color w:val="111111"/>
          <w:sz w:val="28"/>
          <w:szCs w:val="28"/>
          <w:rtl w:val="true"/>
          <w:lang w:bidi="fa-IR"/>
        </w:rPr>
        <w:t>.</w:t>
      </w:r>
    </w:p>
    <w:p>
      <w:pPr>
        <w:pStyle w:val="Heading5"/>
        <w:numPr>
          <w:ilvl w:val="4"/>
          <w:numId w:val="1"/>
        </w:numPr>
        <w:rPr/>
      </w:pPr>
      <w:bookmarkStart w:id="959" w:name="__RefHeading___Toc9644131_73709187"/>
      <w:bookmarkStart w:id="960" w:name="_Toc360"/>
      <w:bookmarkEnd w:id="959"/>
      <w:r>
        <w:rPr>
          <w:rtl w:val="true"/>
        </w:rPr>
        <w:t>الأدلّة علی صحّة النّیابة عن الصّبیّ</w:t>
      </w:r>
      <w:bookmarkEnd w:id="960"/>
    </w:p>
    <w:p>
      <w:pPr>
        <w:pStyle w:val="BookText"/>
        <w:rPr/>
      </w:pPr>
      <w:r>
        <w:rPr>
          <w:rFonts w:ascii="Amiri" w:hAnsi="Amiri" w:eastAsia="Amiri" w:cs="Amiri"/>
          <w:color w:val="111111"/>
          <w:sz w:val="28"/>
          <w:sz w:val="28"/>
          <w:szCs w:val="28"/>
          <w:rtl w:val="true"/>
          <w:lang w:bidi="ar-SA"/>
        </w:rPr>
        <w:t>و یمکن أن یستدلّ لصحّة النّیابة عن الصّبیّ فی الحجّ المندوب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النّیابة عن الغیر فی الحجّ عمل مشروع بالإضافة إلی الحجّ الاستحبابی مطلقا، سواء کان المنوب عنه حیّا أو میّتا، صغیرا أو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فتجوز النّیابة عن الصّبی،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الحجّ المندوب فیجوز التبرّع عن الحیّ و المیّت إجماعا، نصّا و فتوی</w:t>
      </w:r>
      <w:r>
        <w:rPr>
          <w:rFonts w:eastAsia="IRNazanin" w:cs="IRNazanin"/>
          <w:color w:val="111111"/>
          <w:sz w:val="28"/>
          <w:szCs w:val="28"/>
          <w:rtl w:val="true"/>
          <w:lang w:bidi="fa-IR"/>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النّیابة المتقدّمة و غیرها، و هی کثیرة مستفیضة، و نذکر فی المقام روایتین تیمّنا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الکافی عن إسحاق بن عمّار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یحجّ فیجعل حجّته و عمرته أو بعض طوافه لبعض أهله و هو عنه غائب ببلد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ذلک من أجره؟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هی له و لصاحبه، و له سوی ذلک بما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میّت، هل یدخل ذلک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حتّی یکون مسخوطا علیه فیغفر له، أو یکون مضیّقا علیه فیوسّع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هو فی مکانه أنّ عمل ذلک لحقه؟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ناصبا ینفعه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یخفّف عنه</w:t>
      </w:r>
      <w:r>
        <w:rPr>
          <w:rFonts w:eastAsia="IRNazanin" w:cs="IRNazanin"/>
          <w:color w:val="111111"/>
          <w:sz w:val="28"/>
          <w:szCs w:val="28"/>
          <w:rtl w:val="true"/>
          <w:lang w:bidi="fa-IR"/>
        </w:rPr>
        <w:t>»</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أیضا فی الکافی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أشرکت ألفا فی حجّتک لکان لکلّ واحد حجّة من غیر أن تنقص حجّتک شیئا</w:t>
      </w:r>
      <w:r>
        <w:rPr>
          <w:rFonts w:eastAsia="IRNazanin" w:cs="IRNazanin"/>
          <w:color w:val="111111"/>
          <w:sz w:val="28"/>
          <w:szCs w:val="28"/>
          <w:rtl w:val="true"/>
          <w:lang w:bidi="fa-IR"/>
        </w:rPr>
        <w:t>»</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 جواز إشراک جماعة فی الحجّ المستحبّ یعمّ ما إذا کان بین هؤلاء الجماعة صبیّ ممیّز، و کذا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جواز النّیابة عن الصّبیّ الممیّز فلعدم قصور فی أدلّة النّیابة بالنسبة إلیه، و عدم شمول التکلیف له لا یمنع من شمول إطلاق أدلّة النّیابة له</w:t>
      </w:r>
      <w:r>
        <w:rPr>
          <w:rFonts w:eastAsia="IRNazanin" w:cs="IRNazanin"/>
          <w:color w:val="111111"/>
          <w:sz w:val="28"/>
          <w:szCs w:val="28"/>
          <w:rtl w:val="true"/>
          <w:lang w:bidi="fa-IR"/>
        </w:rPr>
        <w:t>»</w:t>
      </w:r>
      <w:r>
        <w:rPr>
          <w:rStyle w:val="FootnoteAnchor"/>
          <w:rtl w:val="true"/>
        </w:rPr>
        <w:footnoteReference w:id="2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تقریرات السیّد الشاهرودی</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فکما أنّ الحجّ فی غیر حجّة الإسلام مندوب للمکلّفین فهو مندوب للصّبیّ الممیّز، فالنّیابة عنه لا إشکال فیها، و لا دلیل لحرمانه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فی تفصیل الشریعة،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الوجه فی صحّة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یحتاج إلی دعوی ثبوت الإطلاق فی أدلّة النّیابة بالإضافة إلی المنوب عنه، و عدم الانصراف إلی البالغ، مع أنّک عرفت فی بحث اعتبار البلوغ فی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أدلّة النّیابة کلّها واردة فی مقام بیان أصل مشروعیّة النّیابة الّتی هی علی خلاف القاعدة، فکما أنّه لا إطلاق لها بالإضافة إلی النائب، من جهة اعتبار عدم البلوغ، کذلک لا إطلاق لها بالنسبة إلی المنوب عنه من هذه الجهة</w:t>
      </w:r>
      <w:r>
        <w:rPr>
          <w:rFonts w:eastAsia="IRNazanin" w:cs="IRNazanin"/>
          <w:color w:val="111111"/>
          <w:sz w:val="28"/>
          <w:szCs w:val="28"/>
          <w:rtl w:val="true"/>
          <w:lang w:bidi="fa-IR"/>
        </w:rPr>
        <w:t>»</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تقدّم أنّ الإطلاق فی أدلّة النّیابة تامّ و لا إشکال فی شموله للصّبیّ الممیّز، و لا وجه لانصرافها إلی البالغ، إلاّ أنّه فرد شائع، و هذا</w:t>
      </w:r>
      <w:bookmarkStart w:id="961" w:name="pg11756_104287"/>
    </w:p>
    <w:p>
      <w:pPr>
        <w:pStyle w:val="BookText"/>
        <w:rPr/>
      </w:pPr>
      <w:bookmarkEnd w:id="961"/>
      <w:r>
        <w:rPr>
          <w:rFonts w:ascii="IRNazanin" w:hAnsi="IRNazanin" w:eastAsia="IRNazanin"/>
          <w:color w:val="111111"/>
          <w:sz w:val="28"/>
          <w:sz w:val="28"/>
          <w:szCs w:val="28"/>
          <w:rtl w:val="true"/>
          <w:lang w:bidi="fa-IR"/>
        </w:rPr>
        <w:t>لا یوجب الانصراف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الّتی تدلّ علی انتقاع المیّت بکلّ عمل صالح یعمله غیره له من حجّ و عمرة و غیرهما،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عثمان فی کتابه،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و الصوم و الصدقة و الحجّ و العمرة و کلّ عمل صالح ینفع المیّت، حتّی أنّ المیّت لیکون فی ضیق فیوسّع علیه</w:t>
      </w:r>
      <w:r>
        <w:rPr>
          <w:rFonts w:eastAsia="IRNazanin" w:cs="IRNazanin"/>
          <w:color w:val="111111"/>
          <w:sz w:val="28"/>
          <w:szCs w:val="28"/>
          <w:rtl w:val="true"/>
          <w:lang w:bidi="fa-IR"/>
        </w:rPr>
        <w:t>»</w:t>
      </w:r>
      <w:r>
        <w:rPr>
          <w:rStyle w:val="FootnoteAnchor"/>
          <w:rtl w:val="true"/>
        </w:rPr>
        <w:footnoteReference w:id="247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474"/>
      </w:r>
      <w:r>
        <w:rPr>
          <w:rFonts w:ascii="Amiri" w:hAnsi="Amiri" w:eastAsia="Amiri" w:cs="Amiri"/>
          <w:color w:val="111111"/>
          <w:sz w:val="28"/>
          <w:sz w:val="28"/>
          <w:szCs w:val="28"/>
          <w:rtl w:val="true"/>
          <w:lang w:bidi="ar-SA"/>
        </w:rPr>
        <w:t>، و إطلاقها یشمل الصّبیّ، إلاّ أنّها تختصّ بالنّیابة عن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الّتی ترغّب المؤمنین علی أعمال الخیر للأموات،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 المیّت الحجّ و الصّوم و العتق و فعاله الحسن</w:t>
      </w:r>
      <w:r>
        <w:rPr>
          <w:rFonts w:eastAsia="IRNazanin" w:cs="IRNazanin"/>
          <w:color w:val="111111"/>
          <w:sz w:val="28"/>
          <w:szCs w:val="28"/>
          <w:rtl w:val="true"/>
          <w:lang w:bidi="fa-IR"/>
        </w:rPr>
        <w:t>»</w:t>
      </w:r>
      <w:r>
        <w:rPr>
          <w:rStyle w:val="FootnoteAnchor"/>
          <w:rtl w:val="true"/>
        </w:rPr>
        <w:footnoteReference w:id="2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962" w:name="__RefHeading___Toc9644133_73709187"/>
      <w:bookmarkStart w:id="963" w:name="_Toc361"/>
      <w:bookmarkEnd w:id="962"/>
      <w:r>
        <w:rPr>
          <w:rtl w:val="true"/>
        </w:rPr>
        <w:t>نیابة الصّبیّ فی الحجّ عند أهل السّنة</w:t>
      </w:r>
      <w:bookmarkEnd w:id="963"/>
    </w:p>
    <w:p>
      <w:pPr>
        <w:pStyle w:val="BookText"/>
        <w:rPr/>
      </w:pPr>
      <w:r>
        <w:rPr>
          <w:rFonts w:ascii="IRNazanin" w:hAnsi="IRNazanin" w:eastAsia="IRNazanin"/>
          <w:color w:val="111111"/>
          <w:sz w:val="28"/>
          <w:sz w:val="28"/>
          <w:szCs w:val="28"/>
          <w:rtl w:val="true"/>
          <w:lang w:bidi="fa-IR"/>
        </w:rPr>
        <w:t xml:space="preserve">اشترط الشافعیّة و الحنابلة لإجزاء الحجّ الفرضی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الأصیل أن یکون النائب عاقلا بالغا، و قد حجّ حجّة الإسلام عن نفسه أوّلا، و إلاّ کانت الحجّة عن نفسه و لم تجزئ عن الأصیل</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اکتفی الحنفیّة بأهلیّة المأمور لصحّة الحجّ، بأن یکون مسلما عاقلا، فأجازوا أن یکون النائب لم یحجّ عن نفسه، و أجازوا أیضا حجّ العبد و المراهق عن غیرهما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المالکیّة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نیابة الصّبیّ فی الحجّ إلاّ أن یوصی إلی هذا الصبیّ أن یحجّ عنه</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الشرائط کلّها فی حجّ الفرض، و أمّا حجّ النفل فقد ذهب الجمهور إلی مشروعیّة حجّ النفل عن الغیر مطلقا، فلا یشترط فیه إلاّ الإسلام و العقل و التّمیّز، و هو مذهب الحنفیّة و أحمد، و أجازه المالکیّة أیضا علی کراهة</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ففصّلوا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الاستنابة فی حجّ النفل عن حیّ لیس بمعضوب</w:t>
      </w:r>
      <w:r>
        <w:rPr>
          <w:rStyle w:val="FootnoteAnchor"/>
          <w:rtl w:val="true"/>
        </w:rPr>
        <w:footnoteReference w:id="2479"/>
      </w:r>
      <w:r>
        <w:rPr>
          <w:rFonts w:ascii="IRNazanin" w:hAnsi="IRNazanin" w:eastAsia="IRNazanin"/>
          <w:color w:val="111111"/>
          <w:sz w:val="28"/>
          <w:sz w:val="28"/>
          <w:szCs w:val="28"/>
          <w:rtl w:val="true"/>
          <w:lang w:bidi="fa-IR"/>
        </w:rPr>
        <w:t>، و لا عن میّت لم یوص به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أراد المعضوب أن یستأجر من یحجّ عنه تطوّعا أو أوصی المیّت أن یحجّ عنه تطوّعا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لأنّه خارج عن القیاس، و قد ورد الحدیث فی حجّة الإسلام، و لأنّه إنّما جازت الاستنابة فی الفرض للضرورة، و لا ضرورة فی النفل، فلم تجر الاستنابة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 کلّ عبادة دخلت النّیابة فی فرضها دخلت النّیابة فی نفلها کالزکاة، و عکسه کالصّلاة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جازت النّیابة جاز أن یکون الأجیر عبدا و صبیّا؛ لأنّهما من أهل التبرّع، بخلاف حجّة الإسلام، فإنّه لا یجوز استئجار الصّبیّ و العبد فیها؛ لأنّهما لیسا من أهلها</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الاستنابة فی حجّ التطوّع تنقسم إلی ثلاثة أقسام</w:t>
      </w:r>
      <w:r>
        <w:rPr>
          <w:rFonts w:eastAsia="IRNazanin" w:cs="IRNazanin"/>
          <w:color w:val="111111"/>
          <w:sz w:val="28"/>
          <w:szCs w:val="28"/>
          <w:rtl w:val="true"/>
          <w:lang w:bidi="fa-IR"/>
        </w:rPr>
        <w:t>:</w:t>
      </w:r>
      <w:bookmarkStart w:id="964" w:name="pg11756_104289"/>
    </w:p>
    <w:p>
      <w:pPr>
        <w:pStyle w:val="BookText"/>
        <w:rPr/>
      </w:pPr>
      <w:bookmarkEnd w:id="964"/>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ممّن لم یؤدّ حجّة الإسلام، فلا یجوز أن یستنیب فی حجّ التطوّع؛ لأنّه لا یصحّ أن یفعله بنفسه فبنائبه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ممّن قد أدّی حجّة الإسلام، و هو عاجز عن الحجّ بنفسه، فیصحّ أن یستنیب فی التطوّع، فإنّ ما جازت الاستنابة فی فرضه جاز فی نفله کالصدقة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قادرا علی الحجّ و قد أسقط فرضه، ففیه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هو قول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 هو مذهب الشافعی</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اشترط جمهور الفقهاء من أهل السنّة فی النائب البلوغ أو التمیّز کما تقدّم، فیتفرّع علی ذلک أنّه لا یصحّ نیابة الصّبیّ غیر الممیّز بالاتّفاق</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9644135_73709187"/>
      <w:bookmarkStart w:id="966" w:name="_Toc362"/>
      <w:bookmarkEnd w:id="965"/>
      <w:r>
        <w:rPr>
          <w:rtl w:val="true"/>
        </w:rPr>
        <w:t>النیابة عن الصّبیّ فی الحجّ عند أهل السنّة</w:t>
      </w:r>
      <w:bookmarkEnd w:id="966"/>
    </w:p>
    <w:p>
      <w:pPr>
        <w:pStyle w:val="BookText"/>
        <w:rPr/>
      </w:pPr>
      <w:r>
        <w:rPr>
          <w:rFonts w:ascii="IRNazanin" w:hAnsi="IRNazanin" w:eastAsia="IRNazanin"/>
          <w:color w:val="111111"/>
          <w:sz w:val="28"/>
          <w:sz w:val="28"/>
          <w:szCs w:val="28"/>
          <w:rtl w:val="true"/>
          <w:lang w:bidi="fa-IR"/>
        </w:rPr>
        <w:t>اشترط فقهاؤهم للحجّ عن الغیر شروطا،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الأصیل ممّن توفّرت فیه شروط الحجّ، فلو أحجّ من لم یجب علیه غیره فی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و إن وجب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فلا تصحّ النّیابة عن الصّبیّ فی الحجّ؛ لأنّه لا یجب علیه الحجّ</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الحجّ النفل فلا یشترط شیء إلاّ الإسلام و العقل و التمیّز؛ لاتّساع باب النفل، فإنّه یتسامح فی النفل و لا یتسامح فی الفرض</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bookmarkStart w:id="967" w:name="pg11756_104290"/>
    </w:p>
    <w:p>
      <w:pPr>
        <w:pStyle w:val="Heading2"/>
        <w:numPr>
          <w:ilvl w:val="1"/>
          <w:numId w:val="1"/>
        </w:numPr>
        <w:rPr/>
      </w:pPr>
      <w:bookmarkStart w:id="968" w:name="__RefHeading___Toc9644137_73709187"/>
      <w:bookmarkStart w:id="969" w:name="_Toc363"/>
      <w:bookmarkEnd w:id="967"/>
      <w:bookmarkEnd w:id="968"/>
      <w:r>
        <w:rPr>
          <w:rtl w:val="true"/>
        </w:rPr>
        <w:t>الفصل السادس</w:t>
      </w:r>
      <w:r>
        <w:rPr>
          <w:rtl w:val="true"/>
        </w:rPr>
        <w:t xml:space="preserve">: </w:t>
      </w:r>
      <w:r>
        <w:rPr>
          <w:rtl w:val="true"/>
        </w:rPr>
        <w:t>جهاد الصبیّ و فیه مباحث</w:t>
      </w:r>
      <w:bookmarkEnd w:id="96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0" w:name="__RefHeading___Toc9644139_73709187"/>
      <w:bookmarkStart w:id="971" w:name="_Toc364"/>
      <w:bookmarkEnd w:id="970"/>
      <w:r>
        <w:rPr>
          <w:rtl w:val="true"/>
        </w:rPr>
        <w:t>اشارة</w:t>
      </w:r>
      <w:bookmarkStart w:id="972" w:name="pg11756_104292"/>
      <w:bookmarkEnd w:id="971"/>
    </w:p>
    <w:p>
      <w:pPr>
        <w:pStyle w:val="Heading3"/>
        <w:numPr>
          <w:ilvl w:val="2"/>
          <w:numId w:val="1"/>
        </w:numPr>
        <w:rPr/>
      </w:pPr>
      <w:bookmarkStart w:id="973" w:name="__RefHeading___Toc9644141_73709187"/>
      <w:bookmarkStart w:id="974" w:name="_Toc365"/>
      <w:bookmarkEnd w:id="972"/>
      <w:bookmarkEnd w:id="973"/>
      <w:r>
        <w:rPr>
          <w:rtl w:val="true"/>
        </w:rPr>
        <w:t>المبحث الأوّل</w:t>
      </w:r>
      <w:r>
        <w:rPr>
          <w:rtl w:val="true"/>
        </w:rPr>
        <w:t xml:space="preserve">: </w:t>
      </w:r>
      <w:r>
        <w:rPr>
          <w:rtl w:val="true"/>
        </w:rPr>
        <w:t>فی أهمّیّته و أنّه لا یجب علی الصّبیّ</w:t>
      </w:r>
      <w:bookmarkEnd w:id="974"/>
    </w:p>
    <w:p>
      <w:pPr>
        <w:pStyle w:val="Heading4"/>
        <w:numPr>
          <w:ilvl w:val="3"/>
          <w:numId w:val="1"/>
        </w:numPr>
        <w:rPr/>
      </w:pPr>
      <w:bookmarkStart w:id="975" w:name="__RefHeading___Toc9644143_73709187"/>
      <w:bookmarkStart w:id="976" w:name="_Toc366"/>
      <w:bookmarkEnd w:id="975"/>
      <w:r>
        <w:rPr>
          <w:rtl w:val="true"/>
        </w:rPr>
        <w:t>اشارة</w:t>
      </w:r>
      <w:bookmarkEnd w:id="976"/>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جاهد و 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التّعب و المشقّة، أو من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الوسع و الطاقة</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بالنفس و المال، فی محاربة المشرکین أو الباغین علی وجه مخصوص</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النّفس و المال فی إعلاء کلمة الإسلام و إقامة شعائر الإیمان</w:t>
      </w:r>
      <w:r>
        <w:rPr>
          <w:rFonts w:eastAsia="IRNazanin" w:cs="IRNazanin"/>
          <w:color w:val="111111"/>
          <w:sz w:val="28"/>
          <w:szCs w:val="28"/>
          <w:rtl w:val="true"/>
          <w:lang w:bidi="fa-IR"/>
        </w:rPr>
        <w:t>»</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فریضة من فرائض الإسلام و رکن من أرکانها و ذروة سنام الإسلام</w:t>
      </w:r>
      <w:r>
        <w:rPr>
          <w:rStyle w:val="FootnoteAnchor"/>
          <w:rtl w:val="true"/>
        </w:rPr>
        <w:footnoteReference w:id="2487"/>
      </w:r>
      <w:r>
        <w:rPr>
          <w:rFonts w:ascii="IRNazanin" w:hAnsi="IRNazanin" w:eastAsia="IRNazanin"/>
          <w:color w:val="111111"/>
          <w:sz w:val="28"/>
          <w:sz w:val="28"/>
          <w:szCs w:val="28"/>
          <w:rtl w:val="true"/>
          <w:lang w:bidi="fa-IR"/>
        </w:rPr>
        <w:t>، و رابع أرکان الإیمان</w:t>
      </w:r>
      <w:r>
        <w:rPr>
          <w:rStyle w:val="FootnoteAnchor"/>
          <w:rtl w:val="true"/>
        </w:rPr>
        <w:footnoteReference w:id="2488"/>
      </w:r>
      <w:r>
        <w:rPr>
          <w:rFonts w:ascii="IRNazanin" w:hAnsi="IRNazanin" w:eastAsia="IRNazanin"/>
          <w:color w:val="111111"/>
          <w:sz w:val="28"/>
          <w:sz w:val="28"/>
          <w:szCs w:val="28"/>
          <w:rtl w:val="true"/>
          <w:lang w:bidi="fa-IR"/>
        </w:rPr>
        <w:t>، و أفضل الأشیاء بعد الفرائض</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ظل السّیف، و لا یقیم النّاس إلاّ السّیف، و السّیوف مقالید الجنّة</w:t>
      </w:r>
      <w:r>
        <w:rPr>
          <w:rFonts w:eastAsia="IRNazanin" w:cs="IRNazanin"/>
          <w:color w:val="111111"/>
          <w:sz w:val="28"/>
          <w:szCs w:val="28"/>
          <w:rtl w:val="true"/>
          <w:lang w:bidi="fa-IR"/>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إلی اللّه عزّ و جلّ من قطرة دم فی سبیل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عنه أیضا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ذی برّ برّ حتی یقتل فی سبیل اللّه، فإذا قتل فی سبیل اللّه فلیس فوقه 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علی الکفایة</w:t>
      </w:r>
      <w:r>
        <w:rPr>
          <w:rStyle w:val="FootnoteAnchor"/>
          <w:rtl w:val="true"/>
        </w:rPr>
        <w:footnoteReference w:id="2491"/>
      </w:r>
      <w:r>
        <w:rPr>
          <w:rFonts w:ascii="IRNazanin" w:hAnsi="IRNazanin" w:eastAsia="IRNazanin"/>
          <w:color w:val="111111"/>
          <w:sz w:val="28"/>
          <w:sz w:val="28"/>
          <w:szCs w:val="28"/>
          <w:rtl w:val="true"/>
          <w:lang w:bidi="fa-IR"/>
        </w:rPr>
        <w:t>، و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ابتداء من المسلمین للدعاء إلی الإسلام، و هو فرض کفایة علی کلّ من استکمل شروطا کالبلوغ، و العقل، و الحرّیّة، و الذکورة، و أن لا یکون مقعدا، و لا مریضا یعجز عنه، و إذن الإمام أو من نصبه و غیرها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یهاجم المسلمین عدوّ من الکفّار أو المشرکین یرید الاستیلاء علی بلادهم أو أسرهم أو أخذ أموالهم أو الاعتداء علی عرضهم و ذرّیّتهم، و هذا القسم من الجهاد واجب علی الحرّ و العبد و الذکر و الانثی إن احتیج إلیها، و لا یتوقّف علی إذن الإمام علیه السّلام و لا حضوره</w:t>
      </w:r>
      <w:r>
        <w:rPr>
          <w:rFonts w:eastAsia="IRNazanin" w:cs="IRNazanin"/>
          <w:color w:val="111111"/>
          <w:sz w:val="28"/>
          <w:szCs w:val="28"/>
          <w:rtl w:val="true"/>
          <w:lang w:bidi="fa-IR"/>
        </w:rPr>
        <w:t>.</w:t>
      </w:r>
      <w:bookmarkStart w:id="977" w:name="pg11756_104294"/>
    </w:p>
    <w:p>
      <w:pPr>
        <w:pStyle w:val="Heading4"/>
        <w:numPr>
          <w:ilvl w:val="3"/>
          <w:numId w:val="1"/>
        </w:numPr>
        <w:rPr/>
      </w:pPr>
      <w:bookmarkStart w:id="978" w:name="__RefHeading___Toc9644145_73709187"/>
      <w:bookmarkStart w:id="979" w:name="_Toc367"/>
      <w:bookmarkEnd w:id="977"/>
      <w:bookmarkEnd w:id="978"/>
      <w:r>
        <w:rPr>
          <w:rtl w:val="true"/>
        </w:rPr>
        <w:t>عدم وجوب الجهاد علی الصّبیّ</w:t>
      </w:r>
      <w:bookmarkEnd w:id="979"/>
    </w:p>
    <w:p>
      <w:pPr>
        <w:pStyle w:val="BookText"/>
        <w:rPr/>
      </w:pPr>
      <w:r>
        <w:rPr>
          <w:rFonts w:ascii="IRNazanin" w:hAnsi="IRNazanin" w:eastAsia="IRNazanin"/>
          <w:color w:val="111111"/>
          <w:sz w:val="28"/>
          <w:sz w:val="28"/>
          <w:szCs w:val="28"/>
          <w:rtl w:val="true"/>
          <w:lang w:bidi="fa-IR"/>
        </w:rPr>
        <w:t>لا خلاف بین الفقهاء فی أنّه یشترط فی وجوب الجهاد البلوغ، فلا یجب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یسقط الجهاد عن النّساء و الصبیان و الشیوخ الکبار</w:t>
      </w:r>
      <w:r>
        <w:rPr>
          <w:rFonts w:eastAsia="IRNazanin" w:cs="IRNazanin"/>
          <w:color w:val="111111"/>
          <w:sz w:val="28"/>
          <w:szCs w:val="28"/>
          <w:rtl w:val="true"/>
          <w:lang w:bidi="fa-IR"/>
        </w:rPr>
        <w:t>»</w:t>
      </w:r>
      <w:r>
        <w:rPr>
          <w:rStyle w:val="FootnoteAnchor"/>
          <w:rtl w:val="true"/>
        </w:rPr>
        <w:footnoteReference w:id="2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493"/>
      </w:r>
      <w:r>
        <w:rPr>
          <w:rFonts w:ascii="IRNazanin" w:hAnsi="IRNazanin" w:eastAsia="IRNazanin"/>
          <w:color w:val="111111"/>
          <w:sz w:val="28"/>
          <w:sz w:val="28"/>
          <w:szCs w:val="28"/>
          <w:rtl w:val="true"/>
          <w:lang w:bidi="fa-IR"/>
        </w:rPr>
        <w:t>و غیرهما</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المنتهی</w:t>
      </w:r>
      <w:r>
        <w:rPr>
          <w:rStyle w:val="FootnoteAnchor"/>
          <w:rtl w:val="true"/>
        </w:rPr>
        <w:footnoteReference w:id="2495"/>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الإجماع بقسمیه علیه</w:t>
      </w:r>
      <w:r>
        <w:rPr>
          <w:rFonts w:eastAsia="IRNazanin" w:cs="IRNazanin"/>
          <w:color w:val="111111"/>
          <w:sz w:val="28"/>
          <w:szCs w:val="28"/>
          <w:rtl w:val="true"/>
          <w:lang w:bidi="fa-IR"/>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w:t>
      </w:r>
      <w:r>
        <w:rPr>
          <w:rStyle w:val="FootnoteAnchor"/>
          <w:rtl w:val="true"/>
        </w:rPr>
        <w:footnoteReference w:id="2497"/>
      </w:r>
      <w:r>
        <w:rPr>
          <w:rFonts w:ascii="IRNazanin" w:hAnsi="IRNazanin" w:eastAsia="IRNazanin"/>
          <w:color w:val="111111"/>
          <w:sz w:val="28"/>
          <w:sz w:val="28"/>
          <w:szCs w:val="28"/>
          <w:rtl w:val="true"/>
          <w:lang w:bidi="fa-IR"/>
        </w:rPr>
        <w:t>؛ و لما روی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عرضنی یوم احد و أنا ابن أربع عشرة سنة، فلم یجزنی</w:t>
      </w:r>
      <w:r>
        <w:rPr>
          <w:rStyle w:val="FootnoteAnchor"/>
          <w:rtl w:val="true"/>
        </w:rPr>
        <w:footnoteReference w:id="2498"/>
      </w:r>
      <w:r>
        <w:rPr>
          <w:rFonts w:ascii="IRNazanin" w:hAnsi="IRNazanin" w:eastAsia="IRNazanin"/>
          <w:color w:val="111111"/>
          <w:sz w:val="28"/>
          <w:sz w:val="28"/>
          <w:szCs w:val="28"/>
          <w:rtl w:val="true"/>
          <w:lang w:bidi="fa-IR"/>
        </w:rPr>
        <w:t>، ثمّ عرضنی یوم الخندق و أنا ابن خمس عشرة، فأجازنی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 عمر بن عبد العزیز و هو خلیفة، فحدّثته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 بین الصغیر و الکبیر، و کتب إلی عمّاله أن یفرضوا لمن بلغ خمس عشرة</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فی کنز العمّال عن عروة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یوم احد نفرا من أصحابه استصغرهم، فلم یشهدوا القتال</w:t>
      </w:r>
      <w:r>
        <w:rPr>
          <w:rStyle w:val="FootnoteAnchor"/>
          <w:rtl w:val="true"/>
        </w:rPr>
        <w:footnoteReference w:id="250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bookmarkStart w:id="980" w:name="pg11756_104295"/>
    </w:p>
    <w:p>
      <w:pPr>
        <w:pStyle w:val="Heading3"/>
        <w:numPr>
          <w:ilvl w:val="2"/>
          <w:numId w:val="1"/>
        </w:numPr>
        <w:rPr/>
      </w:pPr>
      <w:bookmarkStart w:id="981" w:name="__RefHeading___Toc9644147_73709187"/>
      <w:bookmarkStart w:id="982" w:name="_Toc368"/>
      <w:bookmarkEnd w:id="980"/>
      <w:bookmarkEnd w:id="981"/>
      <w:r>
        <w:rPr>
          <w:rtl w:val="true"/>
        </w:rPr>
        <w:t>المبحث الثانی</w:t>
      </w:r>
      <w:r>
        <w:rPr>
          <w:rtl w:val="true"/>
        </w:rPr>
        <w:t xml:space="preserve">: </w:t>
      </w:r>
      <w:r>
        <w:rPr>
          <w:rtl w:val="true"/>
        </w:rPr>
        <w:t>مشروعیّة جهاد الصبیّ</w:t>
      </w:r>
      <w:bookmarkEnd w:id="982"/>
    </w:p>
    <w:p>
      <w:pPr>
        <w:pStyle w:val="Heading4"/>
        <w:numPr>
          <w:ilvl w:val="3"/>
          <w:numId w:val="1"/>
        </w:numPr>
        <w:rPr/>
      </w:pPr>
      <w:bookmarkStart w:id="983" w:name="__RefHeading___Toc9644149_73709187"/>
      <w:bookmarkStart w:id="984" w:name="_Toc369"/>
      <w:bookmarkEnd w:id="983"/>
      <w:r>
        <w:rPr>
          <w:rtl w:val="true"/>
        </w:rPr>
        <w:t>اشارة</w:t>
      </w:r>
      <w:bookmarkEnd w:id="984"/>
    </w:p>
    <w:p>
      <w:pPr>
        <w:pStyle w:val="BookText"/>
        <w:rPr/>
      </w:pPr>
      <w:r>
        <w:rPr>
          <w:rFonts w:ascii="IRNazanin" w:hAnsi="IRNazanin" w:eastAsia="IRNazanin"/>
          <w:color w:val="111111"/>
          <w:sz w:val="28"/>
          <w:sz w:val="28"/>
          <w:szCs w:val="28"/>
          <w:rtl w:val="true"/>
          <w:lang w:bidi="fa-IR"/>
        </w:rPr>
        <w:t xml:space="preserve">لم نجد من الفقهاء من تعرّض لهذا الحکم بخصوصه،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الأدلّة الدالّة علی مشروعیّة عبادات الصّبیّ علی نحو عامّ </w:t>
      </w:r>
      <w:r>
        <w:rPr>
          <w:rFonts w:eastAsia="IRNazanin" w:cs="IRNazanin"/>
          <w:color w:val="111111"/>
          <w:sz w:val="28"/>
          <w:szCs w:val="28"/>
          <w:rtl w:val="true"/>
          <w:lang w:bidi="fa-IR"/>
        </w:rPr>
        <w:t xml:space="preserve">- </w:t>
      </w:r>
      <w:r>
        <w:rPr>
          <w:rStyle w:val="FootnoteAnchor"/>
          <w:rtl w:val="true"/>
        </w:rPr>
        <w:footnoteReference w:id="2501"/>
      </w:r>
      <w:r>
        <w:rPr>
          <w:rFonts w:ascii="IRNazanin" w:hAnsi="IRNazanin" w:eastAsia="IRNazanin"/>
          <w:color w:val="111111"/>
          <w:sz w:val="28"/>
          <w:sz w:val="28"/>
          <w:szCs w:val="28"/>
          <w:rtl w:val="true"/>
          <w:lang w:bidi="fa-IR"/>
        </w:rPr>
        <w:t>یمکن أن یستند لمشروعیّة جهاد الصّبیّ الممیّز بخصوصه بوجوه، و لا ندّعی أنّ کلاّ منها یکون دلیلا خاصّا لإثبات المدّعی، و لکن بالنظر إلی مجموعها یطمئنّ الفقیه لإثبات الحکم فی الجملة،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أن یأذن للصّغار بالخروج إلی القتال و الاستعانة بهم، کما فی التحریر،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أخرج الإمام العبید بإذن ساداتهم و النّساء و الصّبیان جاز الانتفاع بهم، و لا یخرج المجنون؛ لعدم الانتفاع به</w:t>
      </w:r>
      <w:r>
        <w:rPr>
          <w:rFonts w:eastAsia="IRNazanin" w:cs="IRNazanin"/>
          <w:color w:val="111111"/>
          <w:sz w:val="28"/>
          <w:szCs w:val="28"/>
          <w:rtl w:val="true"/>
          <w:lang w:bidi="fa-IR"/>
        </w:rPr>
        <w:t>»</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جاء فی کلماتهم أنّه إذا عظم أمر الکافرین و توقّف دفع العدوّ علی الاستعانة بالأطفال جاز</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بأهل الذمّة،</w:t>
      </w:r>
    </w:p>
    <w:p>
      <w:pPr>
        <w:pStyle w:val="BookText"/>
        <w:rPr/>
      </w:pPr>
      <w:r>
        <w:rPr>
          <w:rFonts w:ascii="IRNazanin" w:hAnsi="IRNazanin" w:eastAsia="IRNazanin"/>
          <w:color w:val="111111"/>
          <w:sz w:val="28"/>
          <w:sz w:val="28"/>
          <w:szCs w:val="28"/>
          <w:rtl w:val="true"/>
          <w:lang w:bidi="fa-IR"/>
        </w:rPr>
        <w:t>و المشرک الّذی یؤمن غائلته، و العبد المأذون له فیه، و المراهق</w:t>
      </w:r>
      <w:r>
        <w:rPr>
          <w:rFonts w:eastAsia="IRNazanin" w:cs="IRNazanin"/>
          <w:color w:val="111111"/>
          <w:sz w:val="28"/>
          <w:szCs w:val="28"/>
          <w:rtl w:val="true"/>
          <w:lang w:bidi="fa-IR"/>
        </w:rPr>
        <w:t>»</w:t>
      </w:r>
      <w:r>
        <w:rPr>
          <w:rStyle w:val="FootnoteAnchor"/>
          <w:rtl w:val="true"/>
        </w:rPr>
        <w:footnoteReference w:id="2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من لم یکن مخاطبا بالجهاد مجال للشکّ فی تناول الأدلّة، اللّهمّ إلا أن یکون المسلمون مخاطبین بمحاربة العدوّ بأطفالهم و نسائهم و مجانینهم، کما إذا عظم أمر الکافرین</w:t>
      </w:r>
      <w:r>
        <w:rPr>
          <w:rFonts w:eastAsia="IRNazanin" w:cs="IRNazanin"/>
          <w:color w:val="111111"/>
          <w:sz w:val="28"/>
          <w:szCs w:val="28"/>
          <w:rtl w:val="true"/>
          <w:lang w:bidi="fa-IR"/>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الإذن للصّغار بالخروج إلی القتال و الاستعانة بهم فی الحرب دلیل علی مشروعیّة جهادهم، و لکن لم نجد نصّا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مستندهم النصوص الّتی وردت من طریق أهل السنّة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مستندهم حکم العقل بوجوب المقدّمة، و المفروض أنّ دفع العدوّ یتوقّف علی الاستعانة بالأطفال فی الحرب، إلاّ أنّ هذا الدلیل یثبت المشروعیّة إجمالا و فی بعض الأحیان و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وردت من طریق أهل السنّة و تدلّ علی جواز خروج الأطفال مع الجیش المقاتل، و هی کثیرة نخرجها فی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عظم منزلة الطفل المقتول فی المعرکة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صحیح البخاری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اصیب حارثة یوم بدر و هو غلام</w:t>
      </w:r>
      <w:r>
        <w:rPr>
          <w:rStyle w:val="FootnoteAnchor"/>
          <w:rtl w:val="true"/>
        </w:rPr>
        <w:footnoteReference w:id="2506"/>
      </w:r>
      <w:r>
        <w:rPr>
          <w:rFonts w:ascii="IRNazanin" w:hAnsi="IRNazanin" w:eastAsia="IRNazanin"/>
          <w:color w:val="111111"/>
          <w:sz w:val="28"/>
          <w:sz w:val="28"/>
          <w:szCs w:val="28"/>
          <w:rtl w:val="true"/>
          <w:lang w:bidi="fa-IR"/>
        </w:rPr>
        <w:t>، فجاءت امّه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عرفت منزلة حارثة منّی، فإن یکن فی الجنّة أصبر و أحتسب، و إن تک الاخری تری ما</w:t>
      </w:r>
    </w:p>
    <w:p>
      <w:pPr>
        <w:pStyle w:val="BookText"/>
        <w:rPr/>
      </w:pPr>
      <w:r>
        <w:rPr>
          <w:rFonts w:ascii="IRNazanin" w:hAnsi="IRNazanin" w:eastAsia="IRNazanin"/>
          <w:color w:val="111111"/>
          <w:sz w:val="28"/>
          <w:sz w:val="28"/>
          <w:szCs w:val="28"/>
          <w:rtl w:val="true"/>
          <w:lang w:bidi="fa-IR"/>
        </w:rPr>
        <w:t>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Style w:val="FootnoteAnchor"/>
          <w:rtl w:val="true"/>
        </w:rPr>
        <w:footnoteReference w:id="2507"/>
      </w:r>
      <w:r>
        <w:rPr>
          <w:rFonts w:ascii="IRNazanin" w:hAnsi="IRNazanin" w:eastAsia="IRNazanin"/>
          <w:color w:val="111111"/>
          <w:sz w:val="28"/>
          <w:sz w:val="28"/>
          <w:szCs w:val="28"/>
          <w:rtl w:val="true"/>
          <w:lang w:bidi="fa-IR"/>
        </w:rPr>
        <w:t>أو هبلت؟</w:t>
      </w:r>
      <w:r>
        <w:rPr>
          <w:rFonts w:eastAsia="IRNazanin" w:cs="IRNazanin"/>
          <w:color w:val="111111"/>
          <w:sz w:val="28"/>
          <w:szCs w:val="28"/>
          <w:rtl w:val="true"/>
          <w:lang w:bidi="fa-IR"/>
        </w:rPr>
        <w:t>!</w:t>
      </w:r>
      <w:r>
        <w:rPr>
          <w:rStyle w:val="FootnoteAnchor"/>
          <w:rtl w:val="true"/>
        </w:rPr>
        <w:footnoteReference w:id="2508"/>
      </w:r>
      <w:r>
        <w:rPr>
          <w:rFonts w:ascii="IRNazanin" w:hAnsi="IRNazanin" w:eastAsia="IRNazanin"/>
          <w:color w:val="111111"/>
          <w:sz w:val="28"/>
          <w:sz w:val="28"/>
          <w:szCs w:val="28"/>
          <w:rtl w:val="true"/>
          <w:lang w:bidi="fa-IR"/>
        </w:rPr>
        <w:t>أو جنّة واحدة هی؟ إنّها جنان کثیرة، و إنّه فی جنّة الفردوس</w:t>
      </w:r>
      <w:r>
        <w:rPr>
          <w:rFonts w:eastAsia="IRNazanin" w:cs="IRNazanin"/>
          <w:color w:val="111111"/>
          <w:sz w:val="28"/>
          <w:szCs w:val="28"/>
          <w:rtl w:val="true"/>
          <w:lang w:bidi="fa-IR"/>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ابنک أصاب الفردوس الأعلی</w:t>
      </w:r>
      <w:r>
        <w:rPr>
          <w:rFonts w:eastAsia="IRNazanin" w:cs="IRNazanin"/>
          <w:color w:val="111111"/>
          <w:sz w:val="28"/>
          <w:szCs w:val="28"/>
          <w:rtl w:val="true"/>
          <w:lang w:bidi="fa-IR"/>
        </w:rPr>
        <w:t>»</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بظاهرها علی جواز القتال للأطفال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مصنّف ابن أبی شیبة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دفعت إلی ابنها یوم احد السیف فلم یطق حمله، فشدّته علی ساعده بنسعة</w:t>
      </w:r>
      <w:r>
        <w:rPr>
          <w:rStyle w:val="FootnoteAnchor"/>
          <w:rtl w:val="true"/>
        </w:rPr>
        <w:footnoteReference w:id="2511"/>
      </w:r>
      <w:r>
        <w:rPr>
          <w:rFonts w:ascii="IRNazanin" w:hAnsi="IRNazanin" w:eastAsia="IRNazanin"/>
          <w:color w:val="111111"/>
          <w:sz w:val="28"/>
          <w:sz w:val="28"/>
          <w:szCs w:val="28"/>
          <w:rtl w:val="true"/>
          <w:lang w:bidi="fa-IR"/>
        </w:rPr>
        <w:t>، ثمّ أتت به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ابنی یقاتل عنک،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احمل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فأصابته جراحة، فصرع</w:t>
      </w:r>
      <w:r>
        <w:rPr>
          <w:rStyle w:val="FootnoteAnchor"/>
          <w:rtl w:val="true"/>
        </w:rPr>
        <w:footnoteReference w:id="2512"/>
      </w:r>
      <w:r>
        <w:rPr>
          <w:rFonts w:ascii="IRNazanin" w:hAnsi="IRNazanin" w:eastAsia="IRNazanin"/>
          <w:color w:val="111111"/>
          <w:sz w:val="28"/>
          <w:sz w:val="28"/>
          <w:szCs w:val="28"/>
          <w:rtl w:val="true"/>
          <w:lang w:bidi="fa-IR"/>
        </w:rPr>
        <w:t>، فأتی به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لعلک جزعت؟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کنز العمّال،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رسول اللّه صلّی اللّه علیه و آله عمیر بن أبی وقّاص عن مخرجه إلی بدر و استصغره، فبکی عمیر فأجازه</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الإصابة فی ترجمة عمیر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عرض جیش بدر علی رسول اللّه صلّی اللّه علیه و آله فاستصغره، فبکی فأجازه، و قال أخوه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أعقد حمائل</w:t>
      </w:r>
    </w:p>
    <w:p>
      <w:pPr>
        <w:pStyle w:val="BookText"/>
        <w:rPr/>
      </w:pPr>
      <w:r>
        <w:rPr>
          <w:rFonts w:ascii="IRNazanin" w:hAnsi="IRNazanin" w:eastAsia="IRNazanin"/>
          <w:color w:val="111111"/>
          <w:sz w:val="28"/>
          <w:sz w:val="28"/>
          <w:szCs w:val="28"/>
          <w:rtl w:val="true"/>
          <w:lang w:bidi="fa-IR"/>
        </w:rPr>
        <w:t>سیفه من صغره</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و مسلم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واقف فی الصفّ یوم بدر، فنظرت عن یمینی و شمالی فإذا أنا بین غلامین من الأنصار حدیثة أسنانهما، تمنّیت أن أکون بین أضلع منهما، فغمزنی</w:t>
      </w:r>
      <w:r>
        <w:rPr>
          <w:rStyle w:val="FootnoteAnchor"/>
          <w:rtl w:val="true"/>
        </w:rPr>
        <w:footnoteReference w:id="2516"/>
      </w:r>
      <w:r>
        <w:rPr>
          <w:rFonts w:ascii="IRNazanin" w:hAnsi="IRNazanin" w:eastAsia="IRNazanin"/>
          <w:color w:val="111111"/>
          <w:sz w:val="28"/>
          <w:sz w:val="28"/>
          <w:szCs w:val="28"/>
          <w:rtl w:val="true"/>
          <w:lang w:bidi="fa-IR"/>
        </w:rPr>
        <w:t>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هل تعرف أبا جهل؟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حاجتک إلیه یا ابن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أنّه یسبّ رسول اللّه صلّی اللّه علیه و آله، و الّذی نفسی بیده، لئن رأیته لا یفارق سوادی سواده حتّی یموت الأعجل منّا</w:t>
      </w:r>
      <w:r>
        <w:rPr>
          <w:rStyle w:val="FootnoteAnchor"/>
          <w:rtl w:val="true"/>
        </w:rPr>
        <w:footnoteReference w:id="2517"/>
      </w:r>
      <w:r>
        <w:rPr>
          <w:rFonts w:ascii="IRNazanin" w:hAnsi="IRNazanin" w:eastAsia="IRNazanin"/>
          <w:color w:val="111111"/>
          <w:sz w:val="28"/>
          <w:sz w:val="28"/>
          <w:szCs w:val="28"/>
          <w:rtl w:val="true"/>
          <w:lang w:bidi="fa-IR"/>
        </w:rPr>
        <w:t>، فتعجّبت لذلک، فغمزنی الآخر فقال لی مثلها، فلم أنشب</w:t>
      </w:r>
      <w:r>
        <w:rPr>
          <w:rStyle w:val="FootnoteAnchor"/>
          <w:rtl w:val="true"/>
        </w:rPr>
        <w:footnoteReference w:id="2518"/>
      </w:r>
      <w:r>
        <w:rPr>
          <w:rFonts w:ascii="IRNazanin" w:hAnsi="IRNazanin" w:eastAsia="IRNazanin"/>
          <w:color w:val="111111"/>
          <w:sz w:val="28"/>
          <w:sz w:val="28"/>
          <w:szCs w:val="28"/>
          <w:rtl w:val="true"/>
          <w:lang w:bidi="fa-IR"/>
        </w:rPr>
        <w:t>أن نظرت إلی أبی جهل یجول فی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صاحبکما الّذی سألتمانی، فابتدراه بسیفیهما فضرباه حتّی 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انصرفا إلی رسول اللّه صلّی اللّه علیه و آله فأخبراه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مسحتما سیفیکما؟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السیفین،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کما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سلبه لمعاذ بن عمرو بن الجموح، و کانا معاذ بن عفراء و معاذ بن عمرو بن الجموح</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الصغیر</w:t>
      </w:r>
      <w:r>
        <w:rPr>
          <w:rStyle w:val="FootnoteAnchor"/>
          <w:rtl w:val="true"/>
        </w:rPr>
        <w:footnoteReference w:id="2520"/>
      </w:r>
      <w:r>
        <w:rPr>
          <w:rFonts w:ascii="IRNazanin" w:hAnsi="IRNazanin" w:eastAsia="IRNazanin"/>
          <w:color w:val="111111"/>
          <w:sz w:val="28"/>
          <w:sz w:val="28"/>
          <w:szCs w:val="28"/>
          <w:rtl w:val="true"/>
          <w:lang w:bidi="fa-IR"/>
        </w:rPr>
        <w:t>، أو الطارّ الشارب، أو هو من حین یولد إلی أن یشبّ</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آله اغیلمة بنی عبد المطلب من جمع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بالاغیلمة</w:t>
      </w:r>
      <w:bookmarkStart w:id="985" w:name="pg11756_104299"/>
    </w:p>
    <w:p>
      <w:pPr>
        <w:pStyle w:val="BookText"/>
        <w:rPr/>
      </w:pPr>
      <w:bookmarkEnd w:id="985"/>
      <w:r>
        <w:rPr>
          <w:rFonts w:ascii="Amiri" w:hAnsi="Amiri" w:eastAsia="Amiri" w:cs="Amiri"/>
          <w:color w:val="111111"/>
          <w:sz w:val="28"/>
          <w:sz w:val="28"/>
          <w:szCs w:val="28"/>
          <w:rtl w:val="true"/>
          <w:lang w:bidi="ar-SA"/>
        </w:rPr>
        <w:t>الصّبیان</w:t>
      </w:r>
      <w:r>
        <w:rPr>
          <w:rFonts w:eastAsia="Amiri" w:cs="Amiri" w:ascii="Amiri" w:hAnsi="Amiri"/>
          <w:color w:val="111111"/>
          <w:sz w:val="28"/>
          <w:szCs w:val="28"/>
          <w:rtl w:val="true"/>
          <w:lang w:bidi="ar-SA"/>
        </w:rPr>
        <w:t>»</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9644151_73709187"/>
      <w:bookmarkStart w:id="987" w:name="_Toc370"/>
      <w:bookmarkEnd w:id="986"/>
      <w:r>
        <w:rPr>
          <w:rtl w:val="true"/>
        </w:rPr>
        <w:t>ما تدلّ علی جواز خروج الأطفال مع الجیش للخدمة</w:t>
      </w:r>
      <w:r>
        <w:rPr>
          <w:rtl w:val="true"/>
        </w:rPr>
        <w:t>:</w:t>
      </w:r>
      <w:bookmarkEnd w:id="987"/>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جواز خروج الأطفال مع الجیش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لأبی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لی غلاما من غلمانکم یخدمنی حتی أخرج إلی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بی أبو طلحة مردفی</w:t>
      </w:r>
      <w:r>
        <w:rPr>
          <w:rStyle w:val="FootnoteAnchor"/>
          <w:rtl w:val="true"/>
        </w:rPr>
        <w:footnoteReference w:id="2523"/>
      </w:r>
      <w:r>
        <w:rPr>
          <w:rFonts w:ascii="IRNazanin" w:hAnsi="IRNazanin" w:eastAsia="IRNazanin"/>
          <w:color w:val="111111"/>
          <w:sz w:val="28"/>
          <w:sz w:val="28"/>
          <w:szCs w:val="28"/>
          <w:rtl w:val="true"/>
          <w:lang w:bidi="fa-IR"/>
        </w:rPr>
        <w:t>و أنا غلام راهقت</w:t>
      </w:r>
      <w:r>
        <w:rPr>
          <w:rStyle w:val="FootnoteAnchor"/>
          <w:rtl w:val="true"/>
        </w:rPr>
        <w:footnoteReference w:id="2524"/>
      </w:r>
      <w:r>
        <w:rPr>
          <w:rFonts w:ascii="IRNazanin" w:hAnsi="IRNazanin" w:eastAsia="IRNazanin"/>
          <w:color w:val="111111"/>
          <w:sz w:val="28"/>
          <w:sz w:val="28"/>
          <w:szCs w:val="28"/>
          <w:rtl w:val="true"/>
          <w:lang w:bidi="fa-IR"/>
        </w:rPr>
        <w:t>الحلم، فکنت أخدم رسول اللّه صلّی اللّه علیه و آله إذا نزل، فکنت أسمعه کثیرا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الهمّ و الحزن، و العجز و الکسل، و البخل و الجبن، و ضلع الدین</w:t>
      </w:r>
      <w:r>
        <w:rPr>
          <w:rStyle w:val="FootnoteAnchor"/>
          <w:rtl w:val="true"/>
        </w:rPr>
        <w:footnoteReference w:id="2525"/>
      </w:r>
      <w:r>
        <w:rPr>
          <w:rFonts w:ascii="Amiri" w:hAnsi="Amiri" w:eastAsia="Amiri" w:cs="Amiri"/>
          <w:color w:val="111111"/>
          <w:sz w:val="28"/>
          <w:sz w:val="28"/>
          <w:szCs w:val="28"/>
          <w:rtl w:val="true"/>
          <w:lang w:bidi="ar-SA"/>
        </w:rPr>
        <w:t>، و غلبة الرجال</w:t>
      </w:r>
      <w:r>
        <w:rPr>
          <w:rFonts w:eastAsia="Amiri" w:cs="Amiri" w:ascii="Amiri" w:hAnsi="Amiri"/>
          <w:color w:val="111111"/>
          <w:sz w:val="28"/>
          <w:szCs w:val="28"/>
          <w:rtl w:val="true"/>
          <w:lang w:bidi="ar-SA"/>
        </w:rPr>
        <w:t>»</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الصّبیّ السلب،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یسهم للصّبیّ إذا حضر الحرب</w:t>
      </w:r>
      <w:r>
        <w:rPr>
          <w:rStyle w:val="FootnoteAnchor"/>
          <w:rtl w:val="true"/>
        </w:rPr>
        <w:footnoteReference w:id="2527"/>
      </w:r>
      <w:r>
        <w:rPr>
          <w:rFonts w:ascii="IRNazanin" w:hAnsi="IRNazanin" w:eastAsia="IRNazanin"/>
          <w:color w:val="111111"/>
          <w:sz w:val="28"/>
          <w:sz w:val="28"/>
          <w:szCs w:val="28"/>
          <w:rtl w:val="true"/>
          <w:lang w:bidi="fa-IR"/>
        </w:rPr>
        <w:t>، کما سیأتی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الشهید علی الصبیّ، و ممّا یؤیّد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 مشروعیّة الجهاد للصّبیّ الممیّز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مسائل غسل الصّبیّ المیّت، من استثناء وجوب غسله إذا قتل فی المعرکة، و أنّه یطلق علیه الشهید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صرّح کثیر من المتقدّمین و المتأخّرین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الإجماع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الصّبیّ الّذی قتل فی المعرکة لا یغسّل و لا یکفّن، بل یدفن بثیابه، و أنّ الشهید و المقتول فی سبیل اللّه بین الصفّین یشمل</w:t>
      </w:r>
    </w:p>
    <w:p>
      <w:pPr>
        <w:pStyle w:val="BookText"/>
        <w:rPr/>
      </w:pPr>
      <w:r>
        <w:rPr>
          <w:rFonts w:ascii="IRNazanin" w:hAnsi="IRNazanin" w:eastAsia="IRNazanin"/>
          <w:color w:val="111111"/>
          <w:sz w:val="28"/>
          <w:sz w:val="28"/>
          <w:szCs w:val="28"/>
          <w:rtl w:val="true"/>
          <w:lang w:bidi="fa-IR"/>
        </w:rPr>
        <w:t>الأطفال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الصغیر و الکبیر و الذکر و الانثی إذا استشهدوا فی المعرکة سواء</w:t>
      </w:r>
      <w:r>
        <w:rPr>
          <w:rFonts w:eastAsia="IRNazanin" w:cs="IRNazanin"/>
          <w:color w:val="111111"/>
          <w:sz w:val="28"/>
          <w:szCs w:val="28"/>
          <w:rtl w:val="true"/>
          <w:lang w:bidi="fa-IR"/>
        </w:rPr>
        <w:t>»</w:t>
      </w:r>
      <w:r>
        <w:rPr>
          <w:rStyle w:val="FootnoteAnchor"/>
          <w:rtl w:val="true"/>
        </w:rPr>
        <w:footnoteReference w:id="2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الصّبیّ و المجنون إذا قتلا شهیدین حکم البالغ العاقل</w:t>
      </w:r>
      <w:r>
        <w:rPr>
          <w:rFonts w:eastAsia="IRNazanin" w:cs="IRNazanin"/>
          <w:color w:val="111111"/>
          <w:sz w:val="28"/>
          <w:szCs w:val="28"/>
          <w:rtl w:val="true"/>
          <w:lang w:bidi="fa-IR"/>
        </w:rPr>
        <w:t>»</w:t>
      </w:r>
      <w:r>
        <w:rPr>
          <w:rStyle w:val="FootnoteAnchor"/>
          <w:rtl w:val="true"/>
        </w:rPr>
        <w:footnoteReference w:id="2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531"/>
      </w:r>
      <w:r>
        <w:rPr>
          <w:rFonts w:ascii="IRNazanin" w:hAnsi="IRNazanin" w:eastAsia="IRNazanin"/>
          <w:color w:val="111111"/>
          <w:sz w:val="28"/>
          <w:sz w:val="28"/>
          <w:szCs w:val="28"/>
          <w:rtl w:val="true"/>
          <w:lang w:bidi="fa-IR"/>
        </w:rPr>
        <w:t>و التحریر</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کالبالغ و إن کان رضیعا</w:t>
      </w:r>
      <w:r>
        <w:rPr>
          <w:rFonts w:eastAsia="IRNazanin" w:cs="IRNazanin"/>
          <w:color w:val="111111"/>
          <w:sz w:val="28"/>
          <w:szCs w:val="28"/>
          <w:rtl w:val="true"/>
          <w:lang w:bidi="fa-IR"/>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الصغیر و الکبیر و الرجل و المرأة</w:t>
      </w:r>
      <w:r>
        <w:rPr>
          <w:rFonts w:eastAsia="IRNazanin" w:cs="IRNazanin"/>
          <w:color w:val="111111"/>
          <w:sz w:val="28"/>
          <w:szCs w:val="28"/>
          <w:rtl w:val="true"/>
          <w:lang w:bidi="fa-IR"/>
        </w:rPr>
        <w:t>»</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جملة من المتأخّرین</w:t>
      </w:r>
      <w:r>
        <w:rPr>
          <w:rStyle w:val="FootnoteAnchor"/>
          <w:rtl w:val="true"/>
        </w:rPr>
        <w:footnoteReference w:id="2535"/>
      </w:r>
      <w:r>
        <w:rPr>
          <w:rFonts w:ascii="Amiri" w:hAnsi="Amiri" w:eastAsia="Amiri" w:cs="Amiri"/>
          <w:color w:val="111111"/>
          <w:sz w:val="28"/>
          <w:sz w:val="28"/>
          <w:szCs w:val="28"/>
          <w:rtl w:val="true"/>
          <w:lang w:bidi="ar-SA"/>
        </w:rPr>
        <w:t>و متأخّریهم</w:t>
      </w:r>
      <w:r>
        <w:rPr>
          <w:rStyle w:val="FootnoteAnchor"/>
          <w:rtl w:val="true"/>
        </w:rPr>
        <w:footnoteReference w:id="2536"/>
      </w:r>
      <w:r>
        <w:rPr>
          <w:rFonts w:ascii="IRNazanin" w:hAnsi="IRNazanin" w:eastAsia="IRNazanin"/>
          <w:color w:val="111111"/>
          <w:sz w:val="28"/>
          <w:sz w:val="28"/>
          <w:szCs w:val="28"/>
          <w:rtl w:val="true"/>
          <w:lang w:bidi="fa-IR"/>
        </w:rPr>
        <w:t>و فقهاء العصر</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الأصحاب، کما هو الظاهر من المعتبر</w:t>
      </w:r>
      <w:r>
        <w:rPr>
          <w:rStyle w:val="FootnoteAnchor"/>
          <w:rtl w:val="true"/>
        </w:rPr>
        <w:footnoteReference w:id="2538"/>
      </w:r>
      <w:r>
        <w:rPr>
          <w:rFonts w:ascii="IRNazanin" w:hAnsi="IRNazanin" w:eastAsia="IRNazanin"/>
          <w:color w:val="111111"/>
          <w:sz w:val="28"/>
          <w:sz w:val="28"/>
          <w:szCs w:val="28"/>
          <w:rtl w:val="true"/>
          <w:lang w:bidi="fa-IR"/>
        </w:rPr>
        <w:t>، 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خبر روی</w:t>
      </w:r>
    </w:p>
    <w:p>
      <w:pPr>
        <w:pStyle w:val="BookText"/>
        <w:rPr/>
      </w:pPr>
      <w:r>
        <w:rPr>
          <w:rFonts w:ascii="IRNazanin" w:hAnsi="IRNazanin" w:eastAsia="IRNazanin"/>
          <w:color w:val="111111"/>
          <w:sz w:val="28"/>
          <w:sz w:val="28"/>
          <w:szCs w:val="28"/>
          <w:rtl w:val="true"/>
          <w:lang w:bidi="fa-IR"/>
        </w:rPr>
        <w:t>أنّ الشّهید یدفن بدمه و لا یغسّل، یتناول هؤلاء بعمومه</w:t>
      </w:r>
      <w:r>
        <w:rPr>
          <w:rFonts w:eastAsia="IRNazanin" w:cs="IRNazanin"/>
          <w:color w:val="111111"/>
          <w:sz w:val="28"/>
          <w:szCs w:val="28"/>
          <w:rtl w:val="true"/>
          <w:lang w:bidi="fa-IR"/>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بإطلاق اللفظ</w:t>
      </w:r>
      <w:r>
        <w:rPr>
          <w:rFonts w:eastAsia="IRNazanin" w:cs="IRNazanin"/>
          <w:color w:val="111111"/>
          <w:sz w:val="28"/>
          <w:szCs w:val="28"/>
          <w:rtl w:val="true"/>
          <w:lang w:bidi="fa-IR"/>
        </w:rPr>
        <w:t>»</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الفقیه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القتل فی المعرکة موجب لسقوط التغسیل، و إن کان القتیل غیر بالغ؛ لصدق العنوان و أنّه مقتول فی سبیل اللّه</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الشهید یقع علیه؛ لأنّه مسلم قتل فی المعترک، و لأنّه کان فی قتلی بدر و احد أطفال کحارثة بن النعمان و عمیر بن أبی وقّاص، و لم ینقل أنّ النّبی صلّی اللّه علیه و آله غسّلهم</w:t>
      </w:r>
      <w:r>
        <w:rPr>
          <w:rFonts w:eastAsia="IRNazanin" w:cs="IRNazanin"/>
          <w:color w:val="111111"/>
          <w:sz w:val="28"/>
          <w:szCs w:val="28"/>
          <w:rtl w:val="true"/>
          <w:lang w:bidi="fa-IR"/>
        </w:rPr>
        <w:t>»</w:t>
      </w:r>
      <w:r>
        <w:rPr>
          <w:rStyle w:val="FootnoteAnchor"/>
          <w:rtl w:val="true"/>
        </w:rPr>
        <w:footnoteReference w:id="2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544"/>
      </w:r>
      <w:r>
        <w:rPr>
          <w:rFonts w:ascii="IRNazanin" w:hAnsi="IRNazanin" w:eastAsia="IRNazanin"/>
          <w:color w:val="111111"/>
          <w:sz w:val="28"/>
          <w:sz w:val="28"/>
          <w:szCs w:val="28"/>
          <w:rtl w:val="true"/>
          <w:lang w:bidi="fa-IR"/>
        </w:rPr>
        <w:t>و الذکری</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صغیران و لم یأمر النّبی صلّی اللّه علیه و آله بتغسیل أحد</w:t>
      </w:r>
      <w:r>
        <w:rPr>
          <w:rStyle w:val="FootnoteAnchor"/>
          <w:rtl w:val="true"/>
        </w:rPr>
        <w:footnoteReference w:id="2546"/>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ورد أنّ فی الطّف أطفالا مع الحسین علیه السّلام و قتلوا بین یدیه، کقاسم بن الحسن و عبد اللّه بن الحسن و الطفل الرّضیع و غیرهم، و لم ینقل أنّهم غسّلوا، بل دفنوا کسائر الشهداء، بل جاء فی التّاریخ أنّه لمّا قتل الطفل الرضیع نزل الحسین علیه السّلام عن فرسه و حفر له بجفن سیفه و زمّله بدمه و صلّی علیه</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بمقتضی ظاهر النصوص الواردة من طریق أهل السنّة و الخاصّة و الإجماع المحکیّ و صریح کلمات الأصحاب یکون جهاد الصّبیّ الممیّز فی موارد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الإشارة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مشروعا و راجحا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استشکله الشیخ الأعظم تبعا للجواهر من أنّ الصّبیّ لم یکن مخاطبا بالجهاد، و لا یکون الجهاد فی حقّه راجحا</w:t>
      </w:r>
      <w:r>
        <w:rPr>
          <w:rStyle w:val="FootnoteAnchor"/>
          <w:rtl w:val="true"/>
        </w:rPr>
        <w:footnoteReference w:id="2549"/>
      </w:r>
      <w:r>
        <w:rPr>
          <w:rFonts w:ascii="IRNazanin" w:hAnsi="IRNazanin" w:eastAsia="IRNazanin"/>
          <w:color w:val="111111"/>
          <w:sz w:val="28"/>
          <w:sz w:val="28"/>
          <w:szCs w:val="28"/>
          <w:rtl w:val="true"/>
          <w:lang w:bidi="fa-IR"/>
        </w:rPr>
        <w:t>، و تبعهما السیّد الحکیم، حیث قال بعد ذکر 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محلّه</w:t>
      </w:r>
      <w:r>
        <w:rPr>
          <w:rFonts w:eastAsia="IRNazanin" w:cs="IRNazanin"/>
          <w:color w:val="111111"/>
          <w:sz w:val="28"/>
          <w:szCs w:val="28"/>
          <w:rtl w:val="true"/>
          <w:lang w:bidi="fa-IR"/>
        </w:rPr>
        <w:t>»</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تقدّم الجواب عنه،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المسلمون مخاطبین بمحاربة العدوّ بأطفالهم و نسائهم و مجانینهم، کما إذا عظم أمر الکافرین، و توقّف دفع العدوّ علی الاستعانة بالأطفال و غیرهم، فیصدق حینئذ علی الصّبیّ أنّه قتیل فی سبیل اللّه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المناقشة و إن کانت موجّهة؛ لأنّ المکلّفین من الرّجال مأمورون بالجهاد و الدفاع، فالمقتول منهم قد قتل فی سبیل اللّه، کما أنّ الأطفال أو النّساء إذا استعین بهم فی القتال کذلک، حیث إنّ المقتول قد قتل فی الجهاد المأمور به؛ لقتلهم فی الإعانة له</w:t>
      </w:r>
      <w:r>
        <w:rPr>
          <w:rStyle w:val="FootnoteAnchor"/>
          <w:rtl w:val="true"/>
        </w:rPr>
        <w:footnoteReference w:id="2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فرضنا أنّ الطفل أو المرأة أو المجنون خرج إلی المعرکة من عنده من غیر توقّف الدفاع أو الجهاد علی الاستعانة به، فلا یصدق أنّه مقتول فی سبیل اللّه؛ إذ لا أمر بدفاعه أو جهاده، و إنّما قتل من غیر أمر</w:t>
      </w:r>
      <w:r>
        <w:rPr>
          <w:rFonts w:eastAsia="IRNazanin" w:cs="IRNazanin"/>
          <w:color w:val="111111"/>
          <w:sz w:val="28"/>
          <w:szCs w:val="28"/>
          <w:rtl w:val="true"/>
          <w:lang w:bidi="fa-IR"/>
        </w:rPr>
        <w:t>»</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bookmarkStart w:id="988" w:name="pg11756_104303"/>
    </w:p>
    <w:p>
      <w:pPr>
        <w:pStyle w:val="Heading4"/>
        <w:numPr>
          <w:ilvl w:val="3"/>
          <w:numId w:val="1"/>
        </w:numPr>
        <w:rPr/>
      </w:pPr>
      <w:bookmarkStart w:id="989" w:name="__RefHeading___Toc9644153_73709187"/>
      <w:bookmarkStart w:id="990" w:name="_Toc371"/>
      <w:bookmarkEnd w:id="988"/>
      <w:bookmarkEnd w:id="989"/>
      <w:r>
        <w:rPr>
          <w:rtl w:val="true"/>
        </w:rPr>
        <w:t>آراء أهل السنّة فی جهاد الصبیّ</w:t>
      </w:r>
      <w:bookmarkEnd w:id="990"/>
    </w:p>
    <w:p>
      <w:pPr>
        <w:pStyle w:val="Heading5"/>
        <w:numPr>
          <w:ilvl w:val="4"/>
          <w:numId w:val="1"/>
        </w:numPr>
        <w:rPr/>
      </w:pPr>
      <w:bookmarkStart w:id="991" w:name="__RefHeading___Toc9644155_73709187"/>
      <w:bookmarkStart w:id="992" w:name="_Toc372"/>
      <w:bookmarkEnd w:id="991"/>
      <w:r>
        <w:rPr>
          <w:rtl w:val="true"/>
        </w:rPr>
        <w:t>اشارة</w:t>
      </w:r>
      <w:bookmarkEnd w:id="992"/>
    </w:p>
    <w:p>
      <w:pPr>
        <w:pStyle w:val="BookText"/>
        <w:rPr/>
      </w:pPr>
      <w:r>
        <w:rPr>
          <w:rFonts w:ascii="IRNazanin" w:hAnsi="IRNazanin" w:eastAsia="IRNazanin"/>
          <w:color w:val="111111"/>
          <w:sz w:val="28"/>
          <w:sz w:val="28"/>
          <w:szCs w:val="28"/>
          <w:rtl w:val="true"/>
          <w:lang w:bidi="fa-IR"/>
        </w:rPr>
        <w:t>فقد اتّفقوا علی أنّه لا یجب الجهاد علی الصبیّ غیر البالغ، و استدلّوا علی ذلک بحدیث رفع القلم عن الصبیّ؛ و لأنّه صلّی اللّه علیه و آله ردّ یوم بدر نفرا من أصحابه استصغرهم</w:t>
      </w:r>
      <w:r>
        <w:rPr>
          <w:rStyle w:val="FootnoteAnchor"/>
          <w:rtl w:val="true"/>
        </w:rPr>
        <w:footnoteReference w:id="2553"/>
      </w:r>
      <w:r>
        <w:rPr>
          <w:rFonts w:ascii="IRNazanin" w:hAnsi="IRNazanin" w:eastAsia="IRNazanin"/>
          <w:color w:val="111111"/>
          <w:sz w:val="28"/>
          <w:sz w:val="28"/>
          <w:szCs w:val="28"/>
          <w:rtl w:val="true"/>
          <w:lang w:bidi="fa-IR"/>
        </w:rPr>
        <w:t>، و لأنّ القتال تکلیف و الصبیّ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ذرّیّة یقاتل عنه و لا یقاتل، و لأنّه یضعف عن معرفة القتال و مقاومة الرجال</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المغنی لابن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البلوغ من شرائط وجوب الجهاد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ضعیف البنیة، و قد روی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رسول اللّه صلّی اللّه علیه و آله یوم احد و أنا ابن أربع عشرة فلم یجزنی فی المقاتلة</w:t>
      </w:r>
      <w:r>
        <w:rPr>
          <w:rFonts w:eastAsia="IRNazanin" w:cs="IRNazanin"/>
          <w:color w:val="111111"/>
          <w:sz w:val="28"/>
          <w:szCs w:val="28"/>
          <w:rtl w:val="true"/>
          <w:lang w:bidi="fa-IR"/>
        </w:rPr>
        <w:t>»</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یستفاد من کلماتهم جواز الجهاد للصبیّ عند الضرورة و فی بعض الحالات، فجاز للإمام أن یخرجه للقتال إذا رأی مصلحة فی ذلک، و کذلک للأب أن یأذن له فی الجهاد، و إلیک نصّ کلماتهم</w:t>
      </w:r>
      <w:r>
        <w:rPr>
          <w:rFonts w:eastAsia="IRNazanin" w:cs="IRNazanin"/>
          <w:color w:val="111111"/>
          <w:sz w:val="28"/>
          <w:szCs w:val="28"/>
          <w:rtl w:val="true"/>
          <w:lang w:bidi="fa-IR"/>
        </w:rPr>
        <w:t>:</w:t>
      </w:r>
    </w:p>
    <w:p>
      <w:pPr>
        <w:pStyle w:val="Heading5"/>
        <w:numPr>
          <w:ilvl w:val="4"/>
          <w:numId w:val="1"/>
        </w:numPr>
        <w:rPr/>
      </w:pPr>
      <w:bookmarkStart w:id="993" w:name="__RefHeading___Toc9644157_73709187"/>
      <w:bookmarkStart w:id="994" w:name="_Toc373"/>
      <w:bookmarkEnd w:id="993"/>
      <w:r>
        <w:rPr>
          <w:rtl w:val="true"/>
        </w:rPr>
        <w:t xml:space="preserve">أ </w:t>
      </w:r>
      <w:r>
        <w:rPr>
          <w:rtl w:val="true"/>
        </w:rPr>
        <w:t xml:space="preserve">- </w:t>
      </w:r>
      <w:r>
        <w:rPr>
          <w:rtl w:val="true"/>
        </w:rPr>
        <w:t>الحنفیّة</w:t>
      </w:r>
      <w:bookmarkEnd w:id="994"/>
    </w:p>
    <w:p>
      <w:pPr>
        <w:pStyle w:val="BookText"/>
        <w:rPr/>
      </w:pPr>
      <w:r>
        <w:rPr>
          <w:rFonts w:ascii="IRNazanin" w:hAnsi="IRNazanin" w:eastAsia="IRNazanin"/>
          <w:color w:val="111111"/>
          <w:sz w:val="28"/>
          <w:sz w:val="28"/>
          <w:szCs w:val="28"/>
          <w:rtl w:val="true"/>
          <w:lang w:bidi="fa-IR"/>
        </w:rPr>
        <w:t>جاء فی حاشیة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أن یأذن للمراهق بالقتال و إن خاف علیه القتل</w:t>
      </w:r>
      <w:r>
        <w:rPr>
          <w:rFonts w:eastAsia="IRNazanin" w:cs="IRNazanin"/>
          <w:color w:val="111111"/>
          <w:sz w:val="28"/>
          <w:szCs w:val="28"/>
          <w:rtl w:val="true"/>
          <w:lang w:bidi="fa-IR"/>
        </w:rPr>
        <w:t>»</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هجم العدوّ، أی دخل بلدة بغتة، و هذه الحالة تسمّی النفیر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النفیر العام أن یحتاج إلی جمیع المسلمین، فیخرج</w:t>
      </w:r>
      <w:bookmarkStart w:id="995" w:name="pg11756_104304"/>
    </w:p>
    <w:p>
      <w:pPr>
        <w:pStyle w:val="BookText"/>
        <w:rPr/>
      </w:pPr>
      <w:bookmarkEnd w:id="995"/>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المرأة، و العبد، و المدیون، و غیرهم، قال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الغلمان الذین لم یبلغوا إذا أطاقوا القتال، فلا بأس أن یخرجوا و یقاتلوا فی النفیر العام و إن کره ذلک الآباء و الامّهات</w:t>
      </w:r>
      <w:r>
        <w:rPr>
          <w:rFonts w:eastAsia="IRNazanin" w:cs="IRNazanin"/>
          <w:color w:val="111111"/>
          <w:sz w:val="28"/>
          <w:szCs w:val="28"/>
          <w:rtl w:val="true"/>
          <w:lang w:bidi="fa-IR"/>
        </w:rPr>
        <w:t>»</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علیّ بن أبی طالب علیه السّلام أسلم مع رسول اللّه صلّی اللّه علیه و آله و هو ابن تسع سنین، فلو حضر قتالا لقاتل، فهذا لا بأس به</w:t>
      </w:r>
      <w:r>
        <w:rPr>
          <w:rFonts w:eastAsia="IRNazanin" w:cs="IRNazanin"/>
          <w:color w:val="111111"/>
          <w:sz w:val="28"/>
          <w:szCs w:val="28"/>
          <w:rtl w:val="true"/>
          <w:lang w:bidi="fa-IR"/>
        </w:rPr>
        <w:t>»</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یرضخ للصبیّ إذا قاتل، فقد کان فی الصبیان من یقاتل علی عهد رسول اللّه صلّی اللّه علیه و آله، کما روی أنّه عرض علیه صبیّ، فردّه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رام، فأجازه، و عرض علیه صبیّان فردّ أحدهما و أجاز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الإجازة فی المقاتلین</w:t>
      </w:r>
      <w:r>
        <w:rPr>
          <w:rFonts w:eastAsia="IRNazanin" w:cs="IRNazanin"/>
          <w:color w:val="111111"/>
          <w:sz w:val="28"/>
          <w:szCs w:val="28"/>
          <w:rtl w:val="true"/>
          <w:lang w:bidi="fa-IR"/>
        </w:rPr>
        <w:t>»</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9644159_73709187"/>
      <w:bookmarkStart w:id="997" w:name="_Toc374"/>
      <w:bookmarkEnd w:id="996"/>
      <w:r>
        <w:rPr>
          <w:rtl w:val="true"/>
        </w:rPr>
        <w:t xml:space="preserve">ب </w:t>
      </w:r>
      <w:r>
        <w:rPr>
          <w:rtl w:val="true"/>
        </w:rPr>
        <w:t xml:space="preserve">- </w:t>
      </w:r>
      <w:r>
        <w:rPr>
          <w:rtl w:val="true"/>
        </w:rPr>
        <w:t>المالکیّة</w:t>
      </w:r>
      <w:bookmarkEnd w:id="997"/>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یتعیّن الجهاد فی بعض الأحیان، و لتعیّنه سببان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بالخروج إلی 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یفجأ العدو قوما لهم قوّة علی مدافعته، فتعیّن علیهم دفعه و مقاتلته</w:t>
      </w:r>
      <w:r>
        <w:rPr>
          <w:rFonts w:eastAsia="IRNazanin" w:cs="IRNazanin"/>
          <w:color w:val="111111"/>
          <w:sz w:val="28"/>
          <w:szCs w:val="28"/>
          <w:rtl w:val="true"/>
          <w:lang w:bidi="fa-IR"/>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سحنون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إن أجازه الإمام فی المقاتلة صحّ أمانه، و إن لم یجزه لم یصحّ</w:t>
      </w:r>
      <w:r>
        <w:rPr>
          <w:rFonts w:eastAsia="IRNazanin" w:cs="IRNazanin"/>
          <w:color w:val="111111"/>
          <w:sz w:val="28"/>
          <w:szCs w:val="28"/>
          <w:rtl w:val="true"/>
          <w:lang w:bidi="fa-IR"/>
        </w:rPr>
        <w:t>»</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bookmarkStart w:id="998" w:name="pg11756_104305"/>
    </w:p>
    <w:p>
      <w:pPr>
        <w:pStyle w:val="BookText"/>
        <w:rPr/>
      </w:pPr>
      <w:bookmarkEnd w:id="998"/>
      <w:r>
        <w:rPr>
          <w:rFonts w:ascii="IRNazanin" w:hAnsi="IRNazanin" w:eastAsia="IRNazanin"/>
          <w:color w:val="111111"/>
          <w:sz w:val="28"/>
          <w:sz w:val="28"/>
          <w:szCs w:val="28"/>
          <w:rtl w:val="true"/>
          <w:lang w:bidi="fa-IR"/>
        </w:rPr>
        <w:t>و فی حاشیة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تعیّن الجهاد بفجء العدوّ علی قوم و إن توجّه الدفع علی امرأة و رقیق، و کذا صبیّ له قدرة علی القتال، و یسهم إذ ذاک للمرأة و العبد و الصبیّ؛ لأنّ الجهاد صار واجبا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بتعیّنه علی الصبیّ بفجء العدوّ، و بتعیین الإمام إلجاؤه و جبره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عقابه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توجّه الوجوب للصبیّ خرق للإجماع</w:t>
      </w:r>
      <w:r>
        <w:rPr>
          <w:rFonts w:eastAsia="IRNazanin" w:cs="IRNazanin"/>
          <w:color w:val="111111"/>
          <w:sz w:val="28"/>
          <w:szCs w:val="28"/>
          <w:rtl w:val="true"/>
          <w:lang w:bidi="fa-IR"/>
        </w:rPr>
        <w:t>»</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9644161_73709187"/>
      <w:bookmarkStart w:id="1000" w:name="_Toc375"/>
      <w:bookmarkEnd w:id="999"/>
      <w:r>
        <w:rPr>
          <w:rtl w:val="true"/>
        </w:rPr>
        <w:t xml:space="preserve">ج </w:t>
      </w:r>
      <w:r>
        <w:rPr>
          <w:rtl w:val="true"/>
        </w:rPr>
        <w:t xml:space="preserve">- </w:t>
      </w:r>
      <w:r>
        <w:rPr>
          <w:rtl w:val="true"/>
        </w:rPr>
        <w:t>الشافعیّة</w:t>
      </w:r>
      <w:bookmarkEnd w:id="1000"/>
    </w:p>
    <w:p>
      <w:pPr>
        <w:pStyle w:val="BookText"/>
        <w:rPr/>
      </w:pPr>
      <w:r>
        <w:rPr>
          <w:rFonts w:ascii="IRNazanin" w:hAnsi="IRNazanin" w:eastAsia="IRNazanin"/>
          <w:color w:val="111111"/>
          <w:sz w:val="28"/>
          <w:sz w:val="28"/>
          <w:szCs w:val="28"/>
          <w:rtl w:val="true"/>
          <w:lang w:bidi="fa-IR"/>
        </w:rPr>
        <w:t>جاء فی الحاوی الکبیر</w:t>
      </w:r>
      <w:r>
        <w:rPr>
          <w:rStyle w:val="FootnoteAnchor"/>
          <w:rtl w:val="true"/>
        </w:rPr>
        <w:footnoteReference w:id="2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للإمام أن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من اشتدّ من الصبیان؛ لأنّهم 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ما فی روضة الطالبین</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مع رسول اللّه صلّی اللّه علیه و آله القتال عبید و نساء و غیر بالغین، فرضخ لهم و لم یسهم</w:t>
      </w:r>
      <w:r>
        <w:rPr>
          <w:rFonts w:eastAsia="IRNazanin" w:cs="IRNazanin"/>
          <w:color w:val="111111"/>
          <w:sz w:val="28"/>
          <w:szCs w:val="28"/>
          <w:rtl w:val="true"/>
          <w:lang w:bidi="fa-IR"/>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العمل علی الحدیث عند 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العبید و الصبیان و النسوان إذا حضروا القتال یرضخ لهم و لا یسهم لهم، و الرضخ یکون من أربعة أخماس الغنیمة</w:t>
      </w:r>
      <w:r>
        <w:rPr>
          <w:rFonts w:eastAsia="IRNazanin" w:cs="IRNazanin"/>
          <w:color w:val="111111"/>
          <w:sz w:val="28"/>
          <w:szCs w:val="28"/>
          <w:rtl w:val="true"/>
          <w:lang w:bidi="fa-IR"/>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للکفّار 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یکونون ببلادهم مستقرّین بها غیر قاصدین شیئا من بلاد المسلمین، ففرض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فعله من فیهم کفایة سقط الحرج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w:t>
      </w:r>
      <w:bookmarkStart w:id="1001" w:name="pg11756_104306"/>
    </w:p>
    <w:p>
      <w:pPr>
        <w:pStyle w:val="BookText"/>
        <w:rPr/>
      </w:pPr>
      <w:bookmarkEnd w:id="1001"/>
      <w:r>
        <w:rPr>
          <w:rFonts w:ascii="IRNazanin" w:hAnsi="IRNazanin" w:eastAsia="IRNazanin"/>
          <w:color w:val="111111"/>
          <w:sz w:val="28"/>
          <w:sz w:val="28"/>
          <w:szCs w:val="28"/>
          <w:rtl w:val="true"/>
          <w:lang w:bidi="fa-IR"/>
        </w:rPr>
        <w:t>من لم یکن من أهل فرض الجهاد، و هو کذلک، فلو قام به مراهقون سقط الحرج عن أهل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فرض الکفایة مع الصغر و الجنون و الانوثة</w:t>
      </w:r>
      <w:r>
        <w:rPr>
          <w:rFonts w:eastAsia="IRNazanin" w:cs="IRNazanin"/>
          <w:color w:val="111111"/>
          <w:sz w:val="28"/>
          <w:szCs w:val="28"/>
          <w:rtl w:val="true"/>
          <w:lang w:bidi="fa-IR"/>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للإمام الاستعانة بأشخاص مراهقین أقویاء فی قتال و غیره</w:t>
      </w:r>
      <w:r>
        <w:rPr>
          <w:rFonts w:eastAsia="IRNazanin" w:cs="IRNazanin"/>
          <w:color w:val="111111"/>
          <w:sz w:val="28"/>
          <w:szCs w:val="28"/>
          <w:rtl w:val="true"/>
          <w:lang w:bidi="fa-IR"/>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9644163_73709187"/>
      <w:bookmarkStart w:id="1003" w:name="_Toc376"/>
      <w:bookmarkEnd w:id="1002"/>
      <w:r>
        <w:rPr>
          <w:rtl w:val="true"/>
        </w:rPr>
        <w:t xml:space="preserve">د </w:t>
      </w:r>
      <w:r>
        <w:rPr>
          <w:rtl w:val="true"/>
        </w:rPr>
        <w:t xml:space="preserve">- </w:t>
      </w:r>
      <w:r>
        <w:rPr>
          <w:rtl w:val="true"/>
        </w:rPr>
        <w:t>الحنابلة</w:t>
      </w:r>
      <w:bookmarkEnd w:id="1003"/>
    </w:p>
    <w:p>
      <w:pPr>
        <w:pStyle w:val="BookText"/>
        <w:rPr/>
      </w:pPr>
      <w:r>
        <w:rPr>
          <w:rFonts w:ascii="IRNazanin" w:hAnsi="IRNazanin" w:eastAsia="IRNazanin"/>
          <w:color w:val="111111"/>
          <w:sz w:val="28"/>
          <w:sz w:val="28"/>
          <w:szCs w:val="28"/>
          <w:rtl w:val="true"/>
          <w:lang w:bidi="fa-IR"/>
        </w:rPr>
        <w:t>یجوز عندهم خروج الصبیان إلی القتال و إن لم یکن واجبا علیهم، حیث إنّهم قرّروا أنّ الصبیان إذا خرجوا إلی القتال یستحقّون الرضخ، أی شیئا قلیلا من الغنیمة لا یصل إلی مقدار سهم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یرضخ و لا یسهم له، و به قال الثوری و اللیث</w:t>
      </w:r>
      <w:r>
        <w:rPr>
          <w:rFonts w:eastAsia="IRNazanin" w:cs="IRNazanin"/>
          <w:color w:val="111111"/>
          <w:sz w:val="28"/>
          <w:szCs w:val="28"/>
          <w:rtl w:val="true"/>
          <w:lang w:bidi="fa-IR"/>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یرضخ لهم دون السهم</w:t>
      </w:r>
      <w:r>
        <w:rPr>
          <w:rFonts w:eastAsia="IRNazanin" w:cs="IRNazanin"/>
          <w:color w:val="111111"/>
          <w:sz w:val="28"/>
          <w:szCs w:val="28"/>
          <w:rtl w:val="true"/>
          <w:lang w:bidi="fa-IR"/>
        </w:rPr>
        <w:t>»</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یرضخ لمن لا سهم له؛ لأنّه استحقّ بحضور الوقعة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الممیّزون؛ لما روی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الصبیان یحذون</w:t>
      </w:r>
      <w:r>
        <w:rPr>
          <w:rStyle w:val="FootnoteAnchor"/>
          <w:rtl w:val="true"/>
        </w:rPr>
        <w:footnoteReference w:id="2571"/>
      </w:r>
      <w:r>
        <w:rPr>
          <w:rFonts w:ascii="IRNazanin" w:hAnsi="IRNazanin" w:eastAsia="IRNazanin"/>
          <w:color w:val="111111"/>
          <w:sz w:val="28"/>
          <w:sz w:val="28"/>
          <w:szCs w:val="28"/>
          <w:rtl w:val="true"/>
          <w:lang w:bidi="fa-IR"/>
        </w:rPr>
        <w:t>من الغنیمة إذا حضروا الغزو</w:t>
      </w:r>
      <w:r>
        <w:rPr>
          <w:rFonts w:eastAsia="IRNazanin" w:cs="IRNazanin"/>
          <w:color w:val="111111"/>
          <w:sz w:val="28"/>
          <w:szCs w:val="28"/>
          <w:rtl w:val="true"/>
          <w:lang w:bidi="fa-IR"/>
        </w:rPr>
        <w:t>»</w:t>
      </w:r>
      <w:r>
        <w:rPr>
          <w:rStyle w:val="FootnoteAnchor"/>
          <w:rtl w:val="true"/>
        </w:rPr>
        <w:footnoteReference w:id="2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یستحقّ للسلب إذا قتل أحدا من الکفّار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السّلب لکلّ قاتل یستحقّ السهم أو الرضخ، کالعبد و المرأة و الصبیّ و المشرک</w:t>
      </w:r>
      <w:r>
        <w:rPr>
          <w:rFonts w:eastAsia="IRNazanin" w:cs="IRNazanin"/>
          <w:color w:val="111111"/>
          <w:sz w:val="28"/>
          <w:szCs w:val="28"/>
          <w:rtl w:val="true"/>
          <w:lang w:bidi="fa-IR"/>
        </w:rPr>
        <w:t>»</w:t>
      </w:r>
      <w:r>
        <w:rPr>
          <w:rStyle w:val="FootnoteAnchor"/>
          <w:rtl w:val="true"/>
        </w:rPr>
        <w:footnoteReference w:id="2573"/>
      </w:r>
      <w:r>
        <w:rPr>
          <w:rFonts w:ascii="IRNazanin" w:hAnsi="IRNazanin" w:eastAsia="IRNazanin"/>
          <w:color w:val="111111"/>
          <w:sz w:val="28"/>
          <w:sz w:val="28"/>
          <w:szCs w:val="28"/>
          <w:rtl w:val="true"/>
          <w:lang w:bidi="fa-IR"/>
        </w:rPr>
        <w:t>، و قریب من هذا ما فی الکافی</w:t>
      </w:r>
      <w:r>
        <w:rPr>
          <w:rStyle w:val="FootnoteAnchor"/>
          <w:rtl w:val="true"/>
        </w:rPr>
        <w:footnoteReference w:id="2574"/>
      </w:r>
      <w:r>
        <w:rPr>
          <w:rFonts w:ascii="IRNazanin" w:hAnsi="IRNazanin" w:eastAsia="IRNazanin"/>
          <w:color w:val="111111"/>
          <w:sz w:val="28"/>
          <w:sz w:val="28"/>
          <w:szCs w:val="28"/>
          <w:rtl w:val="true"/>
          <w:lang w:bidi="fa-IR"/>
        </w:rPr>
        <w:t>و المبدع</w:t>
      </w:r>
      <w:r>
        <w:rPr>
          <w:rStyle w:val="FootnoteAnchor"/>
          <w:rtl w:val="true"/>
        </w:rPr>
        <w:footnoteReference w:id="2575"/>
      </w:r>
      <w:r>
        <w:rPr>
          <w:rFonts w:ascii="IRNazanin" w:hAnsi="IRNazanin" w:eastAsia="IRNazanin"/>
          <w:color w:val="111111"/>
          <w:sz w:val="28"/>
          <w:sz w:val="28"/>
          <w:szCs w:val="28"/>
          <w:rtl w:val="true"/>
          <w:lang w:bidi="fa-IR"/>
        </w:rPr>
        <w:t>و الإنصاف</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bookmarkStart w:id="1004" w:name="pg11756_104308"/>
    </w:p>
    <w:p>
      <w:pPr>
        <w:pStyle w:val="Heading3"/>
        <w:numPr>
          <w:ilvl w:val="2"/>
          <w:numId w:val="1"/>
        </w:numPr>
        <w:rPr/>
      </w:pPr>
      <w:bookmarkStart w:id="1005" w:name="__RefHeading___Toc9644165_73709187"/>
      <w:bookmarkStart w:id="1006" w:name="_Toc377"/>
      <w:bookmarkEnd w:id="1004"/>
      <w:bookmarkEnd w:id="1005"/>
      <w:r>
        <w:rPr>
          <w:rtl w:val="true"/>
        </w:rPr>
        <w:t>المبحث الثالث</w:t>
      </w:r>
      <w:r>
        <w:rPr>
          <w:rtl w:val="true"/>
        </w:rPr>
        <w:t xml:space="preserve">: </w:t>
      </w:r>
      <w:r>
        <w:rPr>
          <w:rtl w:val="true"/>
        </w:rPr>
        <w:t>فروع تناسب باب الجهاد</w:t>
      </w:r>
      <w:bookmarkEnd w:id="1006"/>
    </w:p>
    <w:p>
      <w:pPr>
        <w:pStyle w:val="Heading4"/>
        <w:numPr>
          <w:ilvl w:val="3"/>
          <w:numId w:val="1"/>
        </w:numPr>
        <w:rPr/>
      </w:pPr>
      <w:bookmarkStart w:id="1007" w:name="__RefHeading___Toc9644167_73709187"/>
      <w:bookmarkStart w:id="1008" w:name="_Toc378"/>
      <w:bookmarkEnd w:id="1007"/>
      <w:r>
        <w:rPr>
          <w:rtl w:val="true"/>
        </w:rPr>
        <w:t>الفرع الأوّل</w:t>
      </w:r>
      <w:r>
        <w:rPr>
          <w:rtl w:val="true"/>
        </w:rPr>
        <w:t xml:space="preserve">: </w:t>
      </w:r>
      <w:r>
        <w:rPr>
          <w:rtl w:val="true"/>
        </w:rPr>
        <w:t>إنّه یسهم للصبیّ إذا حضر الحرب،</w:t>
      </w:r>
      <w:bookmarkEnd w:id="1008"/>
    </w:p>
    <w:p>
      <w:pPr>
        <w:pStyle w:val="Heading5"/>
        <w:numPr>
          <w:ilvl w:val="4"/>
          <w:numId w:val="1"/>
        </w:numPr>
        <w:rPr/>
      </w:pPr>
      <w:bookmarkStart w:id="1009" w:name="__RefHeading___Toc9644169_73709187"/>
      <w:bookmarkStart w:id="1010" w:name="_Toc379"/>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فی أرض الجهاد کان له من السّهم مثل ما للمقاتل علی السّواء</w:t>
      </w:r>
      <w:r>
        <w:rPr>
          <w:rFonts w:eastAsia="IRNazanin" w:cs="IRNazanin"/>
          <w:color w:val="111111"/>
          <w:sz w:val="28"/>
          <w:szCs w:val="28"/>
          <w:rtl w:val="true"/>
          <w:lang w:bidi="fa-IR"/>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الصبیان فلهم سهم مثل الرجال</w:t>
      </w:r>
      <w:r>
        <w:rPr>
          <w:rFonts w:eastAsia="IRNazanin" w:cs="IRNazanin"/>
          <w:color w:val="111111"/>
          <w:sz w:val="28"/>
          <w:szCs w:val="28"/>
          <w:rtl w:val="true"/>
          <w:lang w:bidi="fa-IR"/>
        </w:rPr>
        <w:t>»</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تقسّم أربعة أخماس بین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حضر القتال و لو لم یقاتل، حتّی الطفل و لو ولد بعد الحیازة و قبل القسمة</w:t>
      </w:r>
      <w:r>
        <w:rPr>
          <w:rFonts w:eastAsia="IRNazanin" w:cs="IRNazanin"/>
          <w:color w:val="111111"/>
          <w:sz w:val="28"/>
          <w:szCs w:val="28"/>
          <w:rtl w:val="true"/>
          <w:lang w:bidi="fa-IR"/>
        </w:rPr>
        <w:t>»</w:t>
      </w:r>
      <w:r>
        <w:rPr>
          <w:rStyle w:val="FootnoteAnchor"/>
          <w:rtl w:val="true"/>
        </w:rPr>
        <w:footnoteReference w:id="2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جمع من القدماء</w:t>
      </w:r>
      <w:r>
        <w:rPr>
          <w:rStyle w:val="FootnoteAnchor"/>
          <w:rtl w:val="true"/>
        </w:rPr>
        <w:footnoteReference w:id="2580"/>
      </w:r>
      <w:r>
        <w:rPr>
          <w:rFonts w:ascii="IRNazanin" w:hAnsi="IRNazanin" w:eastAsia="IRNazanin"/>
          <w:color w:val="111111"/>
          <w:sz w:val="28"/>
          <w:sz w:val="28"/>
          <w:szCs w:val="28"/>
          <w:rtl w:val="true"/>
          <w:lang w:bidi="fa-IR"/>
        </w:rPr>
        <w:t>و المتأخّرین</w:t>
      </w:r>
      <w:r>
        <w:rPr>
          <w:rStyle w:val="FootnoteAnchor"/>
          <w:rtl w:val="true"/>
        </w:rPr>
        <w:footnoteReference w:id="2581"/>
      </w:r>
      <w:r>
        <w:rPr>
          <w:rFonts w:ascii="IRNazanin" w:hAnsi="IRNazanin" w:eastAsia="IRNazanin"/>
          <w:color w:val="111111"/>
          <w:sz w:val="28"/>
          <w:sz w:val="28"/>
          <w:szCs w:val="28"/>
          <w:rtl w:val="true"/>
          <w:lang w:bidi="fa-IR"/>
        </w:rPr>
        <w:t>و المعاصرین</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bookmarkStart w:id="1011" w:name="pg11756_104309"/>
    </w:p>
    <w:p>
      <w:pPr>
        <w:pStyle w:val="Heading5"/>
        <w:numPr>
          <w:ilvl w:val="4"/>
          <w:numId w:val="1"/>
        </w:numPr>
        <w:rPr/>
      </w:pPr>
      <w:bookmarkStart w:id="1012" w:name="__RefHeading___Toc9644171_73709187"/>
      <w:bookmarkStart w:id="1013" w:name="_Toc380"/>
      <w:bookmarkEnd w:id="1011"/>
      <w:bookmarkEnd w:id="1012"/>
      <w:r>
        <w:rPr>
          <w:rtl w:val="true"/>
        </w:rPr>
        <w:t>أدلّة الإسهام للصبیّ</w:t>
      </w:r>
      <w:bookmarkEnd w:id="1013"/>
    </w:p>
    <w:p>
      <w:pPr>
        <w:pStyle w:val="BookText"/>
        <w:rPr/>
      </w:pPr>
      <w:r>
        <w:rPr>
          <w:rFonts w:ascii="IRNazanin" w:hAnsi="IRNazanin" w:eastAsia="IRNazanin"/>
          <w:color w:val="111111"/>
          <w:sz w:val="28"/>
          <w:sz w:val="28"/>
          <w:szCs w:val="28"/>
          <w:rtl w:val="true"/>
          <w:lang w:bidi="fa-IR"/>
        </w:rPr>
        <w:t>و یمکن أن یستدلّ علی الإسهام للصبیّ من الغنیمة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ابن زهرة</w:t>
      </w:r>
      <w:r>
        <w:rPr>
          <w:rStyle w:val="FootnoteAnchor"/>
          <w:rtl w:val="true"/>
        </w:rPr>
        <w:footnoteReference w:id="2583"/>
      </w:r>
      <w:r>
        <w:rPr>
          <w:rFonts w:ascii="Amiri" w:hAnsi="Amiri" w:eastAsia="Amiri" w:cs="Amiri"/>
          <w:color w:val="111111"/>
          <w:sz w:val="28"/>
          <w:sz w:val="28"/>
          <w:szCs w:val="28"/>
          <w:rtl w:val="true"/>
          <w:lang w:bidi="ar-SA"/>
        </w:rPr>
        <w:t>و العلاّمة</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شیء من ذلک</w:t>
      </w:r>
      <w:r>
        <w:rPr>
          <w:rFonts w:eastAsia="IRNazanin" w:cs="IRNazanin"/>
          <w:color w:val="111111"/>
          <w:sz w:val="28"/>
          <w:szCs w:val="28"/>
          <w:rtl w:val="true"/>
          <w:lang w:bidi="fa-IR"/>
        </w:rPr>
        <w:t>»</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 حضر القتال و له حکم المسلمین، فیسهم له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إسهامه بعثا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الجهاد، فیکون لطفا له،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حال القتال معرّض للتلف، فصار کالمحارب، و قد استدلّ بهذه الوجوه العلاّمة فی التذکرة</w:t>
      </w:r>
      <w:r>
        <w:rPr>
          <w:rStyle w:val="FootnoteAnchor"/>
          <w:rtl w:val="true"/>
        </w:rPr>
        <w:footnoteReference w:id="2586"/>
      </w:r>
      <w:r>
        <w:rPr>
          <w:rFonts w:ascii="IRNazanin" w:hAnsi="IRNazanin" w:eastAsia="IRNazanin"/>
          <w:color w:val="111111"/>
          <w:sz w:val="28"/>
          <w:sz w:val="28"/>
          <w:szCs w:val="28"/>
          <w:rtl w:val="true"/>
          <w:lang w:bidi="fa-IR"/>
        </w:rPr>
        <w:t>و المنتهی</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مسعدة بن صدقة، عن جعفر،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المولود فی أرض الحرب قسّم له ممّا أفاء اللّه علیهم</w:t>
      </w:r>
      <w:r>
        <w:rPr>
          <w:rFonts w:eastAsia="IRNazanin" w:cs="IRNazanin"/>
          <w:color w:val="111111"/>
          <w:sz w:val="28"/>
          <w:szCs w:val="28"/>
          <w:rtl w:val="true"/>
          <w:lang w:bidi="fa-IR"/>
        </w:rPr>
        <w:t>»</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قرب الإسناد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المولود فی أرض الحرب اسهم له</w:t>
      </w:r>
      <w:r>
        <w:rPr>
          <w:rFonts w:eastAsia="IRNazanin" w:cs="IRNazanin"/>
          <w:color w:val="111111"/>
          <w:sz w:val="28"/>
          <w:szCs w:val="28"/>
          <w:rtl w:val="true"/>
          <w:lang w:bidi="fa-IR"/>
        </w:rPr>
        <w:t>»</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الجمهور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أسهم للصبیان بخیبر، و أسهم أئمّة</w:t>
      </w:r>
      <w:bookmarkStart w:id="1014" w:name="pg11756_104310"/>
    </w:p>
    <w:p>
      <w:pPr>
        <w:pStyle w:val="BookText"/>
        <w:rPr/>
      </w:pPr>
      <w:bookmarkEnd w:id="1014"/>
      <w:r>
        <w:rPr>
          <w:rFonts w:ascii="IRNazanin" w:hAnsi="IRNazanin" w:eastAsia="IRNazanin"/>
          <w:color w:val="111111"/>
          <w:sz w:val="28"/>
          <w:sz w:val="28"/>
          <w:szCs w:val="28"/>
          <w:rtl w:val="true"/>
          <w:lang w:bidi="fa-IR"/>
        </w:rPr>
        <w:t>المسلمین بکلّ مولود ولد فی أرض الحرب</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قال الشهید الثانی رحمه اللّه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إطلاق الفتاوی یقتضی عدم الفرق بین کونه من أولاد المقاتلة و غیرهم، و بین حضور أبویه أو أحدهما و عدمه</w:t>
      </w:r>
      <w:r>
        <w:rPr>
          <w:rFonts w:eastAsia="IRNazanin" w:cs="IRNazanin"/>
          <w:color w:val="111111"/>
          <w:sz w:val="28"/>
          <w:szCs w:val="28"/>
          <w:rtl w:val="true"/>
          <w:lang w:bidi="fa-IR"/>
        </w:rPr>
        <w:t>»</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الطفل الذکر من أولاد المقاتلین، دون غیرهم ممّن حضر لصنعة أو حرفة، کالبیطار و البقّال و السائس و الحافظ إذا لم یقاتلوا</w:t>
      </w:r>
      <w:r>
        <w:rPr>
          <w:rFonts w:eastAsia="IRNazanin" w:cs="IRNazanin"/>
          <w:color w:val="111111"/>
          <w:sz w:val="28"/>
          <w:szCs w:val="28"/>
          <w:rtl w:val="true"/>
          <w:lang w:bidi="fa-IR"/>
        </w:rPr>
        <w:t>»</w:t>
      </w:r>
      <w:r>
        <w:rPr>
          <w:rStyle w:val="FootnoteAnchor"/>
          <w:rtl w:val="true"/>
        </w:rPr>
        <w:footnoteReference w:id="2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الریاض</w:t>
      </w:r>
      <w:r>
        <w:rPr>
          <w:rStyle w:val="FootnoteAnchor"/>
          <w:rtl w:val="true"/>
        </w:rPr>
        <w:footnoteReference w:id="2593"/>
      </w:r>
      <w:r>
        <w:rPr>
          <w:rFonts w:ascii="IRNazanin" w:hAnsi="IRNazanin" w:eastAsia="IRNazanin"/>
          <w:color w:val="111111"/>
          <w:sz w:val="28"/>
          <w:sz w:val="28"/>
          <w:szCs w:val="28"/>
          <w:rtl w:val="true"/>
          <w:lang w:bidi="fa-IR"/>
        </w:rPr>
        <w:t>، و لعلّ ما فی المسالک هو معقد الإجماع</w:t>
      </w:r>
      <w:r>
        <w:rPr>
          <w:rFonts w:eastAsia="IRNazanin" w:cs="IRNazanin"/>
          <w:color w:val="111111"/>
          <w:sz w:val="28"/>
          <w:szCs w:val="28"/>
          <w:rtl w:val="true"/>
          <w:lang w:bidi="fa-IR"/>
        </w:rPr>
        <w:t>.</w:t>
      </w:r>
    </w:p>
    <w:p>
      <w:pPr>
        <w:pStyle w:val="Heading5"/>
        <w:numPr>
          <w:ilvl w:val="4"/>
          <w:numId w:val="1"/>
        </w:numPr>
        <w:rPr/>
      </w:pPr>
      <w:bookmarkStart w:id="1015" w:name="__RefHeading___Toc9644173_73709187"/>
      <w:bookmarkStart w:id="1016" w:name="_Toc381"/>
      <w:bookmarkEnd w:id="1015"/>
      <w:r>
        <w:rPr>
          <w:rtl w:val="true"/>
        </w:rPr>
        <w:t>آراء أهل السنّة فی المسألة</w:t>
      </w:r>
      <w:bookmarkEnd w:id="1016"/>
    </w:p>
    <w:p>
      <w:pPr>
        <w:pStyle w:val="BookText"/>
        <w:rPr/>
      </w:pPr>
      <w:r>
        <w:rPr>
          <w:rFonts w:ascii="IRNazanin" w:hAnsi="IRNazanin" w:eastAsia="IRNazanin"/>
          <w:color w:val="111111"/>
          <w:sz w:val="28"/>
          <w:sz w:val="28"/>
          <w:szCs w:val="28"/>
          <w:rtl w:val="true"/>
          <w:lang w:bidi="fa-IR"/>
        </w:rPr>
        <w:t>ذهب جمهور الفقهاء من الشافعیّة و الحنابلة و الحنفیّة إلی أنّه لا یسهم لامرأة و لا الصبیّ و لا المملوک؛ لأنّهم من غیر أهل القتال</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یرضخ</w:t>
      </w:r>
      <w:r>
        <w:rPr>
          <w:rStyle w:val="FootnoteAnchor"/>
          <w:rtl w:val="true"/>
        </w:rPr>
        <w:footnoteReference w:id="2595"/>
      </w:r>
      <w:r>
        <w:rPr>
          <w:rFonts w:ascii="IRNazanin" w:hAnsi="IRNazanin" w:eastAsia="IRNazanin"/>
          <w:color w:val="111111"/>
          <w:sz w:val="28"/>
          <w:sz w:val="28"/>
          <w:szCs w:val="28"/>
          <w:rtl w:val="true"/>
          <w:lang w:bidi="fa-IR"/>
        </w:rPr>
        <w:t>و لا یسهم له، و به 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حنیفة و الشافعی و غیرهم، و بمثله قال الطحاوی</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الأوزاعی</w:t>
      </w:r>
      <w:r>
        <w:rPr>
          <w:rStyle w:val="FootnoteAnchor"/>
          <w:rtl w:val="true"/>
        </w:rPr>
        <w:footnoteReference w:id="25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یسهم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رسول اللّه صلّی اللّه علیه و آله للصبیان بخیبر و أسهم أئمّة المسلمین لکلّ مولود ولد فی أرض الحرب</w:t>
      </w:r>
      <w:r>
        <w:rPr>
          <w:rFonts w:eastAsia="IRNazanin" w:cs="IRNazanin"/>
          <w:color w:val="111111"/>
          <w:sz w:val="28"/>
          <w:szCs w:val="28"/>
          <w:rtl w:val="true"/>
          <w:lang w:bidi="fa-IR"/>
        </w:rPr>
        <w:t>»</w:t>
      </w:r>
      <w:r>
        <w:rPr>
          <w:rStyle w:val="FootnoteAnchor"/>
          <w:rtl w:val="true"/>
        </w:rPr>
        <w:footnoteReference w:id="2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الحاوی الکبیر</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فلهم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یسهم للصبیّ مطلقا، و هو ظاهر المدوّنة الکبری</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فی حاشیة الخرشی</w:t>
      </w:r>
      <w:r>
        <w:rPr>
          <w:rStyle w:val="FootnoteAnchor"/>
          <w:rtl w:val="true"/>
        </w:rPr>
        <w:footnoteReference w:id="2601"/>
      </w:r>
      <w:r>
        <w:rPr>
          <w:rFonts w:ascii="IRNazanin" w:hAnsi="IRNazanin" w:eastAsia="IRNazanin"/>
          <w:color w:val="111111"/>
          <w:sz w:val="28"/>
          <w:sz w:val="28"/>
          <w:szCs w:val="28"/>
          <w:rtl w:val="true"/>
          <w:lang w:bidi="fa-IR"/>
        </w:rPr>
        <w:t>، و نسبه عبد السلام إلی المشهور</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یسهم له إذا حضر القتال</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أن یقاتل فیسهم له، أو لا یقاتل فلا یسهم له</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له إذا قاتل و أطاق ذلک و مثله قد بلغ القتال؛ لأنّه حرّ ذکر مقاتل فیسهم له کالرجل</w:t>
      </w:r>
      <w:r>
        <w:rPr>
          <w:rStyle w:val="FootnoteAnchor"/>
          <w:rtl w:val="true"/>
        </w:rPr>
        <w:footnoteReference w:id="2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مختصر اختلاف العلماء</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bookmarkStart w:id="1017" w:name="pg11756_104312"/>
    </w:p>
    <w:p>
      <w:pPr>
        <w:pStyle w:val="Heading4"/>
        <w:numPr>
          <w:ilvl w:val="3"/>
          <w:numId w:val="1"/>
        </w:numPr>
        <w:rPr/>
      </w:pPr>
      <w:bookmarkStart w:id="1018" w:name="__RefHeading___Toc9644175_73709187"/>
      <w:bookmarkStart w:id="1019" w:name="_Toc382"/>
      <w:bookmarkEnd w:id="1017"/>
      <w:bookmarkEnd w:id="1018"/>
      <w:r>
        <w:rPr>
          <w:rtl w:val="true"/>
        </w:rPr>
        <w:t>الفرع الثانی</w:t>
      </w:r>
      <w:r>
        <w:rPr>
          <w:rtl w:val="true"/>
        </w:rPr>
        <w:t xml:space="preserve">: </w:t>
      </w:r>
      <w:r>
        <w:rPr>
          <w:rtl w:val="true"/>
        </w:rPr>
        <w:t>استحقاق الصبیّ للسّلب</w:t>
      </w:r>
      <w:bookmarkEnd w:id="1019"/>
    </w:p>
    <w:p>
      <w:pPr>
        <w:pStyle w:val="Heading5"/>
        <w:numPr>
          <w:ilvl w:val="4"/>
          <w:numId w:val="1"/>
        </w:numPr>
        <w:rPr/>
      </w:pPr>
      <w:bookmarkStart w:id="1020" w:name="__RefHeading___Toc9644177_73709187"/>
      <w:bookmarkStart w:id="1021" w:name="_Toc383"/>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السّلب 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المتّصل بالمقتول، کالثّیاب و السلاح و الدابّة</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المتّصل بالمقتول؛ کالثیاب، و العمامة، و القلنسوة، و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الجوشن، و السلاح، و الدابّة المرکوبة، و الجنیب الذی یستعین به، و نحوها</w:t>
      </w:r>
      <w:r>
        <w:rPr>
          <w:rFonts w:eastAsia="IRNazanin" w:cs="IRNazanin"/>
          <w:color w:val="111111"/>
          <w:sz w:val="28"/>
          <w:szCs w:val="28"/>
          <w:rtl w:val="true"/>
          <w:lang w:bidi="fa-IR"/>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بین أصحابنا أنّ الصبیّ یستحقّ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صفة القاتل الذی یستحقّ السّلب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ذا سهم من الغنیمة، أو غیر ذی سهم، فإن کان ذا سهم کان السلب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الصبیّ فله سهم، فیستحقّ السّلب</w:t>
      </w:r>
      <w:r>
        <w:rPr>
          <w:rFonts w:eastAsia="IRNazanin" w:cs="IRNazanin"/>
          <w:color w:val="111111"/>
          <w:sz w:val="28"/>
          <w:szCs w:val="28"/>
          <w:rtl w:val="true"/>
          <w:lang w:bidi="fa-IR"/>
        </w:rPr>
        <w:t>»</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کون القاتل ذا نصیب من الغنیمة، إمّا سهم أو رضخ، و لو لم یکن له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لارتیاب به بأن یکون مخذّلا، أو معینا علی المسلمین، أو مرجفا </w:t>
      </w:r>
      <w:r>
        <w:rPr>
          <w:rStyle w:val="FootnoteAnchor"/>
          <w:rtl w:val="true"/>
        </w:rPr>
        <w:footnoteReference w:id="2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یستحقّ السّلب، و إن کان لنقص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کالمرأة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استحقاق السّلب، و الصبیّ یستحقّ السّلب، و کذا العبد و المرأة و الکافر</w:t>
      </w:r>
      <w:r>
        <w:rPr>
          <w:rFonts w:eastAsia="IRNazanin" w:cs="IRNazanin"/>
          <w:color w:val="111111"/>
          <w:sz w:val="28"/>
          <w:szCs w:val="28"/>
          <w:rtl w:val="true"/>
          <w:lang w:bidi="fa-IR"/>
        </w:rPr>
        <w:t>»</w:t>
      </w:r>
      <w:r>
        <w:rPr>
          <w:rStyle w:val="FootnoteAnchor"/>
          <w:rtl w:val="true"/>
        </w:rPr>
        <w:footnoteReference w:id="2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612"/>
      </w:r>
      <w:r>
        <w:rPr>
          <w:rFonts w:ascii="IRNazanin" w:hAnsi="IRNazanin" w:eastAsia="IRNazanin"/>
          <w:color w:val="111111"/>
          <w:sz w:val="28"/>
          <w:sz w:val="28"/>
          <w:szCs w:val="28"/>
          <w:rtl w:val="true"/>
          <w:lang w:bidi="fa-IR"/>
        </w:rPr>
        <w:t>و المنتهی</w:t>
      </w:r>
      <w:r>
        <w:rPr>
          <w:rStyle w:val="FootnoteAnchor"/>
          <w:rtl w:val="true"/>
        </w:rPr>
        <w:footnoteReference w:id="2613"/>
      </w:r>
      <w:r>
        <w:rPr>
          <w:rFonts w:ascii="IRNazanin" w:hAnsi="IRNazanin" w:eastAsia="IRNazanin"/>
          <w:color w:val="111111"/>
          <w:sz w:val="28"/>
          <w:sz w:val="28"/>
          <w:szCs w:val="28"/>
          <w:rtl w:val="true"/>
          <w:lang w:bidi="fa-IR"/>
        </w:rPr>
        <w:t>و القواعد</w:t>
      </w:r>
      <w:r>
        <w:rPr>
          <w:rStyle w:val="FootnoteAnchor"/>
          <w:rtl w:val="true"/>
        </w:rPr>
        <w:footnoteReference w:id="2614"/>
      </w:r>
      <w:r>
        <w:rPr>
          <w:rFonts w:ascii="IRNazanin" w:hAnsi="IRNazanin" w:eastAsia="IRNazanin"/>
          <w:color w:val="111111"/>
          <w:sz w:val="28"/>
          <w:sz w:val="28"/>
          <w:szCs w:val="28"/>
          <w:rtl w:val="true"/>
          <w:lang w:bidi="fa-IR"/>
        </w:rPr>
        <w:t>، و اختاره فی</w:t>
      </w:r>
      <w:bookmarkStart w:id="1022" w:name="pg11756_104313"/>
    </w:p>
    <w:p>
      <w:pPr>
        <w:pStyle w:val="BookText"/>
        <w:rPr/>
      </w:pPr>
      <w:bookmarkEnd w:id="1022"/>
      <w:r>
        <w:rPr>
          <w:rFonts w:ascii="IRNazanin" w:hAnsi="IRNazanin" w:eastAsia="IRNazanin"/>
          <w:color w:val="111111"/>
          <w:sz w:val="28"/>
          <w:sz w:val="28"/>
          <w:szCs w:val="28"/>
          <w:rtl w:val="true"/>
          <w:lang w:bidi="fa-IR"/>
        </w:rPr>
        <w:t>جامع المقاصد</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9644179_73709187"/>
      <w:bookmarkStart w:id="1024" w:name="_Toc384"/>
      <w:bookmarkEnd w:id="1023"/>
      <w:r>
        <w:rPr>
          <w:rtl w:val="true"/>
        </w:rPr>
        <w:t>أدلّة هذا الحکم</w:t>
      </w:r>
      <w:bookmarkEnd w:id="1024"/>
    </w:p>
    <w:p>
      <w:pPr>
        <w:pStyle w:val="BookText"/>
        <w:rPr/>
      </w:pPr>
      <w:r>
        <w:rPr>
          <w:rFonts w:ascii="IRNazanin" w:hAnsi="IRNazanin" w:eastAsia="IRNazanin"/>
          <w:color w:val="111111"/>
          <w:sz w:val="28"/>
          <w:sz w:val="28"/>
          <w:szCs w:val="28"/>
          <w:rtl w:val="true"/>
          <w:lang w:bidi="fa-IR"/>
        </w:rPr>
        <w:t>و استدلّ للحکم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کما هو الظاهر من التذکرة و المنتهی،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عندنا یسهم له، فیستحقّ السّلب</w:t>
      </w:r>
      <w:r>
        <w:rPr>
          <w:rFonts w:eastAsia="IRNazanin" w:cs="IRNazanin"/>
          <w:color w:val="111111"/>
          <w:sz w:val="28"/>
          <w:szCs w:val="28"/>
          <w:rtl w:val="true"/>
          <w:lang w:bidi="fa-IR"/>
        </w:rPr>
        <w:t>»</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مع عدم تعرّض کثیر من الفقهاء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مصلحة عظیمة تنشأ من التحریض علی القتال، و هذه المصلحة موجودة فی الصبیّ أیضا کما فی التذکرة</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استحسان عقلیّ، و لا یمکن إثبات الحکم الشرعی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کافرا فله سلبه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له علیه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أنّ رسول اللّه صلّی اللّه علیه و آله جعل السّلب للقاتل، و أنّه قضی بالسّلب للقاتل و لم یخمّس، و أنّه صلّی اللّه علیه و آله لم یفرّق بین أصناف القاتلین</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ضعیفة سندا، و لا یصحّ الاعتماد علیها لإثبات الحکم</w:t>
      </w:r>
      <w:r>
        <w:rPr>
          <w:rFonts w:eastAsia="IRNazanin" w:cs="IRNazanin"/>
          <w:color w:val="111111"/>
          <w:sz w:val="28"/>
          <w:szCs w:val="28"/>
          <w:rtl w:val="true"/>
          <w:lang w:bidi="fa-IR"/>
        </w:rPr>
        <w:t>.</w:t>
      </w:r>
      <w:bookmarkStart w:id="1025" w:name="pg11756_104314"/>
    </w:p>
    <w:p>
      <w:pPr>
        <w:pStyle w:val="Heading5"/>
        <w:numPr>
          <w:ilvl w:val="4"/>
          <w:numId w:val="1"/>
        </w:numPr>
        <w:rPr/>
      </w:pPr>
      <w:bookmarkStart w:id="1026" w:name="__RefHeading___Toc9644181_73709187"/>
      <w:bookmarkStart w:id="1027" w:name="_Toc385"/>
      <w:bookmarkEnd w:id="1025"/>
      <w:bookmarkEnd w:id="1026"/>
      <w:r>
        <w:rPr>
          <w:rtl w:val="true"/>
        </w:rPr>
        <w:t>آراء أهل السنّة فی المسألة</w:t>
      </w:r>
      <w:bookmarkEnd w:id="1027"/>
    </w:p>
    <w:p>
      <w:pPr>
        <w:pStyle w:val="BookText"/>
        <w:rPr/>
      </w:pPr>
      <w:r>
        <w:rPr>
          <w:rFonts w:ascii="Amiri" w:hAnsi="Amiri" w:eastAsia="Amiri" w:cs="Amiri"/>
          <w:color w:val="111111"/>
          <w:sz w:val="28"/>
          <w:sz w:val="28"/>
          <w:szCs w:val="28"/>
          <w:rtl w:val="true"/>
          <w:lang w:bidi="ar-SA"/>
        </w:rPr>
        <w:t>إنّهم اختلفوا فیمن یستحقّ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فی البیان فی مذهب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لا یسهم له لنقص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کالصبیّ و العبد 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یستحقّ السّلب؛ لأنّه لا یستحقّ السهم الراتب، فلم یستحقّ السّلب کالمخذّل و المرجّف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السّلب؛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 و له به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سلبه، و لم یفرّق</w:t>
      </w:r>
      <w:r>
        <w:rPr>
          <w:rFonts w:eastAsia="IRNazanin" w:cs="IRNazanin"/>
          <w:color w:val="111111"/>
          <w:sz w:val="28"/>
          <w:szCs w:val="28"/>
          <w:rtl w:val="true"/>
          <w:lang w:bidi="fa-IR"/>
        </w:rPr>
        <w:t>»</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 حال القاتل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ممّن یرضخ له و لا یسهم کالصبیّ و العبد و المرأة و الکافر و المأذون له، ففی استحقاقه للسّلب وجهان، بناء علی اختلاف أصحابنا فی إعطاء رسول اللّه صلّی اللّه علیه و آله السّلب للقاتل، هل هو ابتداء عطیّة منه، أو بیان لقول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w:t>
      </w:r>
      <w:r>
        <w:rPr>
          <w:rStyle w:val="FootnoteAnchor"/>
          <w:rtl w:val="true"/>
        </w:rPr>
        <w:footnoteReference w:id="2620"/>
      </w:r>
      <w:r>
        <w:rPr>
          <w:rFonts w:ascii="IRNazanin" w:hAnsi="IRNazanin" w:eastAsia="IRNazanin"/>
          <w:color w:val="111111"/>
          <w:sz w:val="28"/>
          <w:sz w:val="28"/>
          <w:szCs w:val="28"/>
          <w:rtl w:val="true"/>
          <w:lang w:bidi="fa-IR"/>
        </w:rPr>
        <w:t>، الآیة؟</w:t>
      </w:r>
    </w:p>
    <w:p>
      <w:pPr>
        <w:pStyle w:val="BookText"/>
        <w:rPr/>
      </w:pPr>
      <w:r>
        <w:rPr>
          <w:rFonts w:ascii="IRNazanin" w:hAnsi="IRNazanin" w:eastAsia="IRNazanin"/>
          <w:color w:val="111111"/>
          <w:sz w:val="28"/>
          <w:sz w:val="28"/>
          <w:szCs w:val="28"/>
          <w:rtl w:val="true"/>
          <w:lang w:bidi="fa-IR"/>
        </w:rPr>
        <w:t>فأحد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ابتداء عطیّة، فعلی هذا یستحقّه القاتل و إن لم یستحقّه سهما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بیان لمجمل الآیة، فعلی هذا لا یستحقّ إذا لم یستحقّ فی الغنیمة سهما</w:t>
      </w:r>
      <w:r>
        <w:rPr>
          <w:rFonts w:eastAsia="IRNazanin" w:cs="IRNazanin"/>
          <w:color w:val="111111"/>
          <w:sz w:val="28"/>
          <w:szCs w:val="28"/>
          <w:rtl w:val="true"/>
          <w:lang w:bidi="fa-IR"/>
        </w:rPr>
        <w:t>»</w:t>
      </w:r>
      <w:r>
        <w:rPr>
          <w:rStyle w:val="FootnoteAnchor"/>
          <w:rtl w:val="true"/>
        </w:rPr>
        <w:footnoteReference w:id="2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العزیز</w:t>
      </w:r>
      <w:r>
        <w:rPr>
          <w:rStyle w:val="FootnoteAnchor"/>
          <w:rtl w:val="true"/>
        </w:rPr>
        <w:footnoteReference w:id="2622"/>
      </w:r>
      <w:r>
        <w:rPr>
          <w:rFonts w:ascii="IRNazanin" w:hAnsi="IRNazanin" w:eastAsia="IRNazanin"/>
          <w:color w:val="111111"/>
          <w:sz w:val="28"/>
          <w:sz w:val="28"/>
          <w:szCs w:val="28"/>
          <w:rtl w:val="true"/>
          <w:lang w:bidi="fa-IR"/>
        </w:rPr>
        <w:t>و المجموع</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رأی الحنابلة فقد جاء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السّلب لکلّ قاتل یستحقّ السّهم أو الرضخ کالعبد و المرأة و الصبیّ و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کافرا فله سلبه</w:t>
      </w:r>
      <w:r>
        <w:rPr>
          <w:rFonts w:eastAsia="IRNazanin" w:cs="IRNazanin"/>
          <w:color w:val="111111"/>
          <w:sz w:val="28"/>
          <w:szCs w:val="28"/>
          <w:rtl w:val="true"/>
          <w:lang w:bidi="fa-IR"/>
        </w:rPr>
        <w:t>»</w:t>
      </w:r>
      <w:r>
        <w:rPr>
          <w:rStyle w:val="FootnoteAnchor"/>
          <w:rtl w:val="true"/>
        </w:rPr>
        <w:footnoteReference w:id="2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قاتل من أهل الغنیمة فاستحقّ السّلب کذی السهم، و لأنّ الأمیر لو جعل جعلا</w:t>
      </w:r>
      <w:r>
        <w:rPr>
          <w:rStyle w:val="FootnoteAnchor"/>
          <w:rtl w:val="true"/>
        </w:rPr>
        <w:footnoteReference w:id="2625"/>
      </w:r>
      <w:r>
        <w:rPr>
          <w:rFonts w:ascii="IRNazanin" w:hAnsi="IRNazanin" w:eastAsia="IRNazanin"/>
          <w:color w:val="111111"/>
          <w:sz w:val="28"/>
          <w:sz w:val="28"/>
          <w:szCs w:val="28"/>
          <w:rtl w:val="true"/>
          <w:lang w:bidi="fa-IR"/>
        </w:rPr>
        <w:t>لمن صنع شیئا فیه نفع للمسلمین لاستحقّه فاعله من هؤلاء، فالذی جعله النبیّ صلّی اللّه علیه و آله أولی</w:t>
      </w:r>
      <w:r>
        <w:rPr>
          <w:rFonts w:eastAsia="IRNazanin" w:cs="IRNazanin"/>
          <w:color w:val="111111"/>
          <w:sz w:val="28"/>
          <w:szCs w:val="28"/>
          <w:rtl w:val="true"/>
          <w:lang w:bidi="fa-IR"/>
        </w:rPr>
        <w:t>»</w:t>
      </w:r>
      <w:r>
        <w:rPr>
          <w:rStyle w:val="FootnoteAnchor"/>
          <w:rtl w:val="true"/>
        </w:rPr>
        <w:footnoteReference w:id="2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یستحقّ القاتل السّلب إلاّ بشروط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القاتل ذا حقّ فی المغنم، حرّا کان أو عبدا، رجلا کان أو صبیّا، أو امرأة؛ لعموم الخبر</w:t>
      </w:r>
      <w:r>
        <w:rPr>
          <w:rFonts w:eastAsia="IRNazanin" w:cs="IRNazanin"/>
          <w:color w:val="111111"/>
          <w:sz w:val="28"/>
          <w:szCs w:val="28"/>
          <w:rtl w:val="true"/>
          <w:lang w:bidi="fa-IR"/>
        </w:rPr>
        <w:t>»</w:t>
      </w:r>
      <w:r>
        <w:rPr>
          <w:rStyle w:val="FootnoteAnchor"/>
          <w:rtl w:val="true"/>
        </w:rPr>
        <w:footnoteReference w:id="2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عموم کلامه فی المقنع</w:t>
      </w:r>
      <w:r>
        <w:rPr>
          <w:rStyle w:val="FootnoteAnchor"/>
          <w:rtl w:val="true"/>
        </w:rPr>
        <w:footnoteReference w:id="2628"/>
      </w:r>
      <w:r>
        <w:rPr>
          <w:rFonts w:ascii="Amiri" w:hAnsi="Amiri" w:eastAsia="Amiri" w:cs="Amiri"/>
          <w:color w:val="111111"/>
          <w:sz w:val="28"/>
          <w:sz w:val="28"/>
          <w:szCs w:val="28"/>
          <w:rtl w:val="true"/>
          <w:lang w:bidi="ar-SA"/>
        </w:rPr>
        <w:t>و العمدة</w:t>
      </w:r>
      <w:r>
        <w:rPr>
          <w:rStyle w:val="FootnoteAnchor"/>
          <w:rtl w:val="true"/>
        </w:rPr>
        <w:footnoteReference w:id="2629"/>
      </w:r>
      <w:r>
        <w:rPr>
          <w:rFonts w:ascii="IRNazanin" w:hAnsi="IRNazanin" w:eastAsia="IRNazanin"/>
          <w:color w:val="111111"/>
          <w:sz w:val="28"/>
          <w:sz w:val="28"/>
          <w:szCs w:val="28"/>
          <w:rtl w:val="true"/>
          <w:lang w:bidi="fa-IR"/>
        </w:rPr>
        <w:t>، و کذا فی المبدع</w:t>
      </w:r>
      <w:r>
        <w:rPr>
          <w:rStyle w:val="FootnoteAnchor"/>
          <w:rtl w:val="true"/>
        </w:rPr>
        <w:footnoteReference w:id="2630"/>
      </w:r>
      <w:r>
        <w:rPr>
          <w:rFonts w:ascii="IRNazanin" w:hAnsi="IRNazanin" w:eastAsia="IRNazanin"/>
          <w:color w:val="111111"/>
          <w:sz w:val="28"/>
          <w:sz w:val="28"/>
          <w:szCs w:val="28"/>
          <w:rtl w:val="true"/>
          <w:lang w:bidi="fa-IR"/>
        </w:rPr>
        <w:t>و الإقناع</w:t>
      </w:r>
      <w:r>
        <w:rPr>
          <w:rStyle w:val="FootnoteAnchor"/>
          <w:rtl w:val="true"/>
        </w:rPr>
        <w:footnoteReference w:id="2631"/>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w:t>
      </w:r>
      <w:r>
        <w:rPr>
          <w:rFonts w:eastAsia="IRNazanin" w:cs="IRNazanin"/>
          <w:color w:val="111111"/>
          <w:sz w:val="28"/>
          <w:szCs w:val="28"/>
          <w:rtl w:val="true"/>
          <w:lang w:bidi="fa-IR"/>
        </w:rPr>
        <w:t>»</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الشیبانیّ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عمّ القاتلین ممّن یکون لهم سهم فی الغنیمة أو رضخ، کالنساء و الصبیان و العبید</w:t>
      </w:r>
      <w:r>
        <w:rPr>
          <w:rFonts w:eastAsia="IRNazanin" w:cs="IRNazanin"/>
          <w:color w:val="111111"/>
          <w:sz w:val="28"/>
          <w:szCs w:val="28"/>
          <w:rtl w:val="true"/>
          <w:lang w:bidi="fa-IR"/>
        </w:rPr>
        <w:t>»</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و الصبیان و العبید و أهل الذمّة لهم حظّ فی الغنیمة،</w:t>
      </w:r>
      <w:bookmarkStart w:id="1028" w:name="pg11756_104316"/>
    </w:p>
    <w:p>
      <w:pPr>
        <w:pStyle w:val="BookText"/>
        <w:rPr/>
      </w:pPr>
      <w:bookmarkEnd w:id="1028"/>
      <w:r>
        <w:rPr>
          <w:rFonts w:ascii="IRNazanin" w:hAnsi="IRNazanin" w:eastAsia="IRNazanin"/>
          <w:color w:val="111111"/>
          <w:sz w:val="28"/>
          <w:sz w:val="28"/>
          <w:szCs w:val="28"/>
          <w:rtl w:val="true"/>
          <w:lang w:bidi="fa-IR"/>
        </w:rPr>
        <w:t>فیستحقّون النفل، کذا فی المحیط</w:t>
      </w:r>
      <w:r>
        <w:rPr>
          <w:rFonts w:eastAsia="IRNazanin" w:cs="IRNazanin"/>
          <w:color w:val="111111"/>
          <w:sz w:val="28"/>
          <w:szCs w:val="28"/>
          <w:rtl w:val="true"/>
          <w:lang w:bidi="fa-IR"/>
        </w:rPr>
        <w:t>»</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و الذمّی و الصبیّ و کلّ من لا یسهم له لا یستحقّ السّلب، و أمره موکول إلی اجتهاد الحاکم، فیعطیه من کان مستحقّا له من المقاتلین حسب اجتهاده</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المدوّنة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الصبیان و العبید و النساء، هل یضرب لهم بسهم فی الغنیمة إذا قاتلوا فی قول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فیرضخ لهم فی قول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مالکا عن النساء، هل یرضخ لهنّ من الغنیمة؟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أنّ أحدا أرضخ للنساء، فالصبیان عندی بمنزلة النساء، و قد قال مالک لیس لهم شیء</w:t>
      </w:r>
      <w:r>
        <w:rPr>
          <w:rFonts w:eastAsia="IRNazanin" w:cs="IRNazanin"/>
          <w:color w:val="111111"/>
          <w:sz w:val="28"/>
          <w:szCs w:val="28"/>
          <w:rtl w:val="true"/>
          <w:lang w:bidi="fa-IR"/>
        </w:rPr>
        <w:t>»</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قال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تعیّن الجهاد علی الصبیّ بدخول الکفّار إلی بلاد المسلمین و بفجء العدوّ علیهم، أو قاتل الصبیّ قتال البالغین، و أجازه الإمام</w:t>
      </w:r>
      <w:r>
        <w:rPr>
          <w:rStyle w:val="FootnoteAnchor"/>
          <w:rtl w:val="true"/>
        </w:rPr>
        <w:footnoteReference w:id="2637"/>
      </w:r>
      <w:r>
        <w:rPr>
          <w:rFonts w:ascii="Amiri" w:hAnsi="Amiri" w:eastAsia="Amiri" w:cs="Amiri"/>
          <w:color w:val="111111"/>
          <w:sz w:val="28"/>
          <w:sz w:val="28"/>
          <w:szCs w:val="28"/>
          <w:rtl w:val="true"/>
          <w:lang w:bidi="ar-SA"/>
        </w:rPr>
        <w:t>، فحینئذ یستحقّ السّلب</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644183_73709187"/>
      <w:bookmarkStart w:id="1030" w:name="_Toc386"/>
      <w:bookmarkEnd w:id="1029"/>
      <w:r>
        <w:rPr>
          <w:rtl w:val="true"/>
        </w:rPr>
        <w:t>الفرع الثالث</w:t>
      </w:r>
      <w:r>
        <w:rPr>
          <w:rtl w:val="true"/>
        </w:rPr>
        <w:t xml:space="preserve">: </w:t>
      </w:r>
      <w:r>
        <w:rPr>
          <w:rtl w:val="true"/>
        </w:rPr>
        <w:t>أمان الصبیّ</w:t>
      </w:r>
      <w:bookmarkEnd w:id="1030"/>
    </w:p>
    <w:p>
      <w:pPr>
        <w:pStyle w:val="Heading5"/>
        <w:numPr>
          <w:ilvl w:val="4"/>
          <w:numId w:val="1"/>
        </w:numPr>
        <w:rPr/>
      </w:pPr>
      <w:bookmarkStart w:id="1031" w:name="__RefHeading___Toc9644185_73709187"/>
      <w:bookmarkStart w:id="1032" w:name="_Toc387"/>
      <w:bookmarkEnd w:id="1031"/>
      <w:r>
        <w:rPr>
          <w:rtl w:val="true"/>
        </w:rPr>
        <w:t>اشارة</w:t>
      </w:r>
      <w:bookmarkEnd w:id="1032"/>
    </w:p>
    <w:p>
      <w:pPr>
        <w:pStyle w:val="BookText"/>
        <w:rPr/>
      </w:pPr>
      <w:r>
        <w:rPr>
          <w:rFonts w:ascii="IRNazanin" w:hAnsi="IRNazanin" w:eastAsia="IRNazanin"/>
          <w:color w:val="111111"/>
          <w:sz w:val="28"/>
          <w:sz w:val="28"/>
          <w:szCs w:val="28"/>
          <w:rtl w:val="true"/>
          <w:lang w:bidi="fa-IR"/>
        </w:rPr>
        <w:t>الأمان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توقّع مکروه فی الزمن الآتی،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طمأنینة النفس و زوال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الأمن و الأمانة و الأمان فی الأصل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الأمان تارة اسما للحالة التی یکون علیها الإنسان فی الأمن،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لما یؤمن علیه</w:t>
      </w:r>
      <w:r>
        <w:rPr>
          <w:rFonts w:eastAsia="IRNazanin" w:cs="IRNazanin"/>
          <w:color w:val="111111"/>
          <w:sz w:val="28"/>
          <w:szCs w:val="28"/>
          <w:rtl w:val="true"/>
          <w:lang w:bidi="fa-IR"/>
        </w:rPr>
        <w:t>»</w:t>
      </w:r>
      <w:r>
        <w:rPr>
          <w:rStyle w:val="FootnoteAnchor"/>
          <w:rtl w:val="true"/>
        </w:rPr>
        <w:footnoteReference w:id="2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لعقد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الأمن</w:t>
      </w:r>
    </w:p>
    <w:p>
      <w:pPr>
        <w:pStyle w:val="BookText"/>
        <w:rPr/>
      </w:pPr>
      <w:r>
        <w:rPr>
          <w:rFonts w:ascii="IRNazanin" w:hAnsi="IRNazanin" w:eastAsia="IRNazanin"/>
          <w:color w:val="111111"/>
          <w:sz w:val="28"/>
          <w:sz w:val="28"/>
          <w:szCs w:val="28"/>
          <w:rtl w:val="true"/>
          <w:lang w:bidi="fa-IR"/>
        </w:rPr>
        <w:t>سکون القلب، و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الخوف</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اصطلاح الفقهاء فقد عرّفه العلاّمة بأنّ عقد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ترک القتال؛ إجابة لسؤال الکفّار بالإمهال</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الکلام و ما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الکتابة و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سلامة الکافر نفسا و مالا؛ إجابة لسؤاله ذلک</w:t>
      </w:r>
      <w:r>
        <w:rPr>
          <w:rFonts w:eastAsia="IRNazanin" w:cs="IRNazanin"/>
          <w:color w:val="111111"/>
          <w:sz w:val="28"/>
          <w:szCs w:val="28"/>
          <w:rtl w:val="true"/>
          <w:lang w:bidi="fa-IR"/>
        </w:rPr>
        <w:t>»</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عدم اعتبار السؤال فیه</w:t>
      </w:r>
      <w:r>
        <w:rPr>
          <w:rFonts w:eastAsia="IRNazanin" w:cs="IRNazanin"/>
          <w:color w:val="111111"/>
          <w:sz w:val="28"/>
          <w:szCs w:val="28"/>
          <w:rtl w:val="true"/>
          <w:lang w:bidi="fa-IR"/>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الأمان هو الکلام و ما فی حکمه الدالّ علی سلامة الکافر نفسا و مالا و عرضا و متعلّقا، سواء کان ذلک بعد سؤاله أو بدون سؤاله، و الظاهر أنّه لا خلاف فی مشروعیّة الأمان فی الجملة و بالنسبة إلی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المسلمین فی ذلک</w:t>
      </w:r>
      <w:r>
        <w:rPr>
          <w:rFonts w:eastAsia="IRNazanin" w:cs="IRNazanin"/>
          <w:color w:val="111111"/>
          <w:sz w:val="28"/>
          <w:szCs w:val="28"/>
          <w:rtl w:val="true"/>
          <w:lang w:bidi="fa-IR"/>
        </w:rPr>
        <w:t>»</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الصبیّ فلا یصحّ أمانه لرفع القلم عنه، 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أمان المرأة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المجنون فلا ینعقد أمانه؛ لرفع القلم عنه، و کذا الصبیّ لا ینعقد أمانه و إن کان ممیّزا مراهقا</w:t>
      </w:r>
      <w:r>
        <w:rPr>
          <w:rFonts w:eastAsia="IRNazanin" w:cs="IRNazanin"/>
          <w:color w:val="111111"/>
          <w:sz w:val="28"/>
          <w:szCs w:val="28"/>
          <w:rtl w:val="true"/>
          <w:lang w:bidi="fa-IR"/>
        </w:rPr>
        <w:t>»</w:t>
      </w:r>
      <w:r>
        <w:rPr>
          <w:rStyle w:val="FootnoteAnchor"/>
          <w:rtl w:val="true"/>
        </w:rPr>
        <w:footnoteReference w:id="2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646"/>
      </w:r>
      <w:r>
        <w:rPr>
          <w:rFonts w:ascii="IRNazanin" w:hAnsi="IRNazanin" w:eastAsia="IRNazanin"/>
          <w:color w:val="111111"/>
          <w:sz w:val="28"/>
          <w:sz w:val="28"/>
          <w:szCs w:val="28"/>
          <w:rtl w:val="true"/>
          <w:lang w:bidi="fa-IR"/>
        </w:rPr>
        <w:t>و الشرائع</w:t>
      </w:r>
      <w:r>
        <w:rPr>
          <w:rStyle w:val="FootnoteAnchor"/>
          <w:rtl w:val="true"/>
        </w:rPr>
        <w:footnoteReference w:id="2647"/>
      </w:r>
      <w:r>
        <w:rPr>
          <w:rFonts w:ascii="IRNazanin" w:hAnsi="IRNazanin" w:eastAsia="IRNazanin"/>
          <w:color w:val="111111"/>
          <w:sz w:val="28"/>
          <w:sz w:val="28"/>
          <w:szCs w:val="28"/>
          <w:rtl w:val="true"/>
          <w:lang w:bidi="fa-IR"/>
        </w:rPr>
        <w:t>و جامع</w:t>
      </w:r>
      <w:bookmarkStart w:id="1033" w:name="pg11756_104318"/>
    </w:p>
    <w:p>
      <w:pPr>
        <w:pStyle w:val="BookText"/>
        <w:rPr/>
      </w:pPr>
      <w:bookmarkEnd w:id="1033"/>
      <w:r>
        <w:rPr>
          <w:rFonts w:ascii="IRNazanin" w:hAnsi="IRNazanin" w:eastAsia="IRNazanin"/>
          <w:color w:val="111111"/>
          <w:sz w:val="28"/>
          <w:sz w:val="28"/>
          <w:szCs w:val="28"/>
          <w:rtl w:val="true"/>
          <w:lang w:bidi="fa-IR"/>
        </w:rPr>
        <w:t>المقاصد</w:t>
      </w:r>
      <w:r>
        <w:rPr>
          <w:rStyle w:val="FootnoteAnchor"/>
          <w:rtl w:val="true"/>
        </w:rPr>
        <w:footnoteReference w:id="2648"/>
      </w:r>
      <w:r>
        <w:rPr>
          <w:rFonts w:ascii="IRNazanin" w:hAnsi="IRNazanin" w:eastAsia="IRNazanin"/>
          <w:color w:val="111111"/>
          <w:sz w:val="28"/>
          <w:sz w:val="28"/>
          <w:szCs w:val="28"/>
          <w:rtl w:val="true"/>
          <w:lang w:bidi="fa-IR"/>
        </w:rPr>
        <w:t>و المسالک</w:t>
      </w:r>
      <w:r>
        <w:rPr>
          <w:rStyle w:val="FootnoteAnchor"/>
          <w:rtl w:val="true"/>
        </w:rPr>
        <w:footnoteReference w:id="2649"/>
      </w:r>
      <w:r>
        <w:rPr>
          <w:rFonts w:ascii="Amiri" w:hAnsi="Amiri" w:eastAsia="Amiri" w:cs="Amiri"/>
          <w:color w:val="111111"/>
          <w:sz w:val="28"/>
          <w:sz w:val="28"/>
          <w:szCs w:val="28"/>
          <w:rtl w:val="true"/>
          <w:lang w:bidi="ar-SA"/>
        </w:rPr>
        <w:t>و الروضة</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العاقد فلا بدّ أن یکون بالغا عاقلا؛ لسلب</w:t>
      </w:r>
      <w:r>
        <w:rPr>
          <w:rStyle w:val="FootnoteAnchor"/>
          <w:rtl w:val="true"/>
        </w:rPr>
        <w:footnoteReference w:id="2651"/>
      </w:r>
      <w:r>
        <w:rPr>
          <w:rFonts w:ascii="IRNazanin" w:hAnsi="IRNazanin" w:eastAsia="IRNazanin"/>
          <w:color w:val="111111"/>
          <w:sz w:val="28"/>
          <w:sz w:val="28"/>
          <w:szCs w:val="28"/>
          <w:rtl w:val="true"/>
          <w:lang w:bidi="fa-IR"/>
        </w:rPr>
        <w:t>عبارة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أذمّ</w:t>
      </w:r>
      <w:r>
        <w:rPr>
          <w:rStyle w:val="FootnoteAnchor"/>
          <w:rtl w:val="true"/>
        </w:rPr>
        <w:footnoteReference w:id="2652"/>
      </w:r>
      <w:r>
        <w:rPr>
          <w:rFonts w:ascii="IRNazanin" w:hAnsi="IRNazanin" w:eastAsia="IRNazanin"/>
          <w:color w:val="111111"/>
          <w:sz w:val="28"/>
          <w:sz w:val="28"/>
          <w:szCs w:val="28"/>
          <w:rtl w:val="true"/>
          <w:lang w:bidi="fa-IR"/>
        </w:rPr>
        <w:t>المراهق أو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أمانه، و لو اغترّ المشرک فزعم الصحّة و جاء معه یعاد إلی مأمنه</w:t>
      </w:r>
      <w:r>
        <w:rPr>
          <w:rFonts w:eastAsia="IRNazanin" w:cs="IRNazanin"/>
          <w:color w:val="111111"/>
          <w:sz w:val="28"/>
          <w:szCs w:val="28"/>
          <w:rtl w:val="true"/>
          <w:lang w:bidi="fa-IR"/>
        </w:rPr>
        <w:t>»</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9644187_73709187"/>
      <w:bookmarkStart w:id="1035" w:name="_Toc388"/>
      <w:bookmarkEnd w:id="1034"/>
      <w:r>
        <w:rPr>
          <w:rtl w:val="true"/>
        </w:rPr>
        <w:t>أمان الصبیّ عند أهل السنّة</w:t>
      </w:r>
      <w:bookmarkEnd w:id="1035"/>
    </w:p>
    <w:p>
      <w:pPr>
        <w:pStyle w:val="BookText"/>
        <w:rPr/>
      </w:pPr>
      <w:r>
        <w:rPr>
          <w:rFonts w:ascii="IRNazanin" w:hAnsi="IRNazanin" w:eastAsia="IRNazanin"/>
          <w:color w:val="111111"/>
          <w:sz w:val="28"/>
          <w:sz w:val="28"/>
          <w:szCs w:val="28"/>
          <w:rtl w:val="true"/>
          <w:lang w:bidi="fa-IR"/>
        </w:rPr>
        <w:t>یشترط فی الأمان عند جمهور أهل السنّة أن یکون المؤمّن بالغا، فلا یصحّ أمان الصبیّ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البلوغ و سلامة العقل عن الآفة عند عامّة العلماء</w:t>
      </w:r>
      <w:r>
        <w:rPr>
          <w:rFonts w:eastAsia="IRNazanin" w:cs="IRNazanin"/>
          <w:color w:val="111111"/>
          <w:sz w:val="28"/>
          <w:szCs w:val="28"/>
          <w:rtl w:val="true"/>
          <w:lang w:bidi="fa-IR"/>
        </w:rPr>
        <w:t>»</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لارتفاع القلم عنهما</w:t>
      </w:r>
      <w:r>
        <w:rPr>
          <w:rFonts w:eastAsia="IRNazanin" w:cs="IRNazanin"/>
          <w:color w:val="111111"/>
          <w:sz w:val="28"/>
          <w:szCs w:val="28"/>
          <w:rtl w:val="true"/>
          <w:lang w:bidi="fa-IR"/>
        </w:rPr>
        <w:t>»</w:t>
      </w:r>
      <w:r>
        <w:rPr>
          <w:rStyle w:val="FootnoteAnchor"/>
          <w:rtl w:val="true"/>
        </w:rPr>
        <w:footnoteReference w:id="2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bookmarkStart w:id="1036" w:name="pg11756_104319"/>
    </w:p>
    <w:p>
      <w:pPr>
        <w:pStyle w:val="BookText"/>
        <w:rPr/>
      </w:pPr>
      <w:bookmarkEnd w:id="1036"/>
      <w:r>
        <w:rPr>
          <w:rFonts w:ascii="IRNazanin" w:hAnsi="IRNazanin" w:eastAsia="IRNazanin"/>
          <w:color w:val="111111"/>
          <w:sz w:val="28"/>
          <w:sz w:val="28"/>
          <w:szCs w:val="28"/>
          <w:rtl w:val="true"/>
          <w:lang w:bidi="fa-IR"/>
        </w:rPr>
        <w:t>و لکن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إن عقل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أجازه الإمام فی المقاتلة صحّ أمانه، و إن لم یجزه لم یصحّ</w:t>
      </w:r>
      <w:r>
        <w:rPr>
          <w:rFonts w:eastAsia="IRNazanin" w:cs="IRNazanin"/>
          <w:color w:val="111111"/>
          <w:sz w:val="28"/>
          <w:szCs w:val="28"/>
          <w:rtl w:val="true"/>
          <w:lang w:bidi="fa-IR"/>
        </w:rPr>
        <w:t>»</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الروایة الثانیة یصحّ أمان الصبیّ، و هو قول مالک، و احتجّ بعموم الحدیث</w:t>
      </w:r>
      <w:r>
        <w:rPr>
          <w:rStyle w:val="FootnoteAnchor"/>
          <w:rtl w:val="true"/>
        </w:rPr>
        <w:footnoteReference w:id="2658"/>
      </w:r>
      <w:r>
        <w:rPr>
          <w:rFonts w:ascii="IRNazanin" w:hAnsi="IRNazanin" w:eastAsia="IRNazanin"/>
          <w:color w:val="111111"/>
          <w:sz w:val="28"/>
          <w:sz w:val="28"/>
          <w:szCs w:val="28"/>
          <w:rtl w:val="true"/>
          <w:lang w:bidi="fa-IR"/>
        </w:rPr>
        <w:t>؛ و لأنّه مسلم ممیّز فصحّ أمانه کالبالغ، و فارق المجنون، فإنّه لا قول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روایة المنع علی غیر المکلّف</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المرأة جائز، و ما سمعته یقول فی العبد و الصبیّ شیئا أقوم لک علی حفظه، و أنا أری أنّ أمانهما جائز</w:t>
      </w:r>
      <w:r>
        <w:rPr>
          <w:rFonts w:eastAsia="IRNazanin" w:cs="IRNazanin"/>
          <w:color w:val="111111"/>
          <w:sz w:val="28"/>
          <w:szCs w:val="28"/>
          <w:rtl w:val="true"/>
          <w:lang w:bidi="fa-IR"/>
        </w:rPr>
        <w:t>»</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9644189_73709187"/>
      <w:bookmarkStart w:id="1038" w:name="_Toc389"/>
      <w:bookmarkEnd w:id="1037"/>
      <w:r>
        <w:rPr>
          <w:rtl w:val="true"/>
        </w:rPr>
        <w:t>الفرع الرابع</w:t>
      </w:r>
      <w:r>
        <w:rPr>
          <w:rtl w:val="true"/>
        </w:rPr>
        <w:t xml:space="preserve">: </w:t>
      </w:r>
      <w:r>
        <w:rPr>
          <w:rtl w:val="true"/>
        </w:rPr>
        <w:t>عدم جواز قتل صبیان الکفّار</w:t>
      </w:r>
      <w:bookmarkEnd w:id="1038"/>
    </w:p>
    <w:p>
      <w:pPr>
        <w:pStyle w:val="Heading5"/>
        <w:numPr>
          <w:ilvl w:val="4"/>
          <w:numId w:val="1"/>
        </w:numPr>
        <w:rPr/>
      </w:pPr>
      <w:bookmarkStart w:id="1039" w:name="__RefHeading___Toc9644191_73709187"/>
      <w:bookmarkStart w:id="1040" w:name="_Toc390"/>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لا یجوز قتل صبیان الکفّار و نسائهم و لا المجانین و إن عاونوا، إلاّ فی الضرورة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قتل المجانین و لا الصبیان و لا النساء منهم و لو عاونهم، إلاّ مع الاضطرار</w:t>
      </w:r>
      <w:r>
        <w:rPr>
          <w:rFonts w:eastAsia="IRNazanin" w:cs="IRNazanin"/>
          <w:color w:val="111111"/>
          <w:sz w:val="28"/>
          <w:szCs w:val="28"/>
          <w:rtl w:val="true"/>
          <w:lang w:bidi="fa-IR"/>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قتل صبیان المشرکین و لا نسائهم و لا المجانین و إن قاتلت المرأة أو اسرت، إلاّ مع الضرورة</w:t>
      </w:r>
      <w:r>
        <w:rPr>
          <w:rFonts w:eastAsia="IRNazanin" w:cs="IRNazanin"/>
          <w:color w:val="111111"/>
          <w:sz w:val="28"/>
          <w:szCs w:val="28"/>
          <w:rtl w:val="true"/>
          <w:lang w:bidi="fa-IR"/>
        </w:rPr>
        <w:t>»</w:t>
      </w:r>
      <w:r>
        <w:rPr>
          <w:rStyle w:val="FootnoteAnchor"/>
          <w:rtl w:val="true"/>
        </w:rPr>
        <w:footnoteReference w:id="2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القواعد</w:t>
      </w:r>
      <w:r>
        <w:rPr>
          <w:rStyle w:val="FootnoteAnchor"/>
          <w:rtl w:val="true"/>
        </w:rPr>
        <w:footnoteReference w:id="2663"/>
      </w:r>
      <w:r>
        <w:rPr>
          <w:rFonts w:ascii="IRNazanin" w:hAnsi="IRNazanin" w:eastAsia="IRNazanin"/>
          <w:color w:val="111111"/>
          <w:sz w:val="28"/>
          <w:sz w:val="28"/>
          <w:szCs w:val="28"/>
          <w:rtl w:val="true"/>
          <w:lang w:bidi="fa-IR"/>
        </w:rPr>
        <w:t>و التذکرة</w:t>
      </w:r>
      <w:r>
        <w:rPr>
          <w:rStyle w:val="FootnoteAnchor"/>
          <w:rtl w:val="true"/>
        </w:rPr>
        <w:footnoteReference w:id="2664"/>
      </w:r>
      <w:bookmarkStart w:id="1041" w:name="pg11756_104320"/>
    </w:p>
    <w:p>
      <w:pPr>
        <w:pStyle w:val="BookText"/>
        <w:rPr/>
      </w:pPr>
      <w:bookmarkEnd w:id="1041"/>
      <w:r>
        <w:rPr>
          <w:rFonts w:ascii="Amiri" w:hAnsi="Amiri" w:eastAsia="Amiri" w:cs="Amiri"/>
          <w:color w:val="111111"/>
          <w:sz w:val="28"/>
          <w:sz w:val="28"/>
          <w:szCs w:val="28"/>
          <w:rtl w:val="true"/>
          <w:lang w:bidi="ar-SA"/>
        </w:rPr>
        <w:t>و اللمعة</w:t>
      </w:r>
      <w:r>
        <w:rPr>
          <w:rStyle w:val="FootnoteAnchor"/>
          <w:rtl w:val="true"/>
        </w:rPr>
        <w:footnoteReference w:id="2665"/>
      </w:r>
      <w:r>
        <w:rPr>
          <w:rFonts w:ascii="IRNazanin" w:hAnsi="IRNazanin" w:eastAsia="IRNazanin"/>
          <w:color w:val="111111"/>
          <w:sz w:val="28"/>
          <w:sz w:val="28"/>
          <w:szCs w:val="28"/>
          <w:rtl w:val="true"/>
          <w:lang w:bidi="fa-IR"/>
        </w:rPr>
        <w:t>و الدروس</w:t>
      </w:r>
      <w:r>
        <w:rPr>
          <w:rStyle w:val="FootnoteAnchor"/>
          <w:rtl w:val="true"/>
        </w:rPr>
        <w:footnoteReference w:id="2666"/>
      </w:r>
      <w:r>
        <w:rPr>
          <w:rFonts w:ascii="Amiri" w:hAnsi="Amiri" w:eastAsia="Amiri" w:cs="Amiri"/>
          <w:color w:val="111111"/>
          <w:sz w:val="28"/>
          <w:sz w:val="28"/>
          <w:szCs w:val="28"/>
          <w:rtl w:val="true"/>
          <w:lang w:bidi="ar-SA"/>
        </w:rPr>
        <w:t>و الروضة</w:t>
      </w:r>
      <w:r>
        <w:rPr>
          <w:rStyle w:val="FootnoteAnchor"/>
          <w:rtl w:val="true"/>
        </w:rPr>
        <w:footnoteReference w:id="2667"/>
      </w:r>
      <w:r>
        <w:rPr>
          <w:rFonts w:ascii="IRNazanin" w:hAnsi="IRNazanin" w:eastAsia="IRNazanin"/>
          <w:color w:val="111111"/>
          <w:sz w:val="28"/>
          <w:sz w:val="28"/>
          <w:szCs w:val="28"/>
          <w:rtl w:val="true"/>
          <w:lang w:bidi="fa-IR"/>
        </w:rPr>
        <w:t>و المسالک</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منهم شیخ فان و لا صبیّ و لا امرأة و لا راهب فی 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أحد منهم قد قتل أحدا من المسلمین</w:t>
      </w:r>
      <w:r>
        <w:rPr>
          <w:rFonts w:eastAsia="IRNazanin" w:cs="IRNazanin"/>
          <w:color w:val="111111"/>
          <w:sz w:val="28"/>
          <w:szCs w:val="28"/>
          <w:rtl w:val="true"/>
          <w:lang w:bidi="fa-IR"/>
        </w:rPr>
        <w:t>»</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الریاض</w:t>
      </w:r>
      <w:r>
        <w:rPr>
          <w:rStyle w:val="FootnoteAnchor"/>
          <w:rtl w:val="true"/>
        </w:rPr>
        <w:footnoteReference w:id="2670"/>
      </w:r>
      <w:r>
        <w:rPr>
          <w:rFonts w:ascii="IRNazanin" w:hAnsi="IRNazanin" w:eastAsia="IRNazanin"/>
          <w:color w:val="111111"/>
          <w:sz w:val="28"/>
          <w:sz w:val="28"/>
          <w:szCs w:val="28"/>
          <w:rtl w:val="true"/>
          <w:lang w:bidi="fa-IR"/>
        </w:rPr>
        <w:t>و الجواهر</w:t>
      </w:r>
      <w:r>
        <w:rPr>
          <w:rStyle w:val="FootnoteAnchor"/>
          <w:rtl w:val="true"/>
        </w:rPr>
        <w:footnoteReference w:id="2671"/>
      </w:r>
      <w:r>
        <w:rPr>
          <w:rFonts w:ascii="IRNazanin" w:hAnsi="IRNazanin" w:eastAsia="IRNazanin"/>
          <w:color w:val="111111"/>
          <w:sz w:val="28"/>
          <w:sz w:val="28"/>
          <w:szCs w:val="28"/>
          <w:rtl w:val="true"/>
          <w:lang w:bidi="fa-IR"/>
        </w:rPr>
        <w:t>، و صرّح به بعض أعلام العصر</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9644193_73709187"/>
      <w:bookmarkStart w:id="1043" w:name="_Toc391"/>
      <w:bookmarkEnd w:id="1042"/>
      <w:r>
        <w:rPr>
          <w:rtl w:val="true"/>
        </w:rPr>
        <w:t>الأدلّة علی عدم جواز قتل صبیان الکفّار</w:t>
      </w:r>
      <w:bookmarkEnd w:id="1043"/>
    </w:p>
    <w:p>
      <w:pPr>
        <w:pStyle w:val="BookText"/>
        <w:rPr/>
      </w:pPr>
      <w:r>
        <w:rPr>
          <w:rFonts w:ascii="IRNazanin" w:hAnsi="IRNazanin" w:eastAsia="IRNazanin"/>
          <w:color w:val="111111"/>
          <w:sz w:val="28"/>
          <w:sz w:val="28"/>
          <w:szCs w:val="28"/>
          <w:rtl w:val="true"/>
          <w:lang w:bidi="fa-IR"/>
        </w:rPr>
        <w:t>و یدلّ علی الحکم المذکور قبل النصوص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قتل صبیان المشرکین إجماعا</w:t>
      </w:r>
      <w:r>
        <w:rPr>
          <w:rFonts w:eastAsia="IRNazanin" w:cs="IRNazanin"/>
          <w:color w:val="111111"/>
          <w:sz w:val="28"/>
          <w:szCs w:val="28"/>
          <w:rtl w:val="true"/>
          <w:lang w:bidi="fa-IR"/>
        </w:rPr>
        <w:t>»</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الحجّة</w:t>
      </w:r>
      <w:r>
        <w:rPr>
          <w:rFonts w:eastAsia="IRNazanin" w:cs="IRNazanin"/>
          <w:color w:val="111111"/>
          <w:sz w:val="28"/>
          <w:szCs w:val="28"/>
          <w:rtl w:val="true"/>
          <w:lang w:bidi="fa-IR"/>
        </w:rPr>
        <w:t>»</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النصوص فهی کثیرة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حمزة الثمالی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أراد أن یبعث سریّة دعاهم فأجلسهم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w:t>
      </w:r>
    </w:p>
    <w:p>
      <w:pPr>
        <w:pStyle w:val="BookText"/>
        <w:rPr/>
      </w:pPr>
      <w:r>
        <w:rPr>
          <w:rFonts w:ascii="Amiri" w:hAnsi="Amiri" w:eastAsia="Amiri" w:cs="Amiri"/>
          <w:color w:val="111111"/>
          <w:sz w:val="28"/>
          <w:sz w:val="28"/>
          <w:szCs w:val="28"/>
          <w:rtl w:val="true"/>
          <w:lang w:bidi="ar-SA"/>
        </w:rPr>
        <w:t>و باللّه، و فی سبیل اللّه، و علی ملّة رسول اللّه، لا تغلّوا</w:t>
      </w:r>
      <w:r>
        <w:rPr>
          <w:rStyle w:val="FootnoteAnchor"/>
          <w:rtl w:val="true"/>
        </w:rPr>
        <w:footnoteReference w:id="2675"/>
      </w:r>
      <w:r>
        <w:rPr>
          <w:rFonts w:ascii="IRNazanin" w:hAnsi="IRNazanin" w:eastAsia="IRNazanin"/>
          <w:color w:val="111111"/>
          <w:sz w:val="28"/>
          <w:sz w:val="28"/>
          <w:szCs w:val="28"/>
          <w:rtl w:val="true"/>
          <w:lang w:bidi="fa-IR"/>
        </w:rPr>
        <w:t>، و لا تمثّلوا</w:t>
      </w:r>
      <w:r>
        <w:rPr>
          <w:rStyle w:val="FootnoteAnchor"/>
          <w:rtl w:val="true"/>
        </w:rPr>
        <w:footnoteReference w:id="2676"/>
      </w:r>
      <w:r>
        <w:rPr>
          <w:rFonts w:ascii="IRNazanin" w:hAnsi="IRNazanin" w:eastAsia="IRNazanin"/>
          <w:color w:val="111111"/>
          <w:sz w:val="28"/>
          <w:sz w:val="28"/>
          <w:szCs w:val="28"/>
          <w:rtl w:val="true"/>
          <w:lang w:bidi="fa-IR"/>
        </w:rPr>
        <w:t>، و لا تغدروا</w:t>
      </w:r>
      <w:r>
        <w:rPr>
          <w:rStyle w:val="FootnoteAnchor"/>
          <w:rtl w:val="true"/>
        </w:rPr>
        <w:footnoteReference w:id="2677"/>
      </w:r>
      <w:r>
        <w:rPr>
          <w:rFonts w:ascii="IRNazanin" w:hAnsi="IRNazanin" w:eastAsia="IRNazanin"/>
          <w:color w:val="111111"/>
          <w:sz w:val="28"/>
          <w:sz w:val="28"/>
          <w:szCs w:val="28"/>
          <w:rtl w:val="true"/>
          <w:lang w:bidi="fa-IR"/>
        </w:rPr>
        <w:t>، و لا تقتلوا شیخا فانیا و لا صبیّا و لا امرأة، و لا تقطعوا شجرا، إلاّ أن تضطرّوا إلیها</w:t>
      </w:r>
      <w:r>
        <w:rPr>
          <w:rFonts w:eastAsia="IRNazanin" w:cs="IRNazanin"/>
          <w:color w:val="111111"/>
          <w:sz w:val="28"/>
          <w:szCs w:val="28"/>
          <w:rtl w:val="true"/>
          <w:lang w:bidi="fa-IR"/>
        </w:rPr>
        <w:t>»</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بعث سریّة دعا بأمیرها فأجلسه إلی جنبه و أجلس أصحابه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 باللّه، و فی سبیل اللّه، و علی ملّة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شیخا فانیا و لا صبیّا و لا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جعفر، عن أبیه،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و استحیوا شیوخهم و صبیانهم</w:t>
      </w:r>
      <w:r>
        <w:rPr>
          <w:rFonts w:eastAsia="IRNazanin" w:cs="IRNazanin"/>
          <w:color w:val="111111"/>
          <w:sz w:val="28"/>
          <w:szCs w:val="28"/>
          <w:rtl w:val="true"/>
          <w:lang w:bidi="fa-IR"/>
        </w:rPr>
        <w:t>»</w:t>
      </w:r>
      <w:r>
        <w:rPr>
          <w:rStyle w:val="FootnoteAnchor"/>
          <w:rtl w:val="true"/>
        </w:rPr>
        <w:footnoteReference w:id="2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ما جاء فی روایة مسعدة بن صدقة</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حفص بن غیاث التی رواها المشایخ الثلاثة فی حدیث أنّه سأل أبا عبد اللّه علیه السّلام عن النساء، کیف سقطت الجزیة عنهنّ و رفعت عنهنّ؟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رسول اللّه صلّی اللّه علیه و آله نهی عن قتل النساء و الولدان فی دار الحرب، إلاّ أن یقاتلن، فإن قاتلن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أمسک عنها ما أمکنت و لم تخف خللا، فلمّا نهی عن قتلهنّ فی دار الحرب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الإسلام</w:t>
      </w:r>
      <w:bookmarkStart w:id="1044" w:name="pg11756_104322"/>
    </w:p>
    <w:p>
      <w:pPr>
        <w:pStyle w:val="BookText"/>
        <w:rPr/>
      </w:pPr>
      <w:bookmarkEnd w:id="1044"/>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الجمهور 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بعث جیشا من المسلمین إلی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الحدیث،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ولیدا طفلا و لا امرأة و لا شیخا کبیرا</w:t>
      </w:r>
      <w:r>
        <w:rPr>
          <w:rFonts w:eastAsia="IRNazanin" w:cs="IRNazanin"/>
          <w:color w:val="111111"/>
          <w:sz w:val="28"/>
          <w:szCs w:val="28"/>
          <w:rtl w:val="true"/>
          <w:lang w:bidi="fa-IR"/>
        </w:rPr>
        <w:t>»</w:t>
      </w:r>
      <w:r>
        <w:rPr>
          <w:rStyle w:val="FootnoteAnchor"/>
          <w:rtl w:val="true"/>
        </w:rPr>
        <w:footnoteReference w:id="2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أنس بن مالک و ابن أبی اویس</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سمرة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شیوخ المشرکین، و استبقوا شرخهم</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اللیث عن نافع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وجدت فی بعض مغازی رسول اللّه صلّی اللّه علیه و آله مقتولة، فأنکر رسول اللّه صلّی اللّه علیه و آله قتل النساء و الصبیان</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9644195_73709187"/>
      <w:bookmarkStart w:id="1046" w:name="_Toc392"/>
      <w:bookmarkEnd w:id="1045"/>
      <w:r>
        <w:rPr>
          <w:rtl w:val="true"/>
        </w:rPr>
        <w:t>رأی أهل السنّة فی المسألة</w:t>
      </w:r>
      <w:bookmarkEnd w:id="104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فقهاء أهل السنّة من المذاهب الأربعة علی أنّه لا یجوز فی الجهاد قتل النساء و الصبیان و المجانین؛ لروایة عبد اللّه بن عمر المتقدّمة و غیرها</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bookmarkStart w:id="1047" w:name="pg11756_104323"/>
    </w:p>
    <w:p>
      <w:pPr>
        <w:pStyle w:val="Heading5"/>
        <w:numPr>
          <w:ilvl w:val="4"/>
          <w:numId w:val="1"/>
        </w:numPr>
        <w:rPr/>
      </w:pPr>
      <w:bookmarkStart w:id="1048" w:name="__RefHeading___Toc9644197_73709187"/>
      <w:bookmarkStart w:id="1049" w:name="_Toc393"/>
      <w:bookmarkEnd w:id="1047"/>
      <w:bookmarkEnd w:id="1048"/>
      <w:r>
        <w:rPr>
          <w:rtl w:val="true"/>
        </w:rPr>
        <w:t>التترّس بالأطفال</w:t>
      </w:r>
      <w:bookmarkEnd w:id="1049"/>
    </w:p>
    <w:p>
      <w:pPr>
        <w:pStyle w:val="Heading6"/>
        <w:numPr>
          <w:ilvl w:val="5"/>
          <w:numId w:val="1"/>
        </w:numPr>
        <w:rPr/>
      </w:pPr>
      <w:bookmarkStart w:id="1050" w:name="__RefHeading___Toc9644199_73709187"/>
      <w:bookmarkStart w:id="1051" w:name="_Toc394"/>
      <w:bookmarkEnd w:id="1050"/>
      <w:r>
        <w:rPr>
          <w:rtl w:val="true"/>
        </w:rPr>
        <w:t>اشارة</w:t>
      </w:r>
      <w:bookmarkEnd w:id="1051"/>
    </w:p>
    <w:p>
      <w:pPr>
        <w:pStyle w:val="BookText"/>
        <w:rPr/>
      </w:pPr>
      <w:r>
        <w:rPr>
          <w:rStyle w:val="FootnoteAnchor"/>
          <w:rtl w:val="true"/>
        </w:rPr>
        <w:footnoteReference w:id="2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عدم جواز قتل الصبیّ فی الجهاد ما إذا کان هناک ضرورة، مثل ما إذا تترّس الکفّار بذراریهم و نسائهم، فإن کان ذلک حال التحام القتال و لم یمکن الفتح إلاّ بقتلهم، جاز قتلهم؛ لاقتضاء الضرورة ذلک، بأن کان فی الکفّ عن قتالهم انهزام للمسلمین، و یقصد بالرمی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تشخیص تلک الضرورة بنظر الإمام أو من نصبه لذلک، و أمّا إذا لم یکن کذلک، لکون الحرب غیر قائمة، أو لإمکان القدرة علیهم بدونه، فحینئذ وجب توقّی الترس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التترّس إمّا بأطفال الکفّار و نسائهم، و إمّا بأطفال المسلمین و اساراهم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Heading6"/>
        <w:numPr>
          <w:ilvl w:val="5"/>
          <w:numId w:val="1"/>
        </w:numPr>
        <w:rPr/>
      </w:pPr>
      <w:bookmarkStart w:id="1052" w:name="__RefHeading___Toc9644201_73709187"/>
      <w:bookmarkStart w:id="1053" w:name="_Toc395"/>
      <w:bookmarkEnd w:id="1052"/>
      <w:r>
        <w:rPr>
          <w:rtl w:val="true"/>
        </w:rPr>
        <w:t>الأوّل</w:t>
      </w:r>
      <w:r>
        <w:rPr>
          <w:rtl w:val="true"/>
        </w:rPr>
        <w:t xml:space="preserve">: </w:t>
      </w:r>
      <w:r>
        <w:rPr>
          <w:rtl w:val="true"/>
        </w:rPr>
        <w:t>التترّس بأطفال الکفّار و نسائهم</w:t>
      </w:r>
      <w:bookmarkEnd w:id="105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تترّس المشرکون بأطفالهم، فإن کان ذلک حال التحام القتال جاز رمیهم و لا یقصد الطفل، بل یقصد من خلفه، فإن أصابه و قتله لم یکن علیه شیء؛ لأنّا لو لم نفعل ذلک لأدّی إلی بطلان الجهاد</w:t>
      </w:r>
      <w:r>
        <w:rPr>
          <w:rFonts w:eastAsia="IRNazanin" w:cs="IRNazanin"/>
          <w:color w:val="111111"/>
          <w:sz w:val="28"/>
          <w:szCs w:val="28"/>
          <w:rtl w:val="true"/>
          <w:lang w:bidi="fa-IR"/>
        </w:rPr>
        <w:t>»</w:t>
      </w:r>
      <w:r>
        <w:rPr>
          <w:rStyle w:val="FootnoteAnchor"/>
          <w:rtl w:val="true"/>
        </w:rPr>
        <w:footnoteReference w:id="2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691"/>
      </w:r>
      <w:r>
        <w:rPr>
          <w:rFonts w:ascii="IRNazanin" w:hAnsi="IRNazanin" w:eastAsia="IRNazanin"/>
          <w:color w:val="111111"/>
          <w:sz w:val="28"/>
          <w:sz w:val="28"/>
          <w:szCs w:val="28"/>
          <w:rtl w:val="true"/>
          <w:lang w:bidi="fa-IR"/>
        </w:rPr>
        <w:t>و الشرائع</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تترّسوا بالصبیان و المجانین أو النساء و لم یمکن الفتح إلاّ بقتلهم جاز</w:t>
      </w:r>
      <w:r>
        <w:rPr>
          <w:rFonts w:eastAsia="IRNazanin" w:cs="IRNazanin"/>
          <w:color w:val="111111"/>
          <w:sz w:val="28"/>
          <w:szCs w:val="28"/>
          <w:rtl w:val="true"/>
          <w:lang w:bidi="fa-IR"/>
        </w:rPr>
        <w:t>»</w:t>
      </w:r>
      <w:r>
        <w:rPr>
          <w:rStyle w:val="FootnoteAnchor"/>
          <w:rtl w:val="true"/>
        </w:rPr>
        <w:footnoteReference w:id="2693"/>
      </w:r>
      <w:r>
        <w:rPr>
          <w:rFonts w:ascii="IRNazanin" w:hAnsi="IRNazanin" w:eastAsia="IRNazanin"/>
          <w:color w:val="111111"/>
          <w:sz w:val="28"/>
          <w:sz w:val="28"/>
          <w:szCs w:val="28"/>
          <w:rtl w:val="true"/>
          <w:lang w:bidi="fa-IR"/>
        </w:rPr>
        <w:t>، و به قال العلاّمة فی جملة من کتبه</w:t>
      </w:r>
      <w:r>
        <w:rPr>
          <w:rStyle w:val="FootnoteAnchor"/>
          <w:rtl w:val="true"/>
        </w:rPr>
        <w:footnoteReference w:id="2694"/>
      </w:r>
      <w:r>
        <w:rPr>
          <w:rFonts w:ascii="IRNazanin" w:hAnsi="IRNazanin" w:eastAsia="IRNazanin"/>
          <w:color w:val="111111"/>
          <w:sz w:val="28"/>
          <w:sz w:val="28"/>
          <w:szCs w:val="28"/>
          <w:rtl w:val="true"/>
          <w:lang w:bidi="fa-IR"/>
        </w:rPr>
        <w:t>و الشهیدان</w:t>
      </w:r>
      <w:r>
        <w:rPr>
          <w:rStyle w:val="FootnoteAnchor"/>
          <w:rtl w:val="true"/>
        </w:rPr>
        <w:footnoteReference w:id="2695"/>
      </w:r>
      <w:r>
        <w:rPr>
          <w:rFonts w:ascii="IRNazanin" w:hAnsi="IRNazanin" w:eastAsia="IRNazanin"/>
          <w:color w:val="111111"/>
          <w:sz w:val="28"/>
          <w:sz w:val="28"/>
          <w:szCs w:val="28"/>
          <w:rtl w:val="true"/>
          <w:lang w:bidi="fa-IR"/>
        </w:rPr>
        <w:t>و المحقّق الأردبیلی</w:t>
      </w:r>
      <w:r>
        <w:rPr>
          <w:rStyle w:val="FootnoteAnchor"/>
          <w:rtl w:val="true"/>
        </w:rPr>
        <w:footnoteReference w:id="2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2697"/>
      </w:r>
      <w:r>
        <w:rPr>
          <w:rFonts w:ascii="IRNazanin" w:hAnsi="IRNazanin" w:eastAsia="IRNazanin"/>
          <w:color w:val="111111"/>
          <w:sz w:val="28"/>
          <w:sz w:val="28"/>
          <w:szCs w:val="28"/>
          <w:rtl w:val="true"/>
          <w:lang w:bidi="fa-IR"/>
        </w:rPr>
        <w:t>و منهاج الصالحین</w:t>
      </w:r>
      <w:r>
        <w:rPr>
          <w:rStyle w:val="FootnoteAnchor"/>
          <w:rtl w:val="true"/>
        </w:rPr>
        <w:footnoteReference w:id="2698"/>
      </w:r>
      <w:r>
        <w:rPr>
          <w:rFonts w:ascii="IRNazanin" w:hAnsi="IRNazanin" w:eastAsia="IRNazanin"/>
          <w:color w:val="111111"/>
          <w:sz w:val="28"/>
          <w:sz w:val="28"/>
          <w:szCs w:val="28"/>
          <w:rtl w:val="true"/>
          <w:lang w:bidi="fa-IR"/>
        </w:rPr>
        <w:t>و مهذّب الأحکام</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الضرورة تقتضی ذلک حیث إنّ المفروض أنّه لا یمکن الفتح إلاّ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بعض إخوانی أن أسأل أبا عبد اللّه علیه السّلام عن مدینة من مدائن الحرب، هل یجوز أن یرسل علیهم الماء أو یحرقون بالنیران أو یرمون بالمنجنیق حتّی یقتلوا، و فیهم النساء و الصبیان و الشیخ الکبیر و الاساری من المسلمین و التجّار؟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ذلک بهم و لا یمسک عنهم لهؤلاء، و لا دیة علیهم للمسلمین و لا کفّارة</w:t>
      </w:r>
      <w:r>
        <w:rPr>
          <w:rFonts w:eastAsia="IRNazanin" w:cs="IRNazanin"/>
          <w:color w:val="111111"/>
          <w:sz w:val="28"/>
          <w:szCs w:val="28"/>
          <w:rtl w:val="true"/>
          <w:lang w:bidi="fa-IR"/>
        </w:rPr>
        <w:t>»</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عن صعب بن جثامة،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أهل الدار من المشرکین یبیّتون فیصاب النساء و الصبیان؟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منهم</w:t>
      </w:r>
      <w:r>
        <w:rPr>
          <w:rFonts w:eastAsia="IRNazanin" w:cs="IRNazanin"/>
          <w:color w:val="111111"/>
          <w:sz w:val="28"/>
          <w:szCs w:val="28"/>
          <w:rtl w:val="true"/>
          <w:lang w:bidi="fa-IR"/>
        </w:rPr>
        <w:t>»</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التحام الحرب جاز و إن استلزم قتل الترس،</w:t>
      </w:r>
      <w:bookmarkStart w:id="1054" w:name="pg11756_104325"/>
    </w:p>
    <w:p>
      <w:pPr>
        <w:pStyle w:val="BookText"/>
        <w:rPr/>
      </w:pPr>
      <w:bookmarkEnd w:id="1054"/>
      <w:r>
        <w:rPr>
          <w:rFonts w:ascii="IRNazanin" w:hAnsi="IRNazanin" w:eastAsia="IRNazanin"/>
          <w:color w:val="111111"/>
          <w:sz w:val="28"/>
          <w:sz w:val="28"/>
          <w:szCs w:val="28"/>
          <w:rtl w:val="true"/>
          <w:lang w:bidi="fa-IR"/>
        </w:rPr>
        <w:t xml:space="preserve">خصوصا إذا خیف من الکفّ عنهم الغلبة؛ ترجیحا لما دلّ علی الأمر بقتلهم علی ما دلّ علی حرمة قتل الترس بخبر حفص بن غیاث، و الشهرة أو عدم الخلاف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الکافر الحربی واجب، فمتی أمکن الوصول إلیه من دون مقدّمة محرّمة فعل، و إلاّ تعارض خطاب الوجوب و الحرمة، فمع عدم الترجیح یتّجه التخییر، و لعلّه المراد من الجواز فی عبارة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یؤیّده معلومیّة ترجیح الإسلام علی مثل ذلک، و لذا رمی النبیّ صلّی اللّه علیه و آله الطائف بالمنجنیق و فیهم النساء و الصبیان، و أمّا احتمال ترجیح خطاب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أجده لأحد</w:t>
      </w:r>
      <w:r>
        <w:rPr>
          <w:rFonts w:eastAsia="IRNazanin" w:cs="IRNazanin"/>
          <w:color w:val="111111"/>
          <w:sz w:val="28"/>
          <w:szCs w:val="28"/>
          <w:rtl w:val="true"/>
          <w:lang w:bidi="fa-IR"/>
        </w:rPr>
        <w:t>»</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العلاّمة فی التذکرة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الترس یؤدّی إلی تعطیل الجهاد؛ و لئلاّ یتّخذوا ذلک ذریعة إلیه</w:t>
      </w:r>
      <w:r>
        <w:rPr>
          <w:rFonts w:eastAsia="IRNazanin" w:cs="IRNazanin"/>
          <w:color w:val="111111"/>
          <w:sz w:val="28"/>
          <w:szCs w:val="28"/>
          <w:rtl w:val="true"/>
          <w:lang w:bidi="fa-IR"/>
        </w:rPr>
        <w:t>»</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5" w:name="__RefHeading___Toc9644203_73709187"/>
      <w:bookmarkStart w:id="1056" w:name="_Toc396"/>
      <w:bookmarkEnd w:id="1055"/>
      <w:r>
        <w:rPr>
          <w:rtl w:val="true"/>
        </w:rPr>
        <w:t>المقام الثانی</w:t>
      </w:r>
      <w:r>
        <w:rPr>
          <w:rtl w:val="true"/>
        </w:rPr>
        <w:t xml:space="preserve">: </w:t>
      </w:r>
      <w:r>
        <w:rPr>
          <w:rtl w:val="true"/>
        </w:rPr>
        <w:t>التترّس بأطفال المسلمین و نسائهم</w:t>
      </w:r>
      <w:bookmarkEnd w:id="1056"/>
    </w:p>
    <w:p>
      <w:pPr>
        <w:pStyle w:val="BookText"/>
        <w:rPr/>
      </w:pPr>
      <w:r>
        <w:rPr>
          <w:rFonts w:ascii="IRNazanin" w:hAnsi="IRNazanin" w:eastAsia="IRNazanin"/>
          <w:color w:val="111111"/>
          <w:sz w:val="28"/>
          <w:sz w:val="28"/>
          <w:szCs w:val="28"/>
          <w:rtl w:val="true"/>
          <w:lang w:bidi="fa-IR"/>
        </w:rPr>
        <w:t>الظاهر أنّه لا خلاف بین الفقهاء فی جواز رمی الکفّار إذا تترّسوا بأطفال المسلمین و اساراهم، و لو لم یوصل إلی قتالهم إلاّ بقتل النساء و الأطفال جاز إذا دعت الضرورة إلی ذلک، بأن کان فی الکفّ عن قتالهم انهزام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الدیة و الکفّارة و القود؟ اختلف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الدیة فالظاهر عدم الوجوب، کما صرّح به فی الشرائع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القاتل دیة</w:t>
      </w:r>
      <w:r>
        <w:rPr>
          <w:rFonts w:eastAsia="IRNazanin" w:cs="IRNazanin"/>
          <w:color w:val="111111"/>
          <w:sz w:val="28"/>
          <w:szCs w:val="28"/>
          <w:rtl w:val="true"/>
          <w:lang w:bidi="fa-IR"/>
        </w:rPr>
        <w:t>»</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أمکن التحرّز عن الترس المسلم، فقصده الغازی وجب</w:t>
      </w:r>
    </w:p>
    <w:p>
      <w:pPr>
        <w:pStyle w:val="BookText"/>
        <w:rPr/>
      </w:pPr>
      <w:r>
        <w:rPr>
          <w:rFonts w:ascii="IRNazanin" w:hAnsi="IRNazanin" w:eastAsia="IRNazanin"/>
          <w:color w:val="111111"/>
          <w:sz w:val="28"/>
          <w:sz w:val="28"/>
          <w:szCs w:val="28"/>
          <w:rtl w:val="true"/>
          <w:lang w:bidi="fa-IR"/>
        </w:rPr>
        <w:t>القود و الکفّارة، و لو لم یمکن التحرّز فلا قود و لا دیة</w:t>
      </w:r>
      <w:r>
        <w:rPr>
          <w:rFonts w:eastAsia="IRNazanin" w:cs="IRNazanin"/>
          <w:color w:val="111111"/>
          <w:sz w:val="28"/>
          <w:szCs w:val="28"/>
          <w:rtl w:val="true"/>
          <w:lang w:bidi="fa-IR"/>
        </w:rPr>
        <w:t>»</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2706"/>
      </w:r>
      <w:r>
        <w:rPr>
          <w:rFonts w:ascii="IRNazanin" w:hAnsi="IRNazanin" w:eastAsia="IRNazanin"/>
          <w:color w:val="111111"/>
          <w:sz w:val="28"/>
          <w:sz w:val="28"/>
          <w:szCs w:val="28"/>
          <w:rtl w:val="true"/>
          <w:lang w:bidi="fa-IR"/>
        </w:rPr>
        <w:t>، و اللمعة الدمشقیّة</w:t>
      </w:r>
      <w:r>
        <w:rPr>
          <w:rStyle w:val="FootnoteAnchor"/>
          <w:rtl w:val="true"/>
        </w:rPr>
        <w:footnoteReference w:id="2707"/>
      </w:r>
      <w:r>
        <w:rPr>
          <w:rFonts w:ascii="Amiri" w:hAnsi="Amiri" w:eastAsia="Amiri" w:cs="Amiri"/>
          <w:color w:val="111111"/>
          <w:sz w:val="28"/>
          <w:sz w:val="28"/>
          <w:szCs w:val="28"/>
          <w:rtl w:val="true"/>
          <w:lang w:bidi="ar-SA"/>
        </w:rPr>
        <w:t>، و الروضة</w:t>
      </w:r>
      <w:r>
        <w:rPr>
          <w:rStyle w:val="FootnoteAnchor"/>
          <w:rtl w:val="true"/>
        </w:rPr>
        <w:footnoteReference w:id="2708"/>
      </w:r>
      <w:r>
        <w:rPr>
          <w:rFonts w:ascii="IRNazanin" w:hAnsi="IRNazanin" w:eastAsia="IRNazanin"/>
          <w:color w:val="111111"/>
          <w:sz w:val="28"/>
          <w:sz w:val="28"/>
          <w:szCs w:val="28"/>
          <w:rtl w:val="true"/>
          <w:lang w:bidi="fa-IR"/>
        </w:rPr>
        <w:t>، و المسالک</w:t>
      </w:r>
      <w:r>
        <w:rPr>
          <w:rStyle w:val="FootnoteAnchor"/>
          <w:rtl w:val="true"/>
        </w:rPr>
        <w:footnoteReference w:id="2709"/>
      </w:r>
      <w:r>
        <w:rPr>
          <w:rFonts w:ascii="IRNazanin" w:hAnsi="IRNazanin" w:eastAsia="IRNazanin"/>
          <w:color w:val="111111"/>
          <w:sz w:val="28"/>
          <w:sz w:val="28"/>
          <w:szCs w:val="28"/>
          <w:rtl w:val="true"/>
          <w:lang w:bidi="fa-IR"/>
        </w:rPr>
        <w:t>، و جامع المقاصد</w:t>
      </w:r>
      <w:r>
        <w:rPr>
          <w:rStyle w:val="FootnoteAnchor"/>
          <w:rtl w:val="true"/>
        </w:rPr>
        <w:footnoteReference w:id="2710"/>
      </w:r>
      <w:r>
        <w:rPr>
          <w:rFonts w:ascii="IRNazanin" w:hAnsi="IRNazanin" w:eastAsia="IRNazanin"/>
          <w:color w:val="111111"/>
          <w:sz w:val="28"/>
          <w:sz w:val="28"/>
          <w:szCs w:val="28"/>
          <w:rtl w:val="true"/>
          <w:lang w:bidi="fa-IR"/>
        </w:rPr>
        <w:t>، و غیرها</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مِنْ قَوْمٍ عَدُوٍّ لَکُمْ وَ هُوَ مُؤْمِنٌ فَتَحْرِیرُ رَقَبَةٍ مُؤْمِنَةٍ </w:t>
      </w:r>
      <w:r>
        <w:rPr>
          <w:rStyle w:val="FootnoteAnchor"/>
          <w:rtl w:val="true"/>
        </w:rPr>
        <w:footnoteReference w:id="2712"/>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هذا القتیل الذی قتله المؤمن من قوم هم أعداء لکم مشرکون، و هو مؤمن، فعلی قاتله تحریر رقبة مؤمنة</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لم تذکر فی الآیة الکریمة الدیة فهو دلیل ظاهر علی عدم وجوبها، کما أشار إلیه جماعة من الأصحاب</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الاستدلال بالآیة الکریمة نظر، کما سیأتی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فیه، و ظاهر المنتهی إجماعنا علیه</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bookmarkStart w:id="1057" w:name="pg11756_104327"/>
    </w:p>
    <w:p>
      <w:pPr>
        <w:pStyle w:val="BookText"/>
        <w:rPr/>
      </w:pPr>
      <w:bookmarkEnd w:id="105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 منه فهو قتیل القرآن</w:t>
      </w:r>
      <w:r>
        <w:rPr>
          <w:rFonts w:eastAsia="IRNazanin" w:cs="IRNazanin"/>
          <w:color w:val="111111"/>
          <w:sz w:val="28"/>
          <w:szCs w:val="28"/>
          <w:rtl w:val="true"/>
          <w:lang w:bidi="fa-IR"/>
        </w:rPr>
        <w:t>»</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المتفاهم العرفی من الروایة بمناسبة الحکم و الموضوع أنّ القتل کلّما کان بأمر إلهی فلا شیء فیه من الاقتصاص و الدیة، و القتیل بالقصاص من صغریات تلک الکبری</w:t>
      </w:r>
      <w:r>
        <w:rPr>
          <w:rStyle w:val="FootnoteAnchor"/>
          <w:rtl w:val="true"/>
        </w:rPr>
        <w:footnoteReference w:id="2717"/>
      </w:r>
      <w:r>
        <w:rPr>
          <w:rFonts w:ascii="IRNazanin" w:hAnsi="IRNazanin" w:eastAsia="IRNazanin"/>
          <w:color w:val="111111"/>
          <w:sz w:val="28"/>
          <w:sz w:val="28"/>
          <w:szCs w:val="28"/>
          <w:rtl w:val="true"/>
          <w:lang w:bidi="fa-IR"/>
        </w:rPr>
        <w:t>، و کذا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حفص بن غیاث المتقدّمة،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ذلک بهم، و لا یمسک عنهم لهؤلاء، و لا دیة علیهم للمسلمین و لا کفّارة</w:t>
      </w:r>
      <w:r>
        <w:rPr>
          <w:rFonts w:eastAsia="IRNazanin" w:cs="IRNazanin"/>
          <w:color w:val="111111"/>
          <w:sz w:val="28"/>
          <w:szCs w:val="28"/>
          <w:rtl w:val="true"/>
          <w:lang w:bidi="fa-IR"/>
        </w:rPr>
        <w:t>»</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9644205_73709187"/>
      <w:bookmarkStart w:id="1059" w:name="_Toc397"/>
      <w:bookmarkEnd w:id="1058"/>
      <w:r>
        <w:rPr>
          <w:rtl w:val="true"/>
        </w:rPr>
        <w:t>وجوب الکفّارة فی قتل صبیان المسلمین</w:t>
      </w:r>
      <w:bookmarkEnd w:id="1059"/>
    </w:p>
    <w:p>
      <w:pPr>
        <w:pStyle w:val="Heading6"/>
        <w:numPr>
          <w:ilvl w:val="5"/>
          <w:numId w:val="1"/>
        </w:numPr>
        <w:rPr/>
      </w:pPr>
      <w:bookmarkStart w:id="1060" w:name="__RefHeading___Toc9644207_73709187"/>
      <w:bookmarkStart w:id="1061" w:name="_Toc398"/>
      <w:bookmarkEnd w:id="1060"/>
      <w:r>
        <w:rPr>
          <w:rtl w:val="true"/>
        </w:rPr>
        <w:t>اشارة</w:t>
      </w:r>
      <w:bookmarkEnd w:id="1061"/>
    </w:p>
    <w:p>
      <w:pPr>
        <w:pStyle w:val="BookText"/>
        <w:rPr/>
      </w:pPr>
      <w:r>
        <w:rPr>
          <w:rFonts w:ascii="IRNazanin" w:hAnsi="IRNazanin" w:eastAsia="IRNazanin"/>
          <w:color w:val="111111"/>
          <w:sz w:val="28"/>
          <w:sz w:val="28"/>
          <w:szCs w:val="28"/>
          <w:rtl w:val="true"/>
          <w:lang w:bidi="fa-IR"/>
        </w:rPr>
        <w:t>لو تترّس الکفّار بأطفال المسلمین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قاتلهم الکفّارة؟ قولان</w:t>
      </w:r>
      <w:r>
        <w:rPr>
          <w:rFonts w:eastAsia="IRNazanin" w:cs="IRNazanin"/>
          <w:color w:val="111111"/>
          <w:sz w:val="28"/>
          <w:szCs w:val="28"/>
          <w:rtl w:val="true"/>
          <w:lang w:bidi="fa-IR"/>
        </w:rPr>
        <w:t>:</w:t>
      </w:r>
    </w:p>
    <w:p>
      <w:pPr>
        <w:pStyle w:val="Heading6"/>
        <w:numPr>
          <w:ilvl w:val="5"/>
          <w:numId w:val="1"/>
        </w:numPr>
        <w:rPr/>
      </w:pPr>
      <w:bookmarkStart w:id="1062" w:name="__RefHeading___Toc9644209_73709187"/>
      <w:bookmarkStart w:id="1063" w:name="_Toc399"/>
      <w:bookmarkEnd w:id="1062"/>
      <w:r>
        <w:rPr>
          <w:rtl w:val="true"/>
        </w:rPr>
        <w:t>الأوّل</w:t>
      </w:r>
      <w:r>
        <w:rPr>
          <w:rtl w:val="true"/>
        </w:rPr>
        <w:t xml:space="preserve">: </w:t>
      </w:r>
      <w:r>
        <w:rPr>
          <w:rtl w:val="true"/>
        </w:rPr>
        <w:t>ما هو المشهور بین الأصحاب من أنّه تجب الکفّارة</w:t>
      </w:r>
      <w:bookmarkEnd w:id="1063"/>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رمی فأصاب مسلما فقتله فلا قود علیه، و علیه الکفّارة</w:t>
      </w:r>
      <w:r>
        <w:rPr>
          <w:rFonts w:eastAsia="IRNazanin" w:cs="IRNazanin"/>
          <w:color w:val="111111"/>
          <w:sz w:val="28"/>
          <w:szCs w:val="28"/>
          <w:rtl w:val="true"/>
          <w:lang w:bidi="fa-IR"/>
        </w:rPr>
        <w:t>»</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یلزم القاتل دیة و یلزمه الکفّارة، و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الکفّارة</w:t>
      </w:r>
      <w:r>
        <w:rPr>
          <w:rFonts w:eastAsia="IRNazanin" w:cs="IRNazanin"/>
          <w:color w:val="111111"/>
          <w:sz w:val="28"/>
          <w:szCs w:val="28"/>
          <w:rtl w:val="true"/>
          <w:lang w:bidi="fa-IR"/>
        </w:rPr>
        <w:t>»</w:t>
      </w:r>
      <w:r>
        <w:rPr>
          <w:rStyle w:val="FootnoteAnchor"/>
          <w:rtl w:val="true"/>
        </w:rPr>
        <w:footnoteReference w:id="2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721"/>
      </w:r>
      <w:r>
        <w:rPr>
          <w:rFonts w:ascii="IRNazanin" w:hAnsi="IRNazanin" w:eastAsia="IRNazanin"/>
          <w:color w:val="111111"/>
          <w:sz w:val="28"/>
          <w:sz w:val="28"/>
          <w:szCs w:val="28"/>
          <w:rtl w:val="true"/>
          <w:lang w:bidi="fa-IR"/>
        </w:rPr>
        <w:t>، و القواعد</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القاتل الکفّارة فی المسلم، و لا یغرم ماله لو أتلفه بخطإ أو بحاجة</w:t>
      </w:r>
      <w:r>
        <w:rPr>
          <w:rFonts w:eastAsia="IRNazanin" w:cs="IRNazanin"/>
          <w:color w:val="111111"/>
          <w:sz w:val="28"/>
          <w:szCs w:val="28"/>
          <w:rtl w:val="true"/>
          <w:lang w:bidi="fa-IR"/>
        </w:rPr>
        <w:t>»</w:t>
      </w:r>
      <w:r>
        <w:rPr>
          <w:rStyle w:val="FootnoteAnchor"/>
          <w:rtl w:val="true"/>
        </w:rPr>
        <w:footnoteReference w:id="2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کثیر من الأصحاب</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له الشیخ فی المبسوط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2726"/>
      </w:r>
      <w:r>
        <w:rPr>
          <w:rFonts w:ascii="IRNazanin" w:hAnsi="IRNazanin" w:eastAsia="IRNazanin"/>
          <w:color w:val="111111"/>
          <w:sz w:val="28"/>
          <w:sz w:val="28"/>
          <w:szCs w:val="28"/>
          <w:rtl w:val="true"/>
          <w:lang w:bidi="fa-IR"/>
        </w:rPr>
        <w:t>و کشف الرموز</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المهذّب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الکفّارة علی القاتل هو المشهور بین الأصحاب؛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الآیة</w:t>
      </w:r>
      <w:r>
        <w:rPr>
          <w:rStyle w:val="FootnoteAnchor"/>
          <w:rtl w:val="true"/>
        </w:rPr>
        <w:footnoteReference w:id="2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الاستدلال بالآیة الکریمة نظر؛ لأنّها وردت فی من قتل المسلم خطأ، و القتل فی المقام فی بعض الحالات هو قتل عمد؛ ضرورة أنّه یکون الرامی فی بعض فروض المسألة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التبیان فی تفسیر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إن کان هذا القتیل الذی قتله المؤمن خطأ من قوم هم أعداء لکم مشرکون و هو مؤمن، فعلی قاتله تحریر رقبة مؤمنة</w:t>
      </w:r>
      <w:r>
        <w:rPr>
          <w:rFonts w:eastAsia="IRNazanin" w:cs="IRNazanin"/>
          <w:color w:val="111111"/>
          <w:sz w:val="28"/>
          <w:szCs w:val="28"/>
          <w:rtl w:val="true"/>
          <w:lang w:bidi="fa-IR"/>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القتیل من جملة قوم هم أعداء لکم</w:t>
      </w:r>
    </w:p>
    <w:p>
      <w:pPr>
        <w:pStyle w:val="BookText"/>
        <w:rPr/>
      </w:pPr>
      <w:r>
        <w:rPr>
          <w:rFonts w:ascii="IRNazanin" w:hAnsi="IRNazanin" w:eastAsia="IRNazanin"/>
          <w:color w:val="111111"/>
          <w:sz w:val="28"/>
          <w:sz w:val="28"/>
          <w:szCs w:val="28"/>
          <w:rtl w:val="true"/>
          <w:lang w:bidi="fa-IR"/>
        </w:rPr>
        <w:t>یناصبونکم الحرب، و هو فی نفسه مؤمن و لم یعلم قاتله أنّه مؤمن، فقتله و هو یظنّه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دیة له، و علیه الکفّارة</w:t>
      </w:r>
      <w:r>
        <w:rPr>
          <w:rStyle w:val="FootnoteAnchor"/>
          <w:rtl w:val="true"/>
        </w:rPr>
        <w:footnoteReference w:id="2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فقه القرآن</w:t>
      </w:r>
      <w:r>
        <w:rPr>
          <w:rStyle w:val="FootnoteAnchor"/>
          <w:rtl w:val="true"/>
        </w:rPr>
        <w:footnoteReference w:id="2732"/>
      </w:r>
      <w:r>
        <w:rPr>
          <w:rFonts w:ascii="IRNazanin" w:hAnsi="IRNazanin" w:eastAsia="IRNazanin"/>
          <w:color w:val="111111"/>
          <w:sz w:val="28"/>
          <w:sz w:val="28"/>
          <w:szCs w:val="28"/>
          <w:rtl w:val="true"/>
          <w:lang w:bidi="fa-IR"/>
        </w:rPr>
        <w:t>، و زبدة البیان</w:t>
      </w:r>
      <w:r>
        <w:rPr>
          <w:rStyle w:val="FootnoteAnchor"/>
          <w:rtl w:val="true"/>
        </w:rPr>
        <w:footnoteReference w:id="2733"/>
      </w:r>
      <w:r>
        <w:rPr>
          <w:rFonts w:ascii="IRNazanin" w:hAnsi="IRNazanin" w:eastAsia="IRNazanin"/>
          <w:color w:val="111111"/>
          <w:sz w:val="28"/>
          <w:sz w:val="28"/>
          <w:szCs w:val="28"/>
          <w:rtl w:val="true"/>
          <w:lang w:bidi="fa-IR"/>
        </w:rPr>
        <w:t>و کنز العرفان</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أیضا الزمخشری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لَکُمْ، أی من قوم کفّار أهل حرب، و ذلک نحو رجل أسلم فی قومه الکفّار و هو بین أظهرهم لم یفارقهم، فعلی قاتله الکفّارة إذا قتله خطأ</w:t>
      </w:r>
      <w:r>
        <w:rPr>
          <w:rFonts w:eastAsia="IRNazanin" w:cs="IRNazanin"/>
          <w:color w:val="111111"/>
          <w:sz w:val="28"/>
          <w:szCs w:val="28"/>
          <w:rtl w:val="true"/>
          <w:lang w:bidi="fa-IR"/>
        </w:rPr>
        <w:t>»</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هذا القتیل الذی قتله المؤمن خطأ من قوم عدوّ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 فتحریر رقبة مؤمنة</w:t>
      </w:r>
      <w:r>
        <w:rPr>
          <w:rFonts w:eastAsia="IRNazanin" w:cs="IRNazanin"/>
          <w:color w:val="111111"/>
          <w:sz w:val="28"/>
          <w:szCs w:val="28"/>
          <w:rtl w:val="true"/>
          <w:lang w:bidi="fa-IR"/>
        </w:rPr>
        <w:t>»</w:t>
      </w:r>
      <w:r>
        <w:rPr>
          <w:rStyle w:val="FootnoteAnchor"/>
          <w:rtl w:val="true"/>
        </w:rPr>
        <w:footnoteReference w:id="2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التفسیر الکبیر</w:t>
      </w:r>
      <w:r>
        <w:rPr>
          <w:rStyle w:val="FootnoteAnchor"/>
          <w:rtl w:val="true"/>
        </w:rPr>
        <w:footnoteReference w:id="2737"/>
      </w:r>
      <w:r>
        <w:rPr>
          <w:rFonts w:ascii="IRNazanin" w:hAnsi="IRNazanin" w:eastAsia="IRNazanin"/>
          <w:color w:val="111111"/>
          <w:sz w:val="28"/>
          <w:sz w:val="28"/>
          <w:szCs w:val="28"/>
          <w:rtl w:val="true"/>
          <w:lang w:bidi="fa-IR"/>
        </w:rPr>
        <w:t>و القرطبی</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کلمات المفسّرین أنّ الآیة إنّما وردت فی القتل الخطئی، و قد یکون المقتول فی دار الإسلام، و قد یکون من قوم هم أعداء لنا من أهل الحرب، و لا صلة بین هذه الآیة و بین قتل الصبیّ المسلم الذی تترّس به الکفّار أو الکبیر الذی کان کذلک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فی التفاسیر أنّ فی تأویل الآیة رأیین</w:t>
      </w:r>
      <w:r>
        <w:rPr>
          <w:rFonts w:eastAsia="IRNazanin" w:cs="IRNazanin"/>
          <w:color w:val="111111"/>
          <w:sz w:val="28"/>
          <w:szCs w:val="28"/>
          <w:rtl w:val="true"/>
          <w:lang w:bidi="fa-IR"/>
        </w:rPr>
        <w:t>:</w:t>
      </w:r>
      <w:bookmarkStart w:id="1064" w:name="pg11756_104330"/>
    </w:p>
    <w:p>
      <w:pPr>
        <w:pStyle w:val="BookText"/>
        <w:rPr/>
      </w:pPr>
      <w:bookmarkEnd w:id="1064"/>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الآیة أن یکون المقتول من قوم أعداء لکم و هو مؤمن، أی بین أظهرهم لم یهاجر، فقتله مؤمن خطأ، فلا دیة له، 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الرجل من أهل الحرب یقدم دار الإسلام فیسلم، ثمّ یرجع إلی دار الحرب، فإذا مرّ بهم الجیش من أهل الإسلام هرب قومه و أقام ذلک المسلم فیها، فقتله المسلمون و هم یحسبونه کافرا</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کلا التأویلین لا تکون الآیة واردة فی قتل الترس المسلم،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قتل المؤمن خطأ کفّارة ففی قتل العمد بطریق أولی، کما أشار إلیه فی الجواهر</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أولویّة، فإنّ القتل فی مورد الآیة قتل خطئی و لا یکون مأمورا به، و القتل فی باب التترّس یکون مأمورا به، فلا یقاس بذلک، فلا وجه للاستناد بهذه الآیة لوجوب الکفّارة</w:t>
      </w:r>
      <w:r>
        <w:rPr>
          <w:rFonts w:eastAsia="IRNazanin" w:cs="IRNazanin"/>
          <w:color w:val="111111"/>
          <w:sz w:val="28"/>
          <w:szCs w:val="28"/>
          <w:rtl w:val="true"/>
          <w:lang w:bidi="fa-IR"/>
        </w:rPr>
        <w:t>.</w:t>
      </w:r>
    </w:p>
    <w:p>
      <w:pPr>
        <w:pStyle w:val="Heading6"/>
        <w:numPr>
          <w:ilvl w:val="5"/>
          <w:numId w:val="1"/>
        </w:numPr>
        <w:rPr/>
      </w:pPr>
      <w:bookmarkStart w:id="1065" w:name="__RefHeading___Toc9644211_73709187"/>
      <w:bookmarkStart w:id="1066" w:name="_Toc400"/>
      <w:bookmarkEnd w:id="1065"/>
      <w:r>
        <w:rPr>
          <w:rtl w:val="true"/>
        </w:rPr>
        <w:t>القول الثانی</w:t>
      </w:r>
      <w:r>
        <w:rPr>
          <w:rtl w:val="true"/>
        </w:rPr>
        <w:t xml:space="preserve">: </w:t>
      </w:r>
      <w:r>
        <w:rPr>
          <w:rtl w:val="true"/>
        </w:rPr>
        <w:t>أنّه لا تجب الکفّارة</w:t>
      </w:r>
      <w:bookmarkEnd w:id="1066"/>
    </w:p>
    <w:p>
      <w:pPr>
        <w:pStyle w:val="BookText"/>
        <w:rPr/>
      </w:pPr>
      <w:r>
        <w:rPr>
          <w:rFonts w:ascii="IRNazanin" w:hAnsi="IRNazanin" w:eastAsia="IRNazanin"/>
          <w:color w:val="111111"/>
          <w:sz w:val="28"/>
          <w:sz w:val="28"/>
          <w:szCs w:val="28"/>
          <w:rtl w:val="true"/>
          <w:lang w:bidi="fa-IR"/>
        </w:rPr>
        <w:t>قال المحقّق فی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تترّسوا بالاساری من المسلمین فلا دیة، و فی الکفّارة قولان</w:t>
      </w:r>
      <w:r>
        <w:rPr>
          <w:rFonts w:eastAsia="IRNazanin" w:cs="IRNazanin"/>
          <w:color w:val="111111"/>
          <w:sz w:val="28"/>
          <w:szCs w:val="28"/>
          <w:rtl w:val="true"/>
          <w:lang w:bidi="fa-IR"/>
        </w:rPr>
        <w:t>»</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کشف الرموز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القولان للشیخ،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هلک المسلمون فیما بینهم، أو هلک لهم من أموالهم شیء لم یلزم المسلمین و لا غیرهم غرامتهم من الدیة</w:t>
      </w:r>
      <w:r>
        <w:rPr>
          <w:rStyle w:val="FootnoteAnchor"/>
          <w:rtl w:val="true"/>
        </w:rPr>
        <w:footnoteReference w:id="2742"/>
      </w:r>
      <w:r>
        <w:rPr>
          <w:rFonts w:ascii="IRNazanin" w:hAnsi="IRNazanin" w:eastAsia="IRNazanin"/>
          <w:color w:val="111111"/>
          <w:sz w:val="28"/>
          <w:sz w:val="28"/>
          <w:szCs w:val="28"/>
          <w:rtl w:val="true"/>
          <w:lang w:bidi="fa-IR"/>
        </w:rPr>
        <w:t>و الأرش، و سکت عن الکفّارة و الظاهر عدم</w:t>
      </w:r>
      <w:bookmarkStart w:id="1067" w:name="pg11756_104331"/>
    </w:p>
    <w:p>
      <w:pPr>
        <w:pStyle w:val="BookText"/>
        <w:rPr/>
      </w:pPr>
      <w:bookmarkEnd w:id="1067"/>
      <w:r>
        <w:rPr>
          <w:rFonts w:ascii="IRNazanin" w:hAnsi="IRNazanin" w:eastAsia="IRNazanin"/>
          <w:color w:val="111111"/>
          <w:sz w:val="28"/>
          <w:sz w:val="28"/>
          <w:szCs w:val="28"/>
          <w:rtl w:val="true"/>
          <w:lang w:bidi="fa-IR"/>
        </w:rPr>
        <w:t>الوجوب</w:t>
      </w:r>
      <w:r>
        <w:rPr>
          <w:rStyle w:val="FootnoteAnchor"/>
          <w:rtl w:val="true"/>
        </w:rPr>
        <w:footnoteReference w:id="2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التنقیح الرائع</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لأنّ مجرّد عدم ذکر الکفّارة لا یدلّ علی عدم الوجوب، کما فی الریاض</w:t>
      </w:r>
      <w:r>
        <w:rPr>
          <w:rStyle w:val="FootnoteAnchor"/>
          <w:rtl w:val="true"/>
        </w:rPr>
        <w:footnoteReference w:id="2745"/>
      </w:r>
      <w:r>
        <w:rPr>
          <w:rFonts w:ascii="IRNazanin" w:hAnsi="IRNazanin" w:eastAsia="IRNazanin"/>
          <w:color w:val="111111"/>
          <w:sz w:val="28"/>
          <w:sz w:val="28"/>
          <w:szCs w:val="28"/>
          <w:rtl w:val="true"/>
          <w:lang w:bidi="fa-IR"/>
        </w:rPr>
        <w:t>و الجواهر</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المصنّف قولا بعدم الکفّارة، و لم نظفر بقائله</w:t>
      </w:r>
      <w:r>
        <w:rPr>
          <w:rFonts w:eastAsia="IRNazanin" w:cs="IRNazanin"/>
          <w:color w:val="111111"/>
          <w:sz w:val="28"/>
          <w:szCs w:val="28"/>
          <w:rtl w:val="true"/>
          <w:lang w:bidi="fa-IR"/>
        </w:rPr>
        <w:t>»</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انترس</w:t>
      </w:r>
      <w:r>
        <w:rPr>
          <w:rStyle w:val="FootnoteAnchor"/>
          <w:rtl w:val="true"/>
        </w:rPr>
        <w:footnoteReference w:id="2748"/>
      </w:r>
      <w:r>
        <w:rPr>
          <w:rFonts w:ascii="IRNazanin" w:hAnsi="IRNazanin" w:eastAsia="IRNazanin"/>
          <w:color w:val="111111"/>
          <w:sz w:val="28"/>
          <w:sz w:val="28"/>
          <w:szCs w:val="28"/>
          <w:rtl w:val="true"/>
          <w:lang w:bidi="fa-IR"/>
        </w:rPr>
        <w:t>المشرکون باساری المسلمین و کانت الحرب ملتحمة لم یقصد الأسیر بالرمی، فإن اصیب لم یکن علی من رماه شیء</w:t>
      </w:r>
      <w:r>
        <w:rPr>
          <w:rFonts w:eastAsia="IRNazanin" w:cs="IRNazanin"/>
          <w:color w:val="111111"/>
          <w:sz w:val="28"/>
          <w:szCs w:val="28"/>
          <w:rtl w:val="true"/>
          <w:lang w:bidi="fa-IR"/>
        </w:rPr>
        <w:t>»</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هو عدم وجوب الکفّارة فی المقام، المؤیّد بروایة حفص المتقدّمة</w:t>
      </w:r>
      <w:r>
        <w:rPr>
          <w:rFonts w:eastAsia="IRNazanin" w:cs="IRNazanin"/>
          <w:color w:val="111111"/>
          <w:sz w:val="28"/>
          <w:szCs w:val="28"/>
          <w:rtl w:val="true"/>
          <w:lang w:bidi="fa-IR"/>
        </w:rPr>
        <w:t>»</w:t>
      </w:r>
      <w:r>
        <w:rPr>
          <w:rStyle w:val="FootnoteAnchor"/>
          <w:rtl w:val="true"/>
        </w:rPr>
        <w:footnoteReference w:id="2750"/>
      </w:r>
      <w:r>
        <w:rPr>
          <w:rFonts w:ascii="IRNazanin" w:hAnsi="IRNazanin" w:eastAsia="IRNazanin"/>
          <w:color w:val="111111"/>
          <w:sz w:val="28"/>
          <w:sz w:val="28"/>
          <w:szCs w:val="28"/>
          <w:rtl w:val="true"/>
          <w:lang w:bidi="fa-IR"/>
        </w:rPr>
        <w:t>، و اختاره تلمیذه الشیخ جواد التبریزی</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8" w:name="__RefHeading___Toc9644213_73709187"/>
      <w:bookmarkStart w:id="1069" w:name="_Toc401"/>
      <w:bookmarkEnd w:id="1068"/>
      <w:r>
        <w:rPr>
          <w:rtl w:val="true"/>
        </w:rPr>
        <w:t>أدلّة القول الثانی</w:t>
      </w:r>
      <w:bookmarkEnd w:id="1069"/>
    </w:p>
    <w:p>
      <w:pPr>
        <w:pStyle w:val="BookText"/>
        <w:rPr/>
      </w:pPr>
      <w:r>
        <w:rPr>
          <w:rFonts w:ascii="IRNazanin" w:hAnsi="IRNazanin" w:eastAsia="IRNazanin"/>
          <w:color w:val="111111"/>
          <w:sz w:val="28"/>
          <w:sz w:val="28"/>
          <w:szCs w:val="28"/>
          <w:rtl w:val="true"/>
          <w:lang w:bidi="fa-IR"/>
        </w:rPr>
        <w:t>و یمکن أن یستدلّ للقول بعدم وجوب الکفّارة فی المقام بوجوه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السیوری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الکفّارة علی تقدیر الذنب، و لا ذنب علی القاتل مع إباحة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فیه نظر؛ لأنّا نمنع أنّ</w:t>
      </w:r>
    </w:p>
    <w:p>
      <w:pPr>
        <w:pStyle w:val="BookText"/>
        <w:rPr/>
      </w:pPr>
      <w:r>
        <w:rPr>
          <w:rFonts w:ascii="IRNazanin" w:hAnsi="IRNazanin" w:eastAsia="IRNazanin"/>
          <w:color w:val="111111"/>
          <w:sz w:val="28"/>
          <w:sz w:val="28"/>
          <w:szCs w:val="28"/>
          <w:rtl w:val="true"/>
          <w:lang w:bidi="fa-IR"/>
        </w:rPr>
        <w:t>الکفّارة علی تقدیر الذنب، و إلاّ لما وجب علی القاتل خطأ کفّارة، و النصّ و الإجماع بخلافه، مع أنّه لا ذنب فیه؛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حفص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دیة علیهم للمسلمین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نصّ فی ذلک، و إنّما الکلام فی سندها، و نسبها فی الریاض إلی الضعف</w:t>
      </w:r>
      <w:r>
        <w:rPr>
          <w:rStyle w:val="FootnoteAnchor"/>
          <w:rtl w:val="true"/>
        </w:rPr>
        <w:footnoteReference w:id="2755"/>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جامع لشرائط الحجّیّة، و قد أعرض عنه الأکثر</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حفص هذه التی رواها الکلینی و الشیخ بتمامها، و فی صدرها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دیة علیهم للمسلمین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طریقیهما ضعیفان، و روی الصدوق ذیلها فقط، و هذه الروایة هی مکاتبة حفص بن غیاث، و من المحتمل أنّ الصدوق قطّعها و أورد ذیلها فی باب و صدرها فی باب آخر، و لم نعثر علیه، کما صنعه الشیخ؛ لأنّه قطّعها و ذکر صدرها فی باب و ذیلها فی باب آخر</w:t>
      </w:r>
      <w:r>
        <w:rPr>
          <w:rStyle w:val="FootnoteAnchor"/>
          <w:rtl w:val="true"/>
        </w:rPr>
        <w:footnoteReference w:id="2757"/>
      </w:r>
      <w:r>
        <w:rPr>
          <w:rFonts w:ascii="IRNazanin" w:hAnsi="IRNazanin" w:eastAsia="IRNazanin"/>
          <w:color w:val="111111"/>
          <w:sz w:val="28"/>
          <w:sz w:val="28"/>
          <w:szCs w:val="28"/>
          <w:rtl w:val="true"/>
          <w:lang w:bidi="fa-IR"/>
        </w:rPr>
        <w:t>، و طریق الصدوق إلی حفص بن غیاث معتبر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ضعف السند بواسطة قاسم بن محمّد الذی قال الغضائری فی</w:t>
      </w:r>
      <w:bookmarkStart w:id="1070" w:name="pg11756_104333"/>
    </w:p>
    <w:p>
      <w:pPr>
        <w:pStyle w:val="BookText"/>
        <w:rPr/>
      </w:pPr>
      <w:bookmarkEnd w:id="1070"/>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یعرف تارة و ینکر اخری، و یجوز أن یخرج شاهدا</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قال فی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تقسیم الحدیث إلی الأقسام الأربعة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الاصطلاح لم یکن معروفا بین قدمائنا، کما هو ظاهر لمن مارس کلامهم، بل کان المتعارف بینهم إطلاق الصحیح علی ما اعتضد بما یقتضی اعتمادهم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اندراجه فی أحد الکتب التی عرضت علی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مأخوذا من الکتب التی شاع بین سلفهم الوثوق بها، و الاعتماد علیها، سواء کان مؤلّفوها من الفرقة الناجیة المحقّة، ککتاب الصلاة لحریز بن عبد اللّه، و کتب بنی سعید، و علیّ بن مهزیار، أو من غیر الإمامیّة ککتاب حفص بن غیاث القاضی</w:t>
      </w:r>
      <w:r>
        <w:rPr>
          <w:rFonts w:eastAsia="IRNazanin" w:cs="IRNazanin"/>
          <w:color w:val="111111"/>
          <w:sz w:val="28"/>
          <w:szCs w:val="28"/>
          <w:rtl w:val="true"/>
          <w:lang w:bidi="fa-IR"/>
        </w:rPr>
        <w:t>...</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الثانی مع کونه مخالفا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نعثر علی قائله فی المتقدّمین و المتأخّرین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الأقرب بحسب الأدلّة، إلاّ أنّ مخالفة المشهور أمر مشکل، و قبول قولهم من غیر دلیل أشکل، فیجب أن لا یترک الاحتیاط، و اللّه العالم</w:t>
      </w:r>
      <w:r>
        <w:rPr>
          <w:rFonts w:eastAsia="IRNazanin" w:cs="IRNazanin"/>
          <w:color w:val="111111"/>
          <w:sz w:val="28"/>
          <w:szCs w:val="28"/>
          <w:rtl w:val="true"/>
          <w:lang w:bidi="fa-IR"/>
        </w:rPr>
        <w:t>.</w:t>
      </w:r>
    </w:p>
    <w:p>
      <w:pPr>
        <w:pStyle w:val="Heading5"/>
        <w:numPr>
          <w:ilvl w:val="4"/>
          <w:numId w:val="1"/>
        </w:numPr>
        <w:rPr/>
      </w:pPr>
      <w:bookmarkStart w:id="1071" w:name="__RefHeading___Toc9644215_73709187"/>
      <w:bookmarkStart w:id="1072" w:name="_Toc402"/>
      <w:bookmarkEnd w:id="1071"/>
      <w:r>
        <w:rPr>
          <w:rtl w:val="true"/>
        </w:rPr>
        <w:t>عدم القود فی قتل الترس المسلم</w:t>
      </w:r>
      <w:bookmarkEnd w:id="1072"/>
    </w:p>
    <w:p>
      <w:pPr>
        <w:pStyle w:val="BookText"/>
        <w:rPr/>
      </w:pPr>
      <w:r>
        <w:rPr>
          <w:rFonts w:ascii="IRNazanin" w:hAnsi="IRNazanin" w:eastAsia="IRNazanin"/>
          <w:color w:val="111111"/>
          <w:sz w:val="28"/>
          <w:sz w:val="28"/>
          <w:szCs w:val="28"/>
          <w:rtl w:val="true"/>
          <w:lang w:bidi="fa-IR"/>
        </w:rPr>
        <w:t>لا خلاف بین الفقهاء فی أنّه لا قود فی قتل الترس المسلم فی مفروض الکلام، أی إذا توقّف القتال علی ذلک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رمی فأصاب مسلما فقتله فلا قود علیه</w:t>
      </w:r>
      <w:r>
        <w:rPr>
          <w:rFonts w:eastAsia="IRNazanin" w:cs="IRNazanin"/>
          <w:color w:val="111111"/>
          <w:sz w:val="28"/>
          <w:szCs w:val="28"/>
          <w:rtl w:val="true"/>
          <w:lang w:bidi="fa-IR"/>
        </w:rPr>
        <w:t>»</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bookmarkStart w:id="1073" w:name="pg11756_104334"/>
    </w:p>
    <w:p>
      <w:pPr>
        <w:pStyle w:val="BookText"/>
        <w:rPr/>
      </w:pPr>
      <w:bookmarkEnd w:id="1073"/>
      <w:r>
        <w:rPr>
          <w:rFonts w:ascii="IRNazanin" w:hAnsi="IRNazanin" w:eastAsia="IRNazanin"/>
          <w:color w:val="111111"/>
          <w:sz w:val="28"/>
          <w:sz w:val="28"/>
          <w:szCs w:val="28"/>
          <w:rtl w:val="true"/>
          <w:lang w:bidi="fa-IR"/>
        </w:rPr>
        <w:t>و جاء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الدیة لا تجب و لا القود</w:t>
      </w:r>
      <w:r>
        <w:rPr>
          <w:rFonts w:eastAsia="IRNazanin" w:cs="IRNazanin"/>
          <w:color w:val="111111"/>
          <w:sz w:val="28"/>
          <w:szCs w:val="28"/>
          <w:rtl w:val="true"/>
          <w:lang w:bidi="fa-IR"/>
        </w:rPr>
        <w:t>»</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علمه مسلما و رمی قاصدا للمشرکین و لم یمکنه التوقّی فأصابه و قتله فلا قود علیه إجماعا</w:t>
      </w:r>
      <w:r>
        <w:rPr>
          <w:rFonts w:eastAsia="IRNazanin" w:cs="IRNazanin"/>
          <w:color w:val="111111"/>
          <w:sz w:val="28"/>
          <w:szCs w:val="28"/>
          <w:rtl w:val="true"/>
          <w:lang w:bidi="fa-IR"/>
        </w:rPr>
        <w:t>»</w:t>
      </w:r>
      <w:r>
        <w:rPr>
          <w:rStyle w:val="FootnoteAnchor"/>
          <w:rtl w:val="true"/>
        </w:rPr>
        <w:footnoteReference w:id="2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2763"/>
      </w:r>
      <w:r>
        <w:rPr>
          <w:rFonts w:ascii="IRNazanin" w:hAnsi="IRNazanin" w:eastAsia="IRNazanin"/>
          <w:color w:val="111111"/>
          <w:sz w:val="28"/>
          <w:sz w:val="28"/>
          <w:szCs w:val="28"/>
          <w:rtl w:val="true"/>
          <w:lang w:bidi="fa-IR"/>
        </w:rPr>
        <w:t>، و به قال الشهیدان</w:t>
      </w:r>
      <w:r>
        <w:rPr>
          <w:rStyle w:val="FootnoteAnchor"/>
          <w:rtl w:val="true"/>
        </w:rPr>
        <w:footnoteReference w:id="2764"/>
      </w:r>
      <w:r>
        <w:rPr>
          <w:rFonts w:ascii="IRNazanin" w:hAnsi="IRNazanin" w:eastAsia="IRNazanin"/>
          <w:color w:val="111111"/>
          <w:sz w:val="28"/>
          <w:sz w:val="28"/>
          <w:szCs w:val="28"/>
          <w:rtl w:val="true"/>
          <w:lang w:bidi="fa-IR"/>
        </w:rPr>
        <w:t>و المحقّق الثانی</w:t>
      </w:r>
      <w:r>
        <w:rPr>
          <w:rStyle w:val="FootnoteAnchor"/>
          <w:rtl w:val="true"/>
        </w:rPr>
        <w:footnoteReference w:id="2765"/>
      </w:r>
      <w:r>
        <w:rPr>
          <w:rFonts w:ascii="IRNazanin" w:hAnsi="IRNazanin" w:eastAsia="IRNazanin"/>
          <w:color w:val="111111"/>
          <w:sz w:val="28"/>
          <w:sz w:val="28"/>
          <w:szCs w:val="28"/>
          <w:rtl w:val="true"/>
          <w:lang w:bidi="fa-IR"/>
        </w:rPr>
        <w:t>و الأردبیلی</w:t>
      </w:r>
      <w:r>
        <w:rPr>
          <w:rStyle w:val="FootnoteAnchor"/>
          <w:rtl w:val="true"/>
        </w:rPr>
        <w:footnoteReference w:id="2766"/>
      </w:r>
      <w:r>
        <w:rPr>
          <w:rFonts w:ascii="IRNazanin" w:hAnsi="IRNazanin" w:eastAsia="IRNazanin"/>
          <w:color w:val="111111"/>
          <w:sz w:val="28"/>
          <w:sz w:val="28"/>
          <w:szCs w:val="28"/>
          <w:rtl w:val="true"/>
          <w:lang w:bidi="fa-IR"/>
        </w:rPr>
        <w:t>و غیرهم</w:t>
      </w:r>
      <w:r>
        <w:rPr>
          <w:rStyle w:val="FootnoteAnchor"/>
          <w:rtl w:val="true"/>
        </w:rPr>
        <w:footnoteReference w:id="2767"/>
      </w:r>
      <w:r>
        <w:rPr>
          <w:rFonts w:ascii="IRNazanin" w:hAnsi="IRNazanin" w:eastAsia="IRNazanin"/>
          <w:color w:val="111111"/>
          <w:sz w:val="28"/>
          <w:sz w:val="28"/>
          <w:szCs w:val="28"/>
          <w:rtl w:val="true"/>
          <w:lang w:bidi="fa-IR"/>
        </w:rPr>
        <w:t>؛ للإذن فی قتلهم حینئذ شرعا، و لأنّ القصاص مع تجویز الرمی متنافیان، و للإجماع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القاتل قود فی الحال المزبور إجماعا بقسمیه، و لخبر حفص السابق المعتمد بالأصل</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9644217_73709187"/>
      <w:bookmarkStart w:id="1075" w:name="_Toc403"/>
      <w:bookmarkEnd w:id="1074"/>
      <w:r>
        <w:rPr>
          <w:rtl w:val="true"/>
        </w:rPr>
        <w:t>أحکام التترّس عند فقهاء أهل السنّة</w:t>
      </w:r>
      <w:bookmarkEnd w:id="1075"/>
    </w:p>
    <w:p>
      <w:pPr>
        <w:pStyle w:val="Heading6"/>
        <w:numPr>
          <w:ilvl w:val="5"/>
          <w:numId w:val="1"/>
        </w:numPr>
        <w:rPr/>
      </w:pPr>
      <w:bookmarkStart w:id="1076" w:name="__RefHeading___Toc9644219_73709187"/>
      <w:bookmarkStart w:id="1077" w:name="_Toc404"/>
      <w:bookmarkEnd w:id="1076"/>
      <w:r>
        <w:rPr>
          <w:rtl w:val="true"/>
        </w:rPr>
        <w:t>اشارة</w:t>
      </w:r>
      <w:bookmarkEnd w:id="1077"/>
    </w:p>
    <w:p>
      <w:pPr>
        <w:pStyle w:val="BookText"/>
        <w:rPr/>
      </w:pPr>
      <w:r>
        <w:rPr>
          <w:rFonts w:ascii="IRNazanin" w:hAnsi="IRNazanin" w:eastAsia="IRNazanin"/>
          <w:color w:val="111111"/>
          <w:sz w:val="28"/>
          <w:sz w:val="28"/>
          <w:szCs w:val="28"/>
          <w:rtl w:val="true"/>
          <w:lang w:bidi="fa-IR"/>
        </w:rPr>
        <w:t>و التترّس إمّا بأطفال الکفّار و نسائهم و إمّا بأطفال المسلمین و اساراهم، فیقع الکلام فی مقامین</w:t>
      </w:r>
      <w:r>
        <w:rPr>
          <w:rFonts w:eastAsia="IRNazanin" w:cs="IRNazanin"/>
          <w:color w:val="111111"/>
          <w:sz w:val="28"/>
          <w:szCs w:val="28"/>
          <w:rtl w:val="true"/>
          <w:lang w:bidi="fa-IR"/>
        </w:rPr>
        <w:t>:</w:t>
      </w:r>
    </w:p>
    <w:p>
      <w:pPr>
        <w:pStyle w:val="Heading6"/>
        <w:numPr>
          <w:ilvl w:val="5"/>
          <w:numId w:val="1"/>
        </w:numPr>
        <w:rPr/>
      </w:pPr>
      <w:bookmarkStart w:id="1078" w:name="__RefHeading___Toc9644221_73709187"/>
      <w:bookmarkStart w:id="1079" w:name="_Toc405"/>
      <w:bookmarkEnd w:id="1078"/>
      <w:r>
        <w:rPr>
          <w:rtl w:val="true"/>
        </w:rPr>
        <w:t>الأوّل</w:t>
      </w:r>
      <w:r>
        <w:rPr>
          <w:rtl w:val="true"/>
        </w:rPr>
        <w:t xml:space="preserve">: </w:t>
      </w:r>
      <w:r>
        <w:rPr>
          <w:rtl w:val="true"/>
        </w:rPr>
        <w:t>التترّس بأطفال الکفّار و نسائهم</w:t>
      </w:r>
      <w:bookmarkEnd w:id="107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الحنفیّة و الحنابلة إلی أنّه إن تترّس الکفّار بذراریهم و نسائهم فیجوز رمیهم مطلقا، و یقصد بالرمی المقاتلین؛ لأنّ النبیّ صلّی اللّه علیه و آله رماهم بالمنجنیق، و معهم</w:t>
      </w:r>
    </w:p>
    <w:p>
      <w:pPr>
        <w:pStyle w:val="BookText"/>
        <w:rPr/>
      </w:pPr>
      <w:r>
        <w:rPr>
          <w:rFonts w:ascii="IRNazanin" w:hAnsi="IRNazanin" w:eastAsia="IRNazanin"/>
          <w:color w:val="111111"/>
          <w:sz w:val="28"/>
          <w:sz w:val="28"/>
          <w:szCs w:val="28"/>
          <w:rtl w:val="true"/>
          <w:lang w:bidi="fa-IR"/>
        </w:rPr>
        <w:t>النساء و الصبیان</w:t>
      </w:r>
      <w:r>
        <w:rPr>
          <w:rStyle w:val="FootnoteAnchor"/>
          <w:rtl w:val="true"/>
        </w:rPr>
        <w:footnoteReference w:id="2769"/>
      </w:r>
      <w:r>
        <w:rPr>
          <w:rFonts w:ascii="IRNazanin" w:hAnsi="IRNazanin" w:eastAsia="IRNazanin"/>
          <w:color w:val="111111"/>
          <w:sz w:val="28"/>
          <w:sz w:val="28"/>
          <w:szCs w:val="28"/>
          <w:rtl w:val="true"/>
          <w:lang w:bidi="fa-IR"/>
        </w:rPr>
        <w:t>، و لا فرق فی الجواز بین ما إذا کانت الحرب ملتحمة، و ما إذا کانت غیر ملتحمة؛ لأنّ النبیّ صلّی اللّه علیه و آله لم یکن یتحیّن بالرمی حال التحام الحرب، و لأنّ کفّ المسلمین عنهم یفضی إلی تعطیل الجهاد؛ لأنّهم متی علموا ذلک تترّسوا بهم فینقطع الجهاد</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تترّسوا فی الحرب بنسائهم و أطفالهم و لم یوصل إلی قتالهم إلاّ بقتل النساء و الأطفال</w:t>
      </w:r>
      <w:r>
        <w:rPr>
          <w:rStyle w:val="FootnoteAnchor"/>
          <w:rtl w:val="true"/>
        </w:rPr>
        <w:footnoteReference w:id="2771"/>
      </w:r>
      <w:r>
        <w:rPr>
          <w:rFonts w:ascii="IRNazanin" w:hAnsi="IRNazanin" w:eastAsia="IRNazanin"/>
          <w:color w:val="111111"/>
          <w:sz w:val="28"/>
          <w:sz w:val="28"/>
          <w:szCs w:val="28"/>
          <w:rtl w:val="true"/>
          <w:lang w:bidi="fa-IR"/>
        </w:rPr>
        <w:t>، جاز قتلهم، و لا یقصدون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المالکیّة و الشافعیّة فقالوا بعدم جواز قتلهم إلاّ إذا دعت الضرورة، و یترکون عند عدم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تترّسوا بالنساء و الصبیان نظر إن دعت الضرورة إلی الرمی و الضرب بأن کان ذلک فی حال التحام القتال، و لو ترکوا لغلبوا المسلمین فیجوز الرمی و الضرب؛ لئلاّ یتّخذوا ذلک ذریعة إلی تعطیل الجهاد، و لدفع ضررهم بالمسلمین، و نکایتهم فیهم</w:t>
      </w:r>
      <w:r>
        <w:rPr>
          <w:rStyle w:val="FootnoteAnchor"/>
          <w:rtl w:val="true"/>
        </w:rPr>
        <w:footnoteReference w:id="2772"/>
      </w:r>
      <w:r>
        <w:rPr>
          <w:rFonts w:ascii="IRNazanin" w:hAnsi="IRNazanin" w:eastAsia="IRNazanin"/>
          <w:color w:val="111111"/>
          <w:sz w:val="28"/>
          <w:sz w:val="28"/>
          <w:szCs w:val="28"/>
          <w:rtl w:val="true"/>
          <w:lang w:bidi="fa-IR"/>
        </w:rPr>
        <w:t>، و به صرّح غیره</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بان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تترّسوا بالنساء و الذرّیّة ترکناهم، إلاّ أن یخاف من</w:t>
      </w:r>
      <w:bookmarkStart w:id="1080" w:name="pg11756_104336"/>
    </w:p>
    <w:p>
      <w:pPr>
        <w:pStyle w:val="BookText"/>
        <w:rPr/>
      </w:pPr>
      <w:bookmarkEnd w:id="1080"/>
      <w:r>
        <w:rPr>
          <w:rFonts w:ascii="IRNazanin" w:hAnsi="IRNazanin" w:eastAsia="IRNazanin"/>
          <w:color w:val="111111"/>
          <w:sz w:val="28"/>
          <w:sz w:val="28"/>
          <w:szCs w:val="28"/>
          <w:rtl w:val="true"/>
          <w:lang w:bidi="fa-IR"/>
        </w:rPr>
        <w:t>ترکهم علی المسلمین فنقاتلهم و إن اتّقوا بهم</w:t>
      </w:r>
      <w:r>
        <w:rPr>
          <w:rFonts w:eastAsia="IRNazanin" w:cs="IRNazanin"/>
          <w:color w:val="111111"/>
          <w:sz w:val="28"/>
          <w:szCs w:val="28"/>
          <w:rtl w:val="true"/>
          <w:lang w:bidi="fa-IR"/>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ماجة و أبو داود عن الصعب بن جثامة أنّه سأل النبیّ صلّی اللّه علیه و آله عن الدار من المشرکین یبیّتون، فیصاب من ذراریهم و نسائهم، 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منهم</w:t>
      </w:r>
      <w:r>
        <w:rPr>
          <w:rFonts w:eastAsia="IRNazanin" w:cs="IRNazanin"/>
          <w:color w:val="111111"/>
          <w:sz w:val="28"/>
          <w:szCs w:val="28"/>
          <w:rtl w:val="true"/>
          <w:lang w:bidi="fa-IR"/>
        </w:rPr>
        <w:t>»</w:t>
      </w:r>
      <w:r>
        <w:rPr>
          <w:rStyle w:val="FootnoteAnchor"/>
          <w:rtl w:val="true"/>
        </w:rPr>
        <w:footnoteReference w:id="2775"/>
      </w:r>
      <w:r>
        <w:rPr>
          <w:rFonts w:ascii="IRNazanin" w:hAnsi="IRNazanin" w:eastAsia="IRNazanin"/>
          <w:color w:val="111111"/>
          <w:sz w:val="28"/>
          <w:sz w:val="28"/>
          <w:szCs w:val="28"/>
          <w:rtl w:val="true"/>
          <w:lang w:bidi="fa-IR"/>
        </w:rPr>
        <w:t>، أی هم من آبائهم</w:t>
      </w:r>
      <w:r>
        <w:rPr>
          <w:rFonts w:eastAsia="IRNazanin" w:cs="IRNazanin"/>
          <w:color w:val="111111"/>
          <w:sz w:val="28"/>
          <w:szCs w:val="28"/>
          <w:rtl w:val="true"/>
          <w:lang w:bidi="fa-IR"/>
        </w:rPr>
        <w:t>.</w:t>
      </w:r>
    </w:p>
    <w:p>
      <w:pPr>
        <w:pStyle w:val="Heading6"/>
        <w:numPr>
          <w:ilvl w:val="5"/>
          <w:numId w:val="1"/>
        </w:numPr>
        <w:rPr/>
      </w:pPr>
      <w:bookmarkStart w:id="1081" w:name="__RefHeading___Toc9644223_73709187"/>
      <w:bookmarkStart w:id="1082" w:name="_Toc406"/>
      <w:bookmarkEnd w:id="1081"/>
      <w:r>
        <w:rPr>
          <w:rtl w:val="true"/>
        </w:rPr>
        <w:t>المقام الثانی</w:t>
      </w:r>
      <w:r>
        <w:rPr>
          <w:rtl w:val="true"/>
        </w:rPr>
        <w:t xml:space="preserve">: </w:t>
      </w:r>
      <w:r>
        <w:rPr>
          <w:rtl w:val="true"/>
        </w:rPr>
        <w:t>التترّس بأطفال المسلمین و أساراهم</w:t>
      </w:r>
      <w:bookmarkEnd w:id="1082"/>
    </w:p>
    <w:p>
      <w:pPr>
        <w:pStyle w:val="BookText"/>
        <w:rPr/>
      </w:pPr>
      <w:r>
        <w:rPr>
          <w:rFonts w:ascii="IRNazanin" w:hAnsi="IRNazanin" w:eastAsia="IRNazanin"/>
          <w:color w:val="111111"/>
          <w:sz w:val="28"/>
          <w:sz w:val="28"/>
          <w:szCs w:val="28"/>
          <w:rtl w:val="true"/>
          <w:lang w:bidi="fa-IR"/>
        </w:rPr>
        <w:t>فقد اتّفقوا علی أنّه یجوز رمی الکفّار إذا تترّسوا بالمسلمین و أطفالهم إذا دعت الضرورة إلی ذلک، بأن کان فی الکفّ عن قتالهم انهزام المسلمین، و یصدّ بالرمی الکفّار</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تترّسوا بالصبیان المسلمین أو غیر المسلمین، و المسلمون ملتحمون فلا بأس أن یعمدوا المقاتلة دون المسلمین و الصبیان</w:t>
      </w:r>
      <w:r>
        <w:rPr>
          <w:rFonts w:eastAsia="IRNazanin" w:cs="IRNazanin"/>
          <w:color w:val="111111"/>
          <w:sz w:val="28"/>
          <w:szCs w:val="28"/>
          <w:rtl w:val="true"/>
          <w:lang w:bidi="fa-IR"/>
        </w:rPr>
        <w:t>»</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إذا تترّسوا بأطفال المسلمین فلا بأس بالرمی إلیهم؛ لضرورة إقامة الفرض، لکنّهم یقصدون الکفّار دون الأطفال</w:t>
      </w:r>
      <w:r>
        <w:rPr>
          <w:rFonts w:eastAsia="IRNazanin" w:cs="IRNazanin"/>
          <w:color w:val="111111"/>
          <w:sz w:val="28"/>
          <w:szCs w:val="28"/>
          <w:rtl w:val="true"/>
          <w:lang w:bidi="fa-IR"/>
        </w:rPr>
        <w:t>»</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علی الرامی الکفّارة و الدیة؟ 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دیة و لا کفّارة فیه؛</w:t>
      </w:r>
    </w:p>
    <w:p>
      <w:pPr>
        <w:pStyle w:val="BookText"/>
        <w:rPr/>
      </w:pPr>
      <w:r>
        <w:rPr>
          <w:rFonts w:ascii="IRNazanin" w:hAnsi="IRNazanin" w:eastAsia="IRNazanin"/>
          <w:color w:val="111111"/>
          <w:sz w:val="28"/>
          <w:sz w:val="28"/>
          <w:szCs w:val="28"/>
          <w:rtl w:val="true"/>
          <w:lang w:bidi="fa-IR"/>
        </w:rPr>
        <w:t>لأنّه رمی ابیح مع العلم بحقیقة الحال، فلم یوجب شیئا کرمی من ابیح دمه</w:t>
      </w:r>
      <w:r>
        <w:rPr>
          <w:rFonts w:eastAsia="IRNazanin" w:cs="IRNazanin"/>
          <w:color w:val="111111"/>
          <w:sz w:val="28"/>
          <w:szCs w:val="28"/>
          <w:rtl w:val="true"/>
          <w:lang w:bidi="fa-IR"/>
        </w:rPr>
        <w:t>»</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علیه الکفّارة، و أمّا الدیة علی العاقلة ففیه روایتان،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علیه الکفّارة؛ لأنّه قتل مؤمنا خطأ، فیدخل فی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مُؤْمِنَةٍ وَ دِیَةٌ مُسَلَّمَةٌ إِلی أَهْلِهِ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دیة له؛ لأنّه قتل فی دار الحرب برمی مباح، فیدخل فی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مِنْ قَوْمٍ عَدُوٍّ لَکُمْ وَ هُوَ مُؤْمِنٌ فَتَحْرِیرُ رَقَبَةٍ مُؤْمِنَةٍ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یذکر الدیة</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الشافعیّة إلی أنّ فیه الکفّارة، و أمّا الدیة فقال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علمه الرامی مسلما و کان یمکن توقّیه و الرمی إلی غیره لزمته الدیة</w:t>
      </w:r>
      <w:r>
        <w:rPr>
          <w:rFonts w:eastAsia="IRNazanin" w:cs="IRNazanin"/>
          <w:color w:val="111111"/>
          <w:sz w:val="28"/>
          <w:szCs w:val="28"/>
          <w:rtl w:val="true"/>
          <w:lang w:bidi="fa-IR"/>
        </w:rPr>
        <w:t>»</w:t>
      </w:r>
      <w:r>
        <w:rPr>
          <w:rStyle w:val="FootnoteAnchor"/>
          <w:rtl w:val="true"/>
        </w:rPr>
        <w:footnoteReference w:id="2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 الطریق و هو ظاهر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أنّ المرمیّ مسلم وجبت الدیة، و إلاّ فلا</w:t>
      </w:r>
      <w:r>
        <w:rPr>
          <w:rFonts w:eastAsia="IRNazanin" w:cs="IRNazanin"/>
          <w:color w:val="111111"/>
          <w:sz w:val="28"/>
          <w:szCs w:val="28"/>
          <w:rtl w:val="true"/>
          <w:lang w:bidi="fa-IR"/>
        </w:rPr>
        <w:t>»</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یعرفه ضمن الکفّارة وحدها</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bookmarkStart w:id="1083" w:name="pg11756_104338"/>
    </w:p>
    <w:p>
      <w:pPr>
        <w:pStyle w:val="Heading4"/>
        <w:numPr>
          <w:ilvl w:val="3"/>
          <w:numId w:val="1"/>
        </w:numPr>
        <w:rPr/>
      </w:pPr>
      <w:bookmarkStart w:id="1084" w:name="__RefHeading___Toc9644225_73709187"/>
      <w:bookmarkStart w:id="1085" w:name="_Toc407"/>
      <w:bookmarkEnd w:id="1083"/>
      <w:bookmarkEnd w:id="1084"/>
      <w:r>
        <w:rPr>
          <w:rtl w:val="true"/>
        </w:rPr>
        <w:t>الفرع الخامس</w:t>
      </w:r>
      <w:r>
        <w:rPr>
          <w:rtl w:val="true"/>
        </w:rPr>
        <w:t xml:space="preserve">: </w:t>
      </w:r>
      <w:r>
        <w:rPr>
          <w:rtl w:val="true"/>
        </w:rPr>
        <w:t>لا جزیة علی الأطفال</w:t>
      </w:r>
      <w:bookmarkEnd w:id="1085"/>
    </w:p>
    <w:p>
      <w:pPr>
        <w:pStyle w:val="Heading5"/>
        <w:numPr>
          <w:ilvl w:val="4"/>
          <w:numId w:val="1"/>
        </w:numPr>
        <w:rPr/>
      </w:pPr>
      <w:bookmarkStart w:id="1086" w:name="__RefHeading___Toc9644227_73709187"/>
      <w:bookmarkStart w:id="1087" w:name="_Toc408"/>
      <w:bookmarkEnd w:id="1086"/>
      <w:r>
        <w:rPr>
          <w:rtl w:val="true"/>
        </w:rPr>
        <w:t>اشارة</w:t>
      </w:r>
      <w:bookmarkEnd w:id="1087"/>
    </w:p>
    <w:p>
      <w:pPr>
        <w:pStyle w:val="BookText"/>
        <w:rPr/>
      </w:pP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یؤخذ من أهل الذمّة، و تسمیتها بذلک للاجتزاء بها فی حقن دمهم، کأنّها جزت عن قتلهم، کما أنّه تجب الجزیة عوضا لسکنی دار الإسلام، و الإقامة بها</w:t>
      </w:r>
      <w:r>
        <w:rPr>
          <w:rStyle w:val="FootnoteAnchor"/>
          <w:rtl w:val="true"/>
        </w:rPr>
        <w:footnoteReference w:id="2786"/>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 هُمْ صاغِرُونَ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اتّفق الفقهاء علی أنّ الجزیة تقبل من أهل الکتاب، و هم الیهود و النصاری، بل لعلّه من ضروریّات المذهب أو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یجوز أن تؤخذ منهم الجزیة، و الآخر لا یجوز ذلک، فالأوّل هم الثلاثة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و المجوس</w:t>
      </w:r>
      <w:r>
        <w:rPr>
          <w:rFonts w:eastAsia="IRNazanin" w:cs="IRNazanin"/>
          <w:color w:val="111111"/>
          <w:sz w:val="28"/>
          <w:szCs w:val="28"/>
          <w:rtl w:val="true"/>
          <w:lang w:bidi="fa-IR"/>
        </w:rPr>
        <w:t>»</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یعقد الجزیة لکلّ کتابیّ عاقل بالغ ذکر، و نعنی بالکتابی من له کتاب حقیقة، و هم الیهود و النصاری، و من له شبهة کتاب و هم المجوس، فتؤخذ الجزیة من هؤلاء الأصناف الثلاثة بإجماع علماء الإسلام قدیما و حدیثا</w:t>
      </w:r>
      <w:r>
        <w:rPr>
          <w:rFonts w:eastAsia="IRNazanin" w:cs="IRNazanin"/>
          <w:color w:val="111111"/>
          <w:sz w:val="28"/>
          <w:szCs w:val="28"/>
          <w:rtl w:val="true"/>
          <w:lang w:bidi="fa-IR"/>
        </w:rPr>
        <w:t>»</w:t>
      </w:r>
      <w:r>
        <w:rPr>
          <w:rStyle w:val="FootnoteAnchor"/>
          <w:rtl w:val="true"/>
        </w:rPr>
        <w:footnoteReference w:id="2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790"/>
      </w:r>
      <w:r>
        <w:rPr>
          <w:rFonts w:ascii="IRNazanin" w:hAnsi="IRNazanin" w:eastAsia="IRNazanin"/>
          <w:color w:val="111111"/>
          <w:sz w:val="28"/>
          <w:sz w:val="28"/>
          <w:szCs w:val="28"/>
          <w:rtl w:val="true"/>
          <w:lang w:bidi="fa-IR"/>
        </w:rPr>
        <w:t>و الشرائع</w:t>
      </w:r>
      <w:r>
        <w:rPr>
          <w:rStyle w:val="FootnoteAnchor"/>
          <w:rtl w:val="true"/>
        </w:rPr>
        <w:footnoteReference w:id="2791"/>
      </w:r>
      <w:r>
        <w:rPr>
          <w:rFonts w:ascii="IRNazanin" w:hAnsi="IRNazanin" w:eastAsia="IRNazanin"/>
          <w:color w:val="111111"/>
          <w:sz w:val="28"/>
          <w:sz w:val="28"/>
          <w:szCs w:val="28"/>
          <w:rtl w:val="true"/>
          <w:lang w:bidi="fa-IR"/>
        </w:rPr>
        <w:t>و المسالک</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الجزیة من أهل الکتاب، و بذلک یرتفع عنهم</w:t>
      </w:r>
      <w:bookmarkStart w:id="1088" w:name="pg11756_104339"/>
    </w:p>
    <w:p>
      <w:pPr>
        <w:pStyle w:val="BookText"/>
        <w:rPr/>
      </w:pPr>
      <w:bookmarkEnd w:id="1088"/>
      <w:r>
        <w:rPr>
          <w:rFonts w:ascii="IRNazanin" w:hAnsi="IRNazanin" w:eastAsia="IRNazanin"/>
          <w:color w:val="111111"/>
          <w:sz w:val="28"/>
          <w:sz w:val="28"/>
          <w:szCs w:val="28"/>
          <w:rtl w:val="true"/>
          <w:lang w:bidi="fa-IR"/>
        </w:rPr>
        <w:t>القتال و الاستعباد، و یقرّون علی دینهم، و یسمح لهم بالسکنی فی دار الإسلام، آمنین علی أنفسهم و أموالهم، و هم الیهود و النصاری و المجوس</w:t>
      </w:r>
      <w:r>
        <w:rPr>
          <w:rFonts w:eastAsia="IRNazanin" w:cs="IRNazanin"/>
          <w:color w:val="111111"/>
          <w:sz w:val="28"/>
          <w:szCs w:val="28"/>
          <w:rtl w:val="true"/>
          <w:lang w:bidi="fa-IR"/>
        </w:rPr>
        <w:t>»</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البالغین، و أمّا الأطفال فاتّفق الفقهاء علی أنّه لا جزیة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تسقط الجزیة عن الصبیان و المجانین و البله و النساء منهم</w:t>
      </w:r>
      <w:r>
        <w:rPr>
          <w:rFonts w:eastAsia="IRNazanin" w:cs="IRNazanin"/>
          <w:color w:val="111111"/>
          <w:sz w:val="28"/>
          <w:szCs w:val="28"/>
          <w:rtl w:val="true"/>
          <w:lang w:bidi="fa-IR"/>
        </w:rPr>
        <w:t>»</w:t>
      </w:r>
      <w:r>
        <w:rPr>
          <w:rStyle w:val="FootnoteAnchor"/>
          <w:rtl w:val="true"/>
        </w:rPr>
        <w:footnoteReference w:id="2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795"/>
      </w:r>
      <w:r>
        <w:rPr>
          <w:rFonts w:ascii="IRNazanin" w:hAnsi="IRNazanin" w:eastAsia="IRNazanin"/>
          <w:color w:val="111111"/>
          <w:sz w:val="28"/>
          <w:sz w:val="28"/>
          <w:szCs w:val="28"/>
          <w:rtl w:val="true"/>
          <w:lang w:bidi="fa-IR"/>
        </w:rPr>
        <w:t>، و قد صرّح به غیر واحد من أصحابنا المتقدّمین و المتأخّرین</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9644229_73709187"/>
      <w:bookmarkStart w:id="1090" w:name="_Toc409"/>
      <w:bookmarkEnd w:id="1089"/>
      <w:r>
        <w:rPr>
          <w:rtl w:val="true"/>
        </w:rPr>
        <w:t>الدلیل علی عدم الجزیة علی الأطفال</w:t>
      </w:r>
      <w:bookmarkEnd w:id="1090"/>
    </w:p>
    <w:p>
      <w:pPr>
        <w:pStyle w:val="BookText"/>
        <w:rPr/>
      </w:pPr>
      <w:r>
        <w:rPr>
          <w:rFonts w:ascii="IRNazanin" w:hAnsi="IRNazanin" w:eastAsia="IRNazanin"/>
          <w:color w:val="111111"/>
          <w:sz w:val="28"/>
          <w:sz w:val="28"/>
          <w:szCs w:val="28"/>
          <w:rtl w:val="true"/>
          <w:lang w:bidi="fa-IR"/>
        </w:rPr>
        <w:t>و قد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الغنیة</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تسقط الجزیة عن الصبیّ إجماعا</w:t>
      </w:r>
      <w:r>
        <w:rPr>
          <w:rFonts w:eastAsia="IRNazanin" w:cs="IRNazanin"/>
          <w:color w:val="111111"/>
          <w:sz w:val="28"/>
          <w:szCs w:val="28"/>
          <w:rtl w:val="true"/>
          <w:lang w:bidi="fa-IR"/>
        </w:rPr>
        <w:t>»</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عامّة أهل العلم، لا نعرف فیه خلافا</w:t>
      </w:r>
      <w:r>
        <w:rPr>
          <w:rFonts w:eastAsia="IRNazanin" w:cs="IRNazanin"/>
          <w:color w:val="111111"/>
          <w:sz w:val="28"/>
          <w:szCs w:val="28"/>
          <w:rtl w:val="true"/>
          <w:lang w:bidi="fa-IR"/>
        </w:rPr>
        <w:t>»</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w:t>
      </w:r>
      <w:r>
        <w:rPr>
          <w:rFonts w:eastAsia="IRNazanin" w:cs="IRNazanin"/>
          <w:color w:val="111111"/>
          <w:sz w:val="28"/>
          <w:szCs w:val="28"/>
          <w:rtl w:val="true"/>
          <w:lang w:bidi="fa-IR"/>
        </w:rPr>
        <w:t>»</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بعد عدم شمول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یُعْطُوا</w:t>
      </w:r>
    </w:p>
    <w:p>
      <w:pPr>
        <w:pStyle w:val="BookText"/>
        <w:rPr/>
      </w:pPr>
      <w:r>
        <w:rPr>
          <w:rFonts w:ascii="Amiri" w:hAnsi="Amiri" w:eastAsia="Amiri" w:cs="Amiri"/>
          <w:color w:val="111111"/>
          <w:sz w:val="28"/>
          <w:sz w:val="28"/>
          <w:szCs w:val="28"/>
          <w:rtl w:val="true"/>
          <w:lang w:bidi="ar-SA"/>
        </w:rPr>
        <w:t xml:space="preserve">اَلْجِزْیَةَ عَنْ یَدٍ 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للصبیّ؛ لأنّ موضوعها من یقاتل، و الصبیّ ممّن لم یقاتل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بعض إخوانی أن أسأل أبا عبد اللّه علیه السّلام عن مسائل من السیر، فسألته و کتبت بها إلیه، فکان فیما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النساء کیف سقطت الجزیة عنهنّ و رفعت عنهنّ؟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رسول اللّه صلّی اللّه علیه و آله نهی عن قتل النساء و الولدان فی دار الحرب، إلاّ أن یقاتلن، و إن قاتلت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فامسک عنها ما أمکنک، و لم تخف خللا، فلمّا نهی عن قتلهنّ فی دار الحرب کان ذلک فی دار الإسلام أولی، و لو امتنعت أن تؤدّی الجزیة لم یمکنک قتلها، فلمّا لم یمکن قتلها، رفعت الجزیة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المقعد من أهل الذمّة و الشیخ الفانی و المرأة و الولدان فی أرض الحرب، فمن أجل ذلک رفعت عنهم الجزیة</w:t>
      </w:r>
      <w:r>
        <w:rPr>
          <w:rFonts w:eastAsia="IRNazanin" w:cs="IRNazanin"/>
          <w:color w:val="111111"/>
          <w:sz w:val="28"/>
          <w:szCs w:val="28"/>
          <w:rtl w:val="true"/>
          <w:lang w:bidi="fa-IR"/>
        </w:rPr>
        <w:t>»</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کبری کلّیّة، و هی أنّ أیّ فرد لم یکن قتله فی الجهاد جائزا لم توضع علیه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فی الجواهر عنها بالخبر، و لکن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ینجبر ضعفه بفتوی غیر واحد من الأصحاب، بل للإجماع</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السند مجبور بفتوی عامّة العلماء کما فی المنتهی</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کتب الاصول، و العمل به کاف فی الاعتماد علیه</w:t>
      </w:r>
      <w:r>
        <w:rPr>
          <w:rFonts w:eastAsia="IRNazanin" w:cs="IRNazanin"/>
          <w:color w:val="111111"/>
          <w:sz w:val="28"/>
          <w:szCs w:val="28"/>
          <w:rtl w:val="true"/>
          <w:lang w:bidi="fa-IR"/>
        </w:rPr>
        <w:t>.</w:t>
      </w:r>
      <w:bookmarkStart w:id="1091" w:name="pg11756_104341"/>
    </w:p>
    <w:p>
      <w:pPr>
        <w:pStyle w:val="BookText"/>
        <w:rPr/>
      </w:pPr>
      <w:bookmarkEnd w:id="1091"/>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حفص و إن کانت ضعیفة فی بعض طرقها إلاّ أنّها معتبرة فی طریق آخر، و هو طریق الشیخ الصدوق</w:t>
      </w:r>
      <w:r>
        <w:rPr>
          <w:rStyle w:val="FootnoteAnchor"/>
          <w:rtl w:val="true"/>
        </w:rPr>
        <w:footnoteReference w:id="2804"/>
      </w:r>
      <w:r>
        <w:rPr>
          <w:rFonts w:ascii="IRNazanin" w:hAnsi="IRNazanin" w:eastAsia="IRNazanin"/>
          <w:color w:val="111111"/>
          <w:sz w:val="28"/>
          <w:sz w:val="28"/>
          <w:szCs w:val="28"/>
          <w:rtl w:val="true"/>
          <w:lang w:bidi="fa-IR"/>
        </w:rPr>
        <w:t>إلیه، و علیه فلا مانع من الاعتماد علیها فی الحکم المزبور،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 عن الصبیّ</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الجمهور عن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وجّهه إلی الیمن أمره أن یأخذ من کلّ حالم دینارا</w:t>
      </w:r>
      <w:r>
        <w:rPr>
          <w:rStyle w:val="FootnoteAnchor"/>
          <w:rtl w:val="true"/>
        </w:rPr>
        <w:footnoteReference w:id="2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بالحالم کلّ من بلغ الحلم، حلم أو لم یحلم، و الحالم فی الأصل المحتلم، ثمّ عمّ فقیل لمن بلغ مبالغ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و هو المراد فی الحدیث، کما فی الجواهر</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9644231_73709187"/>
      <w:bookmarkStart w:id="1093" w:name="_Toc410"/>
      <w:bookmarkEnd w:id="1092"/>
      <w:r>
        <w:rPr>
          <w:rtl w:val="true"/>
        </w:rPr>
        <w:t>حکم الجزیة علی الأطفال عند أهل السنّة</w:t>
      </w:r>
      <w:bookmarkEnd w:id="1093"/>
    </w:p>
    <w:p>
      <w:pPr>
        <w:pStyle w:val="BookText"/>
        <w:rPr/>
      </w:pPr>
      <w:r>
        <w:rPr>
          <w:rFonts w:ascii="IRNazanin" w:hAnsi="IRNazanin" w:eastAsia="IRNazanin"/>
          <w:color w:val="111111"/>
          <w:sz w:val="28"/>
          <w:sz w:val="28"/>
          <w:szCs w:val="28"/>
          <w:rtl w:val="true"/>
          <w:lang w:bidi="fa-IR"/>
        </w:rPr>
        <w:t>اتّفقت المذاهب الأربعة علی أنّ الجزیة لا تضرب علی صبیان أهل الذمّة</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نحفظ عنه من أهل العلم علی أنّه لا جزیة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محقون الدم، فأشبه النساء و الصبیان أو لا مال له</w:t>
      </w:r>
      <w:r>
        <w:rPr>
          <w:rFonts w:eastAsia="IRNazanin" w:cs="IRNazanin"/>
          <w:color w:val="111111"/>
          <w:sz w:val="28"/>
          <w:szCs w:val="28"/>
          <w:rtl w:val="true"/>
          <w:lang w:bidi="fa-IR"/>
        </w:rPr>
        <w:t>»</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bookmarkStart w:id="1094" w:name="pg11756_104342"/>
    </w:p>
    <w:p>
      <w:pPr>
        <w:pStyle w:val="BookText"/>
        <w:rPr/>
      </w:pPr>
      <w:bookmarkEnd w:id="1094"/>
      <w:r>
        <w:rPr>
          <w:rFonts w:ascii="IRNazanin" w:hAnsi="IRNazanin" w:eastAsia="IRNazanin"/>
          <w:color w:val="111111"/>
          <w:sz w:val="28"/>
          <w:sz w:val="28"/>
          <w:szCs w:val="28"/>
          <w:rtl w:val="true"/>
          <w:lang w:bidi="fa-IR"/>
        </w:rPr>
        <w:t>و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جزیة علی صبیّ</w:t>
      </w:r>
      <w:r>
        <w:rPr>
          <w:rFonts w:eastAsia="IRNazanin" w:cs="IRNazanin"/>
          <w:color w:val="111111"/>
          <w:sz w:val="28"/>
          <w:szCs w:val="28"/>
          <w:rtl w:val="true"/>
          <w:lang w:bidi="fa-IR"/>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لهذا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w:t>
      </w:r>
      <w:r>
        <w:rPr>
          <w:rFonts w:eastAsia="Amiri" w:cs="Amiri" w:ascii="Amiri" w:hAnsi="Amiri"/>
          <w:color w:val="111111"/>
          <w:sz w:val="28"/>
          <w:szCs w:val="28"/>
          <w:rtl w:val="true"/>
          <w:lang w:bidi="ar-SA"/>
        </w:rPr>
        <w:t xml:space="preserve">... </w:t>
      </w:r>
      <w:r>
        <w:rPr>
          <w:rStyle w:val="FootnoteAnchor"/>
          <w:rtl w:val="true"/>
        </w:rPr>
        <w:footnoteReference w:id="2811"/>
      </w:r>
      <w:r>
        <w:rPr>
          <w:rFonts w:ascii="IRNazanin" w:hAnsi="IRNazanin" w:eastAsia="IRNazanin"/>
          <w:color w:val="111111"/>
          <w:sz w:val="28"/>
          <w:sz w:val="28"/>
          <w:szCs w:val="28"/>
          <w:rtl w:val="true"/>
          <w:lang w:bidi="fa-IR"/>
        </w:rPr>
        <w:t>، فالمقاتلة مفاعلة من القتال تستدعی أهلیّة القتال من المجانین، فلا تجب علی من لیس أهلا للقتال، و الصبیان لیسوا من أهل القتال فلا تجب الجزیة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بحدیث معاذ المتقدّم</w:t>
      </w:r>
      <w:r>
        <w:rPr>
          <w:rStyle w:val="FootnoteAnchor"/>
          <w:rtl w:val="true"/>
        </w:rPr>
        <w:footnoteReference w:id="2812"/>
      </w:r>
      <w:r>
        <w:rPr>
          <w:rFonts w:ascii="IRNazanin" w:hAnsi="IRNazanin" w:eastAsia="IRNazanin"/>
          <w:color w:val="111111"/>
          <w:sz w:val="28"/>
          <w:sz w:val="28"/>
          <w:szCs w:val="28"/>
          <w:rtl w:val="true"/>
          <w:lang w:bidi="fa-IR"/>
        </w:rPr>
        <w:t>، حیث أمره النبیّ صلّی اللّه علیه و آله أن یأخذ من کلّ حالم دینارا، و الحالم من بلغ الحلم بالاحتلام، فمفهوم الحدیث أنّ الجزیة لا تجب علی الصبیان</w:t>
      </w:r>
      <w:r>
        <w:rPr>
          <w:rFonts w:eastAsia="IRNazanin" w:cs="IRNazanin"/>
          <w:color w:val="111111"/>
          <w:sz w:val="28"/>
          <w:szCs w:val="28"/>
          <w:rtl w:val="true"/>
          <w:lang w:bidi="fa-IR"/>
        </w:rPr>
        <w:t>.</w:t>
      </w:r>
    </w:p>
    <w:p>
      <w:pPr>
        <w:pStyle w:val="Heading4"/>
        <w:numPr>
          <w:ilvl w:val="3"/>
          <w:numId w:val="1"/>
        </w:numPr>
        <w:rPr/>
      </w:pPr>
      <w:bookmarkStart w:id="1095" w:name="__RefHeading___Toc9644233_73709187"/>
      <w:bookmarkStart w:id="1096" w:name="_Toc411"/>
      <w:bookmarkEnd w:id="1095"/>
      <w:r>
        <w:rPr>
          <w:rtl w:val="true"/>
        </w:rPr>
        <w:t>الفرع السادس</w:t>
      </w:r>
      <w:r>
        <w:rPr>
          <w:rtl w:val="true"/>
        </w:rPr>
        <w:t xml:space="preserve">: </w:t>
      </w:r>
      <w:r>
        <w:rPr>
          <w:rtl w:val="true"/>
        </w:rPr>
        <w:t>سبی النساء و الصبیان و أحکامه</w:t>
      </w:r>
      <w:bookmarkEnd w:id="1096"/>
    </w:p>
    <w:p>
      <w:pPr>
        <w:pStyle w:val="Heading5"/>
        <w:numPr>
          <w:ilvl w:val="4"/>
          <w:numId w:val="1"/>
        </w:numPr>
        <w:rPr/>
      </w:pPr>
      <w:bookmarkStart w:id="1097" w:name="__RefHeading___Toc9644235_73709187"/>
      <w:bookmarkStart w:id="1098" w:name="_Toc412"/>
      <w:bookmarkEnd w:id="1097"/>
      <w:r>
        <w:rPr>
          <w:rtl w:val="true"/>
        </w:rPr>
        <w:t>اشارة</w:t>
      </w:r>
      <w:bookmarkEnd w:id="1098"/>
    </w:p>
    <w:p>
      <w:pPr>
        <w:pStyle w:val="BookText"/>
        <w:rPr/>
      </w:pPr>
      <w:r>
        <w:rPr>
          <w:rFonts w:ascii="IRNazanin" w:hAnsi="IRNazanin" w:eastAsia="IRNazanin"/>
          <w:color w:val="111111"/>
          <w:sz w:val="28"/>
          <w:sz w:val="28"/>
          <w:szCs w:val="28"/>
          <w:rtl w:val="true"/>
          <w:lang w:bidi="fa-IR"/>
        </w:rPr>
        <w:t>السبی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 یقال سبی العدوّ غیره سبیا و سباء، إذا أسره، فهو سبیّ، علی وزن فعیل للذکر و الانثی</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اصطلاحا فالفقهاء فی الغالب یخصّون السبی بالنساء و الأطفال، و الأسر بالرّجال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سبیت النساء و الصبیان فلا یجوز قتلهم؛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قتلهم فی أثناء القتال، فلا یجوز قتلهم بعد السبیّ بالأولویّة القطعیّة، و لکن الحکم بعدم قتل النساء و الصبیان مقیّد بما إذا لم یشترکوا فی القتال، فإن کانوا قد اشترکوا و حملوا السلاح و قاتلوا جاز قتلهم بعد السبیّ، ثمّ إنّه یترتّب علی سبیّ الصبیان آثار</w:t>
      </w:r>
      <w:r>
        <w:rPr>
          <w:rFonts w:eastAsia="IRNazanin" w:cs="IRNazanin"/>
          <w:color w:val="111111"/>
          <w:sz w:val="28"/>
          <w:szCs w:val="28"/>
          <w:rtl w:val="true"/>
          <w:lang w:bidi="fa-IR"/>
        </w:rPr>
        <w:t>:</w:t>
      </w:r>
      <w:bookmarkStart w:id="1099" w:name="pg11756_104343"/>
    </w:p>
    <w:p>
      <w:pPr>
        <w:pStyle w:val="Heading5"/>
        <w:numPr>
          <w:ilvl w:val="4"/>
          <w:numId w:val="1"/>
        </w:numPr>
        <w:rPr/>
      </w:pPr>
      <w:bookmarkStart w:id="1100" w:name="__RefHeading___Toc9644237_73709187"/>
      <w:bookmarkStart w:id="1101" w:name="_Toc413"/>
      <w:bookmarkEnd w:id="1099"/>
      <w:bookmarkEnd w:id="1100"/>
      <w:r>
        <w:rPr>
          <w:rtl w:val="true"/>
        </w:rPr>
        <w:t>یترتّب علی سبیّ الصبیان آثار</w:t>
      </w:r>
      <w:r>
        <w:rPr>
          <w:rtl w:val="true"/>
        </w:rPr>
        <w:t>:</w:t>
      </w:r>
      <w:bookmarkEnd w:id="1101"/>
    </w:p>
    <w:p>
      <w:pPr>
        <w:pStyle w:val="Heading6"/>
        <w:numPr>
          <w:ilvl w:val="5"/>
          <w:numId w:val="1"/>
        </w:numPr>
        <w:rPr/>
      </w:pPr>
      <w:bookmarkStart w:id="1102" w:name="__RefHeading___Toc9644239_73709187"/>
      <w:bookmarkStart w:id="1103" w:name="_Toc414"/>
      <w:bookmarkEnd w:id="1102"/>
      <w:r>
        <w:rPr>
          <w:rtl w:val="true"/>
        </w:rPr>
        <w:t>الأثر الأوّل</w:t>
      </w:r>
      <w:r>
        <w:rPr>
          <w:rtl w:val="true"/>
        </w:rPr>
        <w:t xml:space="preserve">: </w:t>
      </w:r>
      <w:r>
        <w:rPr>
          <w:rtl w:val="true"/>
        </w:rPr>
        <w:t>إنّ النساء و الصبیان من الکفّار الأصلیّین الحربیّین غیر معتصمین، یصیرون رقیقا بمجرّد سبیهم</w:t>
      </w:r>
      <w:bookmarkEnd w:id="1103"/>
    </w:p>
    <w:p>
      <w:pPr>
        <w:pStyle w:val="BookText"/>
        <w:rPr/>
      </w:pPr>
      <w:r>
        <w:rPr>
          <w:rFonts w:ascii="IRNazanin" w:hAnsi="IRNazanin" w:eastAsia="IRNazanin"/>
          <w:color w:val="111111"/>
          <w:sz w:val="28"/>
          <w:sz w:val="28"/>
          <w:szCs w:val="28"/>
          <w:rtl w:val="true"/>
          <w:lang w:bidi="fa-IR"/>
        </w:rPr>
        <w:t>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الاساری و هم ذکور و إناث، فالإناث یملکن بالسبیّ، و لو کانت الحرب قائمة، و کذا الذراری</w:t>
      </w:r>
      <w:r>
        <w:rPr>
          <w:rStyle w:val="FootnoteAnchor"/>
          <w:rtl w:val="true"/>
        </w:rPr>
        <w:footnoteReference w:id="2814"/>
      </w:r>
      <w:r>
        <w:rPr>
          <w:rFonts w:ascii="IRNazanin" w:hAnsi="IRNazanin" w:eastAsia="IRNazanin"/>
          <w:color w:val="111111"/>
          <w:sz w:val="28"/>
          <w:sz w:val="28"/>
          <w:szCs w:val="28"/>
          <w:rtl w:val="true"/>
          <w:lang w:bidi="fa-IR"/>
        </w:rPr>
        <w:t>، و لو اشتبه الطفل بالبالغ اعتبر بالإنبات، فمن لم ینبت و جهل سنّه الحق بالذراری</w:t>
      </w:r>
      <w:r>
        <w:rPr>
          <w:rFonts w:eastAsia="IRNazanin" w:cs="IRNazanin"/>
          <w:color w:val="111111"/>
          <w:sz w:val="28"/>
          <w:szCs w:val="28"/>
          <w:rtl w:val="true"/>
          <w:lang w:bidi="fa-IR"/>
        </w:rPr>
        <w:t>»</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الاساری إن کانوا إناثا أو أطفالا ملکوا بالسبیّ، و إن کانت الحرب قائمة</w:t>
      </w:r>
      <w:r>
        <w:rPr>
          <w:rFonts w:eastAsia="IRNazanin" w:cs="IRNazanin"/>
          <w:color w:val="111111"/>
          <w:sz w:val="28"/>
          <w:szCs w:val="28"/>
          <w:rtl w:val="true"/>
          <w:lang w:bidi="fa-IR"/>
        </w:rPr>
        <w:t>»</w:t>
      </w:r>
      <w:r>
        <w:rPr>
          <w:rStyle w:val="FootnoteAnchor"/>
          <w:rtl w:val="true"/>
        </w:rPr>
        <w:footnoteReference w:id="2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النافع</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فالنساء و الأطفال یملکون بالسبیّ، و لا یجوز قتلهم إجماعا؛ لأنّ النبیّ صلّی اللّه علیه و آله نهی عن قتل النساء و الولدان</w:t>
      </w:r>
      <w:r>
        <w:rPr>
          <w:rStyle w:val="FootnoteAnchor"/>
          <w:rtl w:val="true"/>
        </w:rPr>
        <w:footnoteReference w:id="2818"/>
      </w:r>
      <w:r>
        <w:rPr>
          <w:rFonts w:ascii="IRNazanin" w:hAnsi="IRNazanin" w:eastAsia="IRNazanin"/>
          <w:color w:val="111111"/>
          <w:sz w:val="28"/>
          <w:sz w:val="28"/>
          <w:szCs w:val="28"/>
          <w:rtl w:val="true"/>
          <w:lang w:bidi="fa-IR"/>
        </w:rPr>
        <w:t>، و یکون حکمهم مع السبیّ حکم سائر أموال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أشکل أمر الصبیّ فی البلوغ و عدمه اعتبر بالإنبات، فإن أنبت الشعر الخشن علی عانته حکم ببلوغه، و إن لم ینبت ذلک جعل من جملة الذرّیّة؛ لأنّ سعد بن معاذ</w:t>
      </w:r>
      <w:r>
        <w:rPr>
          <w:rStyle w:val="FootnoteAnchor"/>
          <w:rtl w:val="true"/>
        </w:rPr>
        <w:footnoteReference w:id="2819"/>
      </w:r>
      <w:r>
        <w:rPr>
          <w:rFonts w:ascii="IRNazanin" w:hAnsi="IRNazanin" w:eastAsia="IRNazanin"/>
          <w:color w:val="111111"/>
          <w:sz w:val="28"/>
          <w:sz w:val="28"/>
          <w:szCs w:val="28"/>
          <w:rtl w:val="true"/>
          <w:lang w:bidi="fa-IR"/>
        </w:rPr>
        <w:t>حکم فی بنی قریظة بهذا، و أجازه النبیّ صلّی اللّه علیه و آله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عرضهم یومئذ علی العانات، فمن وجده أنبت قتله، و من لم یجده أنبت ألحقه</w:t>
      </w:r>
      <w:bookmarkStart w:id="1104" w:name="pg11756_104344"/>
    </w:p>
    <w:p>
      <w:pPr>
        <w:pStyle w:val="BookText"/>
        <w:rPr/>
      </w:pPr>
      <w:bookmarkEnd w:id="1104"/>
      <w:r>
        <w:rPr>
          <w:rFonts w:ascii="IRNazanin" w:hAnsi="IRNazanin" w:eastAsia="IRNazanin"/>
          <w:color w:val="111111"/>
          <w:sz w:val="28"/>
          <w:sz w:val="28"/>
          <w:szCs w:val="28"/>
          <w:rtl w:val="true"/>
          <w:lang w:bidi="fa-IR"/>
        </w:rPr>
        <w:t>بالذراری</w:t>
      </w:r>
      <w:r>
        <w:rPr>
          <w:rFonts w:eastAsia="IRNazanin" w:cs="IRNazanin"/>
          <w:color w:val="111111"/>
          <w:sz w:val="28"/>
          <w:szCs w:val="28"/>
          <w:rtl w:val="true"/>
          <w:lang w:bidi="fa-IR"/>
        </w:rPr>
        <w:t>»</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1"/>
      </w:r>
    </w:p>
    <w:p>
      <w:pPr>
        <w:pStyle w:val="BookText"/>
        <w:rPr/>
      </w:pPr>
      <w:r>
        <w:rPr>
          <w:rFonts w:ascii="IRNazanin" w:hAnsi="IRNazanin" w:eastAsia="IRNazanin"/>
          <w:color w:val="111111"/>
          <w:sz w:val="28"/>
          <w:sz w:val="28"/>
          <w:szCs w:val="28"/>
          <w:rtl w:val="true"/>
          <w:lang w:bidi="fa-IR"/>
        </w:rPr>
        <w:t>و کذا فی المنتهی</w:t>
      </w:r>
      <w:r>
        <w:rPr>
          <w:rStyle w:val="FootnoteAnchor"/>
          <w:rtl w:val="true"/>
        </w:rPr>
        <w:footnoteReference w:id="2822"/>
      </w:r>
      <w:r>
        <w:rPr>
          <w:rFonts w:ascii="IRNazanin" w:hAnsi="IRNazanin" w:eastAsia="IRNazanin"/>
          <w:color w:val="111111"/>
          <w:sz w:val="28"/>
          <w:sz w:val="28"/>
          <w:szCs w:val="28"/>
          <w:rtl w:val="true"/>
          <w:lang w:bidi="fa-IR"/>
        </w:rPr>
        <w:t>و التحریر</w:t>
      </w:r>
      <w:r>
        <w:rPr>
          <w:rStyle w:val="FootnoteAnchor"/>
          <w:rtl w:val="true"/>
        </w:rPr>
        <w:footnoteReference w:id="2823"/>
      </w:r>
      <w:r>
        <w:rPr>
          <w:rFonts w:ascii="IRNazanin" w:hAnsi="IRNazanin" w:eastAsia="IRNazanin"/>
          <w:color w:val="111111"/>
          <w:sz w:val="28"/>
          <w:sz w:val="28"/>
          <w:szCs w:val="28"/>
          <w:rtl w:val="true"/>
          <w:lang w:bidi="fa-IR"/>
        </w:rPr>
        <w:t>، و به قال الشهیدان</w:t>
      </w:r>
      <w:r>
        <w:rPr>
          <w:rStyle w:val="FootnoteAnchor"/>
          <w:rtl w:val="true"/>
        </w:rPr>
        <w:footnoteReference w:id="2824"/>
      </w:r>
      <w:r>
        <w:rPr>
          <w:rFonts w:ascii="IRNazanin" w:hAnsi="IRNazanin" w:eastAsia="IRNazanin"/>
          <w:color w:val="111111"/>
          <w:sz w:val="28"/>
          <w:sz w:val="28"/>
          <w:szCs w:val="28"/>
          <w:rtl w:val="true"/>
          <w:lang w:bidi="fa-IR"/>
        </w:rPr>
        <w:t>و المحقّق الأردبیلی</w:t>
      </w:r>
      <w:r>
        <w:rPr>
          <w:rStyle w:val="FootnoteAnchor"/>
          <w:rtl w:val="true"/>
        </w:rPr>
        <w:footnoteReference w:id="2825"/>
      </w:r>
      <w:r>
        <w:rPr>
          <w:rFonts w:ascii="IRNazanin" w:hAnsi="IRNazanin" w:eastAsia="IRNazanin"/>
          <w:color w:val="111111"/>
          <w:sz w:val="28"/>
          <w:sz w:val="28"/>
          <w:szCs w:val="28"/>
          <w:rtl w:val="true"/>
          <w:lang w:bidi="fa-IR"/>
        </w:rPr>
        <w:t>، و صرّح بذلک أیضا فی الریاض</w:t>
      </w:r>
      <w:r>
        <w:rPr>
          <w:rStyle w:val="FootnoteAnchor"/>
          <w:rtl w:val="true"/>
        </w:rPr>
        <w:footnoteReference w:id="2826"/>
      </w:r>
      <w:r>
        <w:rPr>
          <w:rFonts w:ascii="IRNazanin" w:hAnsi="IRNazanin" w:eastAsia="IRNazanin"/>
          <w:color w:val="111111"/>
          <w:sz w:val="28"/>
          <w:sz w:val="28"/>
          <w:szCs w:val="28"/>
          <w:rtl w:val="true"/>
          <w:lang w:bidi="fa-IR"/>
        </w:rPr>
        <w:t>و الجواهر</w:t>
      </w:r>
      <w:r>
        <w:rPr>
          <w:rStyle w:val="FootnoteAnchor"/>
          <w:rtl w:val="true"/>
        </w:rPr>
        <w:footnoteReference w:id="2827"/>
      </w:r>
      <w:r>
        <w:rPr>
          <w:rFonts w:ascii="IRNazanin" w:hAnsi="IRNazanin" w:eastAsia="IRNazanin"/>
          <w:color w:val="111111"/>
          <w:sz w:val="28"/>
          <w:sz w:val="28"/>
          <w:szCs w:val="28"/>
          <w:rtl w:val="true"/>
          <w:lang w:bidi="fa-IR"/>
        </w:rPr>
        <w:t>و منهاج الصالحین</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5" w:name="__RefHeading___Toc9644241_73709187"/>
      <w:bookmarkStart w:id="1106" w:name="_Toc415"/>
      <w:bookmarkEnd w:id="1105"/>
      <w:r>
        <w:rPr>
          <w:rtl w:val="true"/>
        </w:rPr>
        <w:t>الأدلّة علی استرقاق الصبیّ</w:t>
      </w:r>
      <w:bookmarkEnd w:id="1106"/>
    </w:p>
    <w:p>
      <w:pPr>
        <w:pStyle w:val="BookText"/>
        <w:rPr/>
      </w:pPr>
      <w:r>
        <w:rPr>
          <w:rFonts w:ascii="IRNazanin" w:hAnsi="IRNazanin" w:eastAsia="IRNazanin"/>
          <w:color w:val="111111"/>
          <w:sz w:val="28"/>
          <w:sz w:val="28"/>
          <w:szCs w:val="28"/>
          <w:rtl w:val="true"/>
          <w:lang w:bidi="fa-IR"/>
        </w:rPr>
        <w:t>و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الغنیة</w:t>
      </w:r>
      <w:r>
        <w:rPr>
          <w:rStyle w:val="FootnoteAnchor"/>
          <w:rtl w:val="true"/>
        </w:rPr>
        <w:footnoteReference w:id="2829"/>
      </w:r>
      <w:r>
        <w:rPr>
          <w:rFonts w:ascii="IRNazanin" w:hAnsi="IRNazanin" w:eastAsia="IRNazanin"/>
          <w:color w:val="111111"/>
          <w:sz w:val="28"/>
          <w:sz w:val="28"/>
          <w:szCs w:val="28"/>
          <w:rtl w:val="true"/>
          <w:lang w:bidi="fa-IR"/>
        </w:rPr>
        <w:t>و التذکرة</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الجاریة فی تقسیم غنائم الحرب بین المقاتلین المسلمین</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سبی الأکراد إذا حاربوا و من حارب من المشرکین، هل یحلّ نکاحهم و شراؤهم؟</w:t>
      </w:r>
      <w:bookmarkStart w:id="1107" w:name="pg11756_104345"/>
    </w:p>
    <w:p>
      <w:pPr>
        <w:pStyle w:val="BookText"/>
        <w:rPr/>
      </w:pPr>
      <w:bookmarkEnd w:id="110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قوم مجوس خرجوا علی ناس من المسلمین فی أرض الإسلام، هل یحلّ قتالهم؟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سبیهم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قوم خرجوا و قتلوا اناسا من المسلمین، و هدموا المساجد و أنّ المتولّی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المستوفی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بعث إلیهم، فاخذوا و قتلوا و سبی النساء و الصبیان، هل یستقیم شراء شیء منهنّ و یطأهنّ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بشراء متاعهنّ و سبیهنّ</w:t>
      </w:r>
      <w:r>
        <w:rPr>
          <w:rFonts w:eastAsia="IRNazanin" w:cs="IRNazanin"/>
          <w:color w:val="111111"/>
          <w:sz w:val="28"/>
          <w:szCs w:val="28"/>
          <w:rtl w:val="true"/>
          <w:lang w:bidi="fa-IR"/>
        </w:rPr>
        <w:t>»</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الدلالة ظاهرة، فإنّ الإطلاق فیها یشمل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أهل السنّة ممّا حکم به سعد بن معاذ فی بنی قریظة؛ لأنّه رحمه اللّه حکم بقتل البالغین المقاتلین، و سبی ذراریهم، 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حکمت فیهم بحکم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ربما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بحکم اللّه</w:t>
      </w:r>
      <w:r>
        <w:rPr>
          <w:rFonts w:eastAsia="IRNazanin" w:cs="IRNazanin"/>
          <w:color w:val="111111"/>
          <w:sz w:val="28"/>
          <w:szCs w:val="28"/>
          <w:rtl w:val="true"/>
          <w:lang w:bidi="fa-IR"/>
        </w:rPr>
        <w:t>»</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8" w:name="__RefHeading___Toc9644243_73709187"/>
      <w:bookmarkStart w:id="1109" w:name="_Toc416"/>
      <w:bookmarkEnd w:id="1108"/>
      <w:r>
        <w:rPr>
          <w:rtl w:val="true"/>
        </w:rPr>
        <w:t>آراء أهل السنّة فی استرقاق الصبیّ</w:t>
      </w:r>
      <w:bookmarkEnd w:id="110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الشافعیّة و الحنابلة إلی أنّه إذا سبی النساء و الصبیان صاروا رقیقا بنفس السبی</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bookmarkStart w:id="1110" w:name="pg11756_104346"/>
    </w:p>
    <w:p>
      <w:pPr>
        <w:pStyle w:val="BookText"/>
        <w:rPr/>
      </w:pPr>
      <w:bookmarkEnd w:id="1110"/>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السبی فهم النساء و الأطفال، فلا یجوز أن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رسول اللّه صلّی اللّه علیه و آله عن قتل النساء و الولدان، و یکونوا سبیا مسترقّا یقسّمون مع الغنائم</w:t>
      </w:r>
      <w:r>
        <w:rPr>
          <w:rFonts w:eastAsia="IRNazanin" w:cs="IRNazanin"/>
          <w:color w:val="111111"/>
          <w:sz w:val="28"/>
          <w:szCs w:val="28"/>
          <w:rtl w:val="true"/>
          <w:lang w:bidi="fa-IR"/>
        </w:rPr>
        <w:t>»</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قتل النساء و الصبیان، و أنّهم یصیرون رقیقا بنفس الأسر؛ لأنّ النبیّ صلّی اللّه علیه و آله نهی عن قتل النساء و الولدان،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یسترقّهم إذا سباهم</w:t>
      </w:r>
      <w:r>
        <w:rPr>
          <w:rFonts w:eastAsia="IRNazanin" w:cs="IRNazanin"/>
          <w:color w:val="111111"/>
          <w:sz w:val="28"/>
          <w:szCs w:val="28"/>
          <w:rtl w:val="true"/>
          <w:lang w:bidi="fa-IR"/>
        </w:rPr>
        <w:t>»</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المالکیّة و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فی السبی بالخیار بین المفاداة أو الاسترقاق، و یعرف ذلک بالقول أو التصرّف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یتصرّف فی الرقیق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بدلالة الحال</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النساء و الذراری فالإمام فیها بالخیار، إن شاء قسّمها بین الغانمین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منّ علیهم بالنساء و الذراری</w:t>
      </w:r>
      <w:r>
        <w:rPr>
          <w:rFonts w:eastAsia="IRNazanin" w:cs="IRNazanin"/>
          <w:color w:val="111111"/>
          <w:sz w:val="28"/>
          <w:szCs w:val="28"/>
          <w:rtl w:val="true"/>
          <w:lang w:bidi="fa-IR"/>
        </w:rPr>
        <w:t>»</w:t>
      </w:r>
      <w:r>
        <w:rPr>
          <w:rStyle w:val="FootnoteAnchor"/>
          <w:rtl w:val="true"/>
        </w:rPr>
        <w:footnoteReference w:id="2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1" w:name="__RefHeading___Toc9644245_73709187"/>
      <w:bookmarkStart w:id="1112" w:name="_Toc417"/>
      <w:bookmarkEnd w:id="1111"/>
      <w:r>
        <w:rPr>
          <w:rtl w:val="true"/>
        </w:rPr>
        <w:t>الأثر الثانی</w:t>
      </w:r>
      <w:r>
        <w:rPr>
          <w:rtl w:val="true"/>
        </w:rPr>
        <w:t xml:space="preserve">: </w:t>
      </w:r>
      <w:r>
        <w:rPr>
          <w:rtl w:val="true"/>
        </w:rPr>
        <w:t>عدم جواز التفریق بین الامّ و ولیدها</w:t>
      </w:r>
      <w:bookmarkEnd w:id="1112"/>
    </w:p>
    <w:p>
      <w:pPr>
        <w:pStyle w:val="BookText"/>
        <w:rPr/>
      </w:pPr>
      <w:r>
        <w:rPr>
          <w:rFonts w:ascii="IRNazanin" w:hAnsi="IRNazanin" w:eastAsia="IRNazanin"/>
          <w:color w:val="111111"/>
          <w:sz w:val="28"/>
          <w:sz w:val="28"/>
          <w:szCs w:val="28"/>
          <w:rtl w:val="true"/>
          <w:lang w:bidi="fa-IR"/>
        </w:rPr>
        <w:t>هل یجوز التفریق بین الامّ و ولیدها المسبیّین بالبیع، أو فی قسمة الغنیمة؟ فیه قولان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المرأة و ولدها فی السبی فلا یجوز للإمام أن یفرّق بینهما، فیعطی الامّ لواحد و الولد لآخر، لکن ینظر، فإن کان فی الغانمین من یبلغ سهمه الامّ و الولد أعطاهما إیّاه، و إن لم یکن أعطاهما إیّاه و أخذ فضل القیمة، أو یجعلهما فی الخمس، فإن لم یفعل باعهما و ردّ ثمنهما فی المغنم</w:t>
      </w:r>
      <w:r>
        <w:rPr>
          <w:rFonts w:eastAsia="IRNazanin" w:cs="IRNazanin"/>
          <w:color w:val="111111"/>
          <w:sz w:val="28"/>
          <w:szCs w:val="28"/>
          <w:rtl w:val="true"/>
          <w:lang w:bidi="fa-IR"/>
        </w:rPr>
        <w:t>»</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یبلغ الصبیّ سبع سنین، فإذا بلغ ذلک کان جائزا</w:t>
      </w:r>
      <w:r>
        <w:rPr>
          <w:rFonts w:eastAsia="IRNazanin" w:cs="IRNazanin"/>
          <w:color w:val="111111"/>
          <w:sz w:val="28"/>
          <w:szCs w:val="28"/>
          <w:rtl w:val="true"/>
          <w:lang w:bidi="fa-IR"/>
        </w:rPr>
        <w:t>»</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المهذّب</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لذلک بالإجماع</w:t>
      </w:r>
      <w:r>
        <w:rPr>
          <w:rStyle w:val="FootnoteAnchor"/>
          <w:rtl w:val="true"/>
        </w:rPr>
        <w:footnoteReference w:id="2844"/>
      </w:r>
      <w:r>
        <w:rPr>
          <w:rFonts w:ascii="IRNazanin" w:hAnsi="IRNazanin" w:eastAsia="IRNazanin"/>
          <w:color w:val="111111"/>
          <w:sz w:val="28"/>
          <w:sz w:val="28"/>
          <w:szCs w:val="28"/>
          <w:rtl w:val="true"/>
          <w:lang w:bidi="fa-IR"/>
        </w:rPr>
        <w:t>،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الحکم عن أبی عبد اللّه علیه السّلام أنّه اشتریت له جاریة 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لتقوم فی بعض الحاجة،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فقال لها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بها فردّت،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آمنت لو حبستها أن أری فی ولدی ما أکره</w:t>
      </w:r>
      <w:r>
        <w:rPr>
          <w:rFonts w:eastAsia="IRNazanin" w:cs="IRNazanin"/>
          <w:color w:val="111111"/>
          <w:sz w:val="28"/>
          <w:szCs w:val="28"/>
          <w:rtl w:val="true"/>
          <w:lang w:bidi="fa-IR"/>
        </w:rPr>
        <w:t>»</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رسول اللّه صلّی اللّه علیه و آله بسبی من الیمن، فلمّا بلغوا الجحفة نفدت نفقاتهم فباعوا جاریة من السبی کانت امّها معهم، فلمّا قدموا علی النبیّ صلّی اللّه علیه و آله سمع بکاءها،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البکاء؟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احتجنا إلی نفقة فبعنا ابنتها، فبعث بثمنها، فاتی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بیعوهما جمیعا أو أمسکوهما جمیعا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أخوین مملوکین هل یفرّق بینهما،</w:t>
      </w:r>
      <w:bookmarkStart w:id="1113" w:name="pg11756_104348"/>
    </w:p>
    <w:p>
      <w:pPr>
        <w:pStyle w:val="BookText"/>
        <w:rPr/>
      </w:pPr>
      <w:bookmarkEnd w:id="1113"/>
      <w:r>
        <w:rPr>
          <w:rFonts w:ascii="IRNazanin" w:hAnsi="IRNazanin" w:eastAsia="IRNazanin"/>
          <w:color w:val="111111"/>
          <w:sz w:val="28"/>
          <w:sz w:val="28"/>
          <w:szCs w:val="28"/>
          <w:rtl w:val="true"/>
          <w:lang w:bidi="fa-IR"/>
        </w:rPr>
        <w:t>و عن المرأة و ولدها؟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حرام إلاّ أن یریدوا ذلک</w:t>
      </w:r>
      <w:r>
        <w:rPr>
          <w:rFonts w:eastAsia="IRNazanin" w:cs="IRNazanin"/>
          <w:color w:val="111111"/>
          <w:sz w:val="28"/>
          <w:szCs w:val="28"/>
          <w:rtl w:val="true"/>
          <w:lang w:bidi="fa-IR"/>
        </w:rPr>
        <w:t>»</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یکره التفریق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سبیت المرأة و ولدها الصغیر کره التفرقة بینهما، بل ینبغی للإمام أن یدفعهما إلی واحد، فإن لم یبلغ سهمه قیمتهما دفعهما إلیه و استعاد الفاضل، أو یجعلهما فی الخمس، فإن لم یفعل باعهما و ردّ قیمتهما فی المغنم</w:t>
      </w:r>
      <w:r>
        <w:rPr>
          <w:rFonts w:eastAsia="IRNazanin" w:cs="IRNazanin"/>
          <w:color w:val="111111"/>
          <w:sz w:val="28"/>
          <w:szCs w:val="28"/>
          <w:rtl w:val="true"/>
          <w:lang w:bidi="fa-IR"/>
        </w:rPr>
        <w:t>»</w:t>
      </w:r>
      <w:r>
        <w:rPr>
          <w:rStyle w:val="FootnoteAnchor"/>
          <w:rtl w:val="true"/>
        </w:rPr>
        <w:footnoteReference w:id="2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848"/>
      </w:r>
      <w:r>
        <w:rPr>
          <w:rFonts w:ascii="IRNazanin" w:hAnsi="IRNazanin" w:eastAsia="IRNazanin"/>
          <w:color w:val="111111"/>
          <w:sz w:val="28"/>
          <w:sz w:val="28"/>
          <w:szCs w:val="28"/>
          <w:rtl w:val="true"/>
          <w:lang w:bidi="fa-IR"/>
        </w:rPr>
        <w:t>و التحریر</w:t>
      </w:r>
      <w:r>
        <w:rPr>
          <w:rStyle w:val="FootnoteAnchor"/>
          <w:rtl w:val="true"/>
        </w:rPr>
        <w:footnoteReference w:id="2849"/>
      </w:r>
      <w:r>
        <w:rPr>
          <w:rFonts w:ascii="IRNazanin" w:hAnsi="IRNazanin" w:eastAsia="IRNazanin"/>
          <w:color w:val="111111"/>
          <w:sz w:val="28"/>
          <w:sz w:val="28"/>
          <w:szCs w:val="28"/>
          <w:rtl w:val="true"/>
          <w:lang w:bidi="fa-IR"/>
        </w:rPr>
        <w:t>و المختلف</w:t>
      </w:r>
      <w:r>
        <w:rPr>
          <w:rStyle w:val="FootnoteAnchor"/>
          <w:rtl w:val="true"/>
        </w:rPr>
        <w:footnoteReference w:id="2850"/>
      </w:r>
      <w:r>
        <w:rPr>
          <w:rFonts w:ascii="IRNazanin" w:hAnsi="IRNazanin" w:eastAsia="IRNazanin"/>
          <w:color w:val="111111"/>
          <w:sz w:val="28"/>
          <w:sz w:val="28"/>
          <w:szCs w:val="28"/>
          <w:rtl w:val="true"/>
          <w:lang w:bidi="fa-IR"/>
        </w:rPr>
        <w:t>، و اختاره ابن إدریس</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بأنّه ماله فجاز بیعه کیف شاء المالک، کغیره؛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حملوا الأخبار المتقدّمة علی الکراهة</w:t>
      </w:r>
      <w:r>
        <w:rPr>
          <w:rFonts w:eastAsia="IRNazanin" w:cs="IRNazanin"/>
          <w:color w:val="111111"/>
          <w:sz w:val="28"/>
          <w:szCs w:val="28"/>
          <w:rtl w:val="true"/>
          <w:lang w:bidi="fa-IR"/>
        </w:rPr>
        <w:t>.</w:t>
      </w:r>
    </w:p>
    <w:p>
      <w:pPr>
        <w:pStyle w:val="Heading6"/>
        <w:numPr>
          <w:ilvl w:val="5"/>
          <w:numId w:val="1"/>
        </w:numPr>
        <w:rPr/>
      </w:pPr>
      <w:bookmarkStart w:id="1114" w:name="__RefHeading___Toc9644247_73709187"/>
      <w:bookmarkStart w:id="1115" w:name="_Toc418"/>
      <w:bookmarkEnd w:id="1114"/>
      <w:r>
        <w:rPr>
          <w:rtl w:val="true"/>
        </w:rPr>
        <w:t>رأی أهل السنّة فی المسألة</w:t>
      </w:r>
      <w:bookmarkEnd w:id="111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المذاهب الأربعة علی أنّه لا یجوز التفرقة بین الامّ و ولیدها المسبیّین فی البیع، أو فی قسمة الغنیمة</w:t>
      </w:r>
      <w:r>
        <w:rPr>
          <w:rStyle w:val="FootnoteAnchor"/>
          <w:rtl w:val="true"/>
        </w:rPr>
        <w:footnoteReference w:id="2853"/>
      </w:r>
      <w:r>
        <w:rPr>
          <w:rFonts w:ascii="IRNazanin" w:hAnsi="IRNazanin" w:eastAsia="IRNazanin"/>
          <w:color w:val="111111"/>
          <w:sz w:val="28"/>
          <w:sz w:val="28"/>
          <w:szCs w:val="28"/>
          <w:rtl w:val="true"/>
          <w:lang w:bidi="fa-IR"/>
        </w:rPr>
        <w:t>، و الأصل فیه ما روی عن رسول اللّه صلّی اللّه علیه و آله أنّه</w:t>
      </w:r>
      <w:bookmarkStart w:id="1116" w:name="pg11756_104349"/>
    </w:p>
    <w:p>
      <w:pPr>
        <w:pStyle w:val="BookText"/>
        <w:rPr/>
      </w:pPr>
      <w:bookmarkEnd w:id="1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تولّه</w:t>
      </w:r>
      <w:r>
        <w:rPr>
          <w:rStyle w:val="FootnoteAnchor"/>
          <w:rtl w:val="true"/>
        </w:rPr>
        <w:footnoteReference w:id="2854"/>
      </w:r>
      <w:r>
        <w:rPr>
          <w:rFonts w:ascii="Amiri" w:hAnsi="Amiri" w:eastAsia="Amiri" w:cs="Amiri"/>
          <w:color w:val="111111"/>
          <w:sz w:val="28"/>
          <w:sz w:val="28"/>
          <w:szCs w:val="28"/>
          <w:rtl w:val="true"/>
          <w:lang w:bidi="ar-SA"/>
        </w:rPr>
        <w:t>والدة عن ولدها</w:t>
      </w:r>
      <w:r>
        <w:rPr>
          <w:rFonts w:eastAsia="Amiri" w:cs="Amiri" w:ascii="Amiri" w:hAnsi="Amiri"/>
          <w:color w:val="111111"/>
          <w:sz w:val="28"/>
          <w:szCs w:val="28"/>
          <w:rtl w:val="true"/>
          <w:lang w:bidi="ar-SA"/>
        </w:rPr>
        <w:t>»</w:t>
      </w:r>
      <w:r>
        <w:rPr>
          <w:rStyle w:val="FootnoteAnchor"/>
          <w:rtl w:val="true"/>
        </w:rPr>
        <w:footnoteReference w:id="2855"/>
      </w:r>
      <w:r>
        <w:rPr>
          <w:rFonts w:ascii="IRNazanin" w:hAnsi="IRNazanin" w:eastAsia="IRNazanin"/>
          <w:color w:val="111111"/>
          <w:sz w:val="28"/>
          <w:sz w:val="28"/>
          <w:szCs w:val="28"/>
          <w:rtl w:val="true"/>
          <w:lang w:bidi="fa-IR"/>
        </w:rPr>
        <w:t>، و التفریق بینهما تولیه، فکان منهیّا عنه، و روی أبو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فرّق بین الوالدة و ولدها فرّق بینه و بین أحبّته یوم القیامة</w:t>
      </w:r>
      <w:r>
        <w:rPr>
          <w:rFonts w:eastAsia="IRNazanin" w:cs="IRNazanin"/>
          <w:color w:val="111111"/>
          <w:sz w:val="28"/>
          <w:szCs w:val="28"/>
          <w:rtl w:val="true"/>
          <w:lang w:bidi="fa-IR"/>
        </w:rPr>
        <w:t>»</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التفریق بین الامّ و الولد الصغیر إلی أن یبلغ، و به قال أحمد، و أصحاب الرأی،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الوالدة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الغلام و تحیض الجاریة</w:t>
      </w:r>
      <w:r>
        <w:rPr>
          <w:rStyle w:val="FootnoteAnchor"/>
          <w:rtl w:val="true"/>
        </w:rPr>
        <w:footnoteReference w:id="2857"/>
      </w:r>
      <w:r>
        <w:rPr>
          <w:rFonts w:ascii="IRNazanin" w:hAnsi="IRNazanin" w:eastAsia="IRNazanin"/>
          <w:color w:val="111111"/>
          <w:sz w:val="28"/>
          <w:sz w:val="28"/>
          <w:szCs w:val="28"/>
          <w:rtl w:val="true"/>
          <w:lang w:bidi="fa-IR"/>
        </w:rPr>
        <w:t>؛ و لأنّ ما دون البلوغ مولّی علیه، فأشبه الطفل</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9644249_73709187"/>
      <w:bookmarkStart w:id="1118" w:name="_Toc419"/>
      <w:bookmarkEnd w:id="1117"/>
      <w:r>
        <w:rPr>
          <w:rtl w:val="true"/>
        </w:rPr>
        <w:t>تتمّة</w:t>
      </w:r>
      <w:r>
        <w:rPr>
          <w:rtl w:val="true"/>
        </w:rPr>
        <w:t>:</w:t>
      </w:r>
      <w:bookmarkEnd w:id="1118"/>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فرّق بین الصغیر و بین امّه لم یبطل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w:t>
      </w:r>
      <w:r>
        <w:rPr>
          <w:rStyle w:val="FootnoteAnchor"/>
          <w:rtl w:val="true"/>
        </w:rPr>
        <w:footnoteReference w:id="2859"/>
      </w:r>
      <w:r>
        <w:rPr>
          <w:rFonts w:ascii="IRNazanin" w:hAnsi="IRNazanin" w:eastAsia="IRNazanin"/>
          <w:color w:val="111111"/>
          <w:sz w:val="28"/>
          <w:sz w:val="28"/>
          <w:szCs w:val="28"/>
          <w:rtl w:val="true"/>
          <w:lang w:bidi="fa-IR"/>
        </w:rPr>
        <w:t>،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2861"/>
      </w:r>
      <w:r>
        <w:rPr>
          <w:rFonts w:ascii="IRNazanin" w:hAnsi="IRNazanin" w:eastAsia="IRNazanin"/>
          <w:color w:val="111111"/>
          <w:sz w:val="28"/>
          <w:sz w:val="28"/>
          <w:szCs w:val="28"/>
          <w:rtl w:val="true"/>
          <w:lang w:bidi="fa-IR"/>
        </w:rPr>
        <w:t>، و أیضا الأصل جوازه و صحّته، و إبطاله یحتاج إلی دلیل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یبطل البیع کان قویّا، فإنّ أخبارنا تدلّ علی ذلک</w:t>
      </w:r>
      <w:r>
        <w:rPr>
          <w:rStyle w:val="FootnoteAnchor"/>
          <w:rtl w:val="true"/>
        </w:rPr>
        <w:footnoteReference w:id="2862"/>
      </w:r>
      <w:r>
        <w:rPr>
          <w:rFonts w:ascii="Amiri" w:hAnsi="Amiri" w:eastAsia="Amiri" w:cs="Amiri"/>
          <w:color w:val="111111"/>
          <w:sz w:val="28"/>
          <w:sz w:val="28"/>
          <w:szCs w:val="28"/>
          <w:rtl w:val="true"/>
          <w:lang w:bidi="ar-SA"/>
        </w:rPr>
        <w:t>؛ و لأنّه إذا</w:t>
      </w:r>
      <w:bookmarkStart w:id="1119" w:name="pg11756_104350"/>
    </w:p>
    <w:p>
      <w:pPr>
        <w:pStyle w:val="BookText"/>
        <w:rPr/>
      </w:pPr>
      <w:bookmarkEnd w:id="1119"/>
      <w:r>
        <w:rPr>
          <w:rFonts w:ascii="IRNazanin" w:hAnsi="IRNazanin" w:eastAsia="IRNazanin"/>
          <w:color w:val="111111"/>
          <w:sz w:val="28"/>
          <w:sz w:val="28"/>
          <w:szCs w:val="28"/>
          <w:rtl w:val="true"/>
          <w:lang w:bidi="fa-IR"/>
        </w:rPr>
        <w:t>ثبت أنّه منهیّ عنه، و النهی یدلّ علی فساد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 السّلام أنّه فرّق بین جاریة و ولدها، فنهاه رسول اللّه صلّی اللّه علیه و آله عن ذلک، فردّ</w:t>
      </w:r>
      <w:r>
        <w:rPr>
          <w:rStyle w:val="FootnoteAnchor"/>
          <w:rtl w:val="true"/>
        </w:rPr>
        <w:footnoteReference w:id="2863"/>
      </w:r>
      <w:r>
        <w:rPr>
          <w:rFonts w:ascii="IRNazanin" w:hAnsi="IRNazanin" w:eastAsia="IRNazanin"/>
          <w:color w:val="111111"/>
          <w:sz w:val="28"/>
          <w:sz w:val="28"/>
          <w:szCs w:val="28"/>
          <w:rtl w:val="true"/>
          <w:lang w:bidi="fa-IR"/>
        </w:rPr>
        <w:t>البیع</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المعاملات لا یقتضی الفساد، و أنّ النهی فی هذا العقد لا لمعنی فی المعقود علیه، فأشبه البیع وقت النداء، کما فی التذکرة</w:t>
      </w:r>
      <w:r>
        <w:rPr>
          <w:rStyle w:val="FootnoteAnchor"/>
          <w:rtl w:val="true"/>
        </w:rPr>
        <w:footnoteReference w:id="2865"/>
      </w:r>
      <w:r>
        <w:rPr>
          <w:rFonts w:ascii="IRNazanin" w:hAnsi="IRNazanin" w:eastAsia="IRNazanin"/>
          <w:color w:val="111111"/>
          <w:sz w:val="28"/>
          <w:sz w:val="28"/>
          <w:szCs w:val="28"/>
          <w:rtl w:val="true"/>
          <w:lang w:bidi="fa-IR"/>
        </w:rPr>
        <w:t>، و لا ملازمة بین حرمة البیع و فساده</w:t>
      </w:r>
      <w:r>
        <w:rPr>
          <w:rStyle w:val="FootnoteAnchor"/>
          <w:rtl w:val="true"/>
        </w:rPr>
        <w:footnoteReference w:id="2866"/>
      </w:r>
      <w:r>
        <w:rPr>
          <w:rFonts w:ascii="IRNazanin" w:hAnsi="IRNazanin" w:eastAsia="IRNazanin"/>
          <w:color w:val="111111"/>
          <w:sz w:val="28"/>
          <w:sz w:val="28"/>
          <w:szCs w:val="28"/>
          <w:rtl w:val="true"/>
          <w:lang w:bidi="fa-IR"/>
        </w:rPr>
        <w:t>، و أنّ حرمة الإیجاد لا یلازم مبغوضیّة الموجد و عدم تحقّقه</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9644251_73709187"/>
      <w:bookmarkStart w:id="1121" w:name="_Toc420"/>
      <w:bookmarkEnd w:id="1120"/>
      <w:r>
        <w:rPr>
          <w:rtl w:val="true"/>
        </w:rPr>
        <w:t>التفرقة بین الصبیّ و غیر الامّ</w:t>
      </w:r>
      <w:bookmarkEnd w:id="1121"/>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یفرّق بین الصبیّ و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بمنزلة الامّ فی الحضانة، و أمّا التفرقة بینه و بین الوالد فإنّها جائز؛ لأنّ الأصل جوازه</w:t>
      </w:r>
      <w:r>
        <w:rPr>
          <w:rStyle w:val="FootnoteAnchor"/>
          <w:rtl w:val="true"/>
        </w:rPr>
        <w:footnoteReference w:id="2868"/>
      </w:r>
      <w:r>
        <w:rPr>
          <w:rFonts w:ascii="IRNazanin" w:hAnsi="IRNazanin" w:eastAsia="IRNazanin"/>
          <w:color w:val="111111"/>
          <w:sz w:val="28"/>
          <w:sz w:val="28"/>
          <w:szCs w:val="28"/>
          <w:rtl w:val="true"/>
          <w:lang w:bidi="fa-IR"/>
        </w:rPr>
        <w:t>، و به قال بعض الشافعیّة</w:t>
      </w:r>
      <w:r>
        <w:rPr>
          <w:rStyle w:val="FootnoteAnchor"/>
          <w:rtl w:val="true"/>
        </w:rPr>
        <w:footnoteReference w:id="2869"/>
      </w:r>
      <w:r>
        <w:rPr>
          <w:rFonts w:ascii="IRNazanin" w:hAnsi="IRNazanin" w:eastAsia="IRNazanin"/>
          <w:color w:val="111111"/>
          <w:sz w:val="28"/>
          <w:sz w:val="28"/>
          <w:szCs w:val="28"/>
          <w:rtl w:val="true"/>
          <w:lang w:bidi="fa-IR"/>
        </w:rPr>
        <w:t>؛ لأنّه لیس من أهل الحضانة بنفسه، و لم یرد فیه نصّ بالمنع، و لا معنی النصّ، کما فی التذکرة</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الصبیّ لأبویه أو للسابی فی الإسلام، و قد تقدّم البحث فیه فی باب الطهارة فلا نعیده</w:t>
      </w:r>
      <w:r>
        <w:rPr>
          <w:rFonts w:eastAsia="IRNazanin" w:cs="IRNazanin"/>
          <w:color w:val="111111"/>
          <w:sz w:val="28"/>
          <w:szCs w:val="28"/>
          <w:rtl w:val="true"/>
          <w:lang w:bidi="fa-IR"/>
        </w:rPr>
        <w:t>.</w:t>
      </w:r>
      <w:bookmarkStart w:id="1122" w:name="pg11756_104352"/>
    </w:p>
    <w:p>
      <w:pPr>
        <w:pStyle w:val="Heading2"/>
        <w:numPr>
          <w:ilvl w:val="1"/>
          <w:numId w:val="1"/>
        </w:numPr>
        <w:rPr/>
      </w:pPr>
      <w:bookmarkStart w:id="1123" w:name="__RefHeading___Toc9644253_73709187"/>
      <w:bookmarkStart w:id="1124" w:name="_Toc421"/>
      <w:bookmarkEnd w:id="1122"/>
      <w:bookmarkEnd w:id="1123"/>
      <w:r>
        <w:rPr>
          <w:rtl w:val="true"/>
        </w:rPr>
        <w:t>الفصل السابع</w:t>
      </w:r>
      <w:r>
        <w:rPr>
          <w:rtl w:val="true"/>
        </w:rPr>
        <w:t xml:space="preserve">: </w:t>
      </w:r>
      <w:r>
        <w:rPr>
          <w:rtl w:val="true"/>
        </w:rPr>
        <w:t>الأمر بالمعروف و النهی عن المنکر</w:t>
      </w:r>
      <w:bookmarkEnd w:id="112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5" w:name="__RefHeading___Toc9644255_73709187"/>
      <w:bookmarkStart w:id="1126" w:name="_Toc422"/>
      <w:bookmarkEnd w:id="1125"/>
      <w:r>
        <w:rPr>
          <w:rtl w:val="true"/>
        </w:rPr>
        <w:t>اشارة</w:t>
      </w:r>
      <w:bookmarkStart w:id="1127" w:name="pg11756_104354"/>
      <w:bookmarkEnd w:id="1126"/>
    </w:p>
    <w:p>
      <w:pPr>
        <w:pStyle w:val="Heading3"/>
        <w:numPr>
          <w:ilvl w:val="2"/>
          <w:numId w:val="1"/>
        </w:numPr>
        <w:rPr/>
      </w:pPr>
      <w:bookmarkStart w:id="1128" w:name="__RefHeading___Toc9644257_73709187"/>
      <w:bookmarkStart w:id="1129" w:name="_Toc423"/>
      <w:bookmarkEnd w:id="1127"/>
      <w:bookmarkEnd w:id="1128"/>
      <w:r>
        <w:rPr>
          <w:rtl w:val="true"/>
        </w:rPr>
        <w:t>تمهید</w:t>
      </w:r>
      <w:bookmarkEnd w:id="1129"/>
    </w:p>
    <w:p>
      <w:pPr>
        <w:pStyle w:val="BookText"/>
        <w:rPr/>
      </w:pPr>
      <w:r>
        <w:rPr>
          <w:rFonts w:ascii="Amiri" w:hAnsi="Amiri" w:eastAsia="Amiri" w:cs="Amiri"/>
          <w:color w:val="111111"/>
          <w:sz w:val="28"/>
          <w:sz w:val="28"/>
          <w:szCs w:val="28"/>
          <w:rtl w:val="true"/>
          <w:lang w:bidi="ar-SA"/>
        </w:rPr>
        <w:t>لا خلاف فی وجوب الأمر بالمعروف و النهی عن المنکر کتابا و سنّة و إجماعا،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لیبغض المؤمن الضعیف الذی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الضعیف الذی لا دین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 أمیر المؤمنین علیه السّلام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إنّما هلک من کان قبلکم حیثما عملوا من المعاصی و لم ینههم الربّانیّون و الأحبار عن ذلک، و إنّهم لمّا تمادوا فی المعاصی و لم ینههم الربّانیّون و الأحبار عن ذلک نزلت بهم العقوبات، فأمروا بالمعروف و 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المنکر، و اعلموا أنّ</w:t>
      </w:r>
      <w:bookmarkStart w:id="1130" w:name="pg11756_104355"/>
    </w:p>
    <w:p>
      <w:pPr>
        <w:pStyle w:val="BookText"/>
        <w:rPr/>
      </w:pPr>
      <w:bookmarkEnd w:id="1130"/>
      <w:r>
        <w:rPr>
          <w:rFonts w:ascii="IRNazanin" w:hAnsi="IRNazanin" w:eastAsia="IRNazanin"/>
          <w:color w:val="111111"/>
          <w:sz w:val="28"/>
          <w:sz w:val="28"/>
          <w:szCs w:val="28"/>
          <w:rtl w:val="true"/>
          <w:lang w:bidi="fa-IR"/>
        </w:rPr>
        <w:t>الأمر بالمعروف و النهی عن المنکر لن یقرّبا أجلا و لن یقطعا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امّتی تواکلت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 فلیأذنوا بوقاع من اللّه</w:t>
      </w:r>
      <w:r>
        <w:rPr>
          <w:rFonts w:eastAsia="IRNazanin" w:cs="IRNazanin"/>
          <w:color w:val="111111"/>
          <w:sz w:val="28"/>
          <w:szCs w:val="28"/>
          <w:rtl w:val="true"/>
          <w:lang w:bidi="fa-IR"/>
        </w:rPr>
        <w:t>»</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البحث فیهما یقع فی مقامین</w:t>
      </w:r>
      <w:r>
        <w:rPr>
          <w:rFonts w:eastAsia="IRNazanin" w:cs="IRNazanin"/>
          <w:color w:val="111111"/>
          <w:sz w:val="28"/>
          <w:szCs w:val="28"/>
          <w:rtl w:val="true"/>
          <w:lang w:bidi="fa-IR"/>
        </w:rPr>
        <w:t>:</w:t>
      </w:r>
    </w:p>
    <w:p>
      <w:pPr>
        <w:pStyle w:val="Heading3"/>
        <w:numPr>
          <w:ilvl w:val="2"/>
          <w:numId w:val="1"/>
        </w:numPr>
        <w:rPr/>
      </w:pPr>
      <w:bookmarkStart w:id="1131" w:name="__RefHeading___Toc9644259_73709187"/>
      <w:bookmarkStart w:id="1132" w:name="_Toc424"/>
      <w:bookmarkEnd w:id="1131"/>
      <w:r>
        <w:rPr>
          <w:rtl w:val="true"/>
        </w:rPr>
        <w:t>المقام الأوّل</w:t>
      </w:r>
      <w:r>
        <w:rPr>
          <w:rtl w:val="true"/>
        </w:rPr>
        <w:t xml:space="preserve">: </w:t>
      </w:r>
      <w:r>
        <w:rPr>
          <w:rtl w:val="true"/>
        </w:rPr>
        <w:t>هل هما واجبان کفایة أو عینا؟</w:t>
      </w:r>
      <w:bookmarkEnd w:id="1132"/>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واجبان علی الکفایة، إن قام بهما واحد سقطا عن غیره، کما اختاره السیّد</w:t>
      </w:r>
      <w:r>
        <w:rPr>
          <w:rStyle w:val="FootnoteAnchor"/>
          <w:rtl w:val="true"/>
        </w:rPr>
        <w:footnoteReference w:id="2876"/>
      </w:r>
      <w:r>
        <w:rPr>
          <w:rFonts w:ascii="IRNazanin" w:hAnsi="IRNazanin" w:eastAsia="IRNazanin"/>
          <w:color w:val="111111"/>
          <w:sz w:val="28"/>
          <w:sz w:val="28"/>
          <w:szCs w:val="28"/>
          <w:rtl w:val="true"/>
          <w:lang w:bidi="fa-IR"/>
        </w:rPr>
        <w:t>و الحلبی</w:t>
      </w:r>
      <w:r>
        <w:rPr>
          <w:rStyle w:val="FootnoteAnchor"/>
          <w:rtl w:val="true"/>
        </w:rPr>
        <w:footnoteReference w:id="2877"/>
      </w:r>
      <w:r>
        <w:rPr>
          <w:rFonts w:ascii="IRNazanin" w:hAnsi="IRNazanin" w:eastAsia="IRNazanin"/>
          <w:color w:val="111111"/>
          <w:sz w:val="28"/>
          <w:sz w:val="28"/>
          <w:szCs w:val="28"/>
          <w:rtl w:val="true"/>
          <w:lang w:bidi="fa-IR"/>
        </w:rPr>
        <w:t>و ابن البرّاج</w:t>
      </w:r>
      <w:r>
        <w:rPr>
          <w:rStyle w:val="FootnoteAnchor"/>
          <w:rtl w:val="true"/>
        </w:rPr>
        <w:footnoteReference w:id="2878"/>
      </w:r>
      <w:r>
        <w:rPr>
          <w:rFonts w:ascii="Amiri" w:hAnsi="Amiri" w:eastAsia="Amiri" w:cs="Amiri"/>
          <w:color w:val="111111"/>
          <w:sz w:val="28"/>
          <w:sz w:val="28"/>
          <w:szCs w:val="28"/>
          <w:rtl w:val="true"/>
          <w:lang w:bidi="ar-SA"/>
        </w:rPr>
        <w:t>و العلاّمة</w:t>
      </w:r>
      <w:r>
        <w:rPr>
          <w:rStyle w:val="FootnoteAnchor"/>
          <w:rtl w:val="true"/>
        </w:rPr>
        <w:footnoteReference w:id="2879"/>
      </w:r>
      <w:r>
        <w:rPr>
          <w:rFonts w:ascii="IRNazanin" w:hAnsi="IRNazanin" w:eastAsia="IRNazanin"/>
          <w:color w:val="111111"/>
          <w:sz w:val="28"/>
          <w:sz w:val="28"/>
          <w:szCs w:val="28"/>
          <w:rtl w:val="true"/>
          <w:lang w:bidi="fa-IR"/>
        </w:rPr>
        <w:t>و الشهیدان</w:t>
      </w:r>
      <w:r>
        <w:rPr>
          <w:rStyle w:val="FootnoteAnchor"/>
          <w:rtl w:val="true"/>
        </w:rPr>
        <w:footnoteReference w:id="2880"/>
      </w:r>
      <w:r>
        <w:rPr>
          <w:rFonts w:ascii="IRNazanin" w:hAnsi="IRNazanin" w:eastAsia="IRNazanin"/>
          <w:color w:val="111111"/>
          <w:sz w:val="28"/>
          <w:sz w:val="28"/>
          <w:szCs w:val="28"/>
          <w:rtl w:val="true"/>
          <w:lang w:bidi="fa-IR"/>
        </w:rPr>
        <w:t>و الأردبیلی</w:t>
      </w:r>
      <w:r>
        <w:rPr>
          <w:rStyle w:val="FootnoteAnchor"/>
          <w:rtl w:val="true"/>
        </w:rPr>
        <w:footnoteReference w:id="2881"/>
      </w:r>
      <w:r>
        <w:rPr>
          <w:rFonts w:ascii="IRNazanin" w:hAnsi="IRNazanin" w:eastAsia="IRNazanin"/>
          <w:color w:val="111111"/>
          <w:sz w:val="28"/>
          <w:sz w:val="28"/>
          <w:szCs w:val="28"/>
          <w:rtl w:val="true"/>
          <w:lang w:bidi="fa-IR"/>
        </w:rPr>
        <w:t>و الخراسانی</w:t>
      </w:r>
      <w:r>
        <w:rPr>
          <w:rStyle w:val="FootnoteAnchor"/>
          <w:rtl w:val="true"/>
        </w:rPr>
        <w:footnoteReference w:id="2882"/>
      </w:r>
      <w:r>
        <w:rPr>
          <w:rFonts w:ascii="IRNazanin" w:hAnsi="IRNazanin" w:eastAsia="IRNazanin"/>
          <w:color w:val="111111"/>
          <w:sz w:val="28"/>
          <w:sz w:val="28"/>
          <w:szCs w:val="28"/>
          <w:rtl w:val="true"/>
          <w:lang w:bidi="fa-IR"/>
        </w:rPr>
        <w:t>و غیرهم</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المعلوم کون الغرض منهما حصول ذلک فی الخارج، لا أنّهما مرادان من کلّ شخص بعینه، بل یمکن دعوی عدم تعقّل إرادة الحمل علی المعروف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الجمیع، کغسل المیّت و دفنه</w:t>
      </w:r>
      <w:bookmarkStart w:id="1133" w:name="pg11756_104356"/>
    </w:p>
    <w:p>
      <w:pPr>
        <w:pStyle w:val="BookText"/>
        <w:rPr/>
      </w:pPr>
      <w:bookmarkEnd w:id="1133"/>
      <w:r>
        <w:rPr>
          <w:rFonts w:ascii="Amiri" w:hAnsi="Amiri" w:eastAsia="Amiri" w:cs="Amiri"/>
          <w:color w:val="111111"/>
          <w:sz w:val="28"/>
          <w:sz w:val="28"/>
          <w:szCs w:val="28"/>
          <w:rtl w:val="true"/>
          <w:lang w:bidi="ar-SA"/>
        </w:rPr>
        <w:t>و نحوهما، و العمدة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w:t>
      </w:r>
      <w:r>
        <w:rPr>
          <w:rFonts w:eastAsia="Amiri" w:cs="Amiri" w:ascii="Amiri" w:hAnsi="Amiri"/>
          <w:color w:val="111111"/>
          <w:sz w:val="28"/>
          <w:szCs w:val="28"/>
          <w:rtl w:val="true"/>
          <w:lang w:bidi="ar-SA"/>
        </w:rPr>
        <w:t xml:space="preserve">... </w:t>
      </w:r>
      <w:r>
        <w:rPr>
          <w:rStyle w:val="FootnoteAnchor"/>
          <w:rtl w:val="true"/>
        </w:rPr>
        <w:footnoteReference w:id="2884"/>
      </w:r>
      <w:r>
        <w:rPr>
          <w:rFonts w:ascii="IRNazanin" w:hAnsi="IRNazanin" w:eastAsia="IRNazanin"/>
          <w:color w:val="111111"/>
          <w:sz w:val="28"/>
          <w:sz w:val="28"/>
          <w:szCs w:val="28"/>
          <w:rtl w:val="true"/>
          <w:lang w:bidi="fa-IR"/>
        </w:rPr>
        <w:t xml:space="preserve">، الآیة،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انقدح ممّا ذکرنا أنّ الأقوی هو الوجوب الکفائی</w:t>
      </w:r>
      <w:r>
        <w:rPr>
          <w:rFonts w:eastAsia="IRNazanin" w:cs="IRNazanin"/>
          <w:color w:val="111111"/>
          <w:sz w:val="28"/>
          <w:szCs w:val="28"/>
          <w:rtl w:val="true"/>
          <w:lang w:bidi="fa-IR"/>
        </w:rPr>
        <w:t>»</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وجوبهما عینیّ، کما ذهب إلیه الشیخ</w:t>
      </w:r>
      <w:r>
        <w:rPr>
          <w:rStyle w:val="FootnoteAnchor"/>
          <w:rtl w:val="true"/>
        </w:rPr>
        <w:footnoteReference w:id="2886"/>
      </w:r>
      <w:r>
        <w:rPr>
          <w:rFonts w:ascii="Amiri" w:hAnsi="Amiri" w:eastAsia="Amiri" w:cs="Amiri"/>
          <w:color w:val="111111"/>
          <w:sz w:val="28"/>
          <w:sz w:val="28"/>
          <w:szCs w:val="28"/>
          <w:rtl w:val="true"/>
          <w:lang w:bidi="ar-SA"/>
        </w:rPr>
        <w:t>و ابن حمزة</w:t>
      </w:r>
      <w:r>
        <w:rPr>
          <w:rStyle w:val="FootnoteAnchor"/>
          <w:rtl w:val="true"/>
        </w:rPr>
        <w:footnoteReference w:id="2887"/>
      </w:r>
      <w:r>
        <w:rPr>
          <w:rFonts w:ascii="IRNazanin" w:hAnsi="IRNazanin" w:eastAsia="IRNazanin"/>
          <w:color w:val="111111"/>
          <w:sz w:val="28"/>
          <w:sz w:val="28"/>
          <w:szCs w:val="28"/>
          <w:rtl w:val="true"/>
          <w:lang w:bidi="fa-IR"/>
        </w:rPr>
        <w:t>، و الشهید فی غایة المراد</w:t>
      </w:r>
      <w:r>
        <w:rPr>
          <w:rStyle w:val="FootnoteAnchor"/>
          <w:rtl w:val="true"/>
        </w:rPr>
        <w:footnoteReference w:id="2888"/>
      </w:r>
      <w:r>
        <w:rPr>
          <w:rFonts w:ascii="IRNazanin" w:hAnsi="IRNazanin" w:eastAsia="IRNazanin"/>
          <w:color w:val="111111"/>
          <w:sz w:val="28"/>
          <w:sz w:val="28"/>
          <w:szCs w:val="28"/>
          <w:rtl w:val="true"/>
          <w:lang w:bidi="fa-IR"/>
        </w:rPr>
        <w:t>، 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أنّ الوجوب عینی لظاهر وَ أْمُرْ بِالْعُرْفِ </w:t>
      </w:r>
      <w:r>
        <w:rPr>
          <w:rStyle w:val="FootnoteAnchor"/>
          <w:rtl w:val="true"/>
        </w:rPr>
        <w:footnoteReference w:id="2890"/>
      </w:r>
      <w:r>
        <w:rPr>
          <w:rFonts w:ascii="IRNazanin" w:hAnsi="IRNazanin" w:eastAsia="IRNazanin"/>
          <w:color w:val="111111"/>
          <w:sz w:val="28"/>
          <w:sz w:val="28"/>
          <w:szCs w:val="28"/>
          <w:rtl w:val="true"/>
          <w:lang w:bidi="fa-IR"/>
        </w:rPr>
        <w:t>و غیر ذلک، و لا محذور؛ لأنّ الواجب علی الجمیع المبادرة إلی الأمر و النهی، و لا یکفی بعض عن بعض، فلو تخلّف بعض کان آثما و إن حصل المطلوب بالبعض الآخر، و لا کذلک الوجوب الکفائی، و لیس المراد أنّه بعد التأثیر یبقی وجوب الأمر و النهی علی الباقین</w:t>
      </w:r>
      <w:r>
        <w:rPr>
          <w:rFonts w:eastAsia="IRNazanin" w:cs="IRNazanin"/>
          <w:color w:val="111111"/>
          <w:sz w:val="28"/>
          <w:szCs w:val="28"/>
          <w:rtl w:val="true"/>
          <w:lang w:bidi="fa-IR"/>
        </w:rPr>
        <w:t>»</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9644261_73709187"/>
      <w:bookmarkStart w:id="1135" w:name="_Toc425"/>
      <w:bookmarkEnd w:id="1134"/>
      <w:r>
        <w:rPr>
          <w:rtl w:val="true"/>
        </w:rPr>
        <w:t>المقام الثانی</w:t>
      </w:r>
      <w:r>
        <w:rPr>
          <w:rtl w:val="true"/>
        </w:rPr>
        <w:t xml:space="preserve">: </w:t>
      </w:r>
      <w:r>
        <w:rPr>
          <w:rtl w:val="true"/>
        </w:rPr>
        <w:t>هل هما واجبان عقلا أو شرعا؟</w:t>
      </w:r>
      <w:bookmarkEnd w:id="1135"/>
    </w:p>
    <w:p>
      <w:pPr>
        <w:pStyle w:val="BookText"/>
        <w:rPr/>
      </w:pPr>
      <w:r>
        <w:rPr>
          <w:rFonts w:ascii="IRNazanin" w:hAnsi="IRNazanin" w:eastAsia="IRNazanin"/>
          <w:color w:val="111111"/>
          <w:sz w:val="28"/>
          <w:sz w:val="28"/>
          <w:szCs w:val="28"/>
          <w:rtl w:val="true"/>
          <w:lang w:bidi="fa-IR"/>
        </w:rPr>
        <w:t>أنّه هل الأمر بالمعروف و النهی عن المنکر واجبان عقلا أو شرعا؟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واجبان عقلا؛ نظرا إلی کونه لطفا</w:t>
      </w:r>
      <w:r>
        <w:rPr>
          <w:rStyle w:val="FootnoteAnchor"/>
          <w:rtl w:val="true"/>
        </w:rPr>
        <w:footnoteReference w:id="2892"/>
      </w:r>
      <w:r>
        <w:rPr>
          <w:rFonts w:ascii="IRNazanin" w:hAnsi="IRNazanin" w:eastAsia="IRNazanin"/>
          <w:color w:val="111111"/>
          <w:sz w:val="28"/>
          <w:sz w:val="28"/>
          <w:szCs w:val="28"/>
          <w:rtl w:val="true"/>
          <w:lang w:bidi="fa-IR"/>
        </w:rPr>
        <w:t>، و لأنّ العقل یستقلّ بذلک من غیر حاجة إلی ورود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مؤکّد، کما ذهب إلیه الشیخ</w:t>
      </w:r>
      <w:r>
        <w:rPr>
          <w:rStyle w:val="FootnoteAnchor"/>
          <w:rtl w:val="true"/>
        </w:rPr>
        <w:footnoteReference w:id="2893"/>
      </w:r>
      <w:r>
        <w:rPr>
          <w:rFonts w:ascii="Amiri" w:hAnsi="Amiri" w:eastAsia="Amiri" w:cs="Amiri"/>
          <w:color w:val="111111"/>
          <w:sz w:val="28"/>
          <w:sz w:val="28"/>
          <w:szCs w:val="28"/>
          <w:rtl w:val="true"/>
          <w:lang w:bidi="ar-SA"/>
        </w:rPr>
        <w:t>و العلاّمة</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عقلیّ، فإنّا کما نعلم وجوب ردّ الودیعة و قبح الظلم نعلم وجوب الأمر بالمعروف الواجب و وجوب النهی عن المنکر</w:t>
      </w:r>
      <w:r>
        <w:rPr>
          <w:rFonts w:eastAsia="IRNazanin" w:cs="IRNazanin"/>
          <w:color w:val="111111"/>
          <w:sz w:val="28"/>
          <w:szCs w:val="28"/>
          <w:rtl w:val="true"/>
          <w:lang w:bidi="fa-IR"/>
        </w:rPr>
        <w:t>»</w:t>
      </w:r>
      <w:r>
        <w:rPr>
          <w:rStyle w:val="FootnoteAnchor"/>
          <w:rtl w:val="true"/>
        </w:rPr>
        <w:footnoteReference w:id="2895"/>
      </w:r>
      <w:r>
        <w:rPr>
          <w:rFonts w:ascii="IRNazanin" w:hAnsi="IRNazanin" w:eastAsia="IRNazanin"/>
          <w:color w:val="111111"/>
          <w:sz w:val="28"/>
          <w:sz w:val="28"/>
          <w:szCs w:val="28"/>
          <w:rtl w:val="true"/>
          <w:lang w:bidi="fa-IR"/>
        </w:rPr>
        <w:t>، و به قال الشهیدان</w:t>
      </w:r>
      <w:r>
        <w:rPr>
          <w:rStyle w:val="FootnoteAnchor"/>
          <w:rtl w:val="true"/>
        </w:rPr>
        <w:footnoteReference w:id="2896"/>
      </w:r>
      <w:r>
        <w:rPr>
          <w:rFonts w:ascii="IRNazanin" w:hAnsi="IRNazanin" w:eastAsia="IRNazanin"/>
          <w:color w:val="111111"/>
          <w:sz w:val="28"/>
          <w:sz w:val="28"/>
          <w:szCs w:val="28"/>
          <w:rtl w:val="true"/>
          <w:lang w:bidi="fa-IR"/>
        </w:rPr>
        <w:t>و الفاضل المقداد</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دعوی أنّ إیجابهما من اللطف الذی یصل العقل إلی وجوبه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المنع کوضوح الاکتفاء من اللّه تعالی بالترغیب و الترهیب و نحوهما ممّا یقرّب معه العبد إلی الطاعة و یبعّد عن المعصیة، دون الإلجاء فی فعل الواجب و ترک المحرّم</w:t>
      </w:r>
      <w:r>
        <w:rPr>
          <w:rFonts w:eastAsia="IRNazanin" w:cs="IRNazanin"/>
          <w:color w:val="111111"/>
          <w:sz w:val="28"/>
          <w:szCs w:val="28"/>
          <w:rtl w:val="true"/>
          <w:lang w:bidi="fa-IR"/>
        </w:rPr>
        <w:t>»</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واجبان شرعا کما قال به السیّد</w:t>
      </w:r>
      <w:r>
        <w:rPr>
          <w:rStyle w:val="FootnoteAnchor"/>
          <w:rtl w:val="true"/>
        </w:rPr>
        <w:footnoteReference w:id="2899"/>
      </w:r>
      <w:r>
        <w:rPr>
          <w:rFonts w:ascii="Amiri" w:hAnsi="Amiri" w:eastAsia="Amiri" w:cs="Amiri"/>
          <w:color w:val="111111"/>
          <w:sz w:val="28"/>
          <w:sz w:val="28"/>
          <w:szCs w:val="28"/>
          <w:rtl w:val="true"/>
          <w:lang w:bidi="ar-SA"/>
        </w:rPr>
        <w:t>و الحلّی</w:t>
      </w:r>
      <w:r>
        <w:rPr>
          <w:rStyle w:val="FootnoteAnchor"/>
          <w:rtl w:val="true"/>
        </w:rPr>
        <w:footnoteReference w:id="2900"/>
      </w:r>
      <w:r>
        <w:rPr>
          <w:rFonts w:ascii="IRNazanin" w:hAnsi="IRNazanin" w:eastAsia="IRNazanin"/>
          <w:color w:val="111111"/>
          <w:sz w:val="28"/>
          <w:sz w:val="28"/>
          <w:szCs w:val="28"/>
          <w:rtl w:val="true"/>
          <w:lang w:bidi="fa-IR"/>
        </w:rPr>
        <w:t>و الحلبی</w:t>
      </w:r>
      <w:r>
        <w:rPr>
          <w:rStyle w:val="FootnoteAnchor"/>
          <w:rtl w:val="true"/>
        </w:rPr>
        <w:footnoteReference w:id="2901"/>
      </w:r>
      <w:r>
        <w:rPr>
          <w:rFonts w:ascii="IRNazanin" w:hAnsi="IRNazanin" w:eastAsia="IRNazanin"/>
          <w:color w:val="111111"/>
          <w:sz w:val="28"/>
          <w:sz w:val="28"/>
          <w:szCs w:val="28"/>
          <w:rtl w:val="true"/>
          <w:lang w:bidi="fa-IR"/>
        </w:rPr>
        <w:t>و الکرکی</w:t>
      </w:r>
      <w:r>
        <w:rPr>
          <w:rStyle w:val="FootnoteAnchor"/>
          <w:rtl w:val="true"/>
        </w:rPr>
        <w:footnoteReference w:id="2902"/>
      </w:r>
      <w:r>
        <w:rPr>
          <w:rFonts w:ascii="IRNazanin" w:hAnsi="IRNazanin" w:eastAsia="IRNazanin"/>
          <w:color w:val="111111"/>
          <w:sz w:val="28"/>
          <w:sz w:val="28"/>
          <w:szCs w:val="28"/>
          <w:rtl w:val="true"/>
          <w:lang w:bidi="fa-IR"/>
        </w:rPr>
        <w:t>و فخر المحقّقین</w:t>
      </w:r>
      <w:r>
        <w:rPr>
          <w:rStyle w:val="FootnoteAnchor"/>
          <w:rtl w:val="true"/>
        </w:rPr>
        <w:footnoteReference w:id="2903"/>
      </w:r>
      <w:r>
        <w:rPr>
          <w:rFonts w:ascii="IRNazanin" w:hAnsi="IRNazanin" w:eastAsia="IRNazanin"/>
          <w:color w:val="111111"/>
          <w:sz w:val="28"/>
          <w:sz w:val="28"/>
          <w:szCs w:val="28"/>
          <w:rtl w:val="true"/>
          <w:lang w:bidi="fa-IR"/>
        </w:rPr>
        <w:t>و والده فی بعض کتبه</w:t>
      </w:r>
      <w:r>
        <w:rPr>
          <w:rStyle w:val="FootnoteAnchor"/>
          <w:rtl w:val="true"/>
        </w:rPr>
        <w:footnoteReference w:id="2904"/>
      </w:r>
      <w:r>
        <w:rPr>
          <w:rFonts w:ascii="IRNazanin" w:hAnsi="IRNazanin" w:eastAsia="IRNazanin"/>
          <w:color w:val="111111"/>
          <w:sz w:val="28"/>
          <w:sz w:val="28"/>
          <w:szCs w:val="28"/>
          <w:rtl w:val="true"/>
          <w:lang w:bidi="fa-IR"/>
        </w:rPr>
        <w:t>، بل فی</w:t>
      </w:r>
      <w:bookmarkStart w:id="1136" w:name="pg11756_104358"/>
    </w:p>
    <w:p>
      <w:pPr>
        <w:pStyle w:val="BookText"/>
        <w:rPr/>
      </w:pPr>
      <w:bookmarkEnd w:id="1136"/>
      <w:r>
        <w:rPr>
          <w:rFonts w:ascii="IRNazanin" w:hAnsi="IRNazanin" w:eastAsia="IRNazanin"/>
          <w:color w:val="111111"/>
          <w:sz w:val="28"/>
          <w:sz w:val="28"/>
          <w:szCs w:val="28"/>
          <w:rtl w:val="true"/>
          <w:lang w:bidi="fa-IR"/>
        </w:rPr>
        <w:t>المختلف</w:t>
      </w:r>
      <w:r>
        <w:rPr>
          <w:rStyle w:val="FootnoteAnchor"/>
          <w:rtl w:val="true"/>
        </w:rPr>
        <w:footnoteReference w:id="2905"/>
      </w:r>
      <w:r>
        <w:rPr>
          <w:rFonts w:ascii="IRNazanin" w:hAnsi="IRNazanin" w:eastAsia="IRNazanin"/>
          <w:color w:val="111111"/>
          <w:sz w:val="28"/>
          <w:sz w:val="28"/>
          <w:szCs w:val="28"/>
          <w:rtl w:val="true"/>
          <w:lang w:bidi="fa-IR"/>
        </w:rPr>
        <w:t>نسبته إلی الأکثر، بل فی السرائر نسبته إلی جمهور المتکلّمین و المحصّلین من الفقهاء</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إشکال فی وجوبهما الشرعی</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المقامین فی محلّهما</w:t>
      </w:r>
      <w:r>
        <w:rPr>
          <w:rFonts w:eastAsia="IRNazanin" w:cs="IRNazanin"/>
          <w:color w:val="111111"/>
          <w:sz w:val="28"/>
          <w:szCs w:val="28"/>
          <w:rtl w:val="true"/>
          <w:lang w:bidi="fa-IR"/>
        </w:rPr>
        <w:t>.</w:t>
      </w:r>
    </w:p>
    <w:p>
      <w:pPr>
        <w:pStyle w:val="Heading3"/>
        <w:numPr>
          <w:ilvl w:val="2"/>
          <w:numId w:val="1"/>
        </w:numPr>
        <w:rPr/>
      </w:pPr>
      <w:bookmarkStart w:id="1137" w:name="__RefHeading___Toc9644263_73709187"/>
      <w:bookmarkStart w:id="1138" w:name="_Toc426"/>
      <w:bookmarkEnd w:id="1137"/>
      <w:r>
        <w:rPr>
          <w:rtl w:val="true"/>
        </w:rPr>
        <w:t>سقوطهما عن البالغین بفعل الصبیّ</w:t>
      </w:r>
      <w:bookmarkEnd w:id="1138"/>
    </w:p>
    <w:p>
      <w:pPr>
        <w:pStyle w:val="BookText"/>
        <w:rPr/>
      </w:pPr>
      <w:r>
        <w:rPr>
          <w:rFonts w:ascii="IRNazanin" w:hAnsi="IRNazanin" w:eastAsia="IRNazanin"/>
          <w:color w:val="111111"/>
          <w:sz w:val="28"/>
          <w:sz w:val="28"/>
          <w:szCs w:val="28"/>
          <w:rtl w:val="true"/>
          <w:lang w:bidi="fa-IR"/>
        </w:rPr>
        <w:t>اتّفق الفقهاء علی أنّه لا یجب الأمر بالمعروف و النهی عن المنکر علی الصبیّ و لو کان ممیّزا مراهقا؛ لأنّه من شرائط وجوبهما التکلیف، و المقصود بالبحث فی المقام هو أنّه إذا قام بهما الصبیّ و حصل الغرض منهما، هل یسقط الوجوب عن البالغین؛ بمعنی عدم کونهم آثمین و لم یکونوا معاقبین، أم لا؟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ذلک یبتنی علی أنّ الواجبات الکفائیّة هل تسقط بفعل الصبیّ، کتجهیز الموتی، و ردّ السلام، و القتال لدفع العدوّ، و غیرها؟ فعلی تقدیر أن یکونا واجبین علی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بأنّ معنی الوجوب الکفائی أنّ الغرض و المطلوب فی نظر الشرع تحصیل المعروف و ارتفاع المنکر و تحقّقهما</w:t>
      </w:r>
      <w:bookmarkStart w:id="1139" w:name="pg11756_104359"/>
    </w:p>
    <w:p>
      <w:pPr>
        <w:pStyle w:val="BookText"/>
        <w:rPr/>
      </w:pPr>
      <w:bookmarkEnd w:id="1139"/>
      <w:r>
        <w:rPr>
          <w:rFonts w:ascii="IRNazanin" w:hAnsi="IRNazanin" w:eastAsia="IRNazanin"/>
          <w:color w:val="111111"/>
          <w:sz w:val="28"/>
          <w:sz w:val="28"/>
          <w:szCs w:val="28"/>
          <w:rtl w:val="true"/>
          <w:lang w:bidi="fa-IR"/>
        </w:rPr>
        <w:t>فی الخارج، و لم یتعلّق غرضه بالإیقاع من مباشر بعینه، فإذا حصل الغرض بفعل الصبیّ الممیّز یسقط الوجوب عن البالغین؛ لفقد شرط الوجوب الذی هو ترک المعروف و الإصرار علی المعاصی،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بکونهما واجبین عقلا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واجبان علی الممیّز؛ لأنّ العقل کما یحکم بالوجوب کذلک یعیّن موضوع حکمه، و لا یفرق فی حکم العقل بحسن ذلک الفعل بین أن یکون الفاعل بالغا أو غیر بالغ؛ لأنّ الصبیّ الممیّز فی نظر العقل یستطیع أن یأمر بالمعروف و ینهی عن المنکر، فإذن یمکن أن یحکم العقل بأنّ علی الصبیّ الممیّز القیام بالأمر بالمعروف و النهی عن المنکر، و إذا قام بذلک حصل الغرض بفعله، و سقط التکلیف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بناء علی القول بمشروعیّة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و قد تقدّم الکلام فیه </w:t>
      </w:r>
      <w:r>
        <w:rPr>
          <w:rStyle w:val="FootnoteAnchor"/>
          <w:rtl w:val="true"/>
        </w:rPr>
        <w:footnoteReference w:id="2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للصبیّ أن یقوم بالأمر بالمعروف و النهی عن المنکر، و اللّه هو العالم</w:t>
      </w:r>
      <w:r>
        <w:rPr>
          <w:rFonts w:eastAsia="IRNazanin" w:cs="IRNazanin"/>
          <w:color w:val="111111"/>
          <w:sz w:val="28"/>
          <w:szCs w:val="28"/>
          <w:rtl w:val="true"/>
          <w:lang w:bidi="fa-IR"/>
        </w:rPr>
        <w:t>.</w:t>
      </w:r>
    </w:p>
    <w:p>
      <w:pPr>
        <w:pStyle w:val="Heading3"/>
        <w:numPr>
          <w:ilvl w:val="2"/>
          <w:numId w:val="1"/>
        </w:numPr>
        <w:rPr/>
      </w:pPr>
      <w:bookmarkStart w:id="1140" w:name="__RefHeading___Toc9644265_73709187"/>
      <w:bookmarkStart w:id="1141" w:name="_Toc427"/>
      <w:bookmarkEnd w:id="1140"/>
      <w:r>
        <w:rPr>
          <w:rtl w:val="true"/>
        </w:rPr>
        <w:t>رأی أهل السنّة فی المسألة</w:t>
      </w:r>
      <w:bookmarkEnd w:id="1141"/>
    </w:p>
    <w:p>
      <w:pPr>
        <w:pStyle w:val="BookText"/>
        <w:rPr/>
      </w:pPr>
      <w:r>
        <w:rPr>
          <w:rFonts w:ascii="IRNazanin" w:hAnsi="IRNazanin" w:eastAsia="IRNazanin"/>
          <w:color w:val="111111"/>
          <w:sz w:val="28"/>
          <w:sz w:val="28"/>
          <w:szCs w:val="28"/>
          <w:rtl w:val="true"/>
          <w:lang w:bidi="fa-IR"/>
        </w:rPr>
        <w:t>لا خلاف بین المذاهب الأربعة فی أنّه لا یجب الأمر بالمعروف و النهی عن المنکر علی الصبیّ و لو کان ممیّزا، حیث إنّهم صرّحوا بأنّ الوجوب فیهما یتعلّق بالمکلّف القادر من رجل أو امرأة، حرّ أو عبد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شرح النووی علی 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تطابق علی وجوب الأمر بالمعروف و النهی عن المنکر الکتاب و السنّة و إجماع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کفایة، إذا قام به بعض الناس سقط الحرج عن الباقین،</w:t>
      </w:r>
    </w:p>
    <w:p>
      <w:pPr>
        <w:pStyle w:val="BookText"/>
        <w:rPr/>
      </w:pPr>
      <w:r>
        <w:rPr>
          <w:rFonts w:ascii="IRNazanin" w:hAnsi="IRNazanin" w:eastAsia="IRNazanin"/>
          <w:color w:val="111111"/>
          <w:sz w:val="28"/>
          <w:sz w:val="28"/>
          <w:szCs w:val="28"/>
          <w:rtl w:val="true"/>
          <w:lang w:bidi="fa-IR"/>
        </w:rPr>
        <w:t>و إذا ترکه الجمیع أثم کلّ من تمکّن منه بلا عذر و لا خوف</w:t>
      </w:r>
      <w:r>
        <w:rPr>
          <w:rFonts w:eastAsia="IRNazanin" w:cs="IRNazanin"/>
          <w:color w:val="111111"/>
          <w:sz w:val="28"/>
          <w:szCs w:val="28"/>
          <w:rtl w:val="true"/>
          <w:lang w:bidi="fa-IR"/>
        </w:rPr>
        <w:t>»</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 واجب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أمکنه أن یأمر بالمعروف وجب علیه الجمع</w:t>
      </w:r>
      <w:r>
        <w:rPr>
          <w:rFonts w:eastAsia="IRNazanin" w:cs="IRNazanin"/>
          <w:color w:val="111111"/>
          <w:sz w:val="28"/>
          <w:szCs w:val="28"/>
          <w:rtl w:val="true"/>
          <w:lang w:bidi="fa-IR"/>
        </w:rPr>
        <w:t>»</w:t>
      </w:r>
      <w:r>
        <w:rPr>
          <w:rStyle w:val="FootnoteAnchor"/>
          <w:rtl w:val="true"/>
        </w:rPr>
        <w:footnoteReference w:id="2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مکلّف قادر من رجل أو امرأة، حرّ أو عبد، و للصبیّ ذلک و یثاب علیه، إلاّ أنّه لا یجب علیه</w:t>
      </w:r>
      <w:r>
        <w:rPr>
          <w:rFonts w:eastAsia="IRNazanin" w:cs="IRNazanin"/>
          <w:color w:val="111111"/>
          <w:sz w:val="28"/>
          <w:szCs w:val="28"/>
          <w:rtl w:val="true"/>
          <w:lang w:bidi="fa-IR"/>
        </w:rPr>
        <w:t>»</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bookmarkStart w:id="1142" w:name="pg11756_104362"/>
    </w:p>
    <w:p>
      <w:pPr>
        <w:pStyle w:val="Heading2"/>
        <w:numPr>
          <w:ilvl w:val="1"/>
          <w:numId w:val="1"/>
        </w:numPr>
        <w:rPr/>
      </w:pPr>
      <w:bookmarkStart w:id="1143" w:name="__RefHeading___Toc9644267_73709187"/>
      <w:bookmarkStart w:id="1144" w:name="_Toc428"/>
      <w:bookmarkEnd w:id="1142"/>
      <w:bookmarkEnd w:id="1143"/>
      <w:r>
        <w:rPr>
          <w:rtl w:val="true"/>
        </w:rPr>
        <w:t>الفصل الثامن استحباب التسلیم علی الصبیّ و فیه مباحث</w:t>
      </w:r>
      <w:r>
        <w:rPr>
          <w:rtl w:val="true"/>
        </w:rPr>
        <w:t>:</w:t>
      </w:r>
      <w:bookmarkEnd w:id="114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5" w:name="__RefHeading___Toc9644269_73709187"/>
      <w:bookmarkStart w:id="1146" w:name="_Toc429"/>
      <w:bookmarkEnd w:id="1145"/>
      <w:r>
        <w:rPr>
          <w:rtl w:val="true"/>
        </w:rPr>
        <w:t>اشارة</w:t>
      </w:r>
      <w:bookmarkStart w:id="1147" w:name="pg11756_104364"/>
      <w:bookmarkEnd w:id="1146"/>
    </w:p>
    <w:p>
      <w:pPr>
        <w:pStyle w:val="Heading3"/>
        <w:numPr>
          <w:ilvl w:val="2"/>
          <w:numId w:val="1"/>
        </w:numPr>
        <w:rPr/>
      </w:pPr>
      <w:bookmarkStart w:id="1148" w:name="__RefHeading___Toc9644271_73709187"/>
      <w:bookmarkStart w:id="1149" w:name="_Toc430"/>
      <w:bookmarkEnd w:id="1147"/>
      <w:bookmarkEnd w:id="1148"/>
      <w:r>
        <w:rPr>
          <w:rtl w:val="true"/>
        </w:rPr>
        <w:t>المبحث الأوّل</w:t>
      </w:r>
      <w:r>
        <w:rPr>
          <w:rtl w:val="true"/>
        </w:rPr>
        <w:t xml:space="preserve">: </w:t>
      </w:r>
      <w:r>
        <w:rPr>
          <w:rtl w:val="true"/>
        </w:rPr>
        <w:t>معنی السلام و صیغته و حکم ردّه</w:t>
      </w:r>
      <w:bookmarkEnd w:id="1149"/>
    </w:p>
    <w:p>
      <w:pPr>
        <w:pStyle w:val="Heading4"/>
        <w:numPr>
          <w:ilvl w:val="3"/>
          <w:numId w:val="1"/>
        </w:numPr>
        <w:rPr/>
      </w:pPr>
      <w:bookmarkStart w:id="1150" w:name="__RefHeading___Toc9644273_73709187"/>
      <w:bookmarkStart w:id="1151" w:name="_Toc431"/>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سلم و سلّم، و من معانی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و الأمن و التحیّة، و لذلک قیل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لأنّها دار السلامة من الآفات کالهرم و الأسقام و الموت،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السلام الّذی هو مصدر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دعاء للإنسان بأن یسلم من الآفات فی دینه و نفسه</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یطلق عند الفقهاء علی التحیّة التی أمر اللّه سبحانه و تعالی بها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 أَنْفُسِکُمْ تَحِیَّةً مِنْ عِنْدِ اللّهِ مُبارَکَةً طَیِّبَةً </w:t>
      </w:r>
      <w:r>
        <w:rPr>
          <w:rStyle w:val="FootnoteAnchor"/>
          <w:rtl w:val="true"/>
        </w:rPr>
        <w:footnoteReference w:id="2917"/>
      </w:r>
      <w:r>
        <w:rPr>
          <w:rFonts w:ascii="IRNazanin" w:hAnsi="IRNazanin" w:eastAsia="IRNazanin"/>
          <w:color w:val="111111"/>
          <w:sz w:val="28"/>
          <w:sz w:val="28"/>
          <w:szCs w:val="28"/>
          <w:rtl w:val="true"/>
          <w:lang w:bidi="fa-IR"/>
        </w:rPr>
        <w:t>، و ذلک أنّ للعرب و غیرهم تحیّات خاصّة بهم، فلمّا جاء الإسلام دعا المؤمنین</w:t>
      </w:r>
      <w:bookmarkStart w:id="1152" w:name="pg11756_104365"/>
    </w:p>
    <w:p>
      <w:pPr>
        <w:pStyle w:val="BookText"/>
        <w:rPr/>
      </w:pPr>
      <w:bookmarkEnd w:id="1152"/>
      <w:r>
        <w:rPr>
          <w:rFonts w:ascii="IRNazanin" w:hAnsi="IRNazanin" w:eastAsia="IRNazanin"/>
          <w:color w:val="111111"/>
          <w:sz w:val="28"/>
          <w:sz w:val="28"/>
          <w:szCs w:val="28"/>
          <w:rtl w:val="true"/>
          <w:lang w:bidi="fa-IR"/>
        </w:rPr>
        <w:t>إلی التحیّة الخاصّة، و هی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علیه و أمرهم بإفشائه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مستدرک الوسائل عن 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النبیّ صلّی اللّه علیه و آله إذا أتوه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و أنعم مساء، و هی تحیّة أهل الجاهلیّة،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 حَیَّوْکَ بِما لَمْ یُحَیِّکَ بِهِ اللّهُ </w:t>
      </w:r>
      <w:r>
        <w:rPr>
          <w:rStyle w:val="FootnoteAnchor"/>
          <w:rtl w:val="true"/>
        </w:rPr>
        <w:footnoteReference w:id="2918"/>
      </w:r>
      <w:r>
        <w:rPr>
          <w:rFonts w:ascii="IRNazanin" w:hAnsi="IRNazanin" w:eastAsia="IRNazanin"/>
          <w:color w:val="111111"/>
          <w:sz w:val="28"/>
          <w:sz w:val="28"/>
          <w:szCs w:val="28"/>
          <w:rtl w:val="true"/>
          <w:lang w:bidi="fa-IR"/>
        </w:rPr>
        <w:t>، فقال لهم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أبدلنا اللّه بخیر من ذلک، تحیّة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9644275_73709187"/>
      <w:bookmarkStart w:id="1154" w:name="_Toc432"/>
      <w:bookmarkEnd w:id="1153"/>
      <w:r>
        <w:rPr>
          <w:rtl w:val="true"/>
        </w:rPr>
        <w:t>صیغة السلام و صیغة الردّ</w:t>
      </w:r>
      <w:bookmarkEnd w:id="1154"/>
    </w:p>
    <w:p>
      <w:pPr>
        <w:pStyle w:val="BookText"/>
        <w:rPr/>
      </w:pPr>
      <w:r>
        <w:rPr>
          <w:rFonts w:ascii="IRNazanin" w:hAnsi="IRNazanin" w:eastAsia="IRNazanin"/>
          <w:color w:val="111111"/>
          <w:sz w:val="28"/>
          <w:sz w:val="28"/>
          <w:szCs w:val="28"/>
          <w:rtl w:val="true"/>
          <w:lang w:bidi="fa-IR"/>
        </w:rPr>
        <w:t>صیغة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 الکاملة أن یقول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المسلّم علیه واحدا أو جماعة؛ لأنّ مع الواحد الحفظة</w:t>
      </w:r>
      <w:r>
        <w:rPr>
          <w:rStyle w:val="FootnoteAnchor"/>
          <w:rtl w:val="true"/>
        </w:rPr>
        <w:footnoteReference w:id="2920"/>
      </w:r>
      <w:r>
        <w:rPr>
          <w:rFonts w:ascii="IRNazanin" w:hAnsi="IRNazanin" w:eastAsia="IRNazanin"/>
          <w:color w:val="111111"/>
          <w:sz w:val="28"/>
          <w:sz w:val="28"/>
          <w:szCs w:val="28"/>
          <w:rtl w:val="true"/>
          <w:lang w:bidi="fa-IR"/>
        </w:rPr>
        <w:t>کالجمع من الآدمیّین، و هذه الصیغة هی الواردة عنهم علیهم السّلام کما فی خبر حسن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فهی عشر حسنات،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فهی عشرون حسنة،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 و برکاته فهی ثلاثون حسنة</w:t>
      </w:r>
      <w:r>
        <w:rPr>
          <w:rFonts w:eastAsia="IRNazanin" w:cs="IRNazanin"/>
          <w:color w:val="111111"/>
          <w:sz w:val="28"/>
          <w:szCs w:val="28"/>
          <w:rtl w:val="true"/>
          <w:lang w:bidi="fa-IR"/>
        </w:rPr>
        <w:t>»</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القطب الراوندی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آخر،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Style w:val="FootnoteAnchor"/>
          <w:rtl w:val="true"/>
        </w:rPr>
        <w:footnoteReference w:id="2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مشکاة الأنوار</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صیغة 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المسلّم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الخبر و بالواو، و الأولی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الخبرین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الفقهاء إلی أنّ السلام سنّة مستحبّة و لیس بواجب، و هو سنّة علی الکفایة، بمعنی أنّه إن کان المسلّمون جماعة یکفی سلام واحد منهم، و لو سلّموا کلّهم یکون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ردّ السلام فإن کان المسلّم علیه واحدا تعیّن علیه الردّ، و إن کانوا جماعة کان ردّ السلام فرض کفایة علیهم، فإن ردّ واحد سقط عن الباقی، و إن ترکوه أثموا کلّهم، و السلام علی هذا النحو ثابت بالکتاب و النصوص، و قد أجمع المسلمون علی أنّ ابتداء السلام سنّة مرغّب فیها، و أنّ ردّه فرض کفایة</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 أَنْفُسِکُمْ تَحِیَّةً مِنْ عِنْدِ اللّهِ مُبارَکَةً طَیِّبَةً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النصوص فهی کثیرة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جواب الکتاب واجب، کوجوب ردّ السلام، و البادی بالسلام أولی باللّه و برسوله</w:t>
      </w:r>
      <w:r>
        <w:rPr>
          <w:rFonts w:eastAsia="IRNazanin" w:cs="IRNazanin"/>
          <w:color w:val="111111"/>
          <w:sz w:val="28"/>
          <w:szCs w:val="28"/>
          <w:rtl w:val="true"/>
          <w:lang w:bidi="fa-IR"/>
        </w:rPr>
        <w:t>»</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 الردّ فریضة</w:t>
      </w:r>
      <w:r>
        <w:rPr>
          <w:rFonts w:eastAsia="IRNazanin" w:cs="IRNazanin"/>
          <w:color w:val="111111"/>
          <w:sz w:val="28"/>
          <w:szCs w:val="28"/>
          <w:rtl w:val="true"/>
          <w:lang w:bidi="fa-IR"/>
        </w:rPr>
        <w:t>»</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الرجل من الجماعة أجزأ عنهم</w:t>
      </w:r>
      <w:r>
        <w:rPr>
          <w:rFonts w:eastAsia="IRNazanin" w:cs="IRNazanin"/>
          <w:color w:val="111111"/>
          <w:sz w:val="28"/>
          <w:szCs w:val="28"/>
          <w:rtl w:val="true"/>
          <w:lang w:bidi="fa-IR"/>
        </w:rPr>
        <w:t>»</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من القوم واحد أجزأ عنهم، و إذا ردّ واحد أجزأ عنهم</w:t>
      </w:r>
      <w:r>
        <w:rPr>
          <w:rFonts w:eastAsia="IRNazanin" w:cs="IRNazanin"/>
          <w:color w:val="111111"/>
          <w:sz w:val="28"/>
          <w:szCs w:val="28"/>
          <w:rtl w:val="true"/>
          <w:lang w:bidi="fa-IR"/>
        </w:rPr>
        <w:t>»</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مرسلة ابن بکیر</w:t>
      </w:r>
      <w:r>
        <w:rPr>
          <w:rStyle w:val="FootnoteAnchor"/>
          <w:rtl w:val="true"/>
        </w:rPr>
        <w:footnoteReference w:id="2931"/>
      </w:r>
      <w:r>
        <w:rPr>
          <w:rFonts w:ascii="IRNazanin" w:hAnsi="IRNazanin" w:eastAsia="IRNazanin"/>
          <w:color w:val="111111"/>
          <w:sz w:val="28"/>
          <w:sz w:val="28"/>
          <w:szCs w:val="28"/>
          <w:rtl w:val="true"/>
          <w:lang w:bidi="fa-IR"/>
        </w:rPr>
        <w:t>و غیرها</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هذه الأخبار أنّ الردّ الصادر من أحدهم یجزئ عن الآخرین و إن کان فیهم المصلّی، کما أنّ السلام الصادر من أحدهم یجزی عن الباقین، و سیأتی قریبا حکم ردّ السلام فی الصلاة</w:t>
      </w:r>
      <w:r>
        <w:rPr>
          <w:rFonts w:eastAsia="IRNazanin" w:cs="IRNazanin"/>
          <w:color w:val="111111"/>
          <w:sz w:val="28"/>
          <w:szCs w:val="28"/>
          <w:rtl w:val="true"/>
          <w:lang w:bidi="fa-IR"/>
        </w:rPr>
        <w:t>.</w:t>
      </w:r>
      <w:bookmarkStart w:id="1155" w:name="pg11756_104368"/>
    </w:p>
    <w:p>
      <w:pPr>
        <w:pStyle w:val="Heading3"/>
        <w:numPr>
          <w:ilvl w:val="2"/>
          <w:numId w:val="1"/>
        </w:numPr>
        <w:rPr/>
      </w:pPr>
      <w:bookmarkStart w:id="1156" w:name="__RefHeading___Toc9644277_73709187"/>
      <w:bookmarkStart w:id="1157" w:name="_Toc433"/>
      <w:bookmarkEnd w:id="1155"/>
      <w:bookmarkEnd w:id="1156"/>
      <w:r>
        <w:rPr>
          <w:rtl w:val="true"/>
        </w:rPr>
        <w:t>المبحث الثانی</w:t>
      </w:r>
      <w:r>
        <w:rPr>
          <w:rtl w:val="true"/>
        </w:rPr>
        <w:t xml:space="preserve">: </w:t>
      </w:r>
      <w:r>
        <w:rPr>
          <w:rtl w:val="true"/>
        </w:rPr>
        <w:t>استحباب السلام للصبیّ، و ما یترتّب علیه</w:t>
      </w:r>
      <w:bookmarkEnd w:id="1157"/>
    </w:p>
    <w:p>
      <w:pPr>
        <w:pStyle w:val="Heading4"/>
        <w:numPr>
          <w:ilvl w:val="3"/>
          <w:numId w:val="1"/>
        </w:numPr>
        <w:rPr/>
      </w:pPr>
      <w:bookmarkStart w:id="1158" w:name="__RefHeading___Toc9644279_73709187"/>
      <w:bookmarkStart w:id="1159" w:name="_Toc434"/>
      <w:bookmarkEnd w:id="1158"/>
      <w:r>
        <w:rPr>
          <w:rtl w:val="true"/>
        </w:rPr>
        <w:t>اشارة</w:t>
      </w:r>
      <w:bookmarkEnd w:id="115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4"/>
        <w:numPr>
          <w:ilvl w:val="3"/>
          <w:numId w:val="1"/>
        </w:numPr>
        <w:rPr/>
      </w:pPr>
      <w:bookmarkStart w:id="1160" w:name="__RefHeading___Toc9644281_73709187"/>
      <w:bookmarkStart w:id="1161" w:name="_Toc435"/>
      <w:bookmarkEnd w:id="1160"/>
      <w:r>
        <w:rPr>
          <w:rtl w:val="true"/>
        </w:rPr>
        <w:t>المطلب الأوّل</w:t>
      </w:r>
      <w:r>
        <w:rPr>
          <w:rtl w:val="true"/>
        </w:rPr>
        <w:t xml:space="preserve">: </w:t>
      </w:r>
      <w:r>
        <w:rPr>
          <w:rtl w:val="true"/>
        </w:rPr>
        <w:t>استحباب السلام للصبیّ</w:t>
      </w:r>
      <w:bookmarkEnd w:id="1161"/>
    </w:p>
    <w:p>
      <w:pPr>
        <w:pStyle w:val="BookText"/>
        <w:rPr/>
      </w:pPr>
      <w:r>
        <w:rPr>
          <w:rFonts w:ascii="IRNazanin" w:hAnsi="IRNazanin" w:eastAsia="IRNazanin"/>
          <w:color w:val="111111"/>
          <w:sz w:val="28"/>
          <w:sz w:val="28"/>
          <w:szCs w:val="28"/>
          <w:rtl w:val="true"/>
          <w:lang w:bidi="fa-IR"/>
        </w:rPr>
        <w:t>یستحبّ للصبیّ أن یسلّم علی الکبیر، کما قال به الشیخ الحرّ العاملی</w:t>
      </w:r>
      <w:r>
        <w:rPr>
          <w:rStyle w:val="FootnoteAnchor"/>
          <w:rtl w:val="true"/>
        </w:rPr>
        <w:footnoteReference w:id="2933"/>
      </w:r>
      <w:r>
        <w:rPr>
          <w:rFonts w:ascii="IRNazanin" w:hAnsi="IRNazanin" w:eastAsia="IRNazanin"/>
          <w:color w:val="111111"/>
          <w:sz w:val="28"/>
          <w:sz w:val="28"/>
          <w:szCs w:val="28"/>
          <w:rtl w:val="true"/>
          <w:lang w:bidi="fa-IR"/>
        </w:rPr>
        <w:t>و تبعه المحدّث النوری</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العمومات و الإطلاقات </w:t>
      </w:r>
      <w:r>
        <w:rPr>
          <w:rStyle w:val="FootnoteAnchor"/>
          <w:rtl w:val="true"/>
        </w:rPr>
        <w:footnoteReference w:id="2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خبر جرّاح المدائنی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لیسلّم الصغیر علی الکبیر، و المارّ علی القاعد، و القلیل علی الکثیر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فی صحیح البخاری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الصغیر علی الکبیر، و المارّ علی القاعد، و القلیل علی الکثیر</w:t>
      </w:r>
      <w:r>
        <w:rPr>
          <w:rFonts w:eastAsia="IRNazanin" w:cs="IRNazanin"/>
          <w:color w:val="111111"/>
          <w:sz w:val="28"/>
          <w:szCs w:val="28"/>
          <w:rtl w:val="true"/>
          <w:lang w:bidi="fa-IR"/>
        </w:rPr>
        <w:t>»</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bookmarkStart w:id="1162" w:name="pg11756_104369"/>
    </w:p>
    <w:p>
      <w:pPr>
        <w:pStyle w:val="BookText"/>
        <w:rPr/>
      </w:pPr>
      <w:bookmarkEnd w:id="1162"/>
      <w:r>
        <w:rPr>
          <w:rFonts w:ascii="IRNazanin" w:hAnsi="IRNazanin" w:eastAsia="IRNazanin"/>
          <w:color w:val="111111"/>
          <w:sz w:val="28"/>
          <w:sz w:val="28"/>
          <w:szCs w:val="28"/>
          <w:rtl w:val="true"/>
          <w:lang w:bidi="fa-IR"/>
        </w:rPr>
        <w:t>و کذا فی السنن</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9644283_73709187"/>
      <w:bookmarkStart w:id="1164" w:name="_Toc436"/>
      <w:bookmarkEnd w:id="1163"/>
      <w:r>
        <w:rPr>
          <w:rtl w:val="true"/>
        </w:rPr>
        <w:t>المطلب الثانی</w:t>
      </w:r>
      <w:r>
        <w:rPr>
          <w:rtl w:val="true"/>
        </w:rPr>
        <w:t xml:space="preserve">: </w:t>
      </w:r>
      <w:r>
        <w:rPr>
          <w:rtl w:val="true"/>
        </w:rPr>
        <w:t>وجوب ردّ سلام الصبیّ</w:t>
      </w:r>
      <w:bookmarkEnd w:id="1164"/>
    </w:p>
    <w:p>
      <w:pPr>
        <w:pStyle w:val="BookText"/>
        <w:rPr/>
      </w:pPr>
      <w:r>
        <w:rPr>
          <w:rFonts w:ascii="IRNazanin" w:hAnsi="IRNazanin" w:eastAsia="IRNazanin"/>
          <w:color w:val="111111"/>
          <w:sz w:val="28"/>
          <w:sz w:val="28"/>
          <w:szCs w:val="28"/>
          <w:rtl w:val="true"/>
          <w:lang w:bidi="fa-IR"/>
        </w:rPr>
        <w:t>لا خلاف فی وجوب ردّ السلام فیما إذا کان المسلّم و المسلّم علیه مکلّفین حتّی فی حال الصلاة، و ادّعی فی التذکرة الإجماع علیه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علیه و هو فی الصلاة وجب علیه الردّ لفظا عند علمائنا</w:t>
      </w:r>
      <w:r>
        <w:rPr>
          <w:rFonts w:eastAsia="IRNazanin" w:cs="IRNazanin"/>
          <w:color w:val="111111"/>
          <w:sz w:val="28"/>
          <w:szCs w:val="28"/>
          <w:rtl w:val="true"/>
          <w:lang w:bidi="fa-IR"/>
        </w:rPr>
        <w:t>»</w:t>
      </w:r>
      <w:r>
        <w:rPr>
          <w:rStyle w:val="FootnoteAnchor"/>
          <w:rtl w:val="true"/>
        </w:rPr>
        <w:footnoteReference w:id="2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Style w:val="FootnoteAnchor"/>
          <w:rtl w:val="true"/>
        </w:rPr>
        <w:footnoteReference w:id="2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منقول علی أنّه یجب علی المصلّی ردّ السلام فی الانتصار</w:t>
      </w:r>
      <w:r>
        <w:rPr>
          <w:rStyle w:val="FootnoteAnchor"/>
          <w:rtl w:val="true"/>
        </w:rPr>
        <w:footnoteReference w:id="2941"/>
      </w:r>
      <w:r>
        <w:rPr>
          <w:rFonts w:ascii="IRNazanin" w:hAnsi="IRNazanin" w:eastAsia="IRNazanin"/>
          <w:color w:val="111111"/>
          <w:sz w:val="28"/>
          <w:sz w:val="28"/>
          <w:szCs w:val="28"/>
          <w:rtl w:val="true"/>
          <w:lang w:bidi="fa-IR"/>
        </w:rPr>
        <w:t>و جامع المقاصد</w:t>
      </w:r>
      <w:r>
        <w:rPr>
          <w:rFonts w:eastAsia="IRNazanin" w:cs="IRNazanin"/>
          <w:color w:val="111111"/>
          <w:sz w:val="28"/>
          <w:szCs w:val="28"/>
          <w:rtl w:val="true"/>
          <w:lang w:bidi="fa-IR"/>
        </w:rPr>
        <w:t>...</w:t>
      </w:r>
      <w:r>
        <w:rPr>
          <w:rStyle w:val="FootnoteAnchor"/>
          <w:rtl w:val="true"/>
        </w:rPr>
        <w:footnoteReference w:id="2942"/>
      </w:r>
      <w:r>
        <w:rPr>
          <w:rFonts w:ascii="IRNazanin" w:hAnsi="IRNazanin" w:eastAsia="IRNazanin"/>
          <w:color w:val="111111"/>
          <w:sz w:val="28"/>
          <w:sz w:val="28"/>
          <w:szCs w:val="28"/>
          <w:rtl w:val="true"/>
          <w:lang w:bidi="fa-IR"/>
        </w:rPr>
        <w:t>و نفی الخلاف عنه فی الذخیرة</w:t>
      </w:r>
      <w:r>
        <w:rPr>
          <w:rStyle w:val="FootnoteAnchor"/>
          <w:rtl w:val="true"/>
        </w:rPr>
        <w:footnoteReference w:id="2943"/>
      </w:r>
      <w:r>
        <w:rPr>
          <w:rFonts w:ascii="IRNazanin" w:hAnsi="IRNazanin" w:eastAsia="IRNazanin"/>
          <w:color w:val="111111"/>
          <w:sz w:val="28"/>
          <w:sz w:val="28"/>
          <w:szCs w:val="28"/>
          <w:rtl w:val="true"/>
          <w:lang w:bidi="fa-IR"/>
        </w:rPr>
        <w:t>و الحدائق</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وجوب ردّ السلام فی الصلاة قبل الإجماع أخبار کثیرة مستفیضة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هو فی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فسکت،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یردّ السلام و هو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مثل ما قیل له</w:t>
      </w:r>
      <w:r>
        <w:rPr>
          <w:rFonts w:eastAsia="IRNazanin" w:cs="IRNazanin"/>
          <w:color w:val="111111"/>
          <w:sz w:val="28"/>
          <w:szCs w:val="28"/>
          <w:rtl w:val="true"/>
          <w:lang w:bidi="fa-IR"/>
        </w:rPr>
        <w:t>»</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یسلّم علیه و هو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سلام علیکم و 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فإنّ رسول اللّه صلّی اللّه علیه و آله کان قائما یصلّی فمرّ به عمّار بن یاسر فسلّم علیه عمّار، فردّ علیه النبیّ صلّی اللّه علیه و آله</w:t>
      </w:r>
      <w:r>
        <w:rPr>
          <w:rFonts w:eastAsia="IRNazanin" w:cs="IRNazanin"/>
          <w:color w:val="111111"/>
          <w:sz w:val="28"/>
          <w:szCs w:val="28"/>
          <w:rtl w:val="true"/>
          <w:lang w:bidi="fa-IR"/>
        </w:rPr>
        <w:t>»</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موثّقة عمّار الساباطی</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جعفر علیه السّلام عن الرجل یسلّم علی القوم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علیک مسلّم و أنت فی الصلاة، فسلّم علیه،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أشر بإصبعک</w:t>
      </w:r>
      <w:r>
        <w:rPr>
          <w:rFonts w:eastAsia="IRNazanin" w:cs="IRNazanin"/>
          <w:color w:val="111111"/>
          <w:sz w:val="28"/>
          <w:szCs w:val="28"/>
          <w:rtl w:val="true"/>
          <w:lang w:bidi="fa-IR"/>
        </w:rPr>
        <w:t>»</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الصلاة فیسلّم علیه الرجل، هل یصلح له أن یردّ؟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فیشیر إلیه بإصبعه</w:t>
      </w:r>
      <w:r>
        <w:rPr>
          <w:rFonts w:eastAsia="IRNazanin" w:cs="IRNazanin"/>
          <w:color w:val="111111"/>
          <w:sz w:val="28"/>
          <w:szCs w:val="28"/>
          <w:rtl w:val="true"/>
          <w:lang w:bidi="fa-IR"/>
        </w:rPr>
        <w:t>»</w:t>
      </w:r>
      <w:r>
        <w:rPr>
          <w:rStyle w:val="FootnoteAnchor"/>
          <w:rtl w:val="true"/>
        </w:rPr>
        <w:footnoteReference w:id="2949"/>
      </w:r>
      <w:r>
        <w:rPr>
          <w:rFonts w:ascii="IRNazanin" w:hAnsi="IRNazanin" w:eastAsia="IRNazanin"/>
          <w:color w:val="111111"/>
          <w:sz w:val="28"/>
          <w:sz w:val="28"/>
          <w:szCs w:val="28"/>
          <w:rtl w:val="true"/>
          <w:lang w:bidi="fa-IR"/>
        </w:rPr>
        <w:t>، و غیرها</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أکثرها وجوب ردّ السلام، و مقتضی بعضها الجواز، و لکنّ المراد به هو الجواز بالمعنی الأعمّ المنطبق علی الوجوب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البالغ، و أمّا لو کان المسلّم صبیّا فالظاهر وجوب ردّ سلامه أیضا حتّی فی حال الصلاة، کما یستفاد ذلک من إطلاق کلام</w:t>
      </w:r>
    </w:p>
    <w:p>
      <w:pPr>
        <w:pStyle w:val="BookText"/>
        <w:rPr/>
      </w:pPr>
      <w:r>
        <w:rPr>
          <w:rFonts w:ascii="IRNazanin" w:hAnsi="IRNazanin" w:eastAsia="IRNazanin"/>
          <w:color w:val="111111"/>
          <w:sz w:val="28"/>
          <w:sz w:val="28"/>
          <w:szCs w:val="28"/>
          <w:rtl w:val="true"/>
          <w:lang w:bidi="fa-IR"/>
        </w:rPr>
        <w:t>بعضهم کالشیخ فی المبسوط</w:t>
      </w:r>
      <w:r>
        <w:rPr>
          <w:rStyle w:val="FootnoteAnchor"/>
          <w:rtl w:val="true"/>
        </w:rPr>
        <w:footnoteReference w:id="2951"/>
      </w:r>
      <w:r>
        <w:rPr>
          <w:rFonts w:ascii="IRNazanin" w:hAnsi="IRNazanin" w:eastAsia="IRNazanin"/>
          <w:color w:val="111111"/>
          <w:sz w:val="28"/>
          <w:sz w:val="28"/>
          <w:szCs w:val="28"/>
          <w:rtl w:val="true"/>
          <w:lang w:bidi="fa-IR"/>
        </w:rPr>
        <w:t>و الخلاف</w:t>
      </w:r>
      <w:r>
        <w:rPr>
          <w:rStyle w:val="FootnoteAnchor"/>
          <w:rtl w:val="true"/>
        </w:rPr>
        <w:footnoteReference w:id="2952"/>
      </w:r>
      <w:r>
        <w:rPr>
          <w:rFonts w:ascii="IRNazanin" w:hAnsi="IRNazanin" w:eastAsia="IRNazanin"/>
          <w:color w:val="111111"/>
          <w:sz w:val="28"/>
          <w:sz w:val="28"/>
          <w:szCs w:val="28"/>
          <w:rtl w:val="true"/>
          <w:lang w:bidi="fa-IR"/>
        </w:rPr>
        <w:t>و النهایة</w:t>
      </w:r>
      <w:r>
        <w:rPr>
          <w:rStyle w:val="FootnoteAnchor"/>
          <w:rtl w:val="true"/>
        </w:rPr>
        <w:footnoteReference w:id="2953"/>
      </w:r>
      <w:r>
        <w:rPr>
          <w:rFonts w:ascii="IRNazanin" w:hAnsi="IRNazanin" w:eastAsia="IRNazanin"/>
          <w:color w:val="111111"/>
          <w:sz w:val="28"/>
          <w:sz w:val="28"/>
          <w:szCs w:val="28"/>
          <w:rtl w:val="true"/>
          <w:lang w:bidi="fa-IR"/>
        </w:rPr>
        <w:t>، و المحقّق فی الشرائع</w:t>
      </w:r>
      <w:r>
        <w:rPr>
          <w:rStyle w:val="FootnoteAnchor"/>
          <w:rtl w:val="true"/>
        </w:rPr>
        <w:footnoteReference w:id="2954"/>
      </w:r>
      <w:r>
        <w:rPr>
          <w:rFonts w:ascii="IRNazanin" w:hAnsi="IRNazanin" w:eastAsia="IRNazanin"/>
          <w:color w:val="111111"/>
          <w:sz w:val="28"/>
          <w:sz w:val="28"/>
          <w:szCs w:val="28"/>
          <w:rtl w:val="true"/>
          <w:lang w:bidi="fa-IR"/>
        </w:rPr>
        <w:t>، و العلاّمة فی جملة من کتبه</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آخرون کما فی المدارک،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المسلّم صبیّا ممیّزا، ففی وجوب الردّ علیه وجهان، أظهرهما ذلک؛ تمسّکا بظاهر الأمر</w:t>
      </w:r>
      <w:r>
        <w:rPr>
          <w:rFonts w:eastAsia="IRNazanin" w:cs="IRNazanin"/>
          <w:color w:val="111111"/>
          <w:sz w:val="28"/>
          <w:szCs w:val="28"/>
          <w:rtl w:val="true"/>
          <w:lang w:bidi="fa-IR"/>
        </w:rPr>
        <w:t>»</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الذخیرة</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أقربه الوجوب</w:t>
      </w:r>
      <w:r>
        <w:rPr>
          <w:rFonts w:eastAsia="IRNazanin" w:cs="IRNazanin"/>
          <w:color w:val="111111"/>
          <w:sz w:val="28"/>
          <w:szCs w:val="28"/>
          <w:rtl w:val="true"/>
          <w:lang w:bidi="fa-IR"/>
        </w:rPr>
        <w:t>»</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المسلّم بین الکبیر و الصغیر إذا کان ممیّزا</w:t>
      </w:r>
      <w:r>
        <w:rPr>
          <w:rFonts w:eastAsia="IRNazanin" w:cs="IRNazanin"/>
          <w:color w:val="111111"/>
          <w:sz w:val="28"/>
          <w:szCs w:val="28"/>
          <w:rtl w:val="true"/>
          <w:lang w:bidi="fa-IR"/>
        </w:rPr>
        <w:t>»</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الفرق بین المسلّم و المسلّم علیه فی کونهما ممیّزین أو بالغین، رجلین أو امرأتین، أو مختلفین</w:t>
      </w:r>
      <w:r>
        <w:rPr>
          <w:rFonts w:eastAsia="IRNazanin" w:cs="IRNazanin"/>
          <w:color w:val="111111"/>
          <w:sz w:val="28"/>
          <w:szCs w:val="28"/>
          <w:rtl w:val="true"/>
          <w:lang w:bidi="fa-IR"/>
        </w:rPr>
        <w:t>»</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الوجوب قریب</w:t>
      </w:r>
      <w:r>
        <w:rPr>
          <w:rFonts w:eastAsia="IRNazanin" w:cs="IRNazanin"/>
          <w:color w:val="111111"/>
          <w:sz w:val="28"/>
          <w:szCs w:val="28"/>
          <w:rtl w:val="true"/>
          <w:lang w:bidi="fa-IR"/>
        </w:rPr>
        <w:t>»</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الوجوب</w:t>
      </w:r>
      <w:r>
        <w:rPr>
          <w:rFonts w:eastAsia="IRNazanin" w:cs="IRNazanin"/>
          <w:color w:val="111111"/>
          <w:sz w:val="28"/>
          <w:szCs w:val="28"/>
          <w:rtl w:val="true"/>
          <w:lang w:bidi="fa-IR"/>
        </w:rPr>
        <w:t>»</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ردّ سلام الصبیّ الممیّز فی الصلاة و غیرها وفاقا لجملة من الأصحاب</w:t>
      </w:r>
      <w:r>
        <w:rPr>
          <w:rFonts w:eastAsia="IRNazanin" w:cs="IRNazanin"/>
          <w:color w:val="111111"/>
          <w:sz w:val="28"/>
          <w:szCs w:val="28"/>
          <w:rtl w:val="true"/>
          <w:lang w:bidi="fa-IR"/>
        </w:rPr>
        <w:t>»</w:t>
      </w:r>
      <w:r>
        <w:rPr>
          <w:rStyle w:val="FootnoteAnchor"/>
          <w:rtl w:val="true"/>
        </w:rPr>
        <w:footnoteReference w:id="2964"/>
      </w:r>
      <w:r>
        <w:rPr>
          <w:rFonts w:ascii="Amiri" w:hAnsi="Amiri" w:eastAsia="Amiri" w:cs="Amiri"/>
          <w:color w:val="111111"/>
          <w:sz w:val="28"/>
          <w:sz w:val="28"/>
          <w:szCs w:val="28"/>
          <w:rtl w:val="true"/>
          <w:lang w:bidi="ar-SA"/>
        </w:rPr>
        <w:t>، و به قال جماعة من أعلام العصر</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عبّر فی العروة بالجواز،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المسلّم صبیّا ممیّزا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الردّ</w:t>
      </w:r>
      <w:r>
        <w:rPr>
          <w:rFonts w:eastAsia="IRNazanin" w:cs="IRNazanin"/>
          <w:color w:val="111111"/>
          <w:sz w:val="28"/>
          <w:szCs w:val="28"/>
          <w:rtl w:val="true"/>
          <w:lang w:bidi="fa-IR"/>
        </w:rPr>
        <w:t>»</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الجواز هنا بمعنی عدم بطلان الصلاة به، و إلاّ فهو واجب، و لذا عبّر کثیر ممّن علّق علیها بالوجوب</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نهایة التقریر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التعبیر بالجواز إنّما فی قبال العامّة القائلین بالتحریم</w:t>
      </w:r>
      <w:r>
        <w:rPr>
          <w:rFonts w:eastAsia="IRNazanin" w:cs="IRNazanin"/>
          <w:color w:val="111111"/>
          <w:sz w:val="28"/>
          <w:szCs w:val="28"/>
          <w:rtl w:val="true"/>
          <w:lang w:bidi="fa-IR"/>
        </w:rPr>
        <w:t>»</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من عبّر بالجواز أراد به الجواز بالمعنی الأعمّ الشامل للوجوب، لا الجواز بالمعنی الأخصّ الذی یکون فی مقابله</w:t>
      </w:r>
      <w:r>
        <w:rPr>
          <w:rFonts w:eastAsia="IRNazanin" w:cs="IRNazanin"/>
          <w:color w:val="111111"/>
          <w:sz w:val="28"/>
          <w:szCs w:val="28"/>
          <w:rtl w:val="true"/>
          <w:lang w:bidi="fa-IR"/>
        </w:rPr>
        <w:t>»</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الآیة، أی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لعموم الآیة کما قیل</w:t>
      </w:r>
      <w:r>
        <w:rPr>
          <w:rStyle w:val="FootnoteAnchor"/>
          <w:rtl w:val="true"/>
        </w:rPr>
        <w:footnoteReference w:id="2971"/>
      </w:r>
      <w:r>
        <w:rPr>
          <w:rFonts w:ascii="IRNazanin" w:hAnsi="IRNazanin" w:eastAsia="IRNazanin"/>
          <w:color w:val="111111"/>
          <w:sz w:val="28"/>
          <w:sz w:val="28"/>
          <w:szCs w:val="28"/>
          <w:rtl w:val="true"/>
          <w:lang w:bidi="fa-IR"/>
        </w:rPr>
        <w:t>؛ لاتّحاد المرجع فی</w:t>
      </w:r>
      <w:bookmarkStart w:id="1165" w:name="pg11756_104373"/>
    </w:p>
    <w:p>
      <w:pPr>
        <w:pStyle w:val="BookText"/>
        <w:rPr/>
      </w:pPr>
      <w:bookmarkEnd w:id="1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 مخصوص بالمکلّفین فکذا الأوّل</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المرجع لا مدخلیّة له فی عدم الإطلاق إلاّ أنّ فی شمول إطلاق الآیة للصبیّ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الأخبار</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یصدق علی سلام الصبیّ الممیّز التحیّة، فیشملها إطلاق الأخبار، و لا دلیل علی التقیید بالبلوغ، من غیر فرق بین القول بشرعیّة عبادات الصبیّ أو کونها تمرینیّة؛ إذ لا یختصّ وجوب الردّ بالتحیّة العبادیّة، ضرورة عدم کون السلام من الامور العبادیّة، و إنّما هو تحیّة عرفیّة و لا مساس لها بالشرعیّة أو التمرینیّة، و حیث إنّ الموضوع لوجوب الردّ هو عنوان التحیّة التی لا ینبغی الشکّ فی صدقها علی سلام الممیّز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الانصراف إلی خصوص ما کان مشروعا غیر ظاهرة، أشار إلی ذلک السادة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w:t>
      </w:r>
      <w:r>
        <w:rPr>
          <w:rStyle w:val="FootnoteAnchor"/>
          <w:rtl w:val="true"/>
        </w:rPr>
        <w:footnoteReference w:id="2974"/>
      </w:r>
      <w:r>
        <w:rPr>
          <w:rFonts w:ascii="IRNazanin" w:hAnsi="IRNazanin" w:eastAsia="IRNazanin"/>
          <w:color w:val="111111"/>
          <w:sz w:val="28"/>
          <w:sz w:val="28"/>
          <w:szCs w:val="28"/>
          <w:rtl w:val="true"/>
          <w:lang w:bidi="fa-IR"/>
        </w:rPr>
        <w:t>، و الحکیم</w:t>
      </w:r>
      <w:r>
        <w:rPr>
          <w:rStyle w:val="FootnoteAnchor"/>
          <w:rtl w:val="true"/>
        </w:rPr>
        <w:footnoteReference w:id="2975"/>
      </w:r>
      <w:r>
        <w:rPr>
          <w:rFonts w:ascii="IRNazanin" w:hAnsi="IRNazanin" w:eastAsia="IRNazanin"/>
          <w:color w:val="111111"/>
          <w:sz w:val="28"/>
          <w:sz w:val="28"/>
          <w:szCs w:val="28"/>
          <w:rtl w:val="true"/>
          <w:lang w:bidi="fa-IR"/>
        </w:rPr>
        <w:t>، و السبزواری</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9644285_73709187"/>
      <w:bookmarkStart w:id="1167" w:name="_Toc437"/>
      <w:bookmarkEnd w:id="1166"/>
      <w:r>
        <w:rPr>
          <w:rtl w:val="true"/>
        </w:rPr>
        <w:t>المطلب الثالث</w:t>
      </w:r>
      <w:r>
        <w:rPr>
          <w:rtl w:val="true"/>
        </w:rPr>
        <w:t xml:space="preserve">: </w:t>
      </w:r>
      <w:r>
        <w:rPr>
          <w:rtl w:val="true"/>
        </w:rPr>
        <w:t>حکم ردّ الصبیّ السّلام</w:t>
      </w:r>
      <w:bookmarkEnd w:id="1167"/>
    </w:p>
    <w:p>
      <w:pPr>
        <w:pStyle w:val="Heading5"/>
        <w:numPr>
          <w:ilvl w:val="4"/>
          <w:numId w:val="1"/>
        </w:numPr>
        <w:rPr/>
      </w:pPr>
      <w:bookmarkStart w:id="1168" w:name="__RefHeading___Toc9644287_73709187"/>
      <w:bookmarkStart w:id="1169" w:name="_Toc438"/>
      <w:bookmarkEnd w:id="1168"/>
      <w:r>
        <w:rPr>
          <w:rtl w:val="true"/>
        </w:rPr>
        <w:t>هل یکتفی بردّه أم لا؟</w:t>
      </w:r>
      <w:bookmarkEnd w:id="1169"/>
    </w:p>
    <w:p>
      <w:pPr>
        <w:pStyle w:val="Heading6"/>
        <w:numPr>
          <w:ilvl w:val="5"/>
          <w:numId w:val="1"/>
        </w:numPr>
        <w:rPr/>
      </w:pPr>
      <w:bookmarkStart w:id="1170" w:name="__RefHeading___Toc9644289_73709187"/>
      <w:bookmarkStart w:id="1171" w:name="_Toc439"/>
      <w:bookmarkEnd w:id="1170"/>
      <w:r>
        <w:rPr>
          <w:rtl w:val="true"/>
        </w:rPr>
        <w:t>اشارة</w:t>
      </w:r>
      <w:bookmarkEnd w:id="1171"/>
    </w:p>
    <w:p>
      <w:pPr>
        <w:pStyle w:val="BookText"/>
        <w:rPr/>
      </w:pPr>
      <w:r>
        <w:rPr>
          <w:rFonts w:ascii="IRNazanin" w:hAnsi="IRNazanin" w:eastAsia="IRNazanin"/>
          <w:color w:val="111111"/>
          <w:sz w:val="28"/>
          <w:sz w:val="28"/>
          <w:szCs w:val="28"/>
          <w:rtl w:val="true"/>
          <w:lang w:bidi="fa-IR"/>
        </w:rPr>
        <w:t>لو ردّ الصبیّ الممیّز الداخل فی المسلّم علیهم السلام، فهل یکتفی بردّه أم لا؟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bookmarkStart w:id="1172" w:name="pg11756_104374"/>
    </w:p>
    <w:p>
      <w:pPr>
        <w:pStyle w:val="Heading6"/>
        <w:numPr>
          <w:ilvl w:val="5"/>
          <w:numId w:val="1"/>
        </w:numPr>
        <w:rPr/>
      </w:pPr>
      <w:bookmarkStart w:id="1173" w:name="__RefHeading___Toc9644291_73709187"/>
      <w:bookmarkStart w:id="1174" w:name="_Toc440"/>
      <w:bookmarkEnd w:id="1172"/>
      <w:bookmarkEnd w:id="1173"/>
      <w:r>
        <w:rPr>
          <w:rtl w:val="true"/>
        </w:rPr>
        <w:t>الأوّل</w:t>
      </w:r>
      <w:r>
        <w:rPr>
          <w:rtl w:val="true"/>
        </w:rPr>
        <w:t xml:space="preserve">: </w:t>
      </w:r>
      <w:r>
        <w:rPr>
          <w:rtl w:val="true"/>
        </w:rPr>
        <w:t>عدم الاکتفاء بردّه</w:t>
      </w:r>
      <w:bookmarkEnd w:id="1174"/>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الاکتفاء بردّ الصبیّ الممیّز وجهان، أظهرهما العدم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عبادته شرعیّة؛ لعدم امتثال الأمر المقتضی</w:t>
      </w:r>
      <w:r>
        <w:rPr>
          <w:rStyle w:val="FootnoteAnchor"/>
          <w:rtl w:val="true"/>
        </w:rPr>
        <w:footnoteReference w:id="2977"/>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یسقط وجوب الردّ بردّ الصبیّ الممیّز؟ الظاهر العدم</w:t>
      </w:r>
      <w:r>
        <w:rPr>
          <w:rFonts w:eastAsia="IRNazanin" w:cs="IRNazanin"/>
          <w:color w:val="111111"/>
          <w:sz w:val="28"/>
          <w:szCs w:val="28"/>
          <w:rtl w:val="true"/>
          <w:lang w:bidi="fa-IR"/>
        </w:rPr>
        <w:t>»</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المحقّق النراقی</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العروة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ردّه صبیّ ممیّز ففی کفایته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وافقه عدّة من الفقهاء العظام فی تعالیقهم علی العروة کالنائینی و الحائری و السیّد أبو الحسن الأصفهانی و العراقی و آل یاسین</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فی منهاجه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الرادّ صبیّا ممیّزا فالأحوط الردّ و الإعادة</w:t>
      </w:r>
      <w:r>
        <w:rPr>
          <w:rFonts w:eastAsia="IRNazanin" w:cs="IRNazanin"/>
          <w:color w:val="111111"/>
          <w:sz w:val="28"/>
          <w:szCs w:val="28"/>
          <w:rtl w:val="true"/>
          <w:lang w:bidi="fa-IR"/>
        </w:rPr>
        <w:t>»</w:t>
      </w:r>
      <w:r>
        <w:rPr>
          <w:rStyle w:val="FootnoteAnchor"/>
          <w:rtl w:val="true"/>
        </w:rPr>
        <w:footnoteReference w:id="2982"/>
      </w:r>
      <w:r>
        <w:rPr>
          <w:rFonts w:ascii="IRNazanin" w:hAnsi="IRNazanin" w:eastAsia="IRNazanin"/>
          <w:color w:val="111111"/>
          <w:sz w:val="28"/>
          <w:sz w:val="28"/>
          <w:szCs w:val="28"/>
          <w:rtl w:val="true"/>
          <w:lang w:bidi="fa-IR"/>
        </w:rPr>
        <w:t>، و به قال بعض تلامذته</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5" w:name="__RefHeading___Toc9644293_73709187"/>
      <w:bookmarkStart w:id="1176" w:name="_Toc441"/>
      <w:bookmarkEnd w:id="1175"/>
      <w:r>
        <w:rPr>
          <w:rtl w:val="true"/>
        </w:rPr>
        <w:t>الأدلّة علی عدم الاکتفاء بردّ الصبیّ</w:t>
      </w:r>
      <w:bookmarkEnd w:id="1176"/>
    </w:p>
    <w:p>
      <w:pPr>
        <w:pStyle w:val="BookText"/>
        <w:rPr/>
      </w:pPr>
      <w:r>
        <w:rPr>
          <w:rFonts w:ascii="IRNazanin" w:hAnsi="IRNazanin" w:eastAsia="IRNazanin"/>
          <w:color w:val="111111"/>
          <w:sz w:val="28"/>
          <w:sz w:val="28"/>
          <w:szCs w:val="28"/>
          <w:rtl w:val="true"/>
          <w:lang w:bidi="fa-IR"/>
        </w:rPr>
        <w:t>و یمکن أن یستدلّ علی عدم الاکتفاء بردّ الصبیّ للسلام بامور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امتثال الأمر المقتضی للوجوب</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لا یتوجّه إلی الصبیّ فلا أمر له حتّی یقتضی وجوب الردّ علی الصبیّ، فردّ الصبیّ لا یعدّ امتثالا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الأمر بالتحیّة بالمثل فی الآیة، و الردّ فی الأخبار مخصوص بالمکلّفین</w:t>
      </w:r>
      <w:r>
        <w:rPr>
          <w:rFonts w:eastAsia="IRNazanin" w:cs="IRNazanin"/>
          <w:color w:val="111111"/>
          <w:sz w:val="28"/>
          <w:szCs w:val="28"/>
          <w:rtl w:val="true"/>
          <w:lang w:bidi="fa-IR"/>
        </w:rPr>
        <w:t>»</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الأمر بالردّ فی الآیة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الصبیّ، و شرعیّة عباداته علی القول بها لا یقتضی اندراجه فی هذه الأوامر</w:t>
      </w:r>
      <w:r>
        <w:rPr>
          <w:rFonts w:eastAsia="IRNazanin" w:cs="IRNazanin"/>
          <w:color w:val="111111"/>
          <w:sz w:val="28"/>
          <w:szCs w:val="28"/>
          <w:rtl w:val="true"/>
          <w:lang w:bidi="fa-IR"/>
        </w:rPr>
        <w:t>»</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الکریمة و إن کان مختصّا بالبالغین، و لکنّ إطلاق الأخبار یشمل الصبیّ الممیّز،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عدم الاجتزاء بالمستحبّ عن الواجب</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السیّد الخوئی ما یقرب من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الواجب بغیر الواجب خلاف الأصل، لا یصار إلیه من غیر دلیل، و لا دلیل علیه فی البین عدا ما یتوهّم من إطلاق الردّ فی النصوص المزبورة بدعوی شموله للصادر من البالغ و غیره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کما تری، فإنّ وصف الواحد بکونه منهم أو من القوم أو من الجماعة ظاهر</w:t>
      </w:r>
      <w:r>
        <w:rPr>
          <w:rStyle w:val="FootnoteAnchor"/>
          <w:rtl w:val="true"/>
        </w:rPr>
        <w:footnoteReference w:id="2988"/>
      </w:r>
      <w:r>
        <w:rPr>
          <w:rFonts w:ascii="IRNazanin" w:hAnsi="IRNazanin" w:eastAsia="IRNazanin"/>
          <w:color w:val="111111"/>
          <w:sz w:val="28"/>
          <w:sz w:val="28"/>
          <w:szCs w:val="28"/>
          <w:rtl w:val="true"/>
          <w:lang w:bidi="fa-IR"/>
        </w:rPr>
        <w:t>فی کونه مشارکا لهم فی توجّه الخطاب، و من ثمّ کان مجزئا عنه</w:t>
      </w:r>
    </w:p>
    <w:p>
      <w:pPr>
        <w:pStyle w:val="BookText"/>
        <w:rPr/>
      </w:pPr>
      <w:r>
        <w:rPr>
          <w:rFonts w:ascii="IRNazanin" w:hAnsi="IRNazanin" w:eastAsia="IRNazanin"/>
          <w:color w:val="111111"/>
          <w:sz w:val="28"/>
          <w:sz w:val="28"/>
          <w:szCs w:val="28"/>
          <w:rtl w:val="true"/>
          <w:lang w:bidi="fa-IR"/>
        </w:rPr>
        <w:t>و عنهم، و حیث إنّ الصبیّ لم یخاطب بالردّ؛ إذ لم یتعلّق به التکلیف فلا جرم کان النصّ منصرفا عنه</w:t>
      </w:r>
      <w:r>
        <w:rPr>
          <w:rFonts w:eastAsia="IRNazanin" w:cs="IRNazanin"/>
          <w:color w:val="111111"/>
          <w:sz w:val="28"/>
          <w:szCs w:val="28"/>
          <w:rtl w:val="true"/>
          <w:lang w:bidi="fa-IR"/>
        </w:rPr>
        <w:t>»</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قیام غیر الواجب مقام الواجب و إجزائه عن المکلّف بحاجة إلی دلیل، و لا دلیل علیه، فإذن مقتضی القاعدة عدم کفایة ردّه</w:t>
      </w:r>
      <w:r>
        <w:rPr>
          <w:rFonts w:eastAsia="IRNazanin" w:cs="IRNazanin"/>
          <w:color w:val="111111"/>
          <w:sz w:val="28"/>
          <w:szCs w:val="28"/>
          <w:rtl w:val="true"/>
          <w:lang w:bidi="fa-IR"/>
        </w:rPr>
        <w:t>»</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القاعدة لم یثبت اعتبارها بدلیل معتبر، و علی فرض ثبوته لا بدّ من رفع الید عنها؛ لأنّ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إطلاق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خلافها، فلا وجه لدعوی الانصراف و التمسّک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استظهره السیّد الخوئی قدّس سرّه من أنّ وصف الواحد بکونه منهم، أو من الجماعة، أو من القوم ظاهر فی کونه مشارکا معهم فی توجیه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ظاهر؛ لأنّ المتبادر من تلک النصوص لیس إلاّ إرادة واحد من تلک الجماعة التی سلّم علیهم، و أمّا کون توجّه الخطاب إلی الممیّز أو إلی البالغین، فلا مدخلیّة له فیما یتبادر من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أصل عدم الاجتزاء بردّ الصبیّ، و عدم سقوط الوجوب عن المکلّفین به، و هذا الأصل سالم عن المعارض</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لهذا الأصل مع وجود الدلیل</w:t>
      </w:r>
      <w:r>
        <w:rPr>
          <w:rFonts w:eastAsia="IRNazanin" w:cs="IRNazanin"/>
          <w:color w:val="111111"/>
          <w:sz w:val="28"/>
          <w:szCs w:val="28"/>
          <w:rtl w:val="true"/>
          <w:lang w:bidi="fa-IR"/>
        </w:rPr>
        <w:t>.</w:t>
      </w:r>
      <w:bookmarkStart w:id="1177" w:name="pg11756_104377"/>
    </w:p>
    <w:p>
      <w:pPr>
        <w:pStyle w:val="Heading6"/>
        <w:numPr>
          <w:ilvl w:val="5"/>
          <w:numId w:val="1"/>
        </w:numPr>
        <w:rPr/>
      </w:pPr>
      <w:bookmarkStart w:id="1178" w:name="__RefHeading___Toc9644295_73709187"/>
      <w:bookmarkStart w:id="1179" w:name="_Toc442"/>
      <w:bookmarkEnd w:id="1177"/>
      <w:bookmarkEnd w:id="1178"/>
      <w:r>
        <w:rPr>
          <w:rtl w:val="true"/>
        </w:rPr>
        <w:t>البناء علی شرعیّة أفعال الصبیّ</w:t>
      </w:r>
      <w:bookmarkEnd w:id="1179"/>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تبتنی المسألة علی شرعیّة عبادات الصبیّ و تمرینیّتها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الصبیّ الممیّز وجهان مبنیّان علی صحّة قیامه بفرض الکفایة، و هو مبنیّ علی أنّ أفعاله شرعیّة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غیر ممیّز لم یعتدّ به</w:t>
      </w:r>
      <w:r>
        <w:rPr>
          <w:rFonts w:eastAsia="IRNazanin" w:cs="IRNazanin"/>
          <w:color w:val="111111"/>
          <w:sz w:val="28"/>
          <w:szCs w:val="28"/>
          <w:rtl w:val="true"/>
          <w:lang w:bidi="fa-IR"/>
        </w:rPr>
        <w:t>»</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ردّ الممیّز وجهان مبنیّان علی الاعتداد بفعله شرعا، و الظاهر العدم، أمّا غیر الممیّز فلا إشکال فی العدم</w:t>
      </w:r>
      <w:r>
        <w:rPr>
          <w:rFonts w:eastAsia="IRNazanin" w:cs="IRNazanin"/>
          <w:color w:val="111111"/>
          <w:sz w:val="28"/>
          <w:szCs w:val="28"/>
          <w:rtl w:val="true"/>
          <w:lang w:bidi="fa-IR"/>
        </w:rPr>
        <w:t>»</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فی الروض، إلاّ أنّه رجّح أنّ أفعاله تمرینیّة، فلا یجزئ ردّ سلامه</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ابتناء هذه المسألة علی شرعیّة أفعال الصبیّ و تمرینیّتها إشکال، بل منع، کما صرّح به فی المدارک</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تقدیر الإجزاء فالظاهر أنّه لا فرق بین البالغ و الممیّز، و إن لم نقل إنّ عبادته شرعیّة، بل تمرینیّة</w:t>
      </w:r>
      <w:r>
        <w:rPr>
          <w:rFonts w:eastAsia="IRNazanin" w:cs="IRNazanin"/>
          <w:color w:val="111111"/>
          <w:sz w:val="28"/>
          <w:szCs w:val="28"/>
          <w:rtl w:val="true"/>
          <w:lang w:bidi="fa-IR"/>
        </w:rPr>
        <w:t>»</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عساه یظهر من جماعة منهم الشهید من بناء المسألة علی الشرعیّة و التمرینیّة فی غیر محلّه</w:t>
      </w:r>
      <w:r>
        <w:rPr>
          <w:rFonts w:eastAsia="IRNazanin" w:cs="IRNazanin"/>
          <w:color w:val="111111"/>
          <w:sz w:val="28"/>
          <w:szCs w:val="28"/>
          <w:rtl w:val="true"/>
          <w:lang w:bidi="fa-IR"/>
        </w:rPr>
        <w:t>»</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بنی جماعة من الأصحاب ذلک علی شرعیّة عباداته، و فیه نظر؛ إذ لا یعتبر فی ردّ السلام قصد القربة و وقوعه علی وجه</w:t>
      </w:r>
      <w:bookmarkStart w:id="1180" w:name="pg11756_104378"/>
    </w:p>
    <w:p>
      <w:pPr>
        <w:pStyle w:val="BookText"/>
        <w:rPr/>
      </w:pPr>
      <w:bookmarkEnd w:id="1180"/>
      <w:r>
        <w:rPr>
          <w:rFonts w:ascii="IRNazanin" w:hAnsi="IRNazanin" w:eastAsia="IRNazanin"/>
          <w:color w:val="111111"/>
          <w:sz w:val="28"/>
          <w:sz w:val="28"/>
          <w:szCs w:val="28"/>
          <w:rtl w:val="true"/>
          <w:lang w:bidi="fa-IR"/>
        </w:rPr>
        <w:t xml:space="preserve">العبادة، فالعبرة بصدق ردّ السلام و شمول ما دلّ علی سقوط الواجب بفعله و عدم کون الفعل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لا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مناف لکونه مسقطا للواجب، بل لو کان الدلیل بإطلاقه شاملا لغیر المقصودین بالسلام أیضا، لکنّا نلتزم به کغیره من الواجبات الکفائیّة التی لم یتعلّق الغرض بخصوصیّات الأشخاص، و لا خصوصیّات المکلّفین</w:t>
      </w:r>
      <w:r>
        <w:rPr>
          <w:rFonts w:eastAsia="IRNazanin" w:cs="IRNazanin"/>
          <w:color w:val="111111"/>
          <w:sz w:val="28"/>
          <w:szCs w:val="28"/>
          <w:rtl w:val="true"/>
          <w:lang w:bidi="fa-IR"/>
        </w:rPr>
        <w:t>»</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بحث شرعیّة أفعال الصبیّ أو تمرینیّتها لا یرتبط بهذه المسألة؛ ضرورة أنّ السلام لیس من العبادات الشرعیّة، حتّی یبتنی علی ذلک و إنّما هو تحیّة عرفیّة</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انصراف ردّ السلام إلی خصوص ما کان واجبا شرعا و متعلّقا للأمر غیر ظاهرة؛ لأنّه یصدق علی ردّ الصبیّ أنّه تحیّة، فإذن یشمله إطلاق الأخبار، و یجزی عن الباقین، فلا مساس لهذا البحث بالشرعیّة و التمرینیّة؛ لأنّ المدار فی إتیان وجوب الردّ أن تکون تحیّة مثل تحیّة المسلم</w:t>
      </w:r>
      <w:r>
        <w:rPr>
          <w:rFonts w:eastAsia="IRNazanin" w:cs="IRNazanin"/>
          <w:color w:val="111111"/>
          <w:sz w:val="28"/>
          <w:szCs w:val="28"/>
          <w:rtl w:val="true"/>
          <w:lang w:bidi="fa-IR"/>
        </w:rPr>
        <w:t>.</w:t>
      </w:r>
    </w:p>
    <w:p>
      <w:pPr>
        <w:pStyle w:val="Heading6"/>
        <w:numPr>
          <w:ilvl w:val="5"/>
          <w:numId w:val="1"/>
        </w:numPr>
        <w:rPr/>
      </w:pPr>
      <w:bookmarkStart w:id="1181" w:name="__RefHeading___Toc9644297_73709187"/>
      <w:bookmarkStart w:id="1182" w:name="_Toc443"/>
      <w:bookmarkEnd w:id="1181"/>
      <w:r>
        <w:rPr>
          <w:rtl w:val="true"/>
        </w:rPr>
        <w:t>الاکتفاء بردّ الصبیّ</w:t>
      </w:r>
      <w:bookmarkEnd w:id="1182"/>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یکتفی بردّ الصبیّ و یسقط وجوب ردّ السلام عن الآخرین، و هو الأقوی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تقدیر الإجزاء فالظاهر أنّه لا فرق بین البالغ و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کون دعائه أقرب إلی الإجابة؛ لعدم ذنبه، و یشعر به</w:t>
      </w:r>
    </w:p>
    <w:p>
      <w:pPr>
        <w:pStyle w:val="BookText"/>
        <w:rPr/>
      </w:pP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لنا تحقیق فی المسألة یؤذن بجواز الاکتفاء بردّه و إن کان الأحوط ما ذکر</w:t>
      </w:r>
      <w:r>
        <w:rPr>
          <w:rFonts w:eastAsia="IRNazanin" w:cs="IRNazanin"/>
          <w:color w:val="111111"/>
          <w:sz w:val="28"/>
          <w:szCs w:val="28"/>
          <w:rtl w:val="true"/>
          <w:lang w:bidi="fa-IR"/>
        </w:rPr>
        <w:t>»</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إجزاء ردّ الصبیّ الممیّز إذا کان من جملتهم، و الأحوط حینئذ الإتیان به بقصد الدّعاء أیضا</w:t>
      </w:r>
      <w:r>
        <w:rPr>
          <w:rFonts w:eastAsia="IRNazanin" w:cs="IRNazanin"/>
          <w:color w:val="111111"/>
          <w:sz w:val="28"/>
          <w:szCs w:val="28"/>
          <w:rtl w:val="true"/>
          <w:lang w:bidi="fa-IR"/>
        </w:rPr>
        <w:t>»</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یسقط بردّ الصبیّ الممیّز الداخل فیهم؟ وجهان، بل قولان، أوجههما الأوّل</w:t>
      </w:r>
      <w:r>
        <w:rPr>
          <w:rFonts w:eastAsia="IRNazanin" w:cs="IRNazanin"/>
          <w:color w:val="111111"/>
          <w:sz w:val="28"/>
          <w:szCs w:val="28"/>
          <w:rtl w:val="true"/>
          <w:lang w:bidi="fa-IR"/>
        </w:rPr>
        <w:t>»</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جملة من أعلام العصر فی تعالیقهم علی العروة</w:t>
      </w:r>
      <w:r>
        <w:rPr>
          <w:rStyle w:val="FootnoteAnchor"/>
          <w:rtl w:val="true"/>
        </w:rPr>
        <w:footnoteReference w:id="3004"/>
      </w:r>
      <w:r>
        <w:rPr>
          <w:rFonts w:ascii="IRNazanin" w:hAnsi="IRNazanin" w:eastAsia="IRNazanin"/>
          <w:color w:val="111111"/>
          <w:sz w:val="28"/>
          <w:sz w:val="28"/>
          <w:szCs w:val="28"/>
          <w:rtl w:val="true"/>
          <w:lang w:bidi="fa-IR"/>
        </w:rPr>
        <w:t>، و صرّح بذلک أیضا السیّد الحکیم فی منهاجه</w:t>
      </w:r>
      <w:r>
        <w:rPr>
          <w:rStyle w:val="FootnoteAnchor"/>
          <w:rtl w:val="true"/>
        </w:rPr>
        <w:footnoteReference w:id="3005"/>
      </w:r>
      <w:r>
        <w:rPr>
          <w:rFonts w:ascii="IRNazanin" w:hAnsi="IRNazanin" w:eastAsia="IRNazanin"/>
          <w:color w:val="111111"/>
          <w:sz w:val="28"/>
          <w:sz w:val="28"/>
          <w:szCs w:val="28"/>
          <w:rtl w:val="true"/>
          <w:lang w:bidi="fa-IR"/>
        </w:rPr>
        <w:t>، و کذا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w:t>
      </w:r>
      <w:r>
        <w:rPr>
          <w:rStyle w:val="FootnoteAnchor"/>
          <w:rtl w:val="true"/>
        </w:rPr>
        <w:footnoteReference w:id="3006"/>
      </w:r>
      <w:r>
        <w:rPr>
          <w:rFonts w:ascii="IRNazanin" w:hAnsi="IRNazanin" w:eastAsia="IRNazanin"/>
          <w:color w:val="111111"/>
          <w:sz w:val="28"/>
          <w:sz w:val="28"/>
          <w:szCs w:val="28"/>
          <w:rtl w:val="true"/>
          <w:lang w:bidi="fa-IR"/>
        </w:rPr>
        <w:t>و المیلانی</w:t>
      </w:r>
      <w:r>
        <w:rPr>
          <w:rStyle w:val="FootnoteAnchor"/>
          <w:rtl w:val="true"/>
        </w:rPr>
        <w:footnoteReference w:id="3007"/>
      </w:r>
      <w:r>
        <w:rPr>
          <w:rFonts w:ascii="IRNazanin" w:hAnsi="IRNazanin" w:eastAsia="IRNazanin"/>
          <w:color w:val="111111"/>
          <w:sz w:val="28"/>
          <w:sz w:val="28"/>
          <w:szCs w:val="28"/>
          <w:rtl w:val="true"/>
          <w:lang w:bidi="fa-IR"/>
        </w:rPr>
        <w:t>و السیستانی</w:t>
      </w:r>
      <w:r>
        <w:rPr>
          <w:rStyle w:val="FootnoteAnchor"/>
          <w:rtl w:val="true"/>
        </w:rPr>
        <w:footnoteReference w:id="3008"/>
      </w:r>
      <w:r>
        <w:rPr>
          <w:rFonts w:ascii="IRNazanin" w:hAnsi="IRNazanin" w:eastAsia="IRNazanin"/>
          <w:color w:val="111111"/>
          <w:sz w:val="28"/>
          <w:sz w:val="28"/>
          <w:szCs w:val="28"/>
          <w:rtl w:val="true"/>
          <w:lang w:bidi="fa-IR"/>
        </w:rPr>
        <w:t>، و الشیخ الفاضل اللنکرانی</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علیه موثّقة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من القوم واحد أجزأ عنهم، و إذا ردّ واحد أجزأ عنهم</w:t>
      </w:r>
      <w:r>
        <w:rPr>
          <w:rFonts w:eastAsia="IRNazanin" w:cs="IRNazanin"/>
          <w:color w:val="111111"/>
          <w:sz w:val="28"/>
          <w:szCs w:val="28"/>
          <w:rtl w:val="true"/>
          <w:lang w:bidi="fa-IR"/>
        </w:rPr>
        <w:t>»</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مرسلة ابن بکیر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مرّت الجماعة بقوم أجزأهم أن یسلّم واحد منهم، و إذا سلّم علی القوم و هم جماعة أجزأهم أن یردّ واحد منهم</w:t>
      </w:r>
      <w:r>
        <w:rPr>
          <w:rFonts w:eastAsia="IRNazanin" w:cs="IRNazanin"/>
          <w:color w:val="111111"/>
          <w:sz w:val="28"/>
          <w:szCs w:val="28"/>
          <w:rtl w:val="true"/>
          <w:lang w:bidi="fa-IR"/>
        </w:rPr>
        <w:t>»</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فی مشکاة الأنوار، نقلا من المحاسن،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رجل من الجماعة أجزأ عنهم، و إذا سلّم علی القوم و هم جماعة أجزأهم أن یردّ واحد منهم</w:t>
      </w:r>
      <w:r>
        <w:rPr>
          <w:rFonts w:eastAsia="IRNazanin" w:cs="IRNazanin"/>
          <w:color w:val="111111"/>
          <w:sz w:val="28"/>
          <w:szCs w:val="28"/>
          <w:rtl w:val="true"/>
          <w:lang w:bidi="fa-IR"/>
        </w:rPr>
        <w:t>»</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إطلاق هذه النصوص یقتضی حصول الاکتفاء بردّ الصبیّ؛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ردّ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الصبیّ الممیّز، إلاّ أنّ ظاهر الآیة</w:t>
      </w:r>
      <w:r>
        <w:rPr>
          <w:rStyle w:val="FootnoteAnchor"/>
          <w:rtl w:val="true"/>
        </w:rPr>
        <w:footnoteReference w:id="3013"/>
      </w:r>
      <w:r>
        <w:rPr>
          <w:rFonts w:ascii="IRNazanin" w:hAnsi="IRNazanin" w:eastAsia="IRNazanin"/>
          <w:color w:val="111111"/>
          <w:sz w:val="28"/>
          <w:sz w:val="28"/>
          <w:szCs w:val="28"/>
          <w:rtl w:val="true"/>
          <w:lang w:bidi="fa-IR"/>
        </w:rPr>
        <w:t>خلافه، لتوجّه الخطاب إلی المکلّفین، و لکنّ الأخبار المتقدّمة حاکمة علی الآیة؛ لأنّ ظاهر الآیة الکریمة أنّ الردّ واجب عینیّ یتعلّق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النصوص أنّ الوجوب کفائیّ یسقط بردّ البالغ و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الخبرین الحاکم علی ظهور الآیة فی وجوبه عینا علی کلّ من شمله التحیّة، اللّهمّ إلاّ أن یدّعی انصرافه إلی البالغین، و فیه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المتبادر من الخبرین إرادة واحد ممّن وجب علیه الردّ، و الصبیّ لیس منهم، مدفوعة بأنّ المتبادر منه لیس إلاّ إرادة واحد</w:t>
      </w:r>
      <w:r>
        <w:rPr>
          <w:rFonts w:eastAsia="IRNazanin" w:cs="IRNazanin"/>
          <w:color w:val="111111"/>
          <w:sz w:val="28"/>
          <w:szCs w:val="28"/>
          <w:rtl w:val="true"/>
          <w:lang w:bidi="fa-IR"/>
        </w:rPr>
        <w:t>»</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یمکن أن یکون الوجه للاکتفاء بردّ الصبیّ الممیّز و رفع ما استدلّ به لعدم الاجتزاء، ما ذکروه من معنی الواجب الکفائی علی أحد تفاسیره، و هو</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غرض الشارع فیه لم یتعلّق بصدوره من شخص خاصّ، و إنّما الغرض هو</w:t>
      </w:r>
      <w:bookmarkStart w:id="1183" w:name="pg11756_104381"/>
    </w:p>
    <w:p>
      <w:pPr>
        <w:pStyle w:val="BookText"/>
        <w:rPr/>
      </w:pPr>
      <w:bookmarkEnd w:id="1183"/>
      <w:r>
        <w:rPr>
          <w:rFonts w:ascii="IRNazanin" w:hAnsi="IRNazanin" w:eastAsia="IRNazanin"/>
          <w:color w:val="111111"/>
          <w:sz w:val="28"/>
          <w:sz w:val="28"/>
          <w:szCs w:val="28"/>
          <w:rtl w:val="true"/>
          <w:lang w:bidi="fa-IR"/>
        </w:rPr>
        <w:t>صدوره فی الخارج، أی من أیّ شخص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 فی باب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فرض علی الکفایة، و معنی ذلک أنّه إذا قام به من فی قیامه کفایة و غناء عن الباقین، و لا یؤدّی إلی الإخلال بشیء من أمر الدّین، سقط عن الباقین</w:t>
      </w:r>
      <w:r>
        <w:rPr>
          <w:rFonts w:eastAsia="IRNazanin" w:cs="IRNazanin"/>
          <w:color w:val="111111"/>
          <w:sz w:val="28"/>
          <w:szCs w:val="28"/>
          <w:rtl w:val="true"/>
          <w:lang w:bidi="fa-IR"/>
        </w:rPr>
        <w:t>»</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هناک غرض واحد حصل بفعل واحد، صادر عن الکلّ أو البعض</w:t>
      </w:r>
      <w:r>
        <w:rPr>
          <w:rFonts w:eastAsia="IRNazanin" w:cs="IRNazanin"/>
          <w:color w:val="111111"/>
          <w:sz w:val="28"/>
          <w:szCs w:val="28"/>
          <w:rtl w:val="true"/>
          <w:lang w:bidi="fa-IR"/>
        </w:rPr>
        <w:t>»</w:t>
      </w:r>
      <w:r>
        <w:rPr>
          <w:rStyle w:val="FootnoteAnchor"/>
          <w:rtl w:val="true"/>
        </w:rPr>
        <w:footnoteReference w:id="3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غیرهما</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فالمنظور إلیه فی الواجب الکفائی حصوله فی المجتمع، من دون النظر إلی شخص فاعله، و هذا البحث سیّال مطّرد فی کلّ واجب کفائی اشتغل به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إنّما یسقط وجوب الردّ عن المصلّی بردّ الصبیّ الممیّز الذی کان داخلا فی المسلّم علیهم، فلا یسقط بردّه إذا لم یکن داخلا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6"/>
        <w:numPr>
          <w:ilvl w:val="5"/>
          <w:numId w:val="1"/>
        </w:numPr>
        <w:rPr/>
      </w:pPr>
      <w:bookmarkStart w:id="1184" w:name="__RefHeading___Toc9644299_73709187"/>
      <w:bookmarkStart w:id="1185" w:name="_Toc444"/>
      <w:bookmarkEnd w:id="1184"/>
      <w:r>
        <w:rPr>
          <w:rtl w:val="true"/>
        </w:rPr>
        <w:t>ینبغی التنبیه علی امور</w:t>
      </w:r>
      <w:r>
        <w:rPr>
          <w:rtl w:val="true"/>
        </w:rPr>
        <w:t>:</w:t>
      </w:r>
      <w:bookmarkEnd w:id="1185"/>
    </w:p>
    <w:p>
      <w:pPr>
        <w:pStyle w:val="Heading6"/>
        <w:numPr>
          <w:ilvl w:val="5"/>
          <w:numId w:val="1"/>
        </w:numPr>
        <w:rPr/>
      </w:pPr>
      <w:bookmarkStart w:id="1186" w:name="__RefHeading___Toc9644301_73709187"/>
      <w:bookmarkStart w:id="1187" w:name="_Toc445"/>
      <w:bookmarkEnd w:id="1186"/>
      <w:r>
        <w:rPr>
          <w:rtl w:val="true"/>
        </w:rPr>
        <w:t>الأمر الأوّل لا یجب الردّ فی سلام غیر الممیّز</w:t>
      </w:r>
      <w:bookmarkEnd w:id="118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کثیر من الفقهاء أنّه لا یجب الردّ فی سلام غیر الممیّز؛ لعدم صدق عنوان التحیّة علیه بعد أن کان آتیا بمجرّد اللفظ، من دون کونه قاصدا للمعنی بمقتضی افتراض عدم التمیّز</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bookmarkStart w:id="1188" w:name="pg11756_104382"/>
    </w:p>
    <w:p>
      <w:pPr>
        <w:pStyle w:val="Heading6"/>
        <w:numPr>
          <w:ilvl w:val="5"/>
          <w:numId w:val="1"/>
        </w:numPr>
        <w:rPr/>
      </w:pPr>
      <w:bookmarkStart w:id="1189" w:name="__RefHeading___Toc9644303_73709187"/>
      <w:bookmarkStart w:id="1190" w:name="_Toc446"/>
      <w:bookmarkEnd w:id="1188"/>
      <w:bookmarkEnd w:id="1189"/>
      <w:r>
        <w:rPr>
          <w:rtl w:val="true"/>
        </w:rPr>
        <w:t>الأمر الثانی الأحوط وجوب الردّ و عدم الاکتفاء بردّ الصبیّ</w:t>
      </w:r>
      <w:bookmarkEnd w:id="1190"/>
    </w:p>
    <w:p>
      <w:pPr>
        <w:pStyle w:val="BookText"/>
        <w:rPr/>
      </w:pPr>
      <w:r>
        <w:rPr>
          <w:rFonts w:ascii="IRNazanin" w:hAnsi="IRNazanin" w:eastAsia="IRNazanin"/>
          <w:color w:val="111111"/>
          <w:sz w:val="28"/>
          <w:sz w:val="28"/>
          <w:szCs w:val="28"/>
          <w:rtl w:val="true"/>
          <w:lang w:bidi="fa-IR"/>
        </w:rPr>
        <w:t>قال الفاضل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مقتضی الخبرین السابقین حصول الإجزاء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بردّ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الآیة خلافه؛ لتوجّه الخطاب إلی المکلّفین منهم، و لعلّ الترجیح فی الوقوف علی ظاهر الآیة، و هو الأحوط</w:t>
      </w:r>
      <w:r>
        <w:rPr>
          <w:rFonts w:eastAsia="IRNazanin" w:cs="IRNazanin"/>
          <w:color w:val="111111"/>
          <w:sz w:val="28"/>
          <w:szCs w:val="28"/>
          <w:rtl w:val="true"/>
          <w:lang w:bidi="fa-IR"/>
        </w:rPr>
        <w:t>»</w:t>
      </w:r>
      <w:r>
        <w:rPr>
          <w:rStyle w:val="FootnoteAnchor"/>
          <w:rtl w:val="true"/>
        </w:rPr>
        <w:footnoteReference w:id="3019"/>
      </w:r>
      <w:r>
        <w:rPr>
          <w:rFonts w:ascii="IRNazanin" w:hAnsi="IRNazanin" w:eastAsia="IRNazanin"/>
          <w:color w:val="111111"/>
          <w:sz w:val="28"/>
          <w:sz w:val="28"/>
          <w:szCs w:val="28"/>
          <w:rtl w:val="true"/>
          <w:lang w:bidi="fa-IR"/>
        </w:rPr>
        <w:t>، أی الأحوط وجوب الردّ و عدم الاکتفاء بردّ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کلام الشهیدین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الأحوط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الأحوط عدم الإجزاء و وجوب الردّ علی المصلّی</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الاحتیاط خلاف الاحتیاط؛ لأنّه لو کان ردّ الصبیّ مجزئا لسقط الوجوب عن المصلّی، و علیه یکون ردّ السلام کلاما للآدمیّین، و یحتمل أن یکون موجبا لبطلان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 السیّد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ردّه صبیّ ممیّز ففی کفایته إشکال، و الأحوط ردّ المصلّی بقصد القرآن أو الدّعاء</w:t>
      </w:r>
      <w:r>
        <w:rPr>
          <w:rFonts w:eastAsia="IRNazanin" w:cs="IRNazanin"/>
          <w:color w:val="111111"/>
          <w:sz w:val="28"/>
          <w:szCs w:val="28"/>
          <w:rtl w:val="true"/>
          <w:lang w:bidi="fa-IR"/>
        </w:rPr>
        <w:t>»</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استشکل فی هذا الاحتیاط کلّ من السادة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البروجردیّ و الخوانساری و الکلپایکانی</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ضعیف؛ لأنّه خلاف الإطلاق</w:t>
      </w:r>
      <w:r>
        <w:rPr>
          <w:rFonts w:eastAsia="IRNazanin" w:cs="IRNazanin"/>
          <w:color w:val="111111"/>
          <w:sz w:val="28"/>
          <w:szCs w:val="28"/>
          <w:rtl w:val="true"/>
          <w:lang w:bidi="fa-IR"/>
        </w:rPr>
        <w:t>»</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الاحتیاط غیر وجیه؛ لأنّ ضمیمة قصد القرآن أو الدّعاء لا تنفع؛ إذ غایته أن یصبح الردّ مجمعا للعنوانین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مع الغیر و القرآن،</w:t>
      </w:r>
      <w:bookmarkStart w:id="1191" w:name="pg11756_104383"/>
    </w:p>
    <w:p>
      <w:pPr>
        <w:pStyle w:val="BookText"/>
        <w:rPr/>
      </w:pPr>
      <w:bookmarkEnd w:id="1191"/>
      <w:r>
        <w:rPr>
          <w:rFonts w:ascii="IRNazanin" w:hAnsi="IRNazanin" w:eastAsia="IRNazanin"/>
          <w:color w:val="111111"/>
          <w:sz w:val="28"/>
          <w:sz w:val="28"/>
          <w:szCs w:val="28"/>
          <w:rtl w:val="true"/>
          <w:lang w:bidi="fa-IR"/>
        </w:rPr>
        <w:t>و الثانی و إن لم یستوجب البطلان، لکن الأوّل یوجبه، و لا یزاحم ما لا اقتضاء فیه ما فیه الاقتضاء، کما فی المستند</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قصد القرآنیّة ینافی ردّ السلام المتقوّم بالمخاطبة 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فینبغی أن لا یترک الاحتیاط بالتصدّی للردّ؛ رعایة لقاعدة الاشتغال، بعد الشکّ فی حصول المسقط، ثمّ إعادة الصلاة؛ لعدم إحراز کون الردّ من أفراد الخاصّ المستثنی من عموم قدح التکلّم</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هو الجمع بین الردّ و إعادة الصلاة</w:t>
      </w:r>
      <w:r>
        <w:rPr>
          <w:rFonts w:eastAsia="IRNazanin" w:cs="IRNazanin"/>
          <w:color w:val="111111"/>
          <w:sz w:val="28"/>
          <w:szCs w:val="28"/>
          <w:rtl w:val="true"/>
          <w:lang w:bidi="fa-IR"/>
        </w:rPr>
        <w:t>»</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2" w:name="__RefHeading___Toc9644305_73709187"/>
      <w:bookmarkStart w:id="1193" w:name="_Toc447"/>
      <w:bookmarkEnd w:id="1192"/>
      <w:r>
        <w:rPr>
          <w:rtl w:val="true"/>
        </w:rPr>
        <w:t>الأمر الثالث یستحبّ تسلیم البالغین علی الصبیّ</w:t>
      </w:r>
      <w:bookmarkEnd w:id="1193"/>
    </w:p>
    <w:p>
      <w:pPr>
        <w:pStyle w:val="BookText"/>
        <w:rPr/>
      </w:pPr>
      <w:r>
        <w:rPr>
          <w:rFonts w:ascii="IRNazanin" w:hAnsi="IRNazanin" w:eastAsia="IRNazanin"/>
          <w:color w:val="111111"/>
          <w:sz w:val="28"/>
          <w:sz w:val="28"/>
          <w:szCs w:val="28"/>
          <w:rtl w:val="true"/>
          <w:lang w:bidi="fa-IR"/>
        </w:rPr>
        <w:t>و یستحبّ تسلیم البالغین علی الصبیّ، کما قال به الشیخ الحرّ العاملی</w:t>
      </w:r>
      <w:r>
        <w:rPr>
          <w:rStyle w:val="FootnoteAnchor"/>
          <w:rtl w:val="true"/>
        </w:rPr>
        <w:footnoteReference w:id="3027"/>
      </w:r>
      <w:r>
        <w:rPr>
          <w:rFonts w:ascii="IRNazanin" w:hAnsi="IRNazanin" w:eastAsia="IRNazanin"/>
          <w:color w:val="111111"/>
          <w:sz w:val="28"/>
          <w:sz w:val="28"/>
          <w:szCs w:val="28"/>
          <w:rtl w:val="true"/>
          <w:lang w:bidi="fa-IR"/>
        </w:rPr>
        <w:t>و المحدّث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العلل و عیون الأخبار بسند صحیح عن العبّاس بن هلال، عن علیّ بن موسی الرضا،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الحضیض مع العبید، و رکوبی الحمار مؤکفا</w:t>
      </w:r>
      <w:r>
        <w:rPr>
          <w:rStyle w:val="FootnoteAnchor"/>
          <w:rtl w:val="true"/>
        </w:rPr>
        <w:footnoteReference w:id="3028"/>
      </w:r>
      <w:r>
        <w:rPr>
          <w:rFonts w:ascii="IRNazanin" w:hAnsi="IRNazanin" w:eastAsia="IRNazanin"/>
          <w:color w:val="111111"/>
          <w:sz w:val="28"/>
          <w:sz w:val="28"/>
          <w:szCs w:val="28"/>
          <w:rtl w:val="true"/>
          <w:lang w:bidi="fa-IR"/>
        </w:rPr>
        <w:t>، و حلبی العنز بیدی، و لبس الصوف، و التسلیم علی الصبیان؛</w:t>
      </w:r>
      <w:bookmarkStart w:id="1194" w:name="pg11756_104384"/>
    </w:p>
    <w:p>
      <w:pPr>
        <w:pStyle w:val="BookText"/>
        <w:rPr/>
      </w:pPr>
      <w:bookmarkEnd w:id="1194"/>
      <w:r>
        <w:rPr>
          <w:rFonts w:ascii="IRNazanin" w:hAnsi="IRNazanin" w:eastAsia="IRNazanin"/>
          <w:color w:val="111111"/>
          <w:sz w:val="28"/>
          <w:sz w:val="28"/>
          <w:szCs w:val="28"/>
          <w:rtl w:val="true"/>
          <w:lang w:bidi="fa-IR"/>
        </w:rPr>
        <w:t xml:space="preserve">لیکون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بعدی</w:t>
      </w:r>
      <w:r>
        <w:rPr>
          <w:rFonts w:eastAsia="IRNazanin" w:cs="IRNazanin"/>
          <w:color w:val="111111"/>
          <w:sz w:val="28"/>
          <w:szCs w:val="28"/>
          <w:rtl w:val="true"/>
          <w:lang w:bidi="fa-IR"/>
        </w:rPr>
        <w:t>»</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فی الخصال عن السکونی عن جعفر بن محمّد عن أبیه محمّد بن علی علیهم السّلام فی حدیث مثله</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رواه إسماعیل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علیهم السّلام،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الصوف، و رکوبی الحمار مؤکفا، و أکلی مع العبید، و خصفی النعل بیدی، و تسلیمی علی الصبیان؛ لتکون سنّة من بعدی</w:t>
      </w:r>
      <w:r>
        <w:rPr>
          <w:rFonts w:eastAsia="IRNazanin" w:cs="IRNazanin"/>
          <w:color w:val="111111"/>
          <w:sz w:val="28"/>
          <w:szCs w:val="28"/>
          <w:rtl w:val="true"/>
          <w:lang w:bidi="fa-IR"/>
        </w:rPr>
        <w:t>»</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رواه قطب الدّین الراوندی</w:t>
      </w:r>
      <w:r>
        <w:rPr>
          <w:rStyle w:val="FootnoteAnchor"/>
          <w:rtl w:val="true"/>
        </w:rPr>
        <w:footnoteReference w:id="3032"/>
      </w:r>
      <w:r>
        <w:rPr>
          <w:rFonts w:ascii="IRNazanin" w:hAnsi="IRNazanin" w:eastAsia="IRNazanin"/>
          <w:color w:val="111111"/>
          <w:sz w:val="28"/>
          <w:sz w:val="28"/>
          <w:szCs w:val="28"/>
          <w:rtl w:val="true"/>
          <w:lang w:bidi="fa-IR"/>
        </w:rPr>
        <w:t>و الطبری فی مکارم الأخلاق</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و مسلم و غیرهما عن أنس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صلّی اللّه علیه و آله مرّ علی صبیان فسلّم علیهم</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استحباب السلام علی الصبیان الممیّزین، و کان سلامه صلّی اللّه علیه و آله من خلقه العظیم، و أدبه الشریف، و فیه تدریب لهم علی تعلّم السنن، و ریاضة لهم علی آداب الشریعة</w:t>
      </w:r>
      <w:r>
        <w:rPr>
          <w:rFonts w:eastAsia="IRNazanin" w:cs="IRNazanin"/>
          <w:color w:val="111111"/>
          <w:sz w:val="28"/>
          <w:szCs w:val="28"/>
          <w:rtl w:val="true"/>
          <w:lang w:bidi="fa-IR"/>
        </w:rPr>
        <w:t>.</w:t>
      </w:r>
    </w:p>
    <w:p>
      <w:pPr>
        <w:pStyle w:val="Heading6"/>
        <w:numPr>
          <w:ilvl w:val="5"/>
          <w:numId w:val="1"/>
        </w:numPr>
        <w:rPr/>
      </w:pPr>
      <w:bookmarkStart w:id="1195" w:name="__RefHeading___Toc9644307_73709187"/>
      <w:bookmarkStart w:id="1196" w:name="_Toc448"/>
      <w:bookmarkEnd w:id="1195"/>
      <w:r>
        <w:rPr>
          <w:rtl w:val="true"/>
        </w:rPr>
        <w:t>آراء أهل السنّة فی مسائل هذا الفصل</w:t>
      </w:r>
      <w:bookmarkEnd w:id="1196"/>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یقع ضمن مسائل</w:t>
      </w:r>
      <w:r>
        <w:rPr>
          <w:rFonts w:eastAsia="IRNazanin" w:cs="IRNazanin"/>
          <w:color w:val="111111"/>
          <w:sz w:val="28"/>
          <w:szCs w:val="28"/>
          <w:rtl w:val="true"/>
          <w:lang w:bidi="fa-IR"/>
        </w:rPr>
        <w:t>:</w:t>
      </w:r>
      <w:bookmarkStart w:id="1197" w:name="pg11756_104385"/>
    </w:p>
    <w:p>
      <w:pPr>
        <w:pStyle w:val="Heading6"/>
        <w:numPr>
          <w:ilvl w:val="5"/>
          <w:numId w:val="1"/>
        </w:numPr>
        <w:rPr/>
      </w:pPr>
      <w:bookmarkStart w:id="1198" w:name="__RefHeading___Toc9644309_73709187"/>
      <w:bookmarkStart w:id="1199" w:name="_Toc449"/>
      <w:bookmarkEnd w:id="1197"/>
      <w:bookmarkEnd w:id="1198"/>
      <w:r>
        <w:rPr>
          <w:rtl w:val="true"/>
        </w:rPr>
        <w:t>الاولی</w:t>
      </w:r>
      <w:r>
        <w:rPr>
          <w:rtl w:val="true"/>
        </w:rPr>
        <w:t xml:space="preserve">: </w:t>
      </w:r>
      <w:r>
        <w:rPr>
          <w:rtl w:val="true"/>
        </w:rPr>
        <w:t>استحباب السلام علی الصبیّ</w:t>
      </w:r>
      <w:bookmarkEnd w:id="1199"/>
    </w:p>
    <w:p>
      <w:pPr>
        <w:pStyle w:val="BookText"/>
        <w:rPr/>
      </w:pPr>
      <w:r>
        <w:rPr>
          <w:rFonts w:ascii="IRNazanin" w:hAnsi="IRNazanin" w:eastAsia="IRNazanin"/>
          <w:color w:val="111111"/>
          <w:sz w:val="28"/>
          <w:sz w:val="28"/>
          <w:szCs w:val="28"/>
          <w:rtl w:val="true"/>
          <w:lang w:bidi="fa-IR"/>
        </w:rPr>
        <w:t>جاء فی فواکه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الابتداء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السنّة لکلّ من لقیته، عرفته أو لم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امرأة أو صبیّا</w:t>
      </w:r>
      <w:r>
        <w:rPr>
          <w:rFonts w:eastAsia="IRNazanin" w:cs="IRNazanin"/>
          <w:color w:val="111111"/>
          <w:sz w:val="28"/>
          <w:szCs w:val="28"/>
          <w:rtl w:val="true"/>
          <w:lang w:bidi="fa-IR"/>
        </w:rPr>
        <w:t>»</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زاد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یسنّ ابتداؤه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مسلم، حتّی الصبیّ، و هو سنّة عین إن کان المسلّم واحدا، و سنّة کفایة إن کان جماعة</w:t>
      </w:r>
      <w:r>
        <w:rPr>
          <w:rFonts w:eastAsia="IRNazanin" w:cs="IRNazanin"/>
          <w:color w:val="111111"/>
          <w:sz w:val="28"/>
          <w:szCs w:val="28"/>
          <w:rtl w:val="true"/>
          <w:lang w:bidi="fa-IR"/>
        </w:rPr>
        <w:t>»</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الآداب الشرعیّة لابن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السلام علی الصبیان تأدیبا لهم</w:t>
      </w:r>
      <w:r>
        <w:rPr>
          <w:rFonts w:eastAsia="IRNazanin" w:cs="IRNazanin"/>
          <w:color w:val="111111"/>
          <w:sz w:val="28"/>
          <w:szCs w:val="28"/>
          <w:rtl w:val="true"/>
          <w:lang w:bidi="fa-IR"/>
        </w:rPr>
        <w:t>»</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غمز عیون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علیهم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علیّ بن أبی طالب علیه السّلام کان یسلّم علی الصبیان و یردّون علیه و یترکون اللعب</w:t>
      </w:r>
      <w:r>
        <w:rPr>
          <w:rFonts w:eastAsia="IRNazanin" w:cs="IRNazanin"/>
          <w:color w:val="111111"/>
          <w:sz w:val="28"/>
          <w:szCs w:val="28"/>
          <w:rtl w:val="true"/>
          <w:lang w:bidi="fa-IR"/>
        </w:rPr>
        <w:t>»</w:t>
      </w:r>
      <w:r>
        <w:rPr>
          <w:rStyle w:val="FootnoteAnchor"/>
          <w:rtl w:val="true"/>
        </w:rPr>
        <w:footnoteReference w:id="3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 و ذکر أنّه إجماعیّ</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عندهم فی أنّه یستحبّ إذا مرّ الکبیر علی الصبیان سلّم علیهم؛ لما ورد عن أنس أنّه مرّ علی صبیان فسلّم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یفعله</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0" w:name="__RefHeading___Toc9644311_73709187"/>
      <w:bookmarkStart w:id="1201" w:name="_Toc450"/>
      <w:bookmarkEnd w:id="1200"/>
      <w:r>
        <w:rPr>
          <w:rtl w:val="true"/>
        </w:rPr>
        <w:t>الثانیة</w:t>
      </w:r>
      <w:r>
        <w:rPr>
          <w:rtl w:val="true"/>
        </w:rPr>
        <w:t xml:space="preserve">: </w:t>
      </w:r>
      <w:r>
        <w:rPr>
          <w:rtl w:val="true"/>
        </w:rPr>
        <w:t>استحباب السلام للصبیّ</w:t>
      </w:r>
      <w:bookmarkEnd w:id="120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للصبیّ أن یسلّم علی البالغین، جاء فی زاد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یسنّ أن یسلّم الراکب علی الماشی، و الماشی علی الواقف، و الصغیر علی الکبیر، و الجمع</w:t>
      </w:r>
      <w:bookmarkStart w:id="1202" w:name="pg11756_104386"/>
    </w:p>
    <w:p>
      <w:pPr>
        <w:pStyle w:val="BookText"/>
        <w:rPr/>
      </w:pPr>
      <w:bookmarkEnd w:id="1202"/>
      <w:r>
        <w:rPr>
          <w:rFonts w:ascii="IRNazanin" w:hAnsi="IRNazanin" w:eastAsia="IRNazanin"/>
          <w:color w:val="111111"/>
          <w:sz w:val="28"/>
          <w:sz w:val="28"/>
          <w:szCs w:val="28"/>
          <w:rtl w:val="true"/>
          <w:lang w:bidi="fa-IR"/>
        </w:rPr>
        <w:t>القلیل علی الجمع الکثیر فی حال التلاقی فی الطریق</w:t>
      </w:r>
      <w:r>
        <w:rPr>
          <w:rFonts w:eastAsia="IRNazanin" w:cs="IRNazanin"/>
          <w:color w:val="111111"/>
          <w:sz w:val="28"/>
          <w:szCs w:val="28"/>
          <w:rtl w:val="true"/>
          <w:lang w:bidi="fa-IR"/>
        </w:rPr>
        <w:t>»</w:t>
      </w:r>
      <w:r>
        <w:rPr>
          <w:rStyle w:val="FootnoteAnchor"/>
          <w:rtl w:val="true"/>
        </w:rPr>
        <w:footnoteReference w:id="3041"/>
      </w:r>
      <w:r>
        <w:rPr>
          <w:rFonts w:ascii="IRNazanin" w:hAnsi="IRNazanin" w:eastAsia="IRNazanin"/>
          <w:color w:val="111111"/>
          <w:sz w:val="28"/>
          <w:sz w:val="28"/>
          <w:szCs w:val="28"/>
          <w:rtl w:val="true"/>
          <w:lang w:bidi="fa-IR"/>
        </w:rPr>
        <w:t>، و به قال الشربینی و الأنصاری و ابن حجر من فقهاء الشافعیّة</w:t>
      </w:r>
      <w:r>
        <w:rPr>
          <w:rStyle w:val="FootnoteAnchor"/>
          <w:rtl w:val="true"/>
        </w:rPr>
        <w:footnoteReference w:id="3042"/>
      </w:r>
      <w:r>
        <w:rPr>
          <w:rFonts w:ascii="IRNazanin" w:hAnsi="IRNazanin" w:eastAsia="IRNazanin"/>
          <w:color w:val="111111"/>
          <w:sz w:val="28"/>
          <w:sz w:val="28"/>
          <w:szCs w:val="28"/>
          <w:rtl w:val="true"/>
          <w:lang w:bidi="fa-IR"/>
        </w:rPr>
        <w:t>؛ لما روی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الصغیر علی الکبیر، و المارّ علی القاعد، و القلیل علی الکثیر</w:t>
      </w:r>
      <w:r>
        <w:rPr>
          <w:rFonts w:eastAsia="IRNazanin" w:cs="IRNazanin"/>
          <w:color w:val="111111"/>
          <w:sz w:val="28"/>
          <w:szCs w:val="28"/>
          <w:rtl w:val="true"/>
          <w:lang w:bidi="fa-IR"/>
        </w:rPr>
        <w:t>»</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9644313_73709187"/>
      <w:bookmarkStart w:id="1204" w:name="_Toc451"/>
      <w:bookmarkEnd w:id="1203"/>
      <w:r>
        <w:rPr>
          <w:rtl w:val="true"/>
        </w:rPr>
        <w:t>الثالثة</w:t>
      </w:r>
      <w:r>
        <w:rPr>
          <w:rtl w:val="true"/>
        </w:rPr>
        <w:t xml:space="preserve">: </w:t>
      </w:r>
      <w:r>
        <w:rPr>
          <w:rtl w:val="true"/>
        </w:rPr>
        <w:t>جواب سلام الصبیّ الممیّز</w:t>
      </w:r>
      <w:bookmarkEnd w:id="1204"/>
    </w:p>
    <w:p>
      <w:pPr>
        <w:pStyle w:val="BookText"/>
        <w:rPr/>
      </w:pPr>
      <w:r>
        <w:rPr>
          <w:rFonts w:ascii="IRNazanin" w:hAnsi="IRNazanin" w:eastAsia="IRNazanin"/>
          <w:color w:val="111111"/>
          <w:sz w:val="28"/>
          <w:sz w:val="28"/>
          <w:szCs w:val="28"/>
          <w:rtl w:val="true"/>
          <w:lang w:bidi="fa-IR"/>
        </w:rPr>
        <w:t>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ردّ سلام الصبیّ الممیّز علی البالغ</w:t>
      </w:r>
      <w:r>
        <w:rPr>
          <w:rStyle w:val="FootnoteAnchor"/>
          <w:rtl w:val="true"/>
        </w:rPr>
        <w:footnoteReference w:id="3044"/>
      </w:r>
      <w:r>
        <w:rPr>
          <w:rFonts w:ascii="IRNazanin" w:hAnsi="IRNazanin" w:eastAsia="IRNazanin"/>
          <w:color w:val="111111"/>
          <w:sz w:val="28"/>
          <w:sz w:val="28"/>
          <w:szCs w:val="28"/>
          <w:rtl w:val="true"/>
          <w:lang w:bidi="fa-IR"/>
        </w:rPr>
        <w:t>، جاء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سلّم صبیّ علی بالغ وجب الردّ علی البالغ فی وجه، و هو الصحیح؛ لأنّه مکلّف</w:t>
      </w:r>
      <w:r>
        <w:rPr>
          <w:rFonts w:eastAsia="IRNazanin" w:cs="IRNazanin"/>
          <w:color w:val="111111"/>
          <w:sz w:val="28"/>
          <w:szCs w:val="28"/>
          <w:rtl w:val="true"/>
          <w:lang w:bidi="fa-IR"/>
        </w:rPr>
        <w:t>»</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5" w:name="__RefHeading___Toc9644315_73709187"/>
      <w:bookmarkStart w:id="1206" w:name="_Toc452"/>
      <w:bookmarkEnd w:id="1205"/>
      <w:r>
        <w:rPr>
          <w:rtl w:val="true"/>
        </w:rPr>
        <w:t>الرابعة</w:t>
      </w:r>
      <w:r>
        <w:rPr>
          <w:rtl w:val="true"/>
        </w:rPr>
        <w:t xml:space="preserve">: </w:t>
      </w:r>
      <w:r>
        <w:rPr>
          <w:rtl w:val="true"/>
        </w:rPr>
        <w:t>حکم ردّ السلام علی الصبیّ</w:t>
      </w:r>
      <w:bookmarkEnd w:id="1206"/>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ردّ السلام علی الصبیّ فغیر واجب؛ لعدم تکلیفه، فلو سلّم علی صبیّ لم یجب علیه الردّ؛ لحدیث رفع القلم عن ثلاث</w:t>
      </w:r>
      <w:r>
        <w:rPr>
          <w:rStyle w:val="FootnoteAnchor"/>
          <w:rtl w:val="true"/>
        </w:rPr>
        <w:footnoteReference w:id="3046"/>
      </w:r>
      <w:r>
        <w:rPr>
          <w:rFonts w:ascii="IRNazanin" w:hAnsi="IRNazanin" w:eastAsia="IRNazanin"/>
          <w:color w:val="111111"/>
          <w:sz w:val="28"/>
          <w:sz w:val="28"/>
          <w:szCs w:val="28"/>
          <w:rtl w:val="true"/>
          <w:lang w:bidi="fa-IR"/>
        </w:rPr>
        <w:t>، و لکن إن ردّ الصبیّ السلام یسقط عن الباقین إن کان عاقلا و یعقل ردّ السلام عند الحنفیة؛ لأنّه من أهل الفرض فی الجملة، بدلیل حلّ ذبیحته، مع أنّ التسمیة فیها فرض عندهم</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bookmarkStart w:id="1207" w:name="pg11756_104387"/>
    </w:p>
    <w:p>
      <w:pPr>
        <w:pStyle w:val="BookText"/>
        <w:rPr/>
      </w:pPr>
      <w:bookmarkEnd w:id="1207"/>
      <w:r>
        <w:rPr>
          <w:rFonts w:ascii="IRNazanin" w:hAnsi="IRNazanin" w:eastAsia="IRNazanin"/>
          <w:color w:val="111111"/>
          <w:sz w:val="28"/>
          <w:sz w:val="28"/>
          <w:szCs w:val="28"/>
          <w:rtl w:val="true"/>
          <w:lang w:bidi="fa-IR"/>
        </w:rPr>
        <w:t>و الأصحّ عند الشافعیّة عدم سقوط فرض ردّ السلام عن الجماعة بردّ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توقّف فی الاکتفاء بردّ الصبیّ عن الجماعة صاحب الفواکه من المالکیّة،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فیه وقفة؛ لأنّ الردّ فرض علی البالغین، و ردّ الصبیّ غیر فرض علیه، فکیف یکفی عن الفرض الواجب علی المکلّفین؟ فلعلّ الأظهر عدم الاکتفاء بردّه عن البالغین</w:t>
      </w:r>
      <w:r>
        <w:rPr>
          <w:rFonts w:eastAsia="IRNazanin" w:cs="IRNazanin"/>
          <w:color w:val="111111"/>
          <w:sz w:val="28"/>
          <w:szCs w:val="28"/>
          <w:rtl w:val="true"/>
          <w:lang w:bidi="fa-IR"/>
        </w:rPr>
        <w:t>»</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8" w:name="__RefHeading___Toc9644317_73709187"/>
      <w:bookmarkStart w:id="1209" w:name="_Toc453"/>
      <w:bookmarkEnd w:id="1208"/>
      <w:r>
        <w:rPr>
          <w:rtl w:val="true"/>
        </w:rPr>
        <w:t>الخامسة</w:t>
      </w:r>
      <w:r>
        <w:rPr>
          <w:rtl w:val="true"/>
        </w:rPr>
        <w:t xml:space="preserve">: </w:t>
      </w:r>
      <w:r>
        <w:rPr>
          <w:rtl w:val="true"/>
        </w:rPr>
        <w:t>ردّ السلام فی الصلاة</w:t>
      </w:r>
      <w:bookmarkEnd w:id="1209"/>
    </w:p>
    <w:p>
      <w:pPr>
        <w:pStyle w:val="BookText"/>
        <w:rPr/>
      </w:pPr>
      <w:r>
        <w:rPr>
          <w:rFonts w:ascii="IRNazanin" w:hAnsi="IRNazanin" w:eastAsia="IRNazanin"/>
          <w:color w:val="111111"/>
          <w:sz w:val="28"/>
          <w:sz w:val="28"/>
          <w:szCs w:val="28"/>
          <w:rtl w:val="true"/>
          <w:lang w:bidi="fa-IR"/>
        </w:rPr>
        <w:t>ذهب جمهور الفقهاء من المذاهب الأربعة إلی أنّه لا یجوز ردّ السلام فی الصلاة بالکلام عند بعضهم</w:t>
      </w:r>
      <w:r>
        <w:rPr>
          <w:rStyle w:val="FootnoteAnchor"/>
          <w:rtl w:val="true"/>
        </w:rPr>
        <w:footnoteReference w:id="3049"/>
      </w:r>
      <w:r>
        <w:rPr>
          <w:rFonts w:ascii="IRNazanin" w:hAnsi="IRNazanin" w:eastAsia="IRNazanin"/>
          <w:color w:val="111111"/>
          <w:sz w:val="28"/>
          <w:sz w:val="28"/>
          <w:szCs w:val="28"/>
          <w:rtl w:val="true"/>
          <w:lang w:bidi="fa-IR"/>
        </w:rPr>
        <w:t>، و لکن یستحبّ أن یردّ علیه بالإشارة</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إنسان علی المصلّی لم یستحقّ جوابا، لا فی الحال و لا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فإن ردّ علیه فی الصلاة لفظا بطلت صلاته 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السلام، بلفظ الخطاب،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السلام، بلفظ الغیبة لم یبطل</w:t>
      </w:r>
      <w:r>
        <w:rPr>
          <w:rFonts w:eastAsia="IRNazanin" w:cs="IRNazanin"/>
          <w:color w:val="111111"/>
          <w:sz w:val="28"/>
          <w:szCs w:val="28"/>
          <w:rtl w:val="true"/>
          <w:lang w:bidi="fa-IR"/>
        </w:rPr>
        <w:t>»</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بحدیث جابر،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بعثنی لحاجة، ثمّ أدرکته و هو یصلّی، فسلّمت علیه فأشار إلیّ، فلمّا فرغ دعانی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سلّمت آنفا و أنا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موجّه حینئذ قبل المشرق</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صهیب صاحب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رسول اللّه صلّی اللّه علیه و آله و هو یصلّی، فسلمت علیه فردّ إلیّ إشارة، قال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حسبته قال بإصبعه</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یمنعنی أن أردّ علیک إلاّ أنّی کنت اصلّی</w:t>
      </w:r>
      <w:r>
        <w:rPr>
          <w:rFonts w:eastAsia="IRNazanin" w:cs="IRNazanin"/>
          <w:color w:val="111111"/>
          <w:sz w:val="28"/>
          <w:szCs w:val="28"/>
          <w:rtl w:val="true"/>
          <w:lang w:bidi="fa-IR"/>
        </w:rPr>
        <w:t>»</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bookmarkStart w:id="1210" w:name="pg11756_104390"/>
    </w:p>
    <w:p>
      <w:pPr>
        <w:pStyle w:val="Heading2"/>
        <w:numPr>
          <w:ilvl w:val="1"/>
          <w:numId w:val="1"/>
        </w:numPr>
        <w:rPr/>
      </w:pPr>
      <w:bookmarkStart w:id="1211" w:name="__RefHeading___Toc9644319_73709187"/>
      <w:bookmarkStart w:id="1212" w:name="_Toc454"/>
      <w:bookmarkEnd w:id="1210"/>
      <w:bookmarkEnd w:id="1211"/>
      <w:r>
        <w:rPr>
          <w:rtl w:val="true"/>
        </w:rPr>
        <w:t>فهرس المطالب</w:t>
      </w:r>
      <w:bookmarkEnd w:id="1212"/>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الصبیّ</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مشروعیّة صوم الصبیّ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أدلّة مشروعیّة صوم الصبیّ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استحباب الصوم للصبیّ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جواز أخذ الصبیّ بالصّوم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أمر الولیّ الصبیّ بالصوم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مطلوبیّة الصوم مطلقا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بیان علّة الصوم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صوم الصبیّ للتمرین فقط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أحکام صوم الصبیّ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نیّة صوم الصبیّ </w:t>
      </w:r>
      <w:r>
        <w:rPr>
          <w:rFonts w:eastAsia="Amiri" w:cs="Amiri" w:ascii="Amiri" w:hAnsi="Amiri"/>
          <w:color w:val="111111"/>
          <w:sz w:val="28"/>
          <w:szCs w:val="28"/>
          <w:lang w:bidi="ar-SA"/>
        </w:rPr>
        <w:t>20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آراء أهل السنّة فی مشروعیّة صوم الصبیّ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الصبیّ علی الصیام و مؤاخذته علیه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مبدأ التمرین و المؤاخذة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التحقیق فی المسألة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اشتراک الصبیّ و الصبیّة فی الحکم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آراء أهل السنّة فی تمرین الصبیّ علی الصیام و مؤاخذته علیه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الحنفیّة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فی شهر رمضان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قبل الفجر مع التمکّن من الطهارة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نفسها مع عدم التمکّن من الطهارة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بعد الزوال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قبل الزوال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یتناول شیئا و لم یکن ناویا للصوم أیضا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حکم بلوغ الصبیّ أثناء النهار عند أهل السنّة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الصبیّ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w:t>
      </w:r>
      <w:r>
        <w:rPr>
          <w:rFonts w:eastAsia="Amiri" w:cs="Amiri" w:ascii="Amiri" w:hAnsi="Amiri"/>
          <w:color w:val="111111"/>
          <w:sz w:val="28"/>
          <w:szCs w:val="28"/>
          <w:lang w:bidi="ar-SA"/>
        </w:rPr>
        <w:t>56</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تمرینا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اعتکاف الصبیّ و مشروعیّته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إتمام الاعتکاف فی الیوم الثالث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محرّمات الاعتکاف بالنسبة إلی الصبیّ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آراء أهل السنّة فی اعتکاف الصبیّ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أموال الصبیّ</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أموال الأطفال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أموال الأطفال الصامتة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أدلّة عدم وجوب الزکاة فی النقدین علی الأطفال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أموال الأطفال غیر الصامتة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أدلّة وجوب الزکاة فی أموال الأطفال غیر الصامتة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عدم وجوب الزکاة فی أموال الأطفال غیر الصامتة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أدلّة عدم وجوب الزکاة فی غلاّت الأطفال و مواشیهم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أموال الطفل لو بلغ فی أثناء الحول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الزکاة فی أموال الصغار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الزکاة فی أموالهم الصامتة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أدلّة استحباب زکاة أموال الصغار الصامتة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الجواب عمّا اختاره فی السرائر و المدارک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الأقسام المتصوّرة فی التجارة و المضاربة بأموال الصغار </w:t>
      </w:r>
      <w:r>
        <w:rPr>
          <w:rFonts w:eastAsia="IRNazanin" w:cs="IRNazanin"/>
          <w:color w:val="111111"/>
          <w:sz w:val="28"/>
          <w:szCs w:val="28"/>
          <w:lang w:bidi="fa-IR"/>
        </w:rPr>
        <w:t>102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اتّجار الولیّ للطفل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لمن الربح و علی من الخسارة؟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اتّجار الولیّ بمال الطفل لنفسه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ضمان الولیّ لمال الیتیم و اتّجاره لنفسه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حکم الزکاة فی هذا القسم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اتّجار ولیّ الطفل غیر الملیّ بماله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اتّجار غیر الولیّ بمال الطفل للطفل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ینبغی التنبیه علی أمرین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الزکاة فی غلاّت الصغار و مواشیهم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عدم استحباب الزکاة فی غلاّت و مواشی الصغار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التفصیل بین الغلاّت و المواشی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 ینبغی التنبیه علی امور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أهل السنّة فی زکاة أموال الصغار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زکاة الأبدان علی الصبیّ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أدلّة عدم وجوب زکاة الفطرة علی الصبیّ </w:t>
      </w:r>
      <w:r>
        <w:rPr>
          <w:rFonts w:eastAsia="IRNazanin" w:cs="IRNazanin"/>
          <w:color w:val="111111"/>
          <w:sz w:val="28"/>
          <w:szCs w:val="28"/>
          <w:lang w:bidi="fa-IR"/>
        </w:rPr>
        <w:t>146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مذهب أهل السنّة فی وجوب الفطرة علی الصبیّ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أموال الأطفال</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فی أموال الأطفال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أدلّة وجوب الخمس فی المعادن و الکنوز و الغوص للأطفال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اشتراط وجوب الخمس بالبلوغ مطلقا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أدلّة اشتراط وجوب الخمس بالبلوغ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أقوال الفقهاء فی معنی حدیث الرفع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مخالفة القول الثالث لمفاد بعض الروایات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تطبیق المعانی الخمسة فی مسألة خمس أموال الصبیّ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عدم اشتراط ثبوت الخمس بالبلوغ مطلقا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أدلّة عدم اشتراط ثبوت الخمس بالبلوغ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ثبوت الخمس بعد التکلیف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فی أموال الصبیّ عند أهل السنّة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الغنیمة للصبیّ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المعادن و الرکاز و الغوص للصبیّ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الصبیّ</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حجّ الصبیّ </w:t>
      </w:r>
      <w:r>
        <w:rPr>
          <w:rFonts w:eastAsia="Amiri" w:cs="Amiri" w:ascii="Amiri" w:hAnsi="Amiri"/>
          <w:color w:val="111111"/>
          <w:sz w:val="28"/>
          <w:szCs w:val="28"/>
          <w:lang w:bidi="ar-SA"/>
        </w:rPr>
        <w:t>203</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عدم وجوب الحجّ علی الصبیّ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رأی أهل السنّة فی حکم الحجّ علی الصبیّ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الصبیّ للحجّ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نذر الصبیّ للحجّ عند أهل السنّة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التحقیق فی عدم وصف الحجّ النذری و نحوه بالوجوب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مشروعیّة حجّ الصبیّ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استحباب حجّ الصبیّ الممیّز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أدلّة صحّة حجّ الصبیّ الممیّز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استحباب إحجاج الصبیّ غیر الممیّز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أدلّة استحباب إحجاج الصبیّ للولیّ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عدم اختصاص الحکم بالصبیّ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استحباب العمرة للصبیّ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صحّة حجّ الصبیّ عند أهل السنّة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الأطفال فی الحجّ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أدلّة هذا القول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الولایة فی الحجّ تشمل الامّ أیضا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أدلّة شمول الولایة فی الحجّ للامّ أیضا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الولایة فی الحجّ تشمل لمن یتکفّل أمر الطفل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أدلّة ولایة من یتکفّل أمر الطفل فی الحجّ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امور ینبغی ذکرها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أولیاء الأطفال فی الحجّ عند أهل السنّة </w:t>
      </w:r>
      <w:r>
        <w:rPr>
          <w:rFonts w:eastAsia="IRNazanin" w:cs="IRNazanin"/>
          <w:color w:val="111111"/>
          <w:sz w:val="28"/>
          <w:szCs w:val="28"/>
          <w:lang w:bidi="fa-IR"/>
        </w:rPr>
        <w:t>257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إذن الولیّ فی صحّة حجّ الصبیّ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اعتبار إذن الولیّ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أدلّة اشتراط صحّة حجّ الصبیّ بإذن الولیّ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اعتبار إذن الأبوین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عدم اشتراط إذن الولیّ فی صحّة حجّ الصبیّ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أدلّة عدم اشتراط إذن الولیّ فی حجّ الصبیّ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اشتراط إذن الولیّ فی صحّة حجّ الصبیّ عند أهل السنّة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مئونة حجّ الصبیّ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الدلیل علی أنّ نفقته الزائدة علی الولیّ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مناقشة ما ذهب إلیه المشهور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نفقة حجّ الصبیّ فی فقه أهل السنّة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مواقیت إحرام الصبیان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إحرامهم من فخّ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أدلّة القول بأنّ میقات الصبیان هو فخّ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میقات الأطفال میقات المکلّفین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رأی أهل السنّة فی میقات الصبیّ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محظورات الإحرام و الکفّارات للصبیّ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الولیّ الصبیّ من ارتکاب المحظورات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جواز الاستظلال للصبیّ حین الإحرام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أدلّة جواز الاستظلال للصبیّ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الکفّارة بالنسبة إلی الصبیّ </w:t>
      </w:r>
      <w:r>
        <w:rPr>
          <w:rFonts w:eastAsia="IRNazanin" w:cs="IRNazanin"/>
          <w:color w:val="111111"/>
          <w:sz w:val="28"/>
          <w:szCs w:val="28"/>
          <w:lang w:bidi="fa-IR"/>
        </w:rPr>
        <w:t>296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غیر الصید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الأدلّة علی عدم وجوب الکفّارة فی غیر الصید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الکفّارة علی الولیّ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أدلّة وجوب الکفّارة علی الولیّ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الکفّارة علی الصبی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الصید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محظورات الإحرام و الکفّارات فی حجّ الصبیّ عند أهل السنّة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أفعال الحجّ للصبیّ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رأی أهل السنّة فی کیفیّة أفعال حجّ الصبیّ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الطواف و أجزاؤه بالنسبة إلی الصبیّ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طهارة الصبیّ فی الطواف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الممیّز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غیر الممیّز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طهارتهما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بطهارة الولیّ فقط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طهارة الطفل و لو صورة </w:t>
      </w:r>
      <w:r>
        <w:rPr>
          <w:rFonts w:eastAsia="IRNazanin" w:cs="IRNazanin"/>
          <w:color w:val="111111"/>
          <w:sz w:val="28"/>
          <w:szCs w:val="28"/>
          <w:lang w:bidi="fa-IR"/>
        </w:rPr>
        <w:t>333</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طهارتهما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آراء أهل السنّة فی اعتبار الطهارة فی طواف الصبیّ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الختان بالنسبة إلی الصبیّ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الختان مطلقا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الأدلّة علی عدم اشتراط الختان فی الصبیّ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الختان مطلقا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أدلّة اعتبار الختان فی الصبیّ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الممیّز و غیره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إیضاحان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آراء بعض فقهاء أهل السنّة فی الفرع الرابع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طواف الصبیّ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مذهب أهل السنّة فی المسألة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المبحث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بقیّة مناسک حجّ الصبیّ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جواز خروج الصّبیان من المزدلفة قبل الفجر </w:t>
      </w:r>
      <w:r>
        <w:rPr>
          <w:rFonts w:eastAsia="IRNazanin" w:cs="IRNazanin"/>
          <w:color w:val="111111"/>
          <w:sz w:val="28"/>
          <w:szCs w:val="28"/>
          <w:lang w:bidi="fa-IR"/>
        </w:rPr>
        <w:t>357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النّیابة عن الصبیّ فی الرمی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آراء أهل السنّة فی المقام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فی حجّ الصبیّ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فی حجّ الصبیّ غیر الممیّز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أدلّة وجوب الهدی علی الولیّ فی حجّ الصبیّ غیر الممیّز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بدل الهدی علی الولیّ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فی حجّ الصبیّ الممیّز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أدلّة جواز أمر الولیّ الصبیّ بالصیام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الهدی علی الصبیّ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الهدی أو بدله علی الولیّ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الأدلّة علی وجوب الهدی أو بدله علی الولیّ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ثمن هدی الصبیّ عند أهل السنّة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المبحث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طواف النّساء للصبیّ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تحقّق طواف النّساء من الصبیّ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الأدلّة علی لزوم تحقّق طواف النّساء من الصبیّ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الاستمتاع بالنّساء للصبیّ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أدلّة حرمة النّساء علی الصبیّ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عدم الحرمة مطلقا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عدم الحرمة بالنسبة إلی غیر الممیّز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حرمة النّساء علی الصبیّ بعد البلوغ </w:t>
      </w:r>
      <w:r>
        <w:rPr>
          <w:rFonts w:eastAsia="IRNazanin" w:cs="IRNazanin"/>
          <w:color w:val="111111"/>
          <w:sz w:val="28"/>
          <w:szCs w:val="28"/>
          <w:lang w:bidi="fa-IR"/>
        </w:rPr>
        <w:t>392</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حجّ الصبیّ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أدلّة عدم فساد حجّ الصبیّ و عدم القضاء علیه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فساد حجّ الصبیّ و وجوب القضاء علیه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أدلّة فساد حجّ الصبیّ بالجماع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فساد حجّ الصبیّ و عدم وجوب القضاء علیه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مئونة قضاء حجّ الصبیّ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وقت قضاء الحجّ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عدم کفایة القضاء عن حجّة الإسلام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تقدّم حجّة الإسلام علی القضاء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فساد حجّ الصبیّ عند أهل السنّة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إجزاء القضاء عن حجّة الإسلام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المبحث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أثناء النسک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قبل المشعر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أدلّة إجزاء حجّ الصبیّ عن حجّة الإسلام إذا بلغ قبل المشعر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عدم الإجزاء عن حجّة الإسلام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أدلّة هذا القول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الامور المترتّبة علی القول بالإجزاء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النیّة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وجوب تجدید النیّة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أدلّة وجوب تجدید النیّة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الاستطاعة أو عدمها </w:t>
      </w:r>
      <w:r>
        <w:rPr>
          <w:rFonts w:eastAsia="Amiri" w:cs="Amiri" w:ascii="Amiri" w:hAnsi="Amiri"/>
          <w:color w:val="111111"/>
          <w:sz w:val="28"/>
          <w:szCs w:val="28"/>
          <w:lang w:bidi="ar-SA"/>
        </w:rPr>
        <w:t>428</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اعتبار الاستطاعة من حین الإحرام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اشتراط تقدّم الاستطاعة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اشتراط الاستطاعة من المیقات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اشتراط الاستطاعة من حین البلوغ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الإجزاء بحجّ القران و الإفراد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اشتراط الإجزاء بإدراک خصوص المشعر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عدم الإجزاء إن أدرک الاضطراری من المشعر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بعد الوقوف فی عرفة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بعد المشعر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قبل أن یحرم من المیقات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بعد الإحرام و قبل الأعمال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وقوع الحجّ عن الصبیّ استحبابا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أدلّة هذا القول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عدم استقرار الحجّ علیه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ما تحقّق به استقرار الحجّ علی المکلّف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بلوغ الصبیّ فی أثناء النسک عند أهل السنّة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المبحث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الصبیّ فی الحجّ و النیابة عنه </w:t>
      </w:r>
      <w:r>
        <w:rPr>
          <w:rFonts w:eastAsia="IRNazanin" w:cs="IRNazanin"/>
          <w:color w:val="111111"/>
          <w:sz w:val="28"/>
          <w:szCs w:val="28"/>
          <w:lang w:bidi="fa-IR"/>
        </w:rPr>
        <w:t>466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الصبیّ غیر الممیّز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الصبیّ الممیّز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نیابته علی فرض عدم مشروعیّة عباداته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الصبیّ علی تقدیر مشروعیّة عباداته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الأدلّة علی عدم صحّة نیابة الصبیّ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جواز نیابة الصبیّ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جواز نیابة الصبیّ عن المیّت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جواز نیابة الصّبیّ فی المندوب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فرعان ینبغی ذکرهما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النّیابة عن الصّبیّ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الأدلّة علی صحّة النّیابة عن الصّبیّ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نیابة الصّبیّ فی الحجّ عند أهل السّنة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النیابة عن الصّبیّ فی الحجّ عند أهل السنّة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الصبیّ</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أهمّیّته و أنّه لا یجب علی الصّبیّ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عدم وجوب الجهاد علی الصّبیّ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مشروعیّة جهاد الصبیّ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آراء أهل السنّة فی جهاد الصبیّ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الحنفیّة </w:t>
      </w:r>
      <w:r>
        <w:rPr>
          <w:rFonts w:eastAsia="Amiri" w:cs="Amiri" w:ascii="Amiri" w:hAnsi="Amiri"/>
          <w:color w:val="111111"/>
          <w:sz w:val="28"/>
          <w:szCs w:val="28"/>
          <w:lang w:bidi="ar-SA"/>
        </w:rPr>
        <w:t>510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تناسب باب الجهاد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أدلّة الإسهام للصبیّ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آراء أهل السنّة فی المسألة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الصبیّ للسّلب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آراء أهل السنّة فی المسألة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الصبیّ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أمان الصبیّ عند أهل السنّة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قتل صبیان الکفّار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الأدلّة علی عدم جواز قتل صبیان الکفّار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التترّس بالأطفال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التترّس بأطفال الکفّار و نسائهم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التترّس بأطفال المسلمین و نسائهم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وجوب الکفّارة فی قتل صبیان المسلمین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أدلّة القول الثانی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عدم القود فی قتل الترس المسلم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أحکام التترّس عند فقهاء أهل السنّة </w:t>
      </w:r>
      <w:r>
        <w:rPr>
          <w:rFonts w:eastAsia="IRNazanin" w:cs="IRNazanin"/>
          <w:color w:val="111111"/>
          <w:sz w:val="28"/>
          <w:szCs w:val="28"/>
          <w:lang w:bidi="fa-IR"/>
        </w:rPr>
        <w:t>541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التترّس بأطفال الکفّار و نسائهم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التترّس بأطفال المسلمین و أساراهم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جزیة علی الأطفال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الدلیل علی عدم الجزیة علی الأطفال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حکم الجزیة علی الأطفال عند أهل السنّة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النساء و الصبیان و أحکامه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یصیرون رقیقا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الأدلّة علی استرقاق الصبیّ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آراء أهل السنّة فی استرقاق الصبیّ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التفریق بین الامّ و ولیدها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التفرقة بین الصبیّ و غیر الامّ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هما واجبان کفایة أو عینا؟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هما واجبان عقلا أو شرعا؟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سقوطهما عن البالغین بفعل الصبیّ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التسلیم علی الصبیّ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السلام و صیغته و حکم ردّه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صیغة السلام و صیغة الردّ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السلام للصبیّ، و ما یترتّب علیه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السلام للصبیّ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سلام الصبیّ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ردّ الصبیّ السّلام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الأدلّة علی عدم الاکتفاء بردّ الصبیّ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البناء علی شرعیّة أفعال الصبیّ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الاکتفاء بردّ الصبیّ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آراء أهل السنّة فی مسائل هذا الفصل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السلام علی الصبیّ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السلام للصبیّ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الصبیّ الممیّز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ردّ السلام علی الصبیّ </w:t>
      </w:r>
      <w:r>
        <w:rPr>
          <w:rFonts w:eastAsia="IRNazanin" w:cs="IRNazanin"/>
          <w:color w:val="111111"/>
          <w:sz w:val="28"/>
          <w:szCs w:val="28"/>
          <w:lang w:bidi="fa-IR"/>
        </w:rPr>
        <w:t>593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السلام فی الصلاة </w:t>
      </w:r>
      <w:r>
        <w:rPr>
          <w:rFonts w:eastAsia="IRNazanin" w:cs="IRNazanin"/>
          <w:color w:val="111111"/>
          <w:sz w:val="28"/>
          <w:szCs w:val="28"/>
          <w:lang w:bidi="fa-IR"/>
        </w:rPr>
        <w:t>594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الفصل الأوّل من الباب التاسع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الصوم </w:t>
      </w:r>
      <w:r>
        <w:rPr>
          <w:rFonts w:eastAsia="IRNazanin" w:cs="IRNazanin"/>
          <w:b w:val="false"/>
          <w:bCs w:val="false"/>
          <w:i w:val="false"/>
          <w:iCs w:val="false"/>
          <w:color w:val="333333"/>
          <w:sz w:val="20"/>
          <w:szCs w:val="20"/>
        </w:rPr>
        <w:t>501:21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الفصل الأوّل من الباب التاسع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الحمل خلاف الظاهر جدّا، خصوصا مع ملاحظة قول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یصوم؟ فإنّ السؤال ظاهر فی زمن الوجوب، و کذا التصریح فی موثّقة السکونی بأنّه وجب علیه صوم شهر رمضان، فإنّه صریح فی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ذیل 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لیس صریحا فی المطلوبیّة و الاستحباب، سیّما مع القول بوجود التباین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بوجود فرق بین الصبیّ و الغلام، فإنّ الغلام قریب إلی البلوغ، و هو عبارة اخری عن الصبیّ الممیّز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عدم استفادة الاستحباب و الرجحان من روایات التأدیب؛ فإنّ غایة ما یستفاد منها رجحان التأدیب و مطلوبیّته، بینما أنّ الکلام فی مطلوبیّة نفس الصوم من حیث هو هو مع قطع النظر عن عروض عنوان التأدیب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هذا التعبیر و بین ما ورد فی بعض الروایات من أنّه یؤخذ علی قدر ما یطیقه،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الفصل الأوّل من الباب التاسع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الأمر الاستحبابی فی الصلاة و الصوم شامل للصبیّ أیضا، فأمر الأولیاء یکون من مصادیق الأمر بالأمر، و أمّا إذا لم یثبت شمول الأمر الاستحبابی للصبیّ، فلا یدخل فی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فی مقام إثبات استحباب الصوم للصبیّ لا یمکن الاستناد إلی هذه القاعدة الاصولیّة و لا یکون المقام منها، بل أمامنا أمر الشارع بالأولیاء بالنسبة إلی تمرین الصبیان،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إسماعیل بن أبی زیاد السکونی، و المشهور أنّه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العدّة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عملت الطائفة بما رواه حفص بن غیاث و غیاث بن کلوب و نوح بن درّاج و السکونی و غیرهم من العامّة عن أئمّتنا علیهم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من أنّ هذه الروایات إنّما هی بصدد بیان أصل مطلوبیّة الصوم و لیست فی مقام بیان أقسام المخاطبین حتّی یشمل الصبیّ الممیّز، و هذا واضح، سیّما علی المبنی القائل بالخطابات القانونیّة، کما تبنّاه السیّد الإمام الخمینی قدّس سرّه؛ فإنّه بناء علی ذلک لم تلحظ الأفراد و الأشخاص فی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نحن قد حقّقنا فی مباحثنا الاصولیّة عدم تمامیّة هذا المبنی،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کون العبد ذلیلا مستکینا محتسبا، و منکسرا للشهوات، منوط بالبلوغ بمعنی احتمال دخالة البلوغ فی حصول هذه الامور،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محمّد بن سنان و اختلف فیه، و لکن قال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من الموسوعة،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الحجّ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 الجوع،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الجوع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431:10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293:13</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الصوم </w:t>
      </w:r>
      <w:r>
        <w:rPr>
          <w:rFonts w:eastAsia="IRNazanin" w:cs="IRNazanin"/>
          <w:b w:val="false"/>
          <w:bCs w:val="false"/>
          <w:i w:val="false"/>
          <w:iCs w:val="false"/>
          <w:color w:val="333333"/>
          <w:sz w:val="20"/>
          <w:szCs w:val="20"/>
        </w:rPr>
        <w:t>196:12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مقتضی المقابلة بین الإثم و البرّ یدلّ علی أنّ المراد بالبرّ خصوص الواجبات، کما أنّ المراد بالإثم خصوص المحرّمات، و علیه فلا تدلّ علی مندوبیّة التمرین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عدم وجود إطلاق للتمرین فی جمیع الواجبات، فلا یقول أحد باستحباب التمرین فی الحجّ و الخمس و الزکاة و غیرها، بل الظاهر استحباب التمرین فی خصوص الصلاة و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فلا دلالة فی هذه الآیة و کذلک الآیة المتأخّرة علی استحباب التمرین حتّی بالنسبة إلی الصوم و الصلاة،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دلیل علی أنّ الأخذ إنّما هو بالنسبة إلی ترک الواجب؛ فإنّه لا شکّ فی أنّ الصبیّ إذا بلغ الحلم یؤخذ بالترک فقد یستفاد من کلامه قدّس سرّه أنّ دائرة الصوم و وجوبه عند المفید أوسع من بلوغ الحلم، و هو المستفاد من روایة السکونی،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الشیخ الفاضل اللنکرانی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تحقیقه یتمّ ضمن ثلاثة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اختلاف النسخ فی روایة الحلبی بین السبع و التسع، و هذا غیر بعید؛ لقرب الحروف فیهما، و هذا الاختلاف صار سببا لاختلاف الأقوال، فلا یکون هذا من اختلاف نفس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المناط فی مبدإ التمرین فی الصلاة هو کونه ابن ستّ سنین، و الظاهر تمامیّة الستّ و دخوله فی السنة السابعة، فی حین أنّ الملاک فی مبدإ التمرین فی الصوم الطاقة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مبدأ التمرین فی الصوم عبارة عن التسع مشروطا بالطاقة، و الدلیل علی ذلک هو الجمع بین التسع و الطاقة فی صحیحة الحلبی، و لا یستفاد من الروایات أنّ استحباب التمرین منوط بنفس الطاقة من دون دخل لسنّ خاصّ، بل ظاهر روایات التمرین أنّ استحباب التمرین لا یکون قبل التسع، و بناء علی هذا فلا مجال للقول باختلاف مراتب الأطفال، و جواز التکلیف و التمرین حتّی قبل السبع بمجرّد إطاقته،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یصحّ هذا الجمع مع وجود الفرق فی الروایات بین الصوم و الصلاة؟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یقتضی عدم وجود الفرق بینهما، بل الملاک فیهما هو الطاقة، مع أنّه خلاف صریح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المستند فی شرح العروة الوثقی،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فیما تقدّم أنّه لا یبعد احتمال خصوص البالغ فی تحقّق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الاستناد إلی عنوان التعوّد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الزرکشی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المستند فی شرح العروة الوثقی، کتاب الصوم </w:t>
      </w:r>
      <w:r>
        <w:rPr>
          <w:rFonts w:eastAsia="IRNazanin" w:cs="IRNazanin"/>
          <w:b w:val="false"/>
          <w:bCs w:val="false"/>
          <w:i w:val="false"/>
          <w:iCs w:val="false"/>
          <w:color w:val="333333"/>
          <w:sz w:val="20"/>
          <w:szCs w:val="20"/>
        </w:rPr>
        <w:t>239:21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سرایة النیّة إلی أوّل الیوم متوقّفة علی وقوعه واجبا، فلو کان وقوعه واجبا متوقّفا علی سرایة النیّة إلی أوّل الیوم لاستلزم الدور، و بالنتیجة إذا قام الدلیل علی صحّة هذا الصوم علی نحو الوجوب فنستکشف منه سرایة النیّة اعتبارا إلی أوّل الیوم، و إلاّ فمع قطع النظر عن الدلیل لا طریق لهذا الاستکشاف،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عن أبی الحسن علیه السّلام فی الرجل یبدو له بعد ما یصبح و یرتفع النهار فی صوم ذلک الیوم لیقضیه من شهر رمضان، و لم یکن نوی ذلک من اللیل،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لیصمه، و لیعتدّ به إذا لم یکن أحدث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مصادیق القیاس المردود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الإمکان لا فائدة فیه، بل نحتاج إلی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 الکلام، فإنّ النزاع فی شمول أدلّة الوجوب للمقام، و الحقّ ما ذهب إلیه المشهور من عدم وجوب الصوم علیه، و هو مطابق للقواعد و الضوابط، و لا فرق بین أن یکون ناویا للصوم من أوّل الفجر أو لم یکن،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الصوم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لهذا الاستحباب؛ إذ لا 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بکونه مطابقا للاحتیاط المستحبّ؛ لذهاب بعض الفقهاء إلی وجوبه؛ بمعنی أنّ نفس هذا القول و إن کان مردودا إلاّ أنّه موجب للاحتیاط الاستحبابی،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شرح المقنع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الإمام الشافعی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450:13</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حواشی الشروانی و ابن القاسم علی تحفة المحتاج </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و الثامن من الفصل الأوّل من هذا الباب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شهر رمضان المبارک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الأمر تکلیفا علی وجه الإطلاق، بل الأمر الوجوبی تکلیف بخلاف الأمر الاستحبابی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أنّ شرطیّة البلوغ إنّما هی فی الأوامر الوجوبیّة و النواهی التحریمیّة، و أمّا الأفعال الاستحبابیّة فلا دلیل عندنا علی اشتراطها بالبلوغ، فتصحّ من الصبیّ حتّی غیر الممیّز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نتمسّک بأدلّة المستحبّات و إطلاقاتها علی مشروعیّة العمل المستحبّ للصبیّ، و هذا البحث غیر مرتبط بالبحث عن مشروعیّة عبادات الصبیّ؛ فإنّها فیما إذا کان العمل الواجب العبادی الصادر من البالغ کالصلاة و الصیام، و أمّا فی العمل المستحبّ، فلا نحتاج إلی تلک القاعدة الکلّیة، فافهم کی لا یختلط علیک الأمر کما اختلط علی بعض الأعلام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الفصل الأوّل من الباب التاسع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546:10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388:10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الصوم </w:t>
      </w:r>
      <w:r>
        <w:rPr>
          <w:rFonts w:eastAsia="IRNazanin" w:cs="IRNazanin"/>
          <w:b w:val="false"/>
          <w:bCs w:val="false"/>
          <w:i w:val="false"/>
          <w:iCs w:val="false"/>
          <w:color w:val="333333"/>
          <w:sz w:val="20"/>
          <w:szCs w:val="20"/>
        </w:rPr>
        <w:t>437:22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تحریر الوسیلة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فیما تقدّم أنّه لا ارتباط للمقام بالبحث عن مشروعیّة عبادات الصبیّ، فلا یصحّ الاستدلال به،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الفصل الأوّل من الباب التاسع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هذا الفصل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الدلیل الاستحبابی علی نحو الخطاب فلا یشمل الصبی غیر الممیّز، و أمّا إذا لم یکن علی نحو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فیشمل الصبیّ غیر الممیّز أیضا، کما أنّ قراءة القرآن من الصبیّ غیر الممیّز مشروعة مستحبّة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437:22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یصیر واجبا فی الیوم الثالث أیضا، قال فی التذکرة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لعلمائنا فی صیرورته واجبا أقوال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له إبطاله مطلقا و فسخه متی شاء، سواء فی الیوم الأوّل أو الثانی أو الثالث، کما اختاره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إلی هذا ابن إدریس فی السرائر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 لهذا القول لا موضوع للبحث فی أنّه یجب علی الصبیّ إتمامه أم لا؟</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من هذا الفصل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المجادلة لمجرّد إثبات کلامه، سواء کان فی أمر دینی أو دنیوی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تحریر الوسیلة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صحّة الاعتکاف لا یلازم اجتناب المحرّمات حتّی فی البالغ، کما أنّ التحقیق فی إحرام الحجّ هکذا، و علیه یمکن القول بصحّة الاعتکاف عن الصبیّ مع عدم جعل المحرّمات علیه، و القول بأنّ الولیّ یجنّبه یحتاج إلی دلیل مفقود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أفسد صومه بالأکل و الشرب و نحوهما فلا یتحقّق الاعتکاف و یفسد، و أمّا الأحکام التکلیفیّة فلا تترتّب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کفّارة الاعتکاف هی کفّارة صوم شهر رمضان، قال فی التذکرة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کفّارة الاعتکاف عند علمائنا هی کفّارة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رقبة، أو صیام شهرین متتابعین، أو إطعام ستّین مسکینا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فی شرح الوجیز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حاشیة ردّ المحتار علی الدرّ المختار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العزیز شرح الوجیز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نهایة المحتاج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الصامت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یقال علی رقبته صامت، یعنی الذهب و الفضّة، خلاف الناطق و هو الحیوان، و قد تکرّر ذکر الصمت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الزکاة قرینة الصلاة، و قد قرنهما اللّه تعالی فی کتابه فی أکثر من موقع، مشعرا بعدم قیام الصلاة ممّن لا یؤدّ الزکاة،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أَقِیمُوا الصَّلاةَ وَ آتُوا الزَّکاةَ سورة البقرة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أقام الصلاة و لم یؤت الزکاة، فکأنّه لم یقم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صلاة مکتوبة خیر من عشرین حجّة، و حجّة خیر من بیت مملوّ ذهبا ینفقه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یتصدّق به ن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أفلح من ضیّع عشرین بیتا من ذهب بخمسة و عشرین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الزکاة وقفت صلاته حتّی یزکّی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بینما رسول اللّه صلّی اللّه علیه و آله فی المسجد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فلان، قم 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أخرج خمسة نفر،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من مسجدنا لا تصلّوا فیه و أنتم لا تزکّون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وصیّة النبیّ صلّی اللّه علیه و آله لعلیّ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کفر باللّه العظیم من هذه الامّة عشرة، و عدّ منهم مانع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منع قیراطا من زکاة ماله فلیس بمؤمن و لا بمسلم و لا کرامة، یا علیّ، تارک الزکاة یسأل اللّه الرجعة إلی الدّنیا، و 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جاءَ أَحَدَهُمُ الْمَوْتُ قالَ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موسوعة الإمام الخوئی، المستند فی شرح العروة الوثقی،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ما تستحبّ فیه،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قریت الضیف أقریه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أحسنت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1787:2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یقوّی به ضعیفا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الزکاة و ما یجب فی المال من الحقوق،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الإیضاح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الوسیلة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یبعّد هذا المعنی قرینة المقابلة فی الروایة، فالمقابلة بین الوجوب و النفی قرینة علی المعنی الاصطلاحی، و إلاّ فاللاّزم أن یفسّر النفی بعدم الثبوت و الاستحباب مع أنّه لا یمکن الالتزام به، فاللاّزم الحمل علی ظاهره و هو الوجوب کما فهمه کثیر من الفقهاء کالسیّد المرتضی و الشیخ فی جمیع کتبه و بنو حمزة و البرّاج و زهرة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هذه الروایة معارضة بموثّقة أبی بصیر، فقد صرّح فیها بأنّه لیس علی جمیع غلاّته من نخل أو زرع أو غلّة زکاة، و ما حمله الشیخ علیه من ورود النفی علی الجمیع، و هذا لا ینافی الوجوب بالنسبة إلی بعض، غیر مرضیّ جدّا، فملاحظة جمیع الروایات و الأدلّة تقتضی القول بعدم الوجوب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مقتضی الاحتیاط الاستحبابی تعلّق زکاة الغلات فی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تعارض فی البین، بل المقام من قبیل المطلق و المقیّد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ینسب إلی المشهور عدم الوجوب مع أنّ السیّد المرتضی فی الناصریّات صرّح بذهاب أکثر أصحابنا إلی أنّ الإمام یأخذ من الضرع و الزرع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ابن إدریس کیف نسب القول بعدم الوجوب إلی السیّد، اللّهمّ إلاّ أن یراد رأیه فی کتاب آخر، و أیضا قد ذهب الشیخ فی النهایة و المبسوط و الخلاف و ابن حمزة و ابن البرّاج و ابن زهرة و بعض آخر إلی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علی ذلک لا یمکن إسناد عدم الوجوب إلی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المشهور بین المتأخّرین لعلّه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الفقه المنسوب إلی الإمام علیّ بن موسی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یذهب علیک أنّه مصادرة للمطلوب، فإنّ النزاع فی أنّه هل البلوغ کما أنّه شرط لسائر التکالیف شرط لوجوب الزکاة أیضا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مهذّب الأحکام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الشیخ الفاضل اللنکرانی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کتاب الزکاة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تبصرة المتعلّمین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معارض بالإجماع الذی ادّعاه الشیخ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فی هذا الفصل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ما تستحبّ فیه،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من لا تجب،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ضعیفة بضعف أسناد الشیخ إلی علیّ بن الحسن الفضّال؛ لاشتماله علی ابن عبدون و علیّ بن محمّد بن الزبیر، لکنّ الصحیح أنّ ابن عبدون ثقة؛ لأنّه من مشایخ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مشایخه کلّهم ثقات، و أمّا علیّ بن محمّد بن الزبیر فلم تثبت وثاقته، و لکن اعتبره السیّد الخوئی قدّس سرّه من طریق النجاشی،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طریق الشیخ إلی ابن فضّال و إن کان ضعیفا بعلیّ بن محمّد بن الزبیر إلاّ أنّ ذلک الکتاب بعینه هو الذی للنجاشی إلیه طریق صحیح، فلا أثر لضعف طریق الشیخ بعد وحدة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إلی ذلک أنّ العلاّمة عبّر عنها فی المختلف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بالموثّقة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من تجب علیه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 الکلام، و البحث فی أنّه هل المعتبر فی مبدإ الحول کونه من زمان البلوغ أم لا، بل مضیّ الحول واقعا کاف و إن کان بعضه قبل البلوغ، و ربما یدّعی أنّ الظاهر من الأدلّة أنّ تعلّق الوجوب إنّما هو حین البلوغ، و هذا لا ینافی کفایة الحول الذی یکمل بعد البلوغ، و علی هذا فاللازم ملاحظة دلیل شرط الحول، و لا یصحّ الاعتماد علی أدلّة نفی الزکاة فی مال الیتیم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الاستدراک بعد تصرّف الشارع و بعد أن عیّن الحول بوجوب الزکاة، فلا یتسامح فیه، کما أنّ هذا بالنسبة إلی البالغین هکذا، فالمعیار مضیّ الحول الکامل، کما أنّ المعیار فی البلوغ مضیّ أربع عشرة سنة کاملة و الدخول فی السنة الخامسة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البیان مخدوش جدّا، فلم تتعرّض الروایة إلی ما قبل الحول و لا إلی ما بعده، بل الروایة ظاهرة فی أنّ الیتیم بالنسبة إلی الأموال الموجودة عنده و مضت فی یده لا زکاة فیها، و بالنسبة إلی الأموال التی یحصّلها بعد أن لم یکن وجدها قبلا، لا زکاة أیضا، فلا یتعلّق الوجوب حتّی یدرک، و إطلاق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الوجوب حتّی فیما تمّ الحول بعد الإدراک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فالروایة لیست مجملة کما ادّعاه السبزواری، فافهم و تدبّر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الموضوع فیها مطلق مال الیتیم؟ نعم، صرّح بنفی الزکاة بالنسبة إلی الغلاّت، مؤکّدا علی عدم وجوبها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دخل للبلوغ و عدمه فی الملکیّة فی تمام السنة؛ فإنّ الکلام فی مضیّ الحول الکامل بعد البلوغ، و إلاّ ففی الملفّق أیضا یکون مالکا فی سنة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الاستناد إلی هذا؛ لخروجه عن الیتم حسب الفرض، بل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ظاهره عدم وجوب الزکاة فیما یصدق علیه الیتم فی جمیع الحول، و الفرض أنّه بعد الإدراک لا یصدق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نفی الموضوعیّة بنفی تمام الموضوع، بمعنی أنّه فیما کان یتیما لا یتعلّق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عین الدعوی و لیس فی هذا البیان وجه صناعی یصحّ الاعتماد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ذکره ثانیا من إمکان التصرّف فی تمام الحول من شرائط وجوب الزکاة جیّد متین، و بناء علیه نقول بعدم الوجوب فی الملفّق من عهدی الصبا و البلوغ،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کتاب الزکاة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الزکاة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الزکاة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مقتدر، و یجوز البدل و الإدغام و ملؤ بالضمّ ملأته، و هو أملأ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أقدرهم و أغناهم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المدارک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بالملاءة کونه بحیث یقدر علی أداء المال المضمون من ماله لو 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بالملاءة ما ذکره الصادق علیه السّلام فی خبر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أمرنی أن أسألک عن مال الیتیم فی حجره یتّجر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لأخیک مال یحیط بمال الیتیم إن تلف أو أصابه شیء غرمه له، و إلاّ فلا یتعرّض لمال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صحیح ربعی عنه علیه السّلام أیضا فی رجل عنده مال الیتیم،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محتاجا و لیس له مال فلا یمسّ ماله، و إن هو اتّجر به فالربح للیتیم و 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بضمان المال هنا نقله إلی ملک الولیّ بناقل شرعی کالقرض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من لا تجب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الفضّة، یعنی ما لیس مسکوکا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ممنوع جدّا، و یحتمل أن یکون الربح بینهما مع عدم التضمین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فرق بین ما نحن فیه و مورد القاعدتین؛ فإنّ التجارة فی مال الصبیّ مشروطة بأن یکون فیها مصلحة له، و علی هذا یکون الربح للصبیّ و الخسارة علی العامل، و أمّا مورد القاعدتین فلا یلحظ فیه رعایة المصلحة، و یستفاد من روایة أبی الربیع أنّ الولیّ أو الوصیّ إذا اتّجر بمال الصبیّ مضاربة، فالربح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إذا اتّجر بمال الصبیّ لنفس الصبیّ، فالربح له و الخسارة علی العامل، و إذا اتّجر بماله ضامنا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یجعله دینا علی 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فالربح للعامل کما هو مقتضی روایة الصیقل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سند هذه الروایة إلاّ من جهة أبی العطارد الخیّاط، فإنّه لم یوثّق بتوثیق صریح، و لکن روی عنه صفوان مع الواسطة، و أیضا روی عنه کثیرا إسحاق بن عمّار، و هو من أجلاّء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اعتمد علیه الشیخ فی التهذیب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خلاف العدل و الإنصاف، کیف یتّجر شخص و یکون الربح له، مع أنّ الزکاة فی مال شخص آخر، أ لیس هذا من الظلم و العدوان؟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کثیر من الفقهاء فی جواز الاقتراض من مال الیتیم للولیّ ملاءه و تمکّنه فی الحال من الوفاء، کما صرّح به فی المدارک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استدلّ بما رواه الشیخ فی الصحیح، عن ربعی بن عبد اللّه بن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عنده مال لیتیم،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محتاجا و لیس له مال فلا یمسّ ماله، و إن هو اتّجر به فالربح للیتیم و هو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روایة أسباط بن سالم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کتاب الزکاة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إطلاق فی الأخبار، بل ظاهرها الاتّجار بنفس مال الصبیّ، و إلاّ فالاتّجار بما فی الذمّة و دفع مال الصبیّ لا یکون من مصادیق الاتّجار بمال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أنّه علی هذا الفرض لا وجه لکون الربح للصبیّ، لأنّه أجنبی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کتاب الزکاة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مع أنّ المستفاد من الأخبار أنّ الملاک فی إخراج الزکاة وجوبا أو استحبابا هو الاتّجار بماله و العمل به، ففی موثّقة أبی شعبة عن أبیه،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مال الیتیم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زکاة علیه إلاّ أن یعمل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الروایة لیست مختصّة بما إذا کانت التجارة بماله لنفسه، و هکذا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یتّجر به أو تعمل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محمّد بن مسلم، و علی هذا فالحقّ ما ذهب إلیه الشهیدان و المحقّق الثانی و صاحب المدارک من استحباب إخراج الزکاة فی هذا الفرض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تَقْرَبُوا مالَ الْیَتِیمِ إِلاّ بِالَّتِی هِیَ أَحْسَنُ سورة الأنعام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إذ أنّه بعد الحمل علی الاستحباب لا یکون حینئذ موافقا للعامّة حتّی یصیر مرجوحا، و علی هذا لا تصل النوبة إلی الاستناد إلی قاعدة التسامح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مصدر رأیهم فی بدایة المطلب عند بیان الأقوال فی المسألة، فراجع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مفهوم صحیحة زرارة و محمّد بن مسلم یدلّ علی ذلک، کما أنّه یستفاد من الإطلاق المقامی فی الصحیحة عدم الاستحباب، و هذا یتمّ بعد حمل الوجوب علی الاستحباب، فعدم ذکر المواشی یدلّ علی عدم الاستحباب، فالحقّ عدم إلحاق المواشی بالغلاّت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تخریجهما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 کتاب الزکاة،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خلافه؛ فإنّه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اختصاص للحمل علی التقیّة بفرض المعارضة، فلو صدرت روایة موافقة للعامّة فإنّها قد تطرح و لو لم توجد روایة معارضة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فرض المعارضة لا ریب فی أنّ الجمع العرفی إنّما هو إذا کانت کلّ واحدة من الروایتین بصدد بیان الحکم الواقعی، و أمّا إذا کانت إحداهما صادرة تقیّة فلا تصل النوبة إلی الجمع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المستند فی شرح العروة الوثقی،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الإمامیة، کتاب الزکاة،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فی الحمل علی التقیّة أن تکون الروایة بجمیعها مطابقة لقولهم، بل إذا کان الذیل موافقا لهم یکفی للحمل علیها،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من لا تجب،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الوجوب فی جمیع هذه الموارد إنّما استعمل فی الثبوت، و مع القرینة یحمل علی الاستحباب المؤکّد، و فی بعض الموارد لم یمکن الحمل علی هذا المعنی و إنّما هو دالّ علی الثبوت، کما ورد فی خیار المجلس من أنّه إذا افترقا فقد وجب البیع، و من الواضح عدم إمکان حمله علی الاستحباب المؤکّد،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الأعظم فی کتاب الزکاة ضمن تراثه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المناهل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آقا ضیاء العراقی، العروة الوثقی مع تعلیقات عدة من الفقهاء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المستند فی شرح العروة الوثقی،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مالکیّته قبل الانفصال مشکوکة، بمعنی أنّه مراعی و معلّق بالانفصال حیّا، و مع الشکّ فی الملکیّة لا معنی لتعلّق الزکاة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یجب علیه الزکاة،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الزکاة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الشیخ الفاضل اللنکرانی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الزکاة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فی سندها من یغمز به إلاّ أحمد بن محمّد بن یحیی العطّار و خالد بن جریر و أبی الربیع، أمّا أحمد بن محمّد بن یحیی فالأقوی اعتباره، و فی هامش مجمع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تصحیح بعض طرق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کطریقه إلی الحسین بن سعید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توثیقه، و کذا الحکم فی أحمد بن محمّد بن الحسن الولید و إن لم یذکر فی کتب الرجال أصالة و لا تبعا؛ و ذلک لأنّهما من مشایخ الإجازة یذکران لاتّصال السند فقط و لیسا صاحبا کتاب حتّی یتوجّه النظر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للعلاّمة القهپائی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أیضا أنّه وقع فی سند حدیث الرفع المشهور، و صرّح الشیخ الأعظم و المحقّق النائینی و جماعة من الأعلام بصحّة سندها،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فوائد الاصول للنائینی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درر الفوائد للحائری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نهایة الأفکار للمحقّق العراقی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تهذیب الاصول للإمام الخمینی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خالد بن جریر، فإنّه لا إشکال فی جلالته و صحّة الاعتماد علیه؛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 عنه الحسن بن محبوب الذی هو من أصحاب الإجماع،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علیّ بن الحسن عن خالد بن جریر،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بجیلة و کان صالحا،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هذا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فی فرض الخطاب إلی 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الاستحباب بالنسبة إلی الصبیّ بعد بلوغه؛ لأنّ الخطاب إلی الولی إنّما هو من جهة الامتثال و التصرّف و الولایة، و الملاک تعلّق الزکاة بالمال، فیتمّ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شرح المقنع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للغزالی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 الحاجة، 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بدائع الصنائع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و کتاب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البنایة فی شرح الهدایة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 سنن النسائی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الحسن البصری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7769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المالیّة یخرج الحقوق غیر المالیّة کحقّ الولایة مثلا، و قید الأصالة یخرج النذور و نحوها، و بقید العوضیّة تخرج الزکاة التی تصل إلی بنی هاشم من أمثالهم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ما یدلّ علی وجوب الخمس من الکتاب قریبا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الهدایا و الخیرات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 الشیء غنما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به و تغنّمه، و اغتنمه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غنیمة، لسان العرب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غنم،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فی مجمع البحرین </w:t>
      </w:r>
      <w:r>
        <w:rPr>
          <w:rFonts w:eastAsia="IRNazanin" w:cs="IRNazanin"/>
          <w:b w:val="false"/>
          <w:bCs w:val="false"/>
          <w:i w:val="false"/>
          <w:iCs w:val="false"/>
          <w:color w:val="333333"/>
          <w:sz w:val="20"/>
          <w:szCs w:val="20"/>
        </w:rPr>
        <w:t>1337:2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الفائدة المکتسبة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مستندهم فی الثلاثة خصوص الروایات الواردة فیها، و إطلاقها یشمل الصبیّ أیضا، و لیس مستندهم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یذهب علیک أنّ توجّه الخطاب التکلیفی إلی الصبیّ ممنوع، و لکن الخطاب غیر التکلیفی لا بأس به، و الخطاب فی الآیة الشریفة إنّما هو بالنسبة إلی الغنیمة، و هو ممکن التوجّه إلی الصبیّ، و کذا الخطاب ب وَ اعْلَمُوا فهو أیضا خطاب غیر تکلیفی، بخلاف صلّوا و صوموا و غیرهما، فکأنّ الآیة الشریفة تدلّ علی ثبوت الخمس فی مطلق الغنائم و لا دخل للخطاب فی 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الروایة إنّما هی بصدد بیان متعلّق الخمس، و لیس بصدد بیان من یجب علیه حتّی یتمسّک بإطلاقها، و هذا الإشکال یجری بالنسبة إلی الدلیل الرابع و الخامس و السادس،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ذکر الأقوال فی ذیل القول الأوّل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الخمس </w:t>
      </w:r>
      <w:r>
        <w:rPr>
          <w:rFonts w:eastAsia="IRNazanin" w:cs="IRNazanin"/>
          <w:b w:val="false"/>
          <w:bCs w:val="false"/>
          <w:i w:val="false"/>
          <w:iCs w:val="false"/>
          <w:color w:val="333333"/>
          <w:sz w:val="20"/>
          <w:szCs w:val="20"/>
        </w:rPr>
        <w:t>308:25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بیّناه فی قواعدنا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ذکره الشیخ الأنصاری و تبعه المحقّق النائینی 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اسندت إلی فعل من أفعال المکلّفین فهی ظاهرة فی التکلیف، و أمّا إذا اسندت إلی مال من الأموال فهی ظاهرة فی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ما ذکره المحقّق الإیروانی؛ من أنّها فی جمیع الموارد ظاهرة فی الحکم التکلیفی، سواء اسندت إلی فعل أو إلی مال، مخدوش، بل الحقّ ما اختاره السیّد المحقّق العظیم الإمام الخمینی قدّس سرّه فی کتابه البیع؛ من ظهور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الاستقرار فی العهدة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الحمل، کما لا وجه لعکسه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البدلیّة ثابتة و لکنّها بالنسبة إلی المصرف، و إلاّ فهل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الزکاة واجبة فی النقدین فالبدلیّة تقتضی وجوب الخمس؟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فیمن یجب علیه الخمس لا فیمن یصرف فیه الخمس، و البدلیّة فی الثانی دون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 کتاب الخمس للسیّد محمد هادی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الخمس </w:t>
      </w:r>
      <w:r>
        <w:rPr>
          <w:rFonts w:eastAsia="IRNazanin" w:cs="IRNazanin"/>
          <w:b w:val="false"/>
          <w:bCs w:val="false"/>
          <w:i w:val="false"/>
          <w:iCs w:val="false"/>
          <w:color w:val="333333"/>
          <w:sz w:val="20"/>
          <w:szCs w:val="20"/>
        </w:rPr>
        <w:t>308:25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مقتضاه رفع الأحکام الاستحبابیّة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کلّ ما یکون متعلّقا للجعل من وجوب و حرمة و کراهة و استحباب و شرط و جزء و مانع و غیرها، و الالتزام بهذه السعة مشکل جدّا، و لا ریب فی أنّ المستحبّات کما تکون مجعولة للبالغین تکون مجعولة فی حقّ الأطفال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الخمس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للنائینی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کتاب الخمس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الزکاة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المقدار من التخصیص لا یبلغ حدّ الاستهجان، مضافا إلی أنّ الإباء عن التخصیص أمر غیر قابل للقبول و لا دلیل علیه، بل ما هو المشهور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ما من عامّ إلاّ و قد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صحیح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و الثانی من الباب التاسع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للآخوند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الأراکی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اللاّزم غیر لازم؛ لأنّه إذا قلنا برفع خصوص المؤاخذة فلا معنی للحدیث، إلاّ فی فرض مخالفة التکلیف التی هی سبب لاستحقاق العقاب، و لا تعرّض للحدیث إلی نفی أصل الوجوب و الحرمة، فلو أتی الصبیّ واجبا بقصد الوجوب أو ترک حراما بقصد إطاعة اللّه لکان صحیحا؛ لعدم تعرّض الحدیث إلی صورة الموافقة، و هذا أمر لا یمکن الالتزام به، و لم یقل به أحد، فتبیّن أنّ حمل الحدیث علی رفع المؤاخذة غیر تامّ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للشیخ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تعلّق للعقوبة بالجعل و هو لیس علّة للعقوبة، بل المخالفة سبب لاستحقاق العقوبة، فالعقوبة متأخّرة عن الجعل بمرتبتین و لا مجال للقول بأنّ المقام من نفی اللاّزم و إرادة نفی الملزوم فإنّ المؤاخذة لیست لازمة للجعل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الایروانی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للمیرزا فتاح الشهیدی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من الباب التاسع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جعفر عن أبیه عن علیّ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یقول فی المجنون و المعتوه الذی لا یفیق و الصبیّ الذی لم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عمدهما خطأ تحمله العاقلة و قد رفع عنهما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حکم القصاص،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تجذب جذبا عنیفا، الصحاح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ضمن سلسلة مؤلّفات الشیخ المفید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ضمن سلسلة مؤلّفات الشیخ المفید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و ج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222/2351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لا یشمل و فی الروایة تصریح بنفی القتل و هو حکم وضعیّ، و استدلّ بقول الرسول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هذا القید غیر مستفاد من العرف و اللّغة و الرفع فی قبال الوضع، و لا یعتبر فی کلّ منهما ثقل،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الأصفهانی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الفقه للسیّد الشبیری الزنجانی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الدرس 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کتب بالفارسیّة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التعبیر بالکتابة فی جمیع هذه الموارد قرینة واضحة علی المقصود، و إلاّ فمع قطع النظر عن هذا اللّفظ فلا یوجد دلیل یدلّ علی استعمال القلم فی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شاهد علی دلالة لفظ القلم علی الکتابة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 القلم بمعنی رفع قلم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الرفع فی قبال الوضع و لیس فی مفهومه معنی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نحن لا ننکر استعمال رفع القلم فی بعض الروایات فی رفع قلم السیّئات، و لکنّ هذا إنّما یکون بمئونة القرینة، أمّا مع عدم القرینة علی ذلک فلا وجه لتفسیره بهذا، و الظاهر بین المحتملات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الرفع هو رفع الأحکام الإلزامیّة فیما کان رفعه سببا للامتنان من دون اعتبار الثقل و الکلفة، بل الملاک ما کان الرفع فیه سببا للامتنان، فلا یشمل المستحبّات کما لا یشمل بعض الأحکام الوضعیّة کالضمان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فللتحقیق فی مفاد الحدیث مجال آخر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استعمال وضع القلم فی کتابة السیّئات، بل استعماله دائما فی جعل الأحکام و وضعها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الفقه، کتاب الخمس للسیّد محمود الهاشمی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واضح؛ فإنّ نفی الضمان فی الصبیّ موجب للظلم و العدوان علی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نفی الضمان امتنانا و لکن نفی الخمس عن الصبیّ لا شکّ أنّه من مصادیق الامتنان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للسیّد الشبیری الزنجانی المجلّد الخامس بالفارسیة، الدرس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الخمس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529:11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للسیّد الشبیری الزنجانی المجلّد الخامس بالفارسیة الدرس 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محاضرات فی فقه الإمامیة کتاب الخمس للسیّد محمّد هادی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الخمس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الخمس للسیّد محمود الهاشمی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 السیّدان الگلپایگانی و الخوانساری، العروة الوثقی مع تعلیقات عدّة من الفقهاء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ممنوع جدّا، فالتقسیم بین أصحاب الخمس و المقاتلین و إن کان بینهم طفل کیف یدلّ علی وجوب الخمس فی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الأحکام المتأخّرة عن الخمس؛ بمعنی أنّه بعد تعلّق الخمس تجری هذه الأحکام، مع أنّ الکلام فی لزوم تعلّق الخمس بمال الصبیّ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أنّ هذا الحقّ منتزع من الوجوب التکلیفی، و إلاّ فمع قطع النظر عنه لا معنی له، فالأمر یرجع إلی إثبات هذا الحکم الإلزامی الوجوبی علی الصبیّ، و ما یقال من أنّ الأحکام الوضعیّة غیر مختصّة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فی مقام بیان مطلق الفائدة و لیست بصدد بیان من یجب علیه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الروایة فی مقام بیان من یجب علیه الخمس حتّی یتمسّک بالإطلاق اللفظی أو المقامی، بل هی فی مقام بیان أنّ الملاک هو الغنیمة و الاکتساب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 هذا ما ذکره المشهور من بطلان اکتساب الصبیّ، فإسناد الاکتساب یشعر بالبالغ، و لا یبعد إشعار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کلّ بالغ؛ لعدم إطلاق هذا اللّفظ علی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للسیّد الشبیری الزنجانی، المجلّد الخامس بالفارسیة، الدرس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 کتاب الخمس للسیّد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الخصال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یخرج من المعادن و البحر و الغنیمة و الحلال المختلط بالحرام إذا لم یعرف صاحبه و الکنوز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بل المنساق هو الذمّی البالغ، و أیضا الغالب بل الدائم اشتراء الذمّی البالغ من المسلم، و أمّا اشتراء الصبیّ الذمّی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ندرته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أصل صحّته حتّی یجب فیه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 کتاب الخمس للسیّد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یقال بثبوت الخمس فی الثلاثة؛ أی الکنز و المعدن و الغوص؛ و ذلک لتحقّق الإجماع فی هذه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یثبت الخمس فی مال الصبیّ المختلط بالحرام؛ لأنّ طریق تطهیره منحصر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بالنسبة إلی الأرض التی اشتراها الذمّی من المسلم أو فی أرباح التجارات فلا دلیل علی ثبوت الخمس فیه،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الترکیب غیر صناعی؛ لأنّه إذا قلنا بعموم الرفع فیکون حاکما علی سائر الأدلّة و منها الآیة الشریفة الدالّة بظاهرها علی أنّ الغنیمة فیها الخمس من دون فرق بین البالغ و الصبیّ، فلا وجه للترکیب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مرتضی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205:12</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المسالک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القدیر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المحتار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أوجز المسالک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القلیلة، النهایة لابن الأثیر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الترمذی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المسالک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المهذّب فی فقه الشافعی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أخرجه الشافعی فی الامّ باب زکاة الرکاز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حجّ إلینا فلان، أی قدم، لسان العرب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أقرب الموارد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و فی مجمع البحرین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قصده و السعی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فی الاصطلاح فقد قال الشیخ فی المبسوط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فی اللغة هو القصد، و فی الشریعة کذلک، إلاّ أنّه اختصّ بقصد البیت الحرام لأداء مناسک مخصوصة عنده متعلّقة بزمان مخصوص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شرائع الإسلام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اسم لمجموع المناسک المؤدّاة فی المشاعر المخصوصة، و قد وصفه فی الجواهر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من أعظم شعائر الإسلام، و أفضل ما یتقرّب به الأنام إلی الملک العلاّم؛ لما فیه من إذلال النفس و إتعاب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حینئذ ریاضة نفسانیّة و طاعة مالیّة، و عبادة بدنیّة، قولیّة و فعلیّة،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هنا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الحجّ المبرور لا یعدله شیء، و لا جزاء له إلاّ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رواه فی وسائل الشیعة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فی مستدرک الوسائل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فی الکافی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أنّه لیس شیء أفضل من الحجّ إلاّ الصلاة، و فی الحجّ لهاهنا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الحجّ أفضل من الصلاة و الصیام؛ لأنّ المصلّی إنّما یشتغل عن أهله ساعة، و أنّ الصائم یشتغل عن أهله بیاض یوم، و أنّ الحاجّ یتشخّص بدنه و یضحّی نفسه و ینفق ماله، و یطیل الغیبة عن أهله، لا فی مال یرجوه و لا إلی 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الرابع من هذا الباب، المبحث الأوّل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 ذیل الحدیث</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المحتمل قویّا تبدیل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الصبیّ قضی حجّة الإسلام متی یکبر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علیه فلا إشکال فی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من حیث السند کلام، فإنّ صاحب الوسائل روی عن أبان بن الحکم، و الظاهر أنّ ذلک غلط؛ لأنّ أبان بن الحکم لا وجود له لا فی کتب الرجال و لا فی کتب الحدیث،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الحکم، کما فی الفقیه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الوسائل، و الحکم هو الحکم بن حکیم الصیرفی الثقة، و أمّا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لا یکون أبان بن تغلب؛ لأنّه لا یروی عن غیر المعصوم و روایاته قلیلة، و إن کان أبان بن عثمان؛ فهو و إن کان ثقة، لکن من البعید أنّ أبان المذکور فی السند هو أبان بن عثمان؛ لأنّ أبان بن عثمان لا یروی عن الحکم، و لم نر روایة و لا واحدة یرویها أبان بن عثمان عن الحکم، فیکون أبان المذکور فی السند رجلا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المکاسب المحرّمة للإمام الخمینی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و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الشیخ الفاضل اللنکرانی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المراد من وجوب الوفاء بالنذور هو النذر بالحمل الشائع لا بالحمل الأوّلی، کما أنّ المراد من العقود فی أَوْفُوا بِالْعُقُودِ هو العقد بالحمل الشائع، فلا نحتاج إلی القول بالسریان و وجهه، بل حینئذ معنی أوفوا بالنذور وجوب الوفاء بما تعلّق به النذر من العناوین المختلفة کالصلاة و الصدقة و البیع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السیّد الإمام الخمینی و الشیخ المحقّق الوالد قدّس سرّهما مبنیّ علی القول بالحمل الأوّلی، و بناء علیه لا دلیل للسرایة و إن قلنا بأنّ الوفاء لیس إلاّ أمرا انتزاعیّا، فإنّ عنوان الغصب منتزع من الصلاة فی الدار المغضوبة، و مع ذلک لا یلزم سرایة الحکم من الغصب إلی الصلاة بناء علی جواز اجتماع الأمر و النهی، و قد ظهر بذلک بطلان ما قیل من أنّ الأمر بالوفاء لیس حکما ابتدائیّا من قبل الشارع، فإنّه بناء علی الحمل الشائع یکون حکما مجعولا ابتدائیّا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ما ذکره العلمان لا یکون قابلا للمساعدة 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کتاب الصوم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من الباب التاسع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من الباب التاسع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من الباب التاسع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من الباب التاسع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هذه الروایات لیست فی مقام بیان شرائط الحجّ و خصوصیّاته، و لا فی مقام بیان شرائط من یأتی بالحجّ، و الشاهد علی ذلک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تشمل المجنون و الکافر و أمثالهما، کالصبیّ غیر الممیّز بعد إحجاج الولیّ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أمکن الاستدلال بمثل هذه الروایات لوجب أن یقال بمشروعیّة جمیع العبادات، کالصلاة و الزکاة و الخمس و الجهاد و غیرها للصبیّ،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الأدلّة الدالّة علی فضیلة الصلاة و ثوابها تشمل بإطلاقها الصبیّ و المجنون، مع أنّه لا یمکن الالتزام بذلک و إن التزم به بعض، کالسیّد الخوانساری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هذه الروایات بالنسبة إلی الأفراد و الأشخاص مهملة جدّا، و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 الحاجّ مطلق عام، فإنّه لم یستعمل فی المعنی العام، بل استعمل فی من أتی بالحجّ، و النظر إنّما هو بالنسبة إلی الفعل دون الفاعل؛ بمعنی أنّ الحاجّ من حیث الفعل دون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لیختبر طاعتهم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أیضا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 یؤدّی إلی غفرانه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بالنسبة إلی الصبیّ؟و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نقول إنّ هذه الآثار مترتّبة علی البالغین فقط،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الروایات بصدد بیان ترتّب الثواب علی أصل العمل، و أمّا شرائط العامل فتستفاد من سائر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بعد فی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المستفاد من مجموع الأدلّة ترتّب الآثار علی الواجدین للشرائط، فتأمّل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الطواف المتّصف بکونه عبادة صلاة، و هذا العنوان بالنسبة إلی الصبیّ من باب الشبهة المصداقیّة، فلا یعلم أنّ الطواف الصادر منه هل هو عبادی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للطباطبائی القمّی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بین مکّة و المدینة علی طریق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بین مکّة و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لهذا الإشکال، و الحقّ ما ذکره النراقی من أنّ هذه الروایة فی مورد حجّ الصبیة بأنفسهم و الکلام فی إحجاج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دلالة الروایات علی صحّة حجّ الصبیّ و الصبیّة؛ لأنّ الإمام علیه السّلام فی جواب السائل لم ینف إتیان الحجّ قبل الاحتلام و الطمث، بل ذکر لزوم إتیان حجّة الإسلام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دالّة علی کون الحجّ قبلهما لیس من مصادیق حجّة الإسلام، فیستفاد أصل صحّة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یستفاد منها استحباب الإحجاج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لیست قاعدة غیر قاعدة الاشتراک، سواء کانت مستقلّة أو جزءا منها، لکنّها جاریة فی الأحکام التی لم تخالف القاعدة،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المستفاد من صحیحة عبد الرحمن بن الحجّاج مطلق المولود، سواء کان صبیّا أو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للتبریزی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الأولویّة فی أمثال هذه الامور العبادیّة ممنوعة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سنذکره قریبا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یبعد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عن المدینة المنوّرة جنوبا، البیان فی مذهب الشافعی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ح رقم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النساء علی الجمل کالهودج من غیر أن یکون علیه قبّة أو مظلّة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 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ح رقم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ح 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الإجماع مثبت للولایة بالنسبة إلی الآباء و الأجداد، و لکن لم ینف ثبوت الولایة للآخرین، مضافا إلی أنّ المشهور فی المقام أضافوا إلیهما الامّ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الرابع و الخامس من الموسوعة، 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 بالقدر المتیقّن فی الأدلّة اللفظیّة ممنوع، بل هو مختصّ بالأدلّة اللبّیّة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لأجل أنّ هذا الحکم خلاف القاعدة فاللازم الاقتصار علی المتیقّن، و هو الولیّ الشرعی و الامّ من جهة الروایة الواردة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وزان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مکّة من جهة الشام نحو مرحلة، و هو منصرف؛ لأنّه اسم واد، 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لیلة من المدینة، معجم البلدان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الروایة غیر دالّة علی الإحجاج، بل ظاهرة فی النیابة عن الصبیّ،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 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النائب یوجر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فی محلّه أنّ نکاح الصغیر أو الصغیرة متوقّف علی إذن الولی، مع أنّه لم یکن تصرّفا مالیّا، فالولایة علیه لیست منحصرة فی التصرّفات المالیّة، بل الظاهر فی جمیع ما یرتبط بالصبیّ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قد ورد فی الروایات وجوب صیام الولی عن الصبیّ، و هذا لا یتمّ إلاّ فی الولیّ الشرعیّ، و بهذا یظهر بطلان ما قیل من أنّ ذکر الأب فی الروایات من باب المثال و 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ثبوت الاستحباب بالنسبة إلی مطلق من یتکفّل أمر الصبیّ مشکل، و المستفاد من الروایات إنّما هو بالنسبة إلی الأب و الامّ، فلو أراد الغیر إحجاجه وجب أن یستأذن من ولیّه، و من دون الإذن لا دلیل علی جوازه فضلا عن استحبابه، و التعابیر الواردة فی الروایات بصیغة الجمع تحمل علی أنّه لکلّ ولیّ تلبیة صبیّة؛ و لذا ورد فی صحیحة عبد الرحمن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فلیصم عن کلّ صبیّ منکم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ظاهر فی الولیّ الشرعی، و هذا أیضا مرتکز بین المتشرّعة، فلا یلبّی غیر الولیّ، کما أنّ مناسبة الحکم و الموضوع تقتضی ذلک، سیّما مع وجوب الصوم للولی عند عدم وجدان الهدی، کلّ ذلک یدلّ علی الاقتصار علی الأب و الامّ،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هو السبب فی ذلک؟ فلو قلنا بأنّ الشارع جعل له مستحبّا و أجازه ذلک، فاللاّزم علی القاعدة وجوب الکفّارة من مال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اخری لا تفاوت بین ما إذا أحرمه ولیّه الشرعی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قلنا بأنّ مئونة حجّه من أمواله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القاعدة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قلنا بأنّ مئونة الحجّ من أموال الولیّ فلا مجال لهذا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البذل أمر مالی أیضا یحتاج إلی قبول الولی، و من دون قبوله لا یتحقّق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الاستلزام عرفی متین جدّا، و علیه لا وجه لاستیذان الصبیّ فی التصرّف فی الأموال، و لکن البحث فی أنّه مع قطع النظر عن التصرّف المالی، هل یکون استحباب حجّه متوقّفا علی إذنه أم لا؟ و الظاهر عدم الدلیل علی ذلک إلاّ شبهة وجود الإجماع، و هذا أیضا مع وجود المخالف غیر ثابت، فالحقّ عدم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الأحوط الأولی الاستیذان،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ما صرّح به فی صحیحة زرارة المتقدّمة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 صیدا فعلی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مقتضی ذلک أنّ عمله موجب للکفّارة و لکنّها علی أبیه، مع أنّه لو قلنا بأنّ عمد الصبیّ خطأ، فلا یوجب الکفّارة أصلا، لا علیه و لا علی أبیه،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المکروه،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التعبیر بالأمر، عطف تفسیر للإذن و لیس شیئا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أنّ الظاهر أنّ الولد أعمّ من الصغیر و الکبیر، و بالنتیجة أنّ الروایة فی مقام بیان المرتبة العالیة من البرّ، و لیس فی مقام بیان الصحّة و الفساد، و یؤیّد ذلک أنّ صوم الضیف من دون إذن صاحبه صحیح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التماسه الإفطار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حجّ الصبیّ من القسمین بمعنی أنّه تصرّف فی المال و النفس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المحمود الشاهرودی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من مصادیق الغرم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الثواب عائد إلیهما بناء علی مشروعیّة حجّ الصبیّ، إلاّ أن یقال بأنّ الإحجاج مستحبّ و إن لم نقل بمشروعیّة الحجّ للصبیّ، و لکن مع ذلک أیضا لا دلیل علی انحصار الثواب بالولیّ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یجوز و لکنّه من باب وجود المفسدة و المنقصة الدنیویّة، و إلاّ فمع قطع النظر عن ذلک لا یبعد القول بالجواز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الأولویّة ممنوعة جدّا، فإنّ النفقة و إن کانت زائدة و لکنّها تصرف علی نفس الصبیّ و منافعه و مصالحه؛ کالأکل و الشرب و المسکن و غیرها، و لکن الفداء و الکفّارة تصرف فی الغیر من الفقراء، و أیضا التکلیف بالاتّقاء متوجّه إلی الولی لا الصبیّ، فالکفّارة علیه أیضا، فالفرق واضح و لا تصحّ دعوی الأولویّة،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الملازمة ثابتة عرفا، و الإذن فی الإحجاج إذن فی لوازمه أیضا، و لا فرق فی ذلک بین عود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واجبات الحجّ و العمرة، و لا شکّ فی اشتمال تشریعه علی حکم جلیلة و أسرار و مقاصد تشریعیّة اشیر إلیها فی روایات عدیدة، کحصول الخشوع و التذلّل، و تجنّب الاشتغال بامور الدّنیا و زینتها، مع ما فیه من تعظیم اللّه تعالی، و حرمة الحرم، و تلبیة أمره بأداء النسک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روی الصدوق بأسانیده عن الفضل بن شاذان، عن الرضا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یأمروا بالإحرام لیخشعوا قبل دخولهم حرم اللّه و أمنه؛ و لئلاّ یلهوا و یشتغلوا بشیء من امور الدّنیا و زینتها و لذّاتها، و یکونوا حادّین فیما هم فیه، قاصدین نحوه، مقبلین علیه بکلّیّتهم، مع ما فیه من التعظیم للّه عزّ و جلّ لبیته، و التذلّل لأنفسهم عند قصدهم إلی اللّه عزّ و جلّ و وفادتهم إلیه، راجین ثوابه، راهبین من عقابه، ماضین نحوه، مقبلین إلیه بالذلّ و الاستکانة و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کتاب السرائر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عنه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210:17</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288:27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یصحّ هذا مع وجود مسافة قلیلة بین المیقات و فخّ و هی فرسخ واحد؟ و هل هذا یؤثّر فی الحرّ و البرد؟ و هل یکون تسهیلا للأطفال؟ و إذا کان الملاک هذا فاللازم استمراره إلی مکّة، و لا خصوصیّة لفخّ، و کیف لا یرخّص لهم من الطرق الاخری و إنّما رخّص لهم من طریق المدینة؟ و مع عدم الفرق بین المیقات و فخ من حیث البرد و الحرّ فاللّازم الإحرام من المیقات و لا یقولون به، فالظاهر أنّ التجرید الذی یکون موردا لسؤال السائل و مرکوزا فی ذهنه هو التجرید للإحرام من فخّ ترخیصا فی التأخیر للإحرام و إلاّ کیف تخیّل السائل؟ و من أین تخیّل الفرق بین مکان الإحرام و مکان التجرید حتّی یسأل الإمام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لوجوب الاحتیاط فی الصبیّ إلاّ أن یکون المراد الاحتیاط بحسب الحکم الوضعی، و هو الصحّة، و مع وجود الروایات الظاهرة فی أنّ إحرامهم من فخ لا وجه للتردید فی الصحّة، و مع القول بکون الروایات مجملة لا وجه أیضا للترخیص فی مجرّد التجرید أیضا،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الحجّ </w:t>
      </w:r>
      <w:r>
        <w:rPr>
          <w:rFonts w:eastAsia="IRNazanin" w:cs="IRNazanin"/>
          <w:b w:val="false"/>
          <w:bCs w:val="false"/>
          <w:i w:val="false"/>
          <w:iCs w:val="false"/>
          <w:color w:val="333333"/>
          <w:sz w:val="20"/>
          <w:szCs w:val="20"/>
        </w:rPr>
        <w:t>287:27</w:t>
      </w:r>
      <w:r>
        <w:rPr>
          <w:rFonts w:ascii="IRNazanin" w:hAnsi="IRNazanin" w:eastAsia="IRNazanin"/>
          <w:b w:val="false"/>
          <w:b w:val="false"/>
          <w:bCs w:val="false"/>
          <w:i w:val="false"/>
          <w:i w:val="false"/>
          <w:iCs w:val="false"/>
          <w:color w:val="333333"/>
          <w:sz w:val="20"/>
          <w:sz w:val="20"/>
          <w:szCs w:val="20"/>
          <w:rtl w:val="true"/>
        </w:rPr>
        <w:t xml:space="preserve">، کتاب الحجّ للسیّد محمود الشاهرودی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المعتمد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287:27</w:t>
      </w:r>
      <w:r>
        <w:rPr>
          <w:rFonts w:ascii="IRNazanin" w:hAnsi="IRNazanin" w:eastAsia="IRNazanin"/>
          <w:b w:val="false"/>
          <w:b w:val="false"/>
          <w:bCs w:val="false"/>
          <w:i w:val="false"/>
          <w:i w:val="false"/>
          <w:iCs w:val="false"/>
          <w:color w:val="333333"/>
          <w:sz w:val="20"/>
          <w:sz w:val="20"/>
          <w:szCs w:val="20"/>
          <w:rtl w:val="true"/>
        </w:rPr>
        <w:t xml:space="preserve">، کتاب الحجّ للسیّد محمود الشاهرودی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نحو مرحلة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تردید فی جواز إحرامهم من المیقات، کما أنّه لا تردید فی أفضلیّته، بل الکلام فی أنّه من فخ هل یکون المراد أیضا جواز الإحرام من فخ بحیث یکون ترخیصا لهم فی تأخیر الإحرام إلی فخ، أو لا، بل یکون التجرید عن اللباس من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فی صحّة معاویة بن عمّار علی أنّ مجرّد نزع الثیاب من بطن مرّ، بل هی ظاهرة فی أنّ إحرامهم إمّا من الجحفة و إمّا من بطن مرّ علی سبیل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 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علی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مورد الروایات هو إحجاج الولیّ ابنه، ففی هذه الصورة یجب علی الولی الاتّقاء، و أمّا إذا حجّ الصبیّ بنفسه فلا تشمله الروایات، و إلغاء الخصوصیّة مشکل، و رفع الید عن عموم المحرمات أشکل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488:15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406:18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المناسک، </w:t>
      </w:r>
      <w:r>
        <w:rPr>
          <w:rFonts w:eastAsia="IRNazanin" w:cs="IRNazanin"/>
          <w:b w:val="false"/>
          <w:bCs w:val="false"/>
          <w:i w:val="false"/>
          <w:iCs w:val="false"/>
          <w:color w:val="333333"/>
          <w:sz w:val="20"/>
          <w:szCs w:val="20"/>
        </w:rPr>
        <w:t>500:28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یتمّ إلاّ علی القول بکون الملاک فی الحرج فی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الحرج النوعی لا الشخصی، و المشهور خلافه و إن خالفناهم، فراجع رسالتنا فی تلک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قارفه بمعنی 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406:18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المناسک </w:t>
      </w:r>
      <w:r>
        <w:rPr>
          <w:rFonts w:eastAsia="IRNazanin" w:cs="IRNazanin"/>
          <w:b w:val="false"/>
          <w:bCs w:val="false"/>
          <w:i w:val="false"/>
          <w:iCs w:val="false"/>
          <w:color w:val="333333"/>
          <w:sz w:val="20"/>
          <w:szCs w:val="20"/>
        </w:rPr>
        <w:t>500:28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الردع علی الولیّ متوقّف علی حرمة المحظورات علی الصبیّ، و إذا قلنا بعدم حرمتها علی القاعدة، فکیف یجب علی الولیّ؟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الردع علی الولی من دون الحرمة علی الصبیّ ینقصه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کتاب الحجّ للسیّد محمود الشاهرودی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أنّ الکفّارة عقوبة علی المحرم و لا تتوقّف علی صدور الذنب، و من الواضح أنّ العقوبة غیر شاملة للصبیّ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بالنسبة إلی إحجاج الولیّ الصبیّ لا بأس بثبوت الکفّارة علی الولیّ، کما أنّ علیه الاتّقاء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وسائل الشیعة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اللفظ، و رواه أیضا القمّی فی تفسیره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مرارا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ذیل الحدیث 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ینقضی تعجّبی ممّا ذکره صاحب الجواهر؛ إذ کیف قاس المقام بمثل الذبح و الصوم علی الولیّ، مع أنّهما لا یرتبطان بالکفّارة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کلام بالنسبة إلی کفّارة الصید التی هی ثابتة علی الولیّ بمقتضی النصوص، لکنّ إلغاء الخصوصیّة عن الصید مشکل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الولیّ سببا فی المقام إشکال،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سبب للإحرام و لکن هذا غیر کونه سببا للوقوع فی المحرّم، فالسبب نفس الصبیّ دون الولیّ، کما أنّ إذن الولی فی إحرام الصبیّ غیر کونه سببا لإتیان المحرّمات، فلا مجال لجریان قاعدة تقدیم السبب علی المباشر، مضافا إلی أنّ مورد هذه القاعدة هی الجنایات، ففیها یقدّم السبب؛ فمثلا فی الحجّ البدلی هل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الکفّارة فی المحرّمات علی الباذل؟ کلاّ،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57:10</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339:15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484:14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المبانی فی شرح العروة الوثقی </w:t>
      </w:r>
      <w:r>
        <w:rPr>
          <w:rFonts w:eastAsia="IRNazanin" w:cs="IRNazanin"/>
          <w:b w:val="false"/>
          <w:bCs w:val="false"/>
          <w:i w:val="false"/>
          <w:iCs w:val="false"/>
          <w:color w:val="333333"/>
          <w:sz w:val="20"/>
          <w:szCs w:val="20"/>
        </w:rPr>
        <w:t>255:33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282:24</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أحکام الأطفال و أدلّتها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الکلبایکانی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التحلیل من إحرام العمرة بالتقصیر و من إحرام الحجّ بالحلق</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255:18</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المناسک، 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غیر الممیّز ینوی عنه، و یبتدأ به من الحجر، و هکذا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کستر العورة و إزالة النجاسة عن الثوب و البدن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أفضلیّة الوضوء فی مقابل کسب الطهارة بالتیمّم، لا مطلقا حتّی یستفاد منها صحّة الطواف من غیر 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التعبیر إشارة إلی ما هو المعروف الشائع؛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 بالبیت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اختلفوا فی أنّ التشبیه إنّما هو لمجرّد شرطیّة الطهارة، بمعنی أنّه کما تجب الطهارة فی الصلاة، فتجب فی الطواف الواجب أیضا أم لا، بل تکون قاعدة کلّیّة و ارید بها العموم إلاّ ما خرج بالدلیل؟ و قد أثبتنا العموم فی رسالتنا حول الطواف فی الطابق الأوّل فی المسجد الحرام الذی هو أعلی من الکعبة فی زماننا هذا بمقدار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و قلنا بأنّه کما یجوز الصلاة فی الطابق الأوّل و الثانی و الثالث، کذلک الطواف، و هذا مع قطع النظر عن اعتبار کون الطواف یلزم أن یکون بین البیت و المقام،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هذا الفصل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للقمّی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التاسع من هذا الفصل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بعد عدم اشتراط کون الولیّ محرما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بالنسبة إلی إتیان الصلاة عنه لا تردید فی الطهارة، و لکنّ الکلام فی الطهارة حین الطواف، و لا ملازمة بینهما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التعبیر و التعدیة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الإطافة، و التعبیر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الصلاة موجب لبطلان القیاس فی المقام، فإنّ الصلاة عنه إنّما هی بمنزلة النیابة، بخلاف الإطافة فإنّها لیست بعنوان النیابة، بل هو مجرّد العون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أنّ الأدلّة قاصرة عن شمول الإتیان صورة و منصرفة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تامّ جدّا، و القطع غیر ثابت أیضا، بل الأمر بالعکس؛ بمعنی أنّ الظاهر من الأدلّة القطع باعتبار الطهارة الواقعیّة فی الطواف، و لا تنفع الطهارة الصوریّة فیه، و الإطافة لیست صوریّة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فی فقه الإمام أحمد بن حنبل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و قرینیّتها ممنوعة جدّا، فلا مقابلة فی الروایات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الرجل هو جنس المذکّر الأعمّ من الصغیر و البالغ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الأغلف لا یطوف بالبیت، و لا بأس أن تطوف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xml:space="preserve">، کتاب الحجّ للمحقّق الداماد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استثناء المرأة من جهة أنّ الغالب فی إتیان الحجّ هو إتیان البالغین، و علیه فلا یدلّ علی شرطیّة الختان فی الصبیّ و لا فی الخنثی المشکل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أوّل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الکلام فی شرطیّة الختان فی الصبیّ، و مع عدم إحراز شرطیّته لا مجال لهذا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ذکرها آنفا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المناسک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المریض و الصبیّ غیر الممیّز، فإنّ المریض مکلّف بالطهارة و الختان، و لکن لوجود المانع لا یقدر علی الطواف، فتصل النوبة إلی الطواف به، بخلاف الصبیّ، فإنّه غیر قادر علی الطواف بنفسه من حیث الاقتضاء، فجوّز الشارع بأنّ الولی یطوف به، فهو بحسب الحکم الأوّلی غیر مکلّف بالطواف، بل المکلّف هو الولیّ، بخلاف المریض فهو أوّلا و بالذات مکلّف بالطواف، فیلزم علیه رعایة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صحیحة زرارة، 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صحیحة معاویة بن عمّار،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صحیحة عبد الرحمن 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زوروا به البیت و مری الجاریة أن تطوف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مجال للاستدلال بما دلّ علی الطواف به، فإنّ الاستنابة هی الطواف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یعتبر فی الطواف به مباشرة الولیّ، و لکن هذا غیر مسألة الاستنابة، فالاستدلال بإطلاق الأمر بالطواف به غیر تامّ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الآمال فی شرح کتاب المکاسب 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تفصیل الشریعة، 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 الشهید قدّس سرّه حمل الصحیحة علی عدم التمکّن حتّی بصورة الصلاة، و إلاّ لو تمکّن من الإتیان بصورتها فاللاّزم علیه إتیانها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الطواف و صلاته مع أنّهما واحد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فالظاهر لزوم العمل علی طبق الروایة، و هی دالّة علی الصلاة عنه فی صورة عدم التمکّن،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مصباح الهدی فی شرح العروة الوثقی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446:16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المناسک،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یرمی الصبیّ بنفسه، و لیس ظاهرا فی وضع الحصی فی کفّه و رمیها من یده، فالروایة لیست ظاهرة و دالّة علی المدّعی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جمره العقبة،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من قدّم ضعفة أهله، 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3506:6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النهایة و نکتها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دالّة علی ترجیح ما لیس له بدل علی ما له بدل فی فرض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المکلّف الحاجّ إذا لم یقدر علی الذبح فتصل النوبة إلی بدله و هو الصوم، و الظاهر أنّ البدلیّة إنّما هی فی المکلّف، و أمّا الصبیّ، غیر الممیّز فالمتعیّن علیه هو الذبح، و مع عدم التمکّن منه یجب الصوم علی الولیّ و لا یجب علی الصبیّ،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الاستظهار فی هذه الصورة أیضا ممنوع، بل فی هذا الفرض أعمّ من أن یکون الذبح من مال الصبیّ أو من مال الولیّ، کما أنّه علی فرض رجوع الضمیر إلی خصوص الکبار فهو أیضا غیر ظاهر فی کون الذبح من مال الولیّ، فالحقّ ما ذهب إلیه فی المهذّب؛ من أنّ الروایة أعمّ من کون الذبح من مال الصغیر أو من مال الولیّ فلا یصحّ الاستدلال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الذیل ظاهر فی کون الذبح من مال الولیّ؛ و ذلک بملاحظة التشبیه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تذبحون عن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قطع النظر عنه فإنّ إطلاق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اذبحوا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علیل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فی المدارک بالصحیح، و لکن وقع فی سنده فضل بن غانم، و هو مجهول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تسلیم السببیّة فی الإحجاج، و أمّا فی حجّه فلا نسلّم و إن کان منوطا بإذنه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الکبار خصوص البالغین، و لا یشمل الصبیان الممیّزین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التعابیر الواردة فی هذه الروایة ظاهرة فی غیر الممیّز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کون الصوم علی الولیّ لا یدلّ علی أنّ ثمن الهدی علیه أیضا؛ لأنّه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الهدی علی الممیّز؛ فلو لم یقدر علیه یجب الصوم علی الولیّ تخییرا بینه و بین الممیّز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کتاب الحجّ للسیّد الگلپایگانی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کثیرا من الفقهاء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المقصود من الکبار الممیّزون، و هذه الروایة موجبة لذهاب بعض الفقهاء إلی الفرق بین الصبیّ غیر الممیّز و الممیّز فی هذا الحکم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الروایة أعمّ من أن یکون الذبح من مال الصبی أو من مال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جاء فی ذیل معتبرة إسحاق بن عمّار و أیضا الروایات الظاهرة فی أنّ بدل الهدی علی الولی، دالّة علی المدّعی؛ من کون ثمن الهدی علی الولیّ، و إطلاقها شامل للممیّز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التعبیر الوارد 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المبحث السادس من هذا الفصل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صراط النجاة للتبریزی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بمقتضی إطلاق الروایات الواردة فی ذلک، بل ظهور بعضها فی الطواف بالصبیّ غیر الممیّز الشامل لطواف النساء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 الداماد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الکبیر البالی، لسان العرب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المناسک </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السببیّة حکم وضعی، و لکنّها لا توجب الحکم التکلیفی فی الصبیّ، و قیاس المقام بالضمان غیر تامّ، فإنّ الإتلاف سبب للضمان، و هو اشتغال الذمّة بشیء، و لا فرق فیه بین البالغ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سببیّة الإحرام لحرمة النساء فهی ممنوعة عند السیّد الخوئی، و لا ینافی ذلک وجوب طواف النساء علیه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إطلاقات الروایات فی لزوم الاتّقاء للصبیّ کما یتّقی البالغ، یدلّ علی حرمة الاستمتاع له من دون طواف النساء، و لا فرق بین الممیّز و غیره،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355:15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الحدائق الناضرة </w:t>
      </w:r>
      <w:r>
        <w:rPr>
          <w:rFonts w:eastAsia="IRNazanin" w:cs="IRNazanin"/>
          <w:b w:val="false"/>
          <w:bCs w:val="false"/>
          <w:i w:val="false"/>
          <w:iCs w:val="false"/>
          <w:color w:val="333333"/>
          <w:sz w:val="20"/>
          <w:szCs w:val="20"/>
        </w:rPr>
        <w:t>391:15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فی شیء من الأخبار علی مثل ذلک فی العمرة المفردة، فما ذکروه من العموم لا أعرف له 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أعثر علی نصّ فی المتمتّع بها کما اعترف به غیر واحد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المطلب الثّانی من المبحث الثّامن من هذا الفصل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367:28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العقوبة الاخرویّة منفیّة بحدیث الرفع، و أمّا العقوبة الدنیویّة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کتکرار العمل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غیر مرفوعة بهذا الحدیث و غیر مشروطة بالبلوغ، فکما أنّ الکفّارة ثابتة علی الولیّ، فیمکن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الحجّ فی القابل واجب علیه بعنوان العقوبة لا بالعنوان الأوّلی الذی هو مشروط بالبلوغ، و إطلاق الروایات شاهد علی ذلک أیضا، و لا یجری التفکیک فی الروایات بین الفساد من جانب بمعنی القول بالفساد، و بین عدم البدأة من جانب آخر، فإنّه خلاف الظاهر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المقصود من الفساد فی باب الحجّ هو إرادة النقص فی الجملة فیما أمر به، أو نقص الثواب المعدّ لها، و یؤیّده الأمر بالإتمام و بقاء الإحرام الأوّل، و لم یکن المقصود کونه باطلا فی نظر الشارع و عدم قبوله عنه، فإنّ الباطل بذلک المعنی لم یؤمر بإتمامه، بل یقع جمیع ما فعل لغوا محضا، و یکون کأن لم یکن، ثم یجب الاستیناف مع بقاء الوقت و القضاء بعده بأمر جدید علی الأصحّ، کالصلاة الباطلة و غیرها، کما فی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الفساد علی المجاز الّذی هو عبارة عن حصول النقص فیها، لا البطلان بالکلّیّة، و مثل هذا المجاز شائع فی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المعتمد فی شرح المناسک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فالتعبیر بفساد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حمله علی الفساد التنزیلی و رفع الید عن ظهوره فی الفساد الحقیقی، و إنّما عبّر بالفساد لوجوب حجّ آخر علیه فی السّنة القادمة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متفرّع علی أصل حجّ الصبیّ، فإن قلنا بأنّ أصل حجّه من ماله فیکون القضاء أیضا من ماله، و إن قلنا بأنّه من مال الولیّ فیکون القضاء أیضا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التفکیک بینهما فی غایة 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الحجّ الثانی لیس قضاء بحسب الاصطلاح، بل هو عقوبة، و قلنا بأنّ هذه العقوبة لیست مشروطة بالبلوغ کما ذکرنا، فیجوز أن یأتی به فی الصّبا، و بذلک یظهر النقاش فی ما ذکره صاحب الجواهر رحمة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من هذا الفصل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دلیل علی عدم الصحّة فی الصبا، و کیف أصل الحجّ الأوّل إذا لم یأت بالمفسد فیه یکون صحیحا، و لکن القضاء فی الصبا غیر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فرق، و هو أنّ الحاجّ بمجرّد الخروج عن ذی الحجّة یخرج عن الإحرام علی قول بعض من الفقهاء، بخلاف إحرام العمرة المفردة،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الإیضاح فی مناسک الحجّ و العمرة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المحتار علی الدرّ المختار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روایة مسمع بن عبد الملک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غلاما حجّ عشر حجج، ثمّ احتلم کانت علیه فریضة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 صحیحة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ابن عشر سنین یحجّ،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حجّة الإسلام إذا احتلم، و کذلک الجاریة علیها الحجّ إذا طمثت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60:14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 إنّ إدراک أحد الموقفین مع وجود الشرائط کاف فی إدراک مجموع الحجّ، و هو العلّة للإجزاء، و علی هذا فیجری هذا الملاک فی الصبیّ أیضا، و أمّا ما ذکره السیّد الیزدی فی العروة من أنّه قیاس، مضافا إلی عدم الالتزام به فیمن حجّ متسکّعا ثمّ حصلت له الاستطاعة قبل المشعر، فمخدوش لأجل أنّه لیس بقیاس من جهة ذکر العلّة، و هی إدراک أحد الموقفین و عدم ورود النقض علیه من جهة الدلیل الخاص علی اعتبار الاستطاعة من أوّل الحجّ إلی آخره حتّی اعتبار الرجوع إلی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xml:space="preserve">، الباب من فاتح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التفکیک بین الصحّة و الإجزاء بعید عن أذهان العرف و غریب عن مورد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الدلیل الخاصّ علی صحّة حجّ الصبیّ، و أیضا مع الدلیل علی أصل مشروعیّة عباداته، لا مجال لهذا الاحتمال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نقل بأنّ موردها هو الذی یکون الحجّ واجبا علیه، و لم یدرک الوقوف فی عرفات؛ لنسیان أو جهل أو 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والدنا الراحل قدّس سرّه صرّح بأنّ الصبیّ الذی لا یجب علیه الحجّ لا یستفاد حکمه منها، فکیف یقول بذلک فی هذه العبارة؟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إلی إلغاء الخصوصیّة عن روایات العبد کما قوّیناه، و أیضا ما ذکره السیّد الخوئی رحمة اللّه علیه من أنّ الإجزاء فی المقام هو المطابق للقاعدة و لا نحتاج معه إلی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یصحّ هذا مع دخول العمرة فی حجّ التمتّع و کونهما بمنزلة الفعل الواحد، و علیه فإدراک الحجّ إدراک للعمرة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فیما تقدّم عن صاحب الجواهر أنّ الوقت کما أنّه صالح لإنشاء الإحرام کذلک لانقلابه أو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فالظاهر تمامیّة التمسّک بالإطلاقات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هذه الروایات أیضا أنّ إدراک الحجّ قهری و لا یحتاج إلی النیّة و تجدیدها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إِلَیْهِ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إطلاق الآیة غیر دالّ علی کفایة الاستطاعة من الموقف، کیف؟ بل یمکن أن یدّعی أنّ الآیة الشریفة ظاهرة فی اعتبار الاستطاعة من أوّل الحجّ إلی آخره، و التعبیر بحجّ البیت شاهد علی ذلک، فالحقّ ما ذکره الوالد المحقّق الراحل قدّس سرّه من أنّ الاستطاعة معتبرة حین الوجوب، فهی قید للوجوب و لیست شرطا للواجب، ففی زمان الوجوب تشترط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کتاب الحجّ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بمورد الخلاف علی موضع الوفاق تامّ فی الأدلّة اللبّیّة، و أمّا الأدلّة اللفظیّة فمع وجود الإطلاق فیها فلا مجال لهذا البیان، بل اللاّزم التمسّک بالإطلاق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1588:455:5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 تصرّف و تلخیص</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ربط للمقام بمسألة المقدّمات المفوّتة التی یحکم العقل فیها بالإتیان قبل وصول وقت الواجب، و ذلک لأنّه فی مورد المقدّمات المفوّتة یکون أصل ثبوت التکلیف ثابتا مسلّما، و لکنّه لم یأت وقت إتیانه، و المکلّف یعلم بأنّه مع فوت بعض المقدّمات لم یقدر علی امتثال التکلیف علی النحو المطلوب، بخلاف المقام فإنّ أصل تکلیف الصبیّ غیر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أن یقال بأنّ المقام أیضا ملحق ببحث المقدّمات المفوّتة، و العقل یحکم بذلک بحیث إنّه لو لم یفعل و صار مکلّفا یستحقّ الذمّ و العقاب، لا من حیث ترک الواجب، بل من حیث تفویت الواجب و تضییع حقّ المولی،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الإجزاء؛ و ذلک لأجل أنّه اعتقد بعدم البلوغ مع أنّه فی الواقع بالغ بحیث لو التفت إلی الواقع لما یقصد الندب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لا فرق فی المقام بین القول باختلاف أنواع الحجّ و عدمه، فالحجّ من جهة الواقع واجد بشرائط حجّة الإسلام، و قصد الندب من حیث الاشتباه بالنسبة إلی الواقع، و هذا غیر الاشتباه فی التطبیق،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تعالیق مبسوطة علی العروة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الإجماع علی الکبری کاف فی المقام، فإنّ الإهمال أعمّ من أن یکون راجعا إلی التسویف عمدا أو جهلا، فلو کان المکلّف مستطیعا واقعا و اعتقد عدم استطاعته و زالت الاستطاعة لکان الحجّ مستقرّا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فالظاهر فی المقام الاستقرار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تعالیق مبسوطة علی العروة الوثقی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علی حسب القاعدة تامّ، و لکن أدلّة الاستقرار کالإجماع و غیره من الروایات الدالّة علی الاستقرار حاکمة علی ذلک و دالّة علی أنّه مع زوال الاستطاعة و عدم الإتیان، وجب و لو متسکّعا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بالخلاف مانع عن تنجّز الحکم الواقعی و لیس مانعا عن فعلیّته و شموله، کما أنّ الجهل البسیط أیضا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لا فرق بین الجهل البسیط و المرکّب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مجرّد دعوی و لم یقم علیه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xml:space="preserve">، تعالیق مبسوطة علی العروة الوثقی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فی الاصول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إطلاق النصوص فی ذلک و لا قرینة علی کون الموت اتّفاقیّا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234:26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ردّ المختار علی الدرّ المختار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الصغیر مع بلغة السالک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ردّ المحتار علی الدرّ المختار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المهذّب للشیرازی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الوسیط فی المذهّب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بما أنّ النیابة علی خلاف الأصل و القاعدة، و نیابة الصبیّ الممیّز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التمرینیّة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مشکوکة من حیث الصحّة، فاللاّزم الاکتفاء بالقدر المتیقّن، و هو ما صدر عنه بناء علی مشروعیّة عباداته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إطلاق لأدلّة النیابة حتّی یقال بانصرافه عن ذلک، فالظاهر عدم صحّة نیابته،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نیابته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197:12</w:t>
      </w:r>
      <w:r>
        <w:rPr>
          <w:rFonts w:ascii="IRNazanin" w:hAnsi="IRNazanin" w:eastAsia="IRNazanin"/>
          <w:b w:val="false"/>
          <w:b w:val="false"/>
          <w:bCs w:val="false"/>
          <w:i w:val="false"/>
          <w:i w:val="false"/>
          <w:iCs w:val="false"/>
          <w:color w:val="333333"/>
          <w:sz w:val="20"/>
          <w:sz w:val="20"/>
          <w:szCs w:val="20"/>
          <w:rtl w:val="true"/>
        </w:rPr>
        <w:t xml:space="preserve">، کتاب الحجّ، للمحقّق الداماد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کتاب الحجّ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الأحکام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الأحکام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العارف هو المؤمن الشیعی الاثنی عشری، و هو المقصود من المسلم العارف، و لیس المراد منه العارف بأحکام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لا تدلّ الروایة علی اعتبار البلوغ و لیست بصدد هذا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العباد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233:12</w:t>
      </w:r>
      <w:r>
        <w:rPr>
          <w:rFonts w:ascii="IRNazanin" w:hAnsi="IRNazanin" w:eastAsia="IRNazanin"/>
          <w:b w:val="false"/>
          <w:b w:val="false"/>
          <w:bCs w:val="false"/>
          <w:i w:val="false"/>
          <w:i w:val="false"/>
          <w:iCs w:val="false"/>
          <w:color w:val="333333"/>
          <w:sz w:val="20"/>
          <w:sz w:val="20"/>
          <w:szCs w:val="20"/>
          <w:rtl w:val="true"/>
        </w:rPr>
        <w:t xml:space="preserve">، کتاب الحجّ للسیّد محمود الشاهرودی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لا یرفع الید عن ظهور لفظ الرجل فی روایات القضاء فی اعتبار کون القاضی رجلا بالغا غیر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غیر تامّ؛ فإنّ قوله اشترکا قرینة واضحة علی کونه فی مقام بیان أصل مشروعیّة النیابة، کما أنّه لا تردید فی عدم شمول لفظ الإنسان للکافر، کما أشار إلیه والدنا المحقّق الراحل 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4813:322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للقمی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بعید جدّا و لا یعتمد علیه العرف، کیف؟ و الاعتماد علیه یقتضی القول بجواز نیابة الصبیّ عن المیّت حتّی فی الواجب أیضا، فإنّ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عمل صالح ینفع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یختصّ بالامور الاستحبابیّة، بل لا یبعد أن یقال بأنّ التعبیر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ضیق فیوسّع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بترک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المراد عمل الابن الواجد للشرائط، و منها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القول الأوّل فی المسألة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305:12</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عروة الوثقی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المعتمد فی شرح العروة الوثقی، کتاب الحجّ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الثواب من مصادیق الحقّ تأمّل و إشکال، بل هو من باب التفضّل و الکرامة، فالإهداء محتاج إلی دلیل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کتاب الحجّ للقمی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289:14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للسیّد محمود الشاهرودی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الذی لا حراک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استشکل فی الجواهر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فی هذا التعریف و أنّه غیر مانع؛ لأن إعزاز الدّین أعمّ من کونه بالجهاد المخصوص، إلاّ أنّ الأمر فی أمثال هذه التعاریف التی لا یراد منها إلاّ التمییز فی الجملة سهل</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الخطاب الشرعی فیه یتناول ابتداء جمیع المکلّفین الّذین یصلحون لأن یوجّه هذا الخطاب الشرعیّ إلیهم؛ لتحقّق شروطه فیهم، فالواجب الکفائیّ من هذه الناحیة کالواجب العینیّ، ثمّ یختلفان فی أنّ الواجب الکفائیّ إذا قام به بعض المکلّفین المخاطبین به سقط عن الباقین؛ لحصول المقصود، و المطلوب فی الواجب الکفائیّ حصوله من دون نظر إلی شخص فاعله، إلاّ أنّه إن لم یحصل أثم کلّ من یتناوله التکلیف، کما أنّ الظاهر امتثال الجمیع لو أتوا به دفعة و استحقاقهم للمثوبة، و أمّا الواجب العینی فالمطلوب فیه حصوله فی المجتمع و أن یفعله کلّ مکلّف، کما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کذا فی کفایة الأصول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فوائد الاصول للنائینی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یمضه و لم یأذن له فی الجهاد؛ لعدم أهلیّته للقتال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أحکام الأطفال و أدلّتها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المبحث الأوّل</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 الصغیر، و جمع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غلمة، و جمع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ترحّم و توجّع، و قد یقال بمعنی المدح و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استعارة هنا لفقد المیز و العقل ممّا أصابها من الثکل بولدها،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أفقدت عقلک بفقد ابنک حتّی جعلت الجنان جنّة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مضفور، یجعل زماما للبعیر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تنسج 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نسع</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بالأرض، و خصّه فی التهذیب بالإنسان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438:10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 ترجمة عمیر بن أبی وقّاص مع التلخیص</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أحدهما سرّا من صاحبه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أقتله أو أموت دونه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ألبث</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520:17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الراکب خلف الراکب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مراهق، أی مقارب للحلم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مجرّد الإسهام للصبیّ لا یدلّ علی مشروعیّة جهاده، فإنّه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السهم لکلّ من حضر فی الحرب حتّی من ولد حین الجهاد فی أرض الحرب، مع أنّه لا ریب فی عدم إمکان جهاده فضلا عن المشروعیّة،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مع تصرّف فی العبارة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 فی الاستدلال بشهادة حارثة بن النعمان و عمیر بن أبی وقّاص إشکال، راجع المبحث الثانی من الفصل الثالث فی الباب السادس من الموسوعة ج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 یضاف إلی کلامه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أخرجه الإمام إلی القتال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المختار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الکبیر و شرحه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127:18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یقطعون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947:2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198:21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156:21</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المهذّب فی مذهب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القلیل، و المقصود منه هنا إعطاء القلیل من سهم الغنیمة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الرحمن بن عمرو بن محمّد أبو عمر الأوزاعی، عالم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عطاء بن أبی الریاح و أبی جعفر الباقر علیه السّلام و عمر بن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 فی الشیء و به إرجافا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من الأخبار السیّئة و اختلاق الأقوال الکاذبة حتّی یضطرب الناس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الْمُرْجِفُونَ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کتاب المغازی؛ غزوة حنین ما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یعطی للمجاهد لیستعین به علی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المغنی و الشرح الکبیر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الکبیر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 سراج السالک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بمشروعیّة جهاد الصبیّ فاللاّزم أن نلتزم بمشروعیّة أمانه و صحّته، فإنّ مشروعیّة الجهاد لیست فی دائرة المقاتلة 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کیف یمکن الالتزام بصحّة قتاله و شهادته و لا یمکن الالتزام بصحّة أمانه؟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مسألة سلب العبارة فقد مرّ مرارا أنّه لیس مسلوب الکلام فی جمیع کلماته و عقوده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 من الذمّة بمعنی العهد و الأمان و الضمان، و 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یسعی بذمّتهم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روی عنه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ذمّة المسلمین واحدة، فمن أخفر مسلما فعلیه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433:10</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 أکثر ما یستعمل فی الخیانة فی الغنیمة</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الإذن و الأنف و ما أشبه ذلک</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الوفاء</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386:13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18665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الشرخ هنا جمع شارخ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حدیث السنّ، یرید بهم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539:10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399:10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3625:6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 تترّس بالتّرس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للوقایة من السیف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مجمع البحرین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تترّس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کالترس و تستّر به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التفاسیر المتقدّمة</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اتّرس</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للشیخ جواد التبریزی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372:13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18629</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504:10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65:10</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505:10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403:10</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البیان فی فقه الشافعی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65:10</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505:10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فیه عن حفص بن غیاث فقد رویته عن أبی قدّس سرّه عن سعد بن عبد اللّه عن أحمد بن أبی عبد اللّه، عن أبیه، عن حفص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349:19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سنن البیهقی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22098</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208:21</w:t>
      </w:r>
      <w:r>
        <w:rPr>
          <w:rFonts w:ascii="IRNazanin" w:hAnsi="IRNazanin" w:eastAsia="IRNazanin"/>
          <w:b w:val="false"/>
          <w:b w:val="false"/>
          <w:bCs w:val="false"/>
          <w:i w:val="false"/>
          <w:i w:val="false"/>
          <w:iCs w:val="false"/>
          <w:color w:val="333333"/>
          <w:sz w:val="20"/>
          <w:sz w:val="20"/>
          <w:szCs w:val="20"/>
          <w:rtl w:val="true"/>
        </w:rPr>
        <w:t xml:space="preserve">، بدایة المجتهد لابن رشد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587:10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597:10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الذرّیة، و هم ولد الرجل، و المراد هنا غیر البالغین منهم</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4801:8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357:13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18596</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18528</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326:13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18525</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147:12</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409:11</w:t>
      </w:r>
      <w:r>
        <w:rPr>
          <w:rFonts w:ascii="IRNazanin" w:hAnsi="IRNazanin" w:eastAsia="IRNazanin"/>
          <w:b w:val="false"/>
          <w:b w:val="false"/>
          <w:bCs w:val="false"/>
          <w:i w:val="false"/>
          <w:i w:val="false"/>
          <w:iCs w:val="false"/>
          <w:color w:val="333333"/>
          <w:sz w:val="20"/>
          <w:sz w:val="20"/>
          <w:szCs w:val="20"/>
          <w:rtl w:val="true"/>
        </w:rPr>
        <w:t xml:space="preserve">، المهذّب فی مذهب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400:10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405:10</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الفقهیّة لابن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الوسیط فی المذهب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العزیز فی شرح الوجیز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139:13</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المهذّب للشیرازی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مختصر اختلاف العلماء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تولّه والدة عن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لا یفرّق بینهما فی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504:11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468:10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140:13</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الاختیار لتعلیل المختار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469:10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و السنن الکبری </w:t>
      </w:r>
      <w:r>
        <w:rPr>
          <w:rFonts w:eastAsia="IRNazanin" w:cs="IRNazanin"/>
          <w:b w:val="false"/>
          <w:bCs w:val="false"/>
          <w:i w:val="false"/>
          <w:iCs w:val="false"/>
          <w:color w:val="333333"/>
          <w:sz w:val="20"/>
          <w:szCs w:val="20"/>
        </w:rPr>
        <w:t>456:13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الوسیط فی المذهب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665:7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راجع المبحث الثامن من الفصل الثانی فی باب الطهارة</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إدریس فی السرائر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 النهی عن المنکر</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اعتبار الشرائط المتعدّدة المذکورة فی محلّه کاحتمال التأثیر و غیره، و الظاهر أنّ الشرائط مصطادة من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أنّه قد مرّ أن ذکرنا مرارا، أنّه لا منافاة بین أن یکون فعل من الأفعال متعلّقا لحکم العقل و مع ذلک یوجد فی نفس ذلک الفعل حکم مولوی شرعی یترتّب علی موافقته الثواب و علی مخالفته العقاب، فلو قلنا بأنّ العقل یدرک الترغیب و الإلزام علی إتیان الواجب و الزجر عن الحرام لما کان مانعا عن الحکم الشرعی المولوی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الأمر بالمعروف و النهی عن المنکر، شرح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الباب السادس</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کون النهی عن المنکر من الإیمان</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الملائکة الحفظة للإنسان، و اشیر إلیهم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عَلَیْکُمْ لَحافِظِینَ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 کاتِبِینَ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یَعْلَمُونَ ما تَفْعَلُونَ سورة الانفطار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1265:4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464:15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السادة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و الگلبایگانی و الإمام الخمینی و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الناضرة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464:15</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 بکفایة فعل الصبیّ فی الواجبات الکفائیّة و تحقّق الغرض فیها بفعله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 للامتثال هو تحقّق الغرض، و الواجبات الکفائیّة غیر التعبّدیة یتحقّق فیها الغرض بفعل الصبیّ فیتحقّق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التحیّة فی الآیة الشریفة متوجّهة إلی البالغین لا یدفع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للشیخ جواد التبریزی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الاستظهار غیر واضح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قیام غیر الواجب مقام الواجب لا یصحّ فیما إذا کان الواجب عینیّا متوجّها إلی شخص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الواجب الکفائی فالعمل المباح أیضا ربما یوجب سقوط الواجب و حصول الغرض، و بناء علی ذلک فالظاهر کفایة ردّ الصبیّ الداخل فی جماعة </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467:15</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تعالیق مبسوطة علی العروة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تقریرات أبحاث فقه النائینی للشیخ محمّد تقی الآملی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465:15</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السادة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و الإمام الخمینی، و الخونساری، و الگلپایگانی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الحکیم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السیستانی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الفاضل اللنکرانی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حُیِّیتُمْ بِتَحِیَّةٍ فَحَیُّوا بِأَحْسَنَ مِنْها؛ سورة النساء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465:15</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467:15</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تعالیق مبسوطة علی العروة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علیه الإکاف أو الوکاف، أی البرذعة و الکساء یلقی علی الحمار، شبه الرّحال و الأقتاب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1363:4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الدوّانی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المحتاج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الشرعیّة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عیون البصائر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1363:4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المحتاج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للدوانی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غمز العیون البصائر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زاد المحتاج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نهایة المحتاج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للدوانی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376:11</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للبیهقی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حنیفة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35013</Words>
  <Characters>143474</Characters>
  <CharactersWithSpaces>176856</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2026-08-22T07:02:49Z</dcterms:created>
  <dc:creator>ghaemiyeh.com</dc:creator>
  <dc:description/>
  <dc:language>en-US</dc:language>
  <cp:lastModifiedBy/>
  <dcterms:modified xsi:type="dcterms:W3CDTF">2026-08-22T10:33:23Z</dcterms:modified>
  <cp:revision>1</cp:revision>
  <dc:subject/>
  <dc:title>موسوعه احکام الاطفال و ادلتها مقارنه تفصیلیه بین مذهب الامامیه و المذاهب الاخری جلد 5</dc:title>
</cp:coreProperties>
</file>

<file path=docProps/custom.xml><?xml version="1.0" encoding="utf-8"?>
<Properties xmlns="http://schemas.openxmlformats.org/officeDocument/2006/custom-properties" xmlns:vt="http://schemas.openxmlformats.org/officeDocument/2006/docPropsVTypes"/>
</file>