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9.xml" ContentType="application/vnd.openxmlformats-officedocument.wordprocessingml.footer+xml"/>
  <Override PartName="/word/footer561.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3.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96.xml" ContentType="application/vnd.openxmlformats-officedocument.wordprocessingml.footer+xml"/>
  <Override PartName="/word/footer58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احکام الاطفال و ادلتها مقارنه تفصیلیه بین مذهب الامامیه و المذاهب الاخری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87254_7370918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9587256_7370918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9587258_73709187">
            <w:r>
              <w:rPr>
                <w:webHidden/>
                <w:rStyle w:val="IndexLink"/>
                <w:rtl w:val="true"/>
              </w:rPr>
              <w:t>شکر و ثناء</w:t>
            </w:r>
            <w:r>
              <w:rPr>
                <w:rStyle w:val="IndexLink"/>
                <w:rtl w:val="true"/>
              </w:rPr>
              <w:tab/>
            </w:r>
            <w:r>
              <w:rPr>
                <w:rStyle w:val="IndexLink"/>
              </w:rPr>
              <w:t>15</w:t>
            </w:r>
          </w:hyperlink>
        </w:p>
        <w:p>
          <w:pPr>
            <w:pStyle w:val="Contents2"/>
            <w:tabs>
              <w:tab w:val="clear" w:pos="8743"/>
              <w:tab w:val="right" w:pos="9026" w:leader="dot"/>
            </w:tabs>
            <w:rPr/>
          </w:pPr>
          <w:hyperlink w:anchor="__RefHeading___Toc9587260_73709187">
            <w:r>
              <w:rPr>
                <w:webHidden/>
                <w:rStyle w:val="IndexLink"/>
                <w:rtl w:val="true"/>
              </w:rPr>
              <w:t>الباب الثامن</w:t>
            </w:r>
            <w:r>
              <w:rPr>
                <w:rStyle w:val="IndexLink"/>
                <w:rtl w:val="true"/>
              </w:rPr>
              <w:t xml:space="preserve">: </w:t>
            </w:r>
            <w:r>
              <w:rPr>
                <w:rStyle w:val="IndexLink"/>
                <w:rtl w:val="true"/>
              </w:rPr>
              <w:t>أحکام الطهارة المتعلّقة بالصبیّ حیّاً و میّتاً</w:t>
            </w:r>
            <w:r>
              <w:rPr>
                <w:rStyle w:val="IndexLink"/>
                <w:rtl w:val="true"/>
              </w:rPr>
              <w:tab/>
            </w:r>
            <w:r>
              <w:rPr>
                <w:rStyle w:val="IndexLink"/>
              </w:rPr>
              <w:t>17</w:t>
            </w:r>
          </w:hyperlink>
        </w:p>
        <w:p>
          <w:pPr>
            <w:pStyle w:val="Contents3"/>
            <w:tabs>
              <w:tab w:val="clear" w:pos="8459"/>
              <w:tab w:val="right" w:pos="9026" w:leader="dot"/>
            </w:tabs>
            <w:rPr/>
          </w:pPr>
          <w:hyperlink w:anchor="__RefHeading___Toc9587262_73709187">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9587264_73709187">
            <w:r>
              <w:rPr>
                <w:webHidden/>
                <w:rStyle w:val="IndexLink"/>
                <w:rtl w:val="true"/>
              </w:rPr>
              <w:t>تمهید</w:t>
            </w:r>
            <w:r>
              <w:rPr>
                <w:rStyle w:val="IndexLink"/>
                <w:rtl w:val="true"/>
              </w:rPr>
              <w:tab/>
            </w:r>
            <w:r>
              <w:rPr>
                <w:rStyle w:val="IndexLink"/>
              </w:rPr>
              <w:t>18</w:t>
            </w:r>
          </w:hyperlink>
        </w:p>
        <w:p>
          <w:pPr>
            <w:pStyle w:val="Contents3"/>
            <w:tabs>
              <w:tab w:val="clear" w:pos="8459"/>
              <w:tab w:val="right" w:pos="9026" w:leader="dot"/>
            </w:tabs>
            <w:rPr/>
          </w:pPr>
          <w:hyperlink w:anchor="__RefHeading___Toc9587266_73709187">
            <w:r>
              <w:rPr>
                <w:webHidden/>
                <w:rStyle w:val="IndexLink"/>
                <w:rtl w:val="true"/>
              </w:rPr>
              <w:t>الفصل الأوّل</w:t>
            </w:r>
            <w:r>
              <w:rPr>
                <w:rStyle w:val="IndexLink"/>
                <w:rtl w:val="true"/>
              </w:rPr>
              <w:t xml:space="preserve">: </w:t>
            </w:r>
            <w:r>
              <w:rPr>
                <w:rStyle w:val="IndexLink"/>
                <w:rtl w:val="true"/>
              </w:rPr>
              <w:t>فی الطهارة من الخبث</w:t>
            </w:r>
            <w:r>
              <w:rPr>
                <w:rStyle w:val="IndexLink"/>
                <w:rtl w:val="true"/>
              </w:rPr>
              <w:tab/>
            </w:r>
            <w:r>
              <w:rPr>
                <w:rStyle w:val="IndexLink"/>
              </w:rPr>
              <w:t>22</w:t>
            </w:r>
          </w:hyperlink>
        </w:p>
        <w:p>
          <w:pPr>
            <w:pStyle w:val="Contents4"/>
            <w:tabs>
              <w:tab w:val="clear" w:pos="8176"/>
              <w:tab w:val="right" w:pos="9026" w:leader="dot"/>
            </w:tabs>
            <w:rPr/>
          </w:pPr>
          <w:hyperlink w:anchor="__RefHeading___Toc9587268_73709187">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9587270_73709187">
            <w:r>
              <w:rPr>
                <w:webHidden/>
                <w:rStyle w:val="IndexLink"/>
                <w:rtl w:val="true"/>
              </w:rPr>
              <w:t>المبحث الأوّل</w:t>
            </w:r>
            <w:r>
              <w:rPr>
                <w:rStyle w:val="IndexLink"/>
                <w:rtl w:val="true"/>
              </w:rPr>
              <w:t xml:space="preserve">: </w:t>
            </w:r>
            <w:r>
              <w:rPr>
                <w:rStyle w:val="IndexLink"/>
                <w:rtl w:val="true"/>
              </w:rPr>
              <w:t>کفایة الصبّ فی التطهیر من بول الرضیع</w:t>
            </w:r>
            <w:r>
              <w:rPr>
                <w:rStyle w:val="IndexLink"/>
                <w:rtl w:val="true"/>
              </w:rPr>
              <w:tab/>
            </w:r>
            <w:r>
              <w:rPr>
                <w:rStyle w:val="IndexLink"/>
              </w:rPr>
              <w:t>23</w:t>
            </w:r>
          </w:hyperlink>
        </w:p>
        <w:p>
          <w:pPr>
            <w:pStyle w:val="Contents5"/>
            <w:tabs>
              <w:tab w:val="clear" w:pos="7892"/>
              <w:tab w:val="right" w:pos="9026" w:leader="dot"/>
            </w:tabs>
            <w:rPr/>
          </w:pPr>
          <w:hyperlink w:anchor="__RefHeading___Toc9587272_73709187">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9587274_73709187">
            <w:r>
              <w:rPr>
                <w:webHidden/>
                <w:rStyle w:val="IndexLink"/>
                <w:rtl w:val="true"/>
              </w:rPr>
              <w:t>الرضیع فی اللغة و الاصطلاح</w:t>
            </w:r>
            <w:r>
              <w:rPr>
                <w:rStyle w:val="IndexLink"/>
                <w:rtl w:val="true"/>
              </w:rPr>
              <w:tab/>
            </w:r>
            <w:r>
              <w:rPr>
                <w:rStyle w:val="IndexLink"/>
              </w:rPr>
              <w:t>25</w:t>
            </w:r>
          </w:hyperlink>
        </w:p>
        <w:p>
          <w:pPr>
            <w:pStyle w:val="Contents5"/>
            <w:tabs>
              <w:tab w:val="clear" w:pos="7892"/>
              <w:tab w:val="right" w:pos="9026" w:leader="dot"/>
            </w:tabs>
            <w:rPr/>
          </w:pPr>
          <w:hyperlink w:anchor="__RefHeading___Toc9587276_73709187">
            <w:r>
              <w:rPr>
                <w:webHidden/>
                <w:rStyle w:val="IndexLink"/>
                <w:rtl w:val="true"/>
              </w:rPr>
              <w:t>آراء الفقهاء فی المسألة</w:t>
            </w:r>
            <w:r>
              <w:rPr>
                <w:rStyle w:val="IndexLink"/>
                <w:rtl w:val="true"/>
              </w:rPr>
              <w:tab/>
            </w:r>
            <w:r>
              <w:rPr>
                <w:rStyle w:val="IndexLink"/>
              </w:rPr>
              <w:t>27</w:t>
            </w:r>
          </w:hyperlink>
        </w:p>
        <w:p>
          <w:pPr>
            <w:pStyle w:val="Contents5"/>
            <w:tabs>
              <w:tab w:val="clear" w:pos="7892"/>
              <w:tab w:val="right" w:pos="9026" w:leader="dot"/>
            </w:tabs>
            <w:rPr/>
          </w:pPr>
          <w:hyperlink w:anchor="__RefHeading___Toc9587278_73709187">
            <w:r>
              <w:rPr>
                <w:webHidden/>
                <w:rStyle w:val="IndexLink"/>
                <w:rtl w:val="true"/>
              </w:rPr>
              <w:t>أدلّة کفایة الصبّ فی التطهیر من بول الرضیع</w:t>
            </w:r>
            <w:r>
              <w:rPr>
                <w:rStyle w:val="IndexLink"/>
                <w:rtl w:val="true"/>
              </w:rPr>
              <w:tab/>
            </w:r>
            <w:r>
              <w:rPr>
                <w:rStyle w:val="IndexLink"/>
              </w:rPr>
              <w:t>28</w:t>
            </w:r>
          </w:hyperlink>
        </w:p>
        <w:p>
          <w:pPr>
            <w:pStyle w:val="Contents5"/>
            <w:tabs>
              <w:tab w:val="clear" w:pos="7892"/>
              <w:tab w:val="right" w:pos="9026" w:leader="dot"/>
            </w:tabs>
            <w:rPr/>
          </w:pPr>
          <w:hyperlink w:anchor="__RefHeading___Toc9587280_73709187">
            <w:r>
              <w:rPr>
                <w:webHidden/>
                <w:rStyle w:val="IndexLink"/>
                <w:rtl w:val="true"/>
              </w:rPr>
              <w:t>جهات یلزم ذکرها</w:t>
            </w:r>
            <w:r>
              <w:rPr>
                <w:rStyle w:val="IndexLink"/>
                <w:rtl w:val="true"/>
              </w:rPr>
              <w:tab/>
            </w:r>
            <w:r>
              <w:rPr>
                <w:rStyle w:val="IndexLink"/>
              </w:rPr>
              <w:t>32</w:t>
            </w:r>
          </w:hyperlink>
        </w:p>
        <w:p>
          <w:pPr>
            <w:pStyle w:val="Contents6"/>
            <w:tabs>
              <w:tab w:val="clear" w:pos="7609"/>
              <w:tab w:val="right" w:pos="9026" w:leader="dot"/>
            </w:tabs>
            <w:rPr/>
          </w:pPr>
          <w:hyperlink w:anchor="__RefHeading___Toc9587282_73709187">
            <w:r>
              <w:rPr>
                <w:webHidden/>
                <w:rStyle w:val="IndexLink"/>
                <w:rtl w:val="true"/>
              </w:rPr>
              <w:t>الاُولی</w:t>
            </w:r>
            <w:r>
              <w:rPr>
                <w:rStyle w:val="IndexLink"/>
                <w:rtl w:val="true"/>
              </w:rPr>
              <w:t xml:space="preserve">: </w:t>
            </w:r>
            <w:r>
              <w:rPr>
                <w:rStyle w:val="IndexLink"/>
                <w:rtl w:val="true"/>
              </w:rPr>
              <w:t>معنی الصبّ لغة و اصطلاحاً</w:t>
            </w:r>
            <w:r>
              <w:rPr>
                <w:rStyle w:val="IndexLink"/>
                <w:rtl w:val="true"/>
              </w:rPr>
              <w:tab/>
            </w:r>
            <w:r>
              <w:rPr>
                <w:rStyle w:val="IndexLink"/>
              </w:rPr>
              <w:t>32</w:t>
            </w:r>
          </w:hyperlink>
        </w:p>
        <w:p>
          <w:pPr>
            <w:pStyle w:val="Contents6"/>
            <w:tabs>
              <w:tab w:val="clear" w:pos="7609"/>
              <w:tab w:val="right" w:pos="9026" w:leader="dot"/>
            </w:tabs>
            <w:rPr/>
          </w:pPr>
          <w:hyperlink w:anchor="__RefHeading___Toc9587284_73709187">
            <w:r>
              <w:rPr>
                <w:webHidden/>
                <w:rStyle w:val="IndexLink"/>
                <w:rtl w:val="true"/>
              </w:rPr>
              <w:t>الجهة الثانیة</w:t>
            </w:r>
            <w:r>
              <w:rPr>
                <w:rStyle w:val="IndexLink"/>
                <w:rtl w:val="true"/>
              </w:rPr>
              <w:t xml:space="preserve">: </w:t>
            </w:r>
            <w:r>
              <w:rPr>
                <w:rStyle w:val="IndexLink"/>
                <w:rtl w:val="true"/>
              </w:rPr>
              <w:t>عدم کفایة النضح و الرشّ عن الصبّ‌</w:t>
            </w:r>
            <w:r>
              <w:rPr>
                <w:rStyle w:val="IndexLink"/>
                <w:rtl w:val="true"/>
              </w:rPr>
              <w:tab/>
            </w:r>
            <w:r>
              <w:rPr>
                <w:rStyle w:val="IndexLink"/>
              </w:rPr>
              <w:t>33</w:t>
            </w:r>
          </w:hyperlink>
        </w:p>
        <w:p>
          <w:pPr>
            <w:pStyle w:val="Contents6"/>
            <w:tabs>
              <w:tab w:val="clear" w:pos="7609"/>
              <w:tab w:val="right" w:pos="9026" w:leader="dot"/>
            </w:tabs>
            <w:rPr/>
          </w:pPr>
          <w:hyperlink w:anchor="__RefHeading___Toc9587286_73709187">
            <w:r>
              <w:rPr>
                <w:webHidden/>
                <w:rStyle w:val="IndexLink"/>
                <w:rtl w:val="true"/>
              </w:rPr>
              <w:t>الجهة الثالثة</w:t>
            </w:r>
            <w:r>
              <w:rPr>
                <w:rStyle w:val="IndexLink"/>
                <w:rtl w:val="true"/>
              </w:rPr>
              <w:t xml:space="preserve">: </w:t>
            </w:r>
            <w:r>
              <w:rPr>
                <w:rStyle w:val="IndexLink"/>
                <w:rtl w:val="true"/>
              </w:rPr>
              <w:t>کفایة الصبّ مرّةً واحدة</w:t>
            </w:r>
            <w:r>
              <w:rPr>
                <w:rStyle w:val="IndexLink"/>
                <w:rtl w:val="true"/>
              </w:rPr>
              <w:tab/>
            </w:r>
            <w:r>
              <w:rPr>
                <w:rStyle w:val="IndexLink"/>
              </w:rPr>
              <w:t>35</w:t>
            </w:r>
          </w:hyperlink>
        </w:p>
        <w:p>
          <w:pPr>
            <w:pStyle w:val="Contents6"/>
            <w:tabs>
              <w:tab w:val="clear" w:pos="7609"/>
              <w:tab w:val="right" w:pos="9026" w:leader="dot"/>
            </w:tabs>
            <w:rPr/>
          </w:pPr>
          <w:hyperlink w:anchor="__RefHeading___Toc9587288_73709187">
            <w:r>
              <w:rPr>
                <w:webHidden/>
                <w:rStyle w:val="IndexLink"/>
                <w:rtl w:val="true"/>
              </w:rPr>
              <w:t>الجهة الرابعة</w:t>
            </w:r>
            <w:r>
              <w:rPr>
                <w:rStyle w:val="IndexLink"/>
                <w:rtl w:val="true"/>
              </w:rPr>
              <w:t xml:space="preserve">: </w:t>
            </w:r>
            <w:r>
              <w:rPr>
                <w:rStyle w:val="IndexLink"/>
                <w:rtl w:val="true"/>
              </w:rPr>
              <w:t>عدم اعتبار العصر</w:t>
            </w:r>
            <w:r>
              <w:rPr>
                <w:rStyle w:val="IndexLink"/>
                <w:rtl w:val="true"/>
              </w:rPr>
              <w:tab/>
            </w:r>
            <w:r>
              <w:rPr>
                <w:rStyle w:val="IndexLink"/>
              </w:rPr>
              <w:t>37</w:t>
            </w:r>
          </w:hyperlink>
        </w:p>
        <w:p>
          <w:pPr>
            <w:pStyle w:val="Contents6"/>
            <w:tabs>
              <w:tab w:val="clear" w:pos="7609"/>
              <w:tab w:val="right" w:pos="9026" w:leader="dot"/>
            </w:tabs>
            <w:rPr/>
          </w:pPr>
          <w:hyperlink w:anchor="__RefHeading___Toc9587290_73709187">
            <w:r>
              <w:rPr>
                <w:webHidden/>
                <w:rStyle w:val="IndexLink"/>
                <w:rtl w:val="true"/>
              </w:rPr>
              <w:t>الجهة الخامسة</w:t>
            </w:r>
            <w:r>
              <w:rPr>
                <w:rStyle w:val="IndexLink"/>
                <w:rtl w:val="true"/>
              </w:rPr>
              <w:t xml:space="preserve">: </w:t>
            </w:r>
            <w:r>
              <w:rPr>
                <w:rStyle w:val="IndexLink"/>
                <w:rtl w:val="true"/>
              </w:rPr>
              <w:t>عدم اعتبار انفصال الغسالة</w:t>
            </w:r>
            <w:r>
              <w:rPr>
                <w:rStyle w:val="IndexLink"/>
                <w:rtl w:val="true"/>
              </w:rPr>
              <w:tab/>
            </w:r>
            <w:r>
              <w:rPr>
                <w:rStyle w:val="IndexLink"/>
              </w:rPr>
              <w:t>40</w:t>
            </w:r>
          </w:hyperlink>
        </w:p>
        <w:p>
          <w:pPr>
            <w:pStyle w:val="Contents6"/>
            <w:tabs>
              <w:tab w:val="clear" w:pos="7609"/>
              <w:tab w:val="right" w:pos="9026" w:leader="dot"/>
            </w:tabs>
            <w:rPr/>
          </w:pPr>
          <w:hyperlink w:anchor="__RefHeading___Toc9587292_73709187">
            <w:r>
              <w:rPr>
                <w:webHidden/>
                <w:rStyle w:val="IndexLink"/>
                <w:rtl w:val="true"/>
              </w:rPr>
              <w:t>الجهة السادسة</w:t>
            </w:r>
            <w:r>
              <w:rPr>
                <w:rStyle w:val="IndexLink"/>
                <w:rtl w:val="true"/>
              </w:rPr>
              <w:t xml:space="preserve">: </w:t>
            </w:r>
            <w:r>
              <w:rPr>
                <w:rStyle w:val="IndexLink"/>
                <w:rtl w:val="true"/>
              </w:rPr>
              <w:t>طهارة غسالة بول الصبیّ‌</w:t>
            </w:r>
            <w:r>
              <w:rPr>
                <w:rStyle w:val="IndexLink"/>
                <w:rtl w:val="true"/>
              </w:rPr>
              <w:tab/>
            </w:r>
            <w:r>
              <w:rPr>
                <w:rStyle w:val="IndexLink"/>
              </w:rPr>
              <w:t>41</w:t>
            </w:r>
          </w:hyperlink>
        </w:p>
        <w:p>
          <w:pPr>
            <w:pStyle w:val="Contents6"/>
            <w:tabs>
              <w:tab w:val="clear" w:pos="7609"/>
              <w:tab w:val="right" w:pos="9026" w:leader="dot"/>
            </w:tabs>
            <w:rPr/>
          </w:pPr>
          <w:hyperlink w:anchor="__RefHeading___Toc9587294_73709187">
            <w:r>
              <w:rPr>
                <w:webHidden/>
                <w:rStyle w:val="IndexLink"/>
                <w:rtl w:val="true"/>
              </w:rPr>
              <w:t>الجهة السابعة</w:t>
            </w:r>
            <w:r>
              <w:rPr>
                <w:rStyle w:val="IndexLink"/>
                <w:rtl w:val="true"/>
              </w:rPr>
              <w:t xml:space="preserve">: </w:t>
            </w:r>
            <w:r>
              <w:rPr>
                <w:rStyle w:val="IndexLink"/>
                <w:rtl w:val="true"/>
              </w:rPr>
              <w:t>عدم إلحاق الصبیّة بالصبیّ‌</w:t>
            </w:r>
            <w:r>
              <w:rPr>
                <w:rStyle w:val="IndexLink"/>
                <w:rtl w:val="true"/>
              </w:rPr>
              <w:tab/>
            </w:r>
            <w:r>
              <w:rPr>
                <w:rStyle w:val="IndexLink"/>
              </w:rPr>
              <w:t>42</w:t>
            </w:r>
          </w:hyperlink>
        </w:p>
        <w:p>
          <w:pPr>
            <w:pStyle w:val="Contents5"/>
            <w:tabs>
              <w:tab w:val="clear" w:pos="7892"/>
              <w:tab w:val="right" w:pos="9026" w:leader="dot"/>
            </w:tabs>
            <w:rPr/>
          </w:pPr>
          <w:hyperlink w:anchor="__RefHeading___Toc9587296_73709187">
            <w:r>
              <w:rPr>
                <w:webHidden/>
                <w:rStyle w:val="IndexLink"/>
                <w:rtl w:val="true"/>
              </w:rPr>
              <w:t>أدلّة اختصاص الحکم بالصبیّ‌</w:t>
            </w:r>
            <w:r>
              <w:rPr>
                <w:rStyle w:val="IndexLink"/>
                <w:rtl w:val="true"/>
              </w:rPr>
              <w:tab/>
            </w:r>
            <w:r>
              <w:rPr>
                <w:rStyle w:val="IndexLink"/>
              </w:rPr>
              <w:t>43</w:t>
            </w:r>
          </w:hyperlink>
        </w:p>
        <w:p>
          <w:pPr>
            <w:pStyle w:val="Contents5"/>
            <w:tabs>
              <w:tab w:val="clear" w:pos="7892"/>
              <w:tab w:val="right" w:pos="9026" w:leader="dot"/>
            </w:tabs>
            <w:rPr/>
          </w:pPr>
          <w:hyperlink w:anchor="__RefHeading___Toc9587298_73709187">
            <w:r>
              <w:rPr>
                <w:webHidden/>
                <w:rStyle w:val="IndexLink"/>
                <w:rtl w:val="true"/>
              </w:rPr>
              <w:t>فروع</w:t>
            </w:r>
            <w:r>
              <w:rPr>
                <w:rStyle w:val="IndexLink"/>
                <w:rtl w:val="true"/>
              </w:rPr>
              <w:tab/>
            </w:r>
            <w:r>
              <w:rPr>
                <w:rStyle w:val="IndexLink"/>
              </w:rPr>
              <w:t>47</w:t>
            </w:r>
          </w:hyperlink>
        </w:p>
        <w:p>
          <w:pPr>
            <w:pStyle w:val="Contents5"/>
            <w:tabs>
              <w:tab w:val="clear" w:pos="7892"/>
              <w:tab w:val="right" w:pos="9026" w:leader="dot"/>
            </w:tabs>
            <w:rPr/>
          </w:pPr>
          <w:hyperlink w:anchor="__RefHeading___Toc9587300_73709187">
            <w:r>
              <w:rPr>
                <w:webHidden/>
                <w:rStyle w:val="IndexLink"/>
                <w:rtl w:val="true"/>
              </w:rPr>
              <w:t>آراء فقهاء أهل السنّة فی المسألة</w:t>
            </w:r>
            <w:r>
              <w:rPr>
                <w:rStyle w:val="IndexLink"/>
                <w:rtl w:val="true"/>
              </w:rPr>
              <w:tab/>
            </w:r>
            <w:r>
              <w:rPr>
                <w:rStyle w:val="IndexLink"/>
              </w:rPr>
              <w:t>48</w:t>
            </w:r>
          </w:hyperlink>
        </w:p>
        <w:p>
          <w:pPr>
            <w:pStyle w:val="Contents4"/>
            <w:tabs>
              <w:tab w:val="clear" w:pos="8176"/>
              <w:tab w:val="right" w:pos="9026" w:leader="dot"/>
            </w:tabs>
            <w:rPr/>
          </w:pPr>
          <w:hyperlink w:anchor="__RefHeading___Toc9587302_73709187">
            <w:r>
              <w:rPr>
                <w:webHidden/>
                <w:rStyle w:val="IndexLink"/>
                <w:rtl w:val="true"/>
              </w:rPr>
              <w:t>المبحث الثانی</w:t>
            </w:r>
            <w:r>
              <w:rPr>
                <w:rStyle w:val="IndexLink"/>
                <w:rtl w:val="true"/>
              </w:rPr>
              <w:t xml:space="preserve">: </w:t>
            </w:r>
            <w:r>
              <w:rPr>
                <w:rStyle w:val="IndexLink"/>
                <w:rtl w:val="true"/>
              </w:rPr>
              <w:t>حکم ثوب المربّیة للصبیّ‌</w:t>
            </w:r>
            <w:r>
              <w:rPr>
                <w:rStyle w:val="IndexLink"/>
                <w:rtl w:val="true"/>
              </w:rPr>
              <w:tab/>
            </w:r>
            <w:r>
              <w:rPr>
                <w:rStyle w:val="IndexLink"/>
              </w:rPr>
              <w:t>50</w:t>
            </w:r>
          </w:hyperlink>
        </w:p>
        <w:p>
          <w:pPr>
            <w:pStyle w:val="Contents5"/>
            <w:tabs>
              <w:tab w:val="clear" w:pos="7892"/>
              <w:tab w:val="right" w:pos="9026" w:leader="dot"/>
            </w:tabs>
            <w:rPr/>
          </w:pPr>
          <w:hyperlink w:anchor="__RefHeading___Toc9587304_73709187">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9587306_73709187">
            <w:r>
              <w:rPr>
                <w:webHidden/>
                <w:rStyle w:val="IndexLink"/>
                <w:rtl w:val="true"/>
              </w:rPr>
              <w:t>أدلّة هذا الحکم</w:t>
            </w:r>
            <w:r>
              <w:rPr>
                <w:rStyle w:val="IndexLink"/>
                <w:rtl w:val="true"/>
              </w:rPr>
              <w:tab/>
            </w:r>
            <w:r>
              <w:rPr>
                <w:rStyle w:val="IndexLink"/>
              </w:rPr>
              <w:t>52</w:t>
            </w:r>
          </w:hyperlink>
        </w:p>
        <w:p>
          <w:pPr>
            <w:pStyle w:val="Contents5"/>
            <w:tabs>
              <w:tab w:val="clear" w:pos="7892"/>
              <w:tab w:val="right" w:pos="9026" w:leader="dot"/>
            </w:tabs>
            <w:rPr/>
          </w:pPr>
          <w:hyperlink w:anchor="__RefHeading___Toc9587308_73709187">
            <w:r>
              <w:rPr>
                <w:webHidden/>
                <w:rStyle w:val="IndexLink"/>
                <w:rtl w:val="true"/>
              </w:rPr>
              <w:t>فروع</w:t>
            </w:r>
            <w:r>
              <w:rPr>
                <w:rStyle w:val="IndexLink"/>
                <w:rtl w:val="true"/>
              </w:rPr>
              <w:tab/>
            </w:r>
            <w:r>
              <w:rPr>
                <w:rStyle w:val="IndexLink"/>
              </w:rPr>
              <w:t>61</w:t>
            </w:r>
          </w:hyperlink>
        </w:p>
        <w:p>
          <w:pPr>
            <w:pStyle w:val="Contents6"/>
            <w:tabs>
              <w:tab w:val="clear" w:pos="7609"/>
              <w:tab w:val="right" w:pos="9026" w:leader="dot"/>
            </w:tabs>
            <w:rPr/>
          </w:pPr>
          <w:hyperlink w:anchor="__RefHeading___Toc9587310_73709187">
            <w:r>
              <w:rPr>
                <w:webHidden/>
                <w:rStyle w:val="IndexLink"/>
                <w:rtl w:val="true"/>
              </w:rPr>
              <w:t>الأوّل</w:t>
            </w:r>
            <w:r>
              <w:rPr>
                <w:rStyle w:val="IndexLink"/>
                <w:rtl w:val="true"/>
              </w:rPr>
              <w:t xml:space="preserve">: </w:t>
            </w:r>
            <w:r>
              <w:rPr>
                <w:rStyle w:val="IndexLink"/>
                <w:rtl w:val="true"/>
              </w:rPr>
              <w:t>عدم اختصاص الحکم بالمربّیة للصبیّ‌</w:t>
            </w:r>
            <w:r>
              <w:rPr>
                <w:rStyle w:val="IndexLink"/>
                <w:rtl w:val="true"/>
              </w:rPr>
              <w:tab/>
            </w:r>
            <w:r>
              <w:rPr>
                <w:rStyle w:val="IndexLink"/>
              </w:rPr>
              <w:t>61</w:t>
            </w:r>
          </w:hyperlink>
        </w:p>
        <w:p>
          <w:pPr>
            <w:pStyle w:val="Contents6"/>
            <w:tabs>
              <w:tab w:val="clear" w:pos="7609"/>
              <w:tab w:val="right" w:pos="9026" w:leader="dot"/>
            </w:tabs>
            <w:rPr/>
          </w:pPr>
          <w:hyperlink w:anchor="__RefHeading___Toc9587312_73709187">
            <w:r>
              <w:rPr>
                <w:webHidden/>
                <w:rStyle w:val="IndexLink"/>
                <w:rtl w:val="true"/>
              </w:rPr>
              <w:t>الفرع الثانی</w:t>
            </w:r>
            <w:r>
              <w:rPr>
                <w:rStyle w:val="IndexLink"/>
                <w:rtl w:val="true"/>
              </w:rPr>
              <w:t xml:space="preserve">: </w:t>
            </w:r>
            <w:r>
              <w:rPr>
                <w:rStyle w:val="IndexLink"/>
                <w:rtl w:val="true"/>
              </w:rPr>
              <w:t>اختصاص الحکم بالثوب فقط‌</w:t>
            </w:r>
            <w:r>
              <w:rPr>
                <w:rStyle w:val="IndexLink"/>
                <w:rtl w:val="true"/>
              </w:rPr>
              <w:tab/>
            </w:r>
            <w:r>
              <w:rPr>
                <w:rStyle w:val="IndexLink"/>
              </w:rPr>
              <w:t>66</w:t>
            </w:r>
          </w:hyperlink>
        </w:p>
        <w:p>
          <w:pPr>
            <w:pStyle w:val="Contents6"/>
            <w:tabs>
              <w:tab w:val="clear" w:pos="7609"/>
              <w:tab w:val="right" w:pos="9026" w:leader="dot"/>
            </w:tabs>
            <w:rPr/>
          </w:pPr>
          <w:hyperlink w:anchor="__RefHeading___Toc9587314_73709187">
            <w:r>
              <w:rPr>
                <w:webHidden/>
                <w:rStyle w:val="IndexLink"/>
                <w:rtl w:val="true"/>
              </w:rPr>
              <w:t>الفرع الثالث</w:t>
            </w:r>
            <w:r>
              <w:rPr>
                <w:rStyle w:val="IndexLink"/>
                <w:rtl w:val="true"/>
              </w:rPr>
              <w:t xml:space="preserve">: </w:t>
            </w:r>
            <w:r>
              <w:rPr>
                <w:rStyle w:val="IndexLink"/>
                <w:rtl w:val="true"/>
              </w:rPr>
              <w:t>إلحاق المربّی بالمربّیة فی هذا الحکم</w:t>
            </w:r>
            <w:r>
              <w:rPr>
                <w:rStyle w:val="IndexLink"/>
                <w:rtl w:val="true"/>
              </w:rPr>
              <w:tab/>
            </w:r>
            <w:r>
              <w:rPr>
                <w:rStyle w:val="IndexLink"/>
              </w:rPr>
              <w:t>68</w:t>
            </w:r>
          </w:hyperlink>
        </w:p>
        <w:p>
          <w:pPr>
            <w:pStyle w:val="Contents6"/>
            <w:tabs>
              <w:tab w:val="clear" w:pos="7609"/>
              <w:tab w:val="right" w:pos="9026" w:leader="dot"/>
            </w:tabs>
            <w:rPr/>
          </w:pPr>
          <w:hyperlink w:anchor="__RefHeading___Toc9587316_73709187">
            <w:r>
              <w:rPr>
                <w:webHidden/>
                <w:rStyle w:val="IndexLink"/>
                <w:rtl w:val="true"/>
              </w:rPr>
              <w:t>الفرع الرابع</w:t>
            </w:r>
            <w:r>
              <w:rPr>
                <w:rStyle w:val="IndexLink"/>
                <w:rtl w:val="true"/>
              </w:rPr>
              <w:t xml:space="preserve">: </w:t>
            </w:r>
            <w:r>
              <w:rPr>
                <w:rStyle w:val="IndexLink"/>
                <w:rtl w:val="true"/>
              </w:rPr>
              <w:t>اختصاص الحکم بالنجاسة بالبول</w:t>
            </w:r>
            <w:r>
              <w:rPr>
                <w:rStyle w:val="IndexLink"/>
                <w:rtl w:val="true"/>
              </w:rPr>
              <w:tab/>
            </w:r>
            <w:r>
              <w:rPr>
                <w:rStyle w:val="IndexLink"/>
              </w:rPr>
              <w:t>71</w:t>
            </w:r>
          </w:hyperlink>
        </w:p>
        <w:p>
          <w:pPr>
            <w:pStyle w:val="Contents6"/>
            <w:tabs>
              <w:tab w:val="clear" w:pos="7609"/>
              <w:tab w:val="right" w:pos="9026" w:leader="dot"/>
            </w:tabs>
            <w:rPr/>
          </w:pPr>
          <w:hyperlink w:anchor="__RefHeading___Toc9587318_73709187">
            <w:r>
              <w:rPr>
                <w:webHidden/>
                <w:rStyle w:val="IndexLink"/>
                <w:rtl w:val="true"/>
              </w:rPr>
              <w:t>الفرع الخامس</w:t>
            </w:r>
            <w:r>
              <w:rPr>
                <w:rStyle w:val="IndexLink"/>
                <w:rtl w:val="true"/>
              </w:rPr>
              <w:t xml:space="preserve">: </w:t>
            </w:r>
            <w:r>
              <w:rPr>
                <w:rStyle w:val="IndexLink"/>
                <w:rtl w:val="true"/>
              </w:rPr>
              <w:t>فی وقت غسل المربّیة ثوبها</w:t>
            </w:r>
            <w:r>
              <w:rPr>
                <w:rStyle w:val="IndexLink"/>
                <w:rtl w:val="true"/>
              </w:rPr>
              <w:tab/>
            </w:r>
            <w:r>
              <w:rPr>
                <w:rStyle w:val="IndexLink"/>
              </w:rPr>
              <w:t>74</w:t>
            </w:r>
          </w:hyperlink>
        </w:p>
        <w:p>
          <w:pPr>
            <w:pStyle w:val="Contents6"/>
            <w:tabs>
              <w:tab w:val="clear" w:pos="7609"/>
              <w:tab w:val="right" w:pos="9026" w:leader="dot"/>
            </w:tabs>
            <w:rPr/>
          </w:pPr>
          <w:hyperlink w:anchor="__RefHeading___Toc9587320_73709187">
            <w:r>
              <w:rPr>
                <w:webHidden/>
                <w:rStyle w:val="IndexLink"/>
                <w:rtl w:val="true"/>
              </w:rPr>
              <w:t>الفرع السادس</w:t>
            </w:r>
            <w:r>
              <w:rPr>
                <w:rStyle w:val="IndexLink"/>
                <w:rtl w:val="true"/>
              </w:rPr>
              <w:t xml:space="preserve">: </w:t>
            </w:r>
            <w:r>
              <w:rPr>
                <w:rStyle w:val="IndexLink"/>
                <w:rtl w:val="true"/>
              </w:rPr>
              <w:t>کفایة الغسل فی اللیل</w:t>
            </w:r>
            <w:r>
              <w:rPr>
                <w:rStyle w:val="IndexLink"/>
                <w:rtl w:val="true"/>
              </w:rPr>
              <w:tab/>
            </w:r>
            <w:r>
              <w:rPr>
                <w:rStyle w:val="IndexLink"/>
              </w:rPr>
              <w:t>76</w:t>
            </w:r>
          </w:hyperlink>
        </w:p>
        <w:p>
          <w:pPr>
            <w:pStyle w:val="Contents5"/>
            <w:tabs>
              <w:tab w:val="clear" w:pos="7892"/>
              <w:tab w:val="right" w:pos="9026" w:leader="dot"/>
            </w:tabs>
            <w:rPr/>
          </w:pPr>
          <w:hyperlink w:anchor="__RefHeading___Toc9587322_73709187">
            <w:r>
              <w:rPr>
                <w:webHidden/>
                <w:rStyle w:val="IndexLink"/>
                <w:rtl w:val="true"/>
              </w:rPr>
              <w:t>آراء فقهاء أهل السنّة فی تطهیر ثوب المرضعة</w:t>
            </w:r>
            <w:r>
              <w:rPr>
                <w:rStyle w:val="IndexLink"/>
                <w:rtl w:val="true"/>
              </w:rPr>
              <w:tab/>
            </w:r>
            <w:r>
              <w:rPr>
                <w:rStyle w:val="IndexLink"/>
              </w:rPr>
              <w:t>78</w:t>
            </w:r>
          </w:hyperlink>
        </w:p>
        <w:p>
          <w:pPr>
            <w:pStyle w:val="Contents4"/>
            <w:tabs>
              <w:tab w:val="clear" w:pos="8176"/>
              <w:tab w:val="right" w:pos="9026" w:leader="dot"/>
            </w:tabs>
            <w:rPr/>
          </w:pPr>
          <w:hyperlink w:anchor="__RefHeading___Toc9587324_73709187">
            <w:r>
              <w:rPr>
                <w:webHidden/>
                <w:rStyle w:val="IndexLink"/>
                <w:rtl w:val="true"/>
              </w:rPr>
              <w:t>المبحث الثالث</w:t>
            </w:r>
            <w:r>
              <w:rPr>
                <w:rStyle w:val="IndexLink"/>
                <w:rtl w:val="true"/>
              </w:rPr>
              <w:t xml:space="preserve">: </w:t>
            </w:r>
            <w:r>
              <w:rPr>
                <w:rStyle w:val="IndexLink"/>
                <w:rtl w:val="true"/>
              </w:rPr>
              <w:t>إقعاد الطفل للتخلّی مستقبلاً أو مستدبراً للقبلة</w:t>
            </w:r>
            <w:r>
              <w:rPr>
                <w:rStyle w:val="IndexLink"/>
                <w:rtl w:val="true"/>
              </w:rPr>
              <w:tab/>
            </w:r>
            <w:r>
              <w:rPr>
                <w:rStyle w:val="IndexLink"/>
              </w:rPr>
              <w:t>80</w:t>
            </w:r>
          </w:hyperlink>
        </w:p>
        <w:p>
          <w:pPr>
            <w:pStyle w:val="Contents5"/>
            <w:tabs>
              <w:tab w:val="clear" w:pos="7892"/>
              <w:tab w:val="right" w:pos="9026" w:leader="dot"/>
            </w:tabs>
            <w:rPr/>
          </w:pPr>
          <w:hyperlink w:anchor="__RefHeading___Toc9587326_73709187">
            <w:r>
              <w:rPr>
                <w:webHidden/>
                <w:rStyle w:val="IndexLink"/>
                <w:rtl w:val="true"/>
              </w:rPr>
              <w:t>تمهید</w:t>
            </w:r>
            <w:r>
              <w:rPr>
                <w:rStyle w:val="IndexLink"/>
                <w:rtl w:val="true"/>
              </w:rPr>
              <w:tab/>
            </w:r>
            <w:r>
              <w:rPr>
                <w:rStyle w:val="IndexLink"/>
              </w:rPr>
              <w:t>80</w:t>
            </w:r>
          </w:hyperlink>
        </w:p>
        <w:p>
          <w:pPr>
            <w:pStyle w:val="Contents5"/>
            <w:tabs>
              <w:tab w:val="clear" w:pos="7892"/>
              <w:tab w:val="right" w:pos="9026" w:leader="dot"/>
            </w:tabs>
            <w:rPr/>
          </w:pPr>
          <w:hyperlink w:anchor="__RefHeading___Toc9587328_73709187">
            <w:r>
              <w:rPr>
                <w:webHidden/>
                <w:rStyle w:val="IndexLink"/>
                <w:rtl w:val="true"/>
              </w:rPr>
              <w:t>المقام الأوّل</w:t>
            </w:r>
            <w:r>
              <w:rPr>
                <w:rStyle w:val="IndexLink"/>
                <w:rtl w:val="true"/>
              </w:rPr>
              <w:t xml:space="preserve">: </w:t>
            </w:r>
            <w:r>
              <w:rPr>
                <w:rStyle w:val="IndexLink"/>
                <w:rtl w:val="true"/>
              </w:rPr>
              <w:t>عدم حرمة إقعاد الطفل إلی القبلة للتخلّی</w:t>
            </w:r>
            <w:r>
              <w:rPr>
                <w:rStyle w:val="IndexLink"/>
                <w:rtl w:val="true"/>
              </w:rPr>
              <w:tab/>
            </w:r>
            <w:r>
              <w:rPr>
                <w:rStyle w:val="IndexLink"/>
              </w:rPr>
              <w:t>81</w:t>
            </w:r>
          </w:hyperlink>
        </w:p>
        <w:p>
          <w:pPr>
            <w:pStyle w:val="Contents5"/>
            <w:tabs>
              <w:tab w:val="clear" w:pos="7892"/>
              <w:tab w:val="right" w:pos="9026" w:leader="dot"/>
            </w:tabs>
            <w:rPr/>
          </w:pPr>
          <w:hyperlink w:anchor="__RefHeading___Toc9587330_73709187">
            <w:r>
              <w:rPr>
                <w:webHidden/>
                <w:rStyle w:val="IndexLink"/>
                <w:rtl w:val="true"/>
              </w:rPr>
              <w:t>المقام الثانی</w:t>
            </w:r>
            <w:r>
              <w:rPr>
                <w:rStyle w:val="IndexLink"/>
                <w:rtl w:val="true"/>
              </w:rPr>
              <w:t xml:space="preserve">: </w:t>
            </w:r>
            <w:r>
              <w:rPr>
                <w:rStyle w:val="IndexLink"/>
                <w:rtl w:val="true"/>
              </w:rPr>
              <w:t>عدم وجوب منع الطفل إذا استقبل القبلة للتخلّی</w:t>
            </w:r>
            <w:r>
              <w:rPr>
                <w:rStyle w:val="IndexLink"/>
                <w:rtl w:val="true"/>
              </w:rPr>
              <w:tab/>
            </w:r>
            <w:r>
              <w:rPr>
                <w:rStyle w:val="IndexLink"/>
              </w:rPr>
              <w:t>83</w:t>
            </w:r>
          </w:hyperlink>
        </w:p>
        <w:p>
          <w:pPr>
            <w:pStyle w:val="Contents4"/>
            <w:tabs>
              <w:tab w:val="clear" w:pos="8176"/>
              <w:tab w:val="right" w:pos="9026" w:leader="dot"/>
            </w:tabs>
            <w:rPr/>
          </w:pPr>
          <w:hyperlink w:anchor="__RefHeading___Toc9587332_73709187">
            <w:r>
              <w:rPr>
                <w:webHidden/>
                <w:rStyle w:val="IndexLink"/>
                <w:rtl w:val="true"/>
              </w:rPr>
              <w:t>المبحث الرابع</w:t>
            </w:r>
            <w:r>
              <w:rPr>
                <w:rStyle w:val="IndexLink"/>
                <w:rtl w:val="true"/>
              </w:rPr>
              <w:t xml:space="preserve">: </w:t>
            </w:r>
            <w:r>
              <w:rPr>
                <w:rStyle w:val="IndexLink"/>
                <w:rtl w:val="true"/>
              </w:rPr>
              <w:t>فی حکم السقط و العلقة</w:t>
            </w:r>
            <w:r>
              <w:rPr>
                <w:rStyle w:val="IndexLink"/>
                <w:rtl w:val="true"/>
              </w:rPr>
              <w:tab/>
            </w:r>
            <w:r>
              <w:rPr>
                <w:rStyle w:val="IndexLink"/>
              </w:rPr>
              <w:t>84</w:t>
            </w:r>
          </w:hyperlink>
        </w:p>
        <w:p>
          <w:pPr>
            <w:pStyle w:val="Contents5"/>
            <w:tabs>
              <w:tab w:val="clear" w:pos="7892"/>
              <w:tab w:val="right" w:pos="9026" w:leader="dot"/>
            </w:tabs>
            <w:rPr/>
          </w:pPr>
          <w:hyperlink w:anchor="__RefHeading___Toc9587334_73709187">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9587336_73709187">
            <w:r>
              <w:rPr>
                <w:webHidden/>
                <w:rStyle w:val="IndexLink"/>
                <w:rtl w:val="true"/>
              </w:rPr>
              <w:t>المطلب الأوّل</w:t>
            </w:r>
            <w:r>
              <w:rPr>
                <w:rStyle w:val="IndexLink"/>
                <w:rtl w:val="true"/>
              </w:rPr>
              <w:t xml:space="preserve">: </w:t>
            </w:r>
            <w:r>
              <w:rPr>
                <w:rStyle w:val="IndexLink"/>
                <w:rtl w:val="true"/>
              </w:rPr>
              <w:t>فی السقط‌</w:t>
            </w:r>
            <w:r>
              <w:rPr>
                <w:rStyle w:val="IndexLink"/>
                <w:rtl w:val="true"/>
              </w:rPr>
              <w:tab/>
            </w:r>
            <w:r>
              <w:rPr>
                <w:rStyle w:val="IndexLink"/>
              </w:rPr>
              <w:t>84</w:t>
            </w:r>
          </w:hyperlink>
        </w:p>
        <w:p>
          <w:pPr>
            <w:pStyle w:val="Contents6"/>
            <w:tabs>
              <w:tab w:val="clear" w:pos="7609"/>
              <w:tab w:val="right" w:pos="9026" w:leader="dot"/>
            </w:tabs>
            <w:rPr/>
          </w:pPr>
          <w:hyperlink w:anchor="__RefHeading___Toc9587338_73709187">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9587340_73709187">
            <w:r>
              <w:rPr>
                <w:webHidden/>
                <w:rStyle w:val="IndexLink"/>
                <w:rtl w:val="true"/>
              </w:rPr>
              <w:t>أدلّة هذا الحکم</w:t>
            </w:r>
            <w:r>
              <w:rPr>
                <w:rStyle w:val="IndexLink"/>
                <w:rtl w:val="true"/>
              </w:rPr>
              <w:tab/>
            </w:r>
            <w:r>
              <w:rPr>
                <w:rStyle w:val="IndexLink"/>
              </w:rPr>
              <w:t>85</w:t>
            </w:r>
          </w:hyperlink>
        </w:p>
        <w:p>
          <w:pPr>
            <w:pStyle w:val="Contents5"/>
            <w:tabs>
              <w:tab w:val="clear" w:pos="7892"/>
              <w:tab w:val="right" w:pos="9026" w:leader="dot"/>
            </w:tabs>
            <w:rPr/>
          </w:pPr>
          <w:hyperlink w:anchor="__RefHeading___Toc9587342_73709187">
            <w:r>
              <w:rPr>
                <w:webHidden/>
                <w:rStyle w:val="IndexLink"/>
                <w:rtl w:val="true"/>
              </w:rPr>
              <w:t>المطلب الثانی</w:t>
            </w:r>
            <w:r>
              <w:rPr>
                <w:rStyle w:val="IndexLink"/>
                <w:rtl w:val="true"/>
              </w:rPr>
              <w:t xml:space="preserve">: </w:t>
            </w:r>
            <w:r>
              <w:rPr>
                <w:rStyle w:val="IndexLink"/>
                <w:rtl w:val="true"/>
              </w:rPr>
              <w:t>فی العلقة</w:t>
            </w:r>
            <w:r>
              <w:rPr>
                <w:rStyle w:val="IndexLink"/>
                <w:rtl w:val="true"/>
              </w:rPr>
              <w:tab/>
            </w:r>
            <w:r>
              <w:rPr>
                <w:rStyle w:val="IndexLink"/>
              </w:rPr>
              <w:t>90</w:t>
            </w:r>
          </w:hyperlink>
        </w:p>
        <w:p>
          <w:pPr>
            <w:pStyle w:val="Contents6"/>
            <w:tabs>
              <w:tab w:val="clear" w:pos="7609"/>
              <w:tab w:val="right" w:pos="9026" w:leader="dot"/>
            </w:tabs>
            <w:rPr/>
          </w:pPr>
          <w:hyperlink w:anchor="__RefHeading___Toc9587344_73709187">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9587346_73709187">
            <w:r>
              <w:rPr>
                <w:webHidden/>
                <w:rStyle w:val="IndexLink"/>
                <w:rtl w:val="true"/>
              </w:rPr>
              <w:t>القول الأوّل</w:t>
            </w:r>
            <w:r>
              <w:rPr>
                <w:rStyle w:val="IndexLink"/>
                <w:rtl w:val="true"/>
              </w:rPr>
              <w:t xml:space="preserve">: </w:t>
            </w:r>
            <w:r>
              <w:rPr>
                <w:rStyle w:val="IndexLink"/>
                <w:rtl w:val="true"/>
              </w:rPr>
              <w:t>النجاسة</w:t>
            </w:r>
            <w:r>
              <w:rPr>
                <w:rStyle w:val="IndexLink"/>
                <w:rtl w:val="true"/>
              </w:rPr>
              <w:tab/>
            </w:r>
            <w:r>
              <w:rPr>
                <w:rStyle w:val="IndexLink"/>
              </w:rPr>
              <w:t>90</w:t>
            </w:r>
          </w:hyperlink>
        </w:p>
        <w:p>
          <w:pPr>
            <w:pStyle w:val="Contents6"/>
            <w:tabs>
              <w:tab w:val="clear" w:pos="7609"/>
              <w:tab w:val="right" w:pos="9026" w:leader="dot"/>
            </w:tabs>
            <w:rPr/>
          </w:pPr>
          <w:hyperlink w:anchor="__RefHeading___Toc9587348_73709187">
            <w:r>
              <w:rPr>
                <w:webHidden/>
                <w:rStyle w:val="IndexLink"/>
                <w:rtl w:val="true"/>
              </w:rPr>
              <w:t>القول الثانی</w:t>
            </w:r>
            <w:r>
              <w:rPr>
                <w:rStyle w:val="IndexLink"/>
                <w:rtl w:val="true"/>
              </w:rPr>
              <w:t xml:space="preserve">: </w:t>
            </w:r>
            <w:r>
              <w:rPr>
                <w:rStyle w:val="IndexLink"/>
                <w:rtl w:val="true"/>
              </w:rPr>
              <w:t>الطهارة</w:t>
            </w:r>
            <w:r>
              <w:rPr>
                <w:rStyle w:val="IndexLink"/>
                <w:rtl w:val="true"/>
              </w:rPr>
              <w:tab/>
            </w:r>
            <w:r>
              <w:rPr>
                <w:rStyle w:val="IndexLink"/>
              </w:rPr>
              <w:t>92</w:t>
            </w:r>
          </w:hyperlink>
        </w:p>
        <w:p>
          <w:pPr>
            <w:pStyle w:val="Contents6"/>
            <w:tabs>
              <w:tab w:val="clear" w:pos="7609"/>
              <w:tab w:val="right" w:pos="9026" w:leader="dot"/>
            </w:tabs>
            <w:rPr/>
          </w:pPr>
          <w:hyperlink w:anchor="__RefHeading___Toc9587350_73709187">
            <w:r>
              <w:rPr>
                <w:webHidden/>
                <w:rStyle w:val="IndexLink"/>
                <w:rtl w:val="true"/>
              </w:rPr>
              <w:t>القول الثالث</w:t>
            </w:r>
            <w:r>
              <w:rPr>
                <w:rStyle w:val="IndexLink"/>
                <w:rtl w:val="true"/>
              </w:rPr>
              <w:t xml:space="preserve">: </w:t>
            </w:r>
            <w:r>
              <w:rPr>
                <w:rStyle w:val="IndexLink"/>
                <w:rtl w:val="true"/>
              </w:rPr>
              <w:t>التردید فی الحکم</w:t>
            </w:r>
            <w:r>
              <w:rPr>
                <w:rStyle w:val="IndexLink"/>
                <w:rtl w:val="true"/>
              </w:rPr>
              <w:tab/>
            </w:r>
            <w:r>
              <w:rPr>
                <w:rStyle w:val="IndexLink"/>
              </w:rPr>
              <w:t>93</w:t>
            </w:r>
          </w:hyperlink>
        </w:p>
        <w:p>
          <w:pPr>
            <w:pStyle w:val="Contents6"/>
            <w:tabs>
              <w:tab w:val="clear" w:pos="7609"/>
              <w:tab w:val="right" w:pos="9026" w:leader="dot"/>
            </w:tabs>
            <w:rPr/>
          </w:pPr>
          <w:hyperlink w:anchor="__RefHeading___Toc9587352_73709187">
            <w:r>
              <w:rPr>
                <w:webHidden/>
                <w:rStyle w:val="IndexLink"/>
                <w:rtl w:val="true"/>
              </w:rPr>
              <w:t>رأی بعض أهل السنّة فی المسألة</w:t>
            </w:r>
            <w:r>
              <w:rPr>
                <w:rStyle w:val="IndexLink"/>
                <w:rtl w:val="true"/>
              </w:rPr>
              <w:tab/>
            </w:r>
            <w:r>
              <w:rPr>
                <w:rStyle w:val="IndexLink"/>
              </w:rPr>
              <w:t>94</w:t>
            </w:r>
          </w:hyperlink>
        </w:p>
        <w:p>
          <w:pPr>
            <w:pStyle w:val="Contents4"/>
            <w:tabs>
              <w:tab w:val="clear" w:pos="8176"/>
              <w:tab w:val="right" w:pos="9026" w:leader="dot"/>
            </w:tabs>
            <w:rPr/>
          </w:pPr>
          <w:hyperlink w:anchor="__RefHeading___Toc9587354_73709187">
            <w:r>
              <w:rPr>
                <w:webHidden/>
                <w:rStyle w:val="IndexLink"/>
                <w:rtl w:val="true"/>
              </w:rPr>
              <w:t>المبحث الخامس</w:t>
            </w:r>
            <w:r>
              <w:rPr>
                <w:rStyle w:val="IndexLink"/>
                <w:rtl w:val="true"/>
              </w:rPr>
              <w:t xml:space="preserve">: </w:t>
            </w:r>
            <w:r>
              <w:rPr>
                <w:rStyle w:val="IndexLink"/>
                <w:rtl w:val="true"/>
              </w:rPr>
              <w:t>نجاسة أولاد الکفّار</w:t>
            </w:r>
            <w:r>
              <w:rPr>
                <w:rStyle w:val="IndexLink"/>
                <w:rtl w:val="true"/>
              </w:rPr>
              <w:tab/>
            </w:r>
            <w:r>
              <w:rPr>
                <w:rStyle w:val="IndexLink"/>
              </w:rPr>
              <w:t>96</w:t>
            </w:r>
          </w:hyperlink>
        </w:p>
        <w:p>
          <w:pPr>
            <w:pStyle w:val="Contents5"/>
            <w:tabs>
              <w:tab w:val="clear" w:pos="7892"/>
              <w:tab w:val="right" w:pos="9026" w:leader="dot"/>
            </w:tabs>
            <w:rPr/>
          </w:pPr>
          <w:hyperlink w:anchor="__RefHeading___Toc9587356_73709187">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9587358_73709187">
            <w:r>
              <w:rPr>
                <w:webHidden/>
                <w:rStyle w:val="IndexLink"/>
                <w:rtl w:val="true"/>
              </w:rPr>
              <w:t>أدلّة نجاسة أولاد الکفّار</w:t>
            </w:r>
            <w:r>
              <w:rPr>
                <w:rStyle w:val="IndexLink"/>
                <w:rtl w:val="true"/>
              </w:rPr>
              <w:tab/>
            </w:r>
            <w:r>
              <w:rPr>
                <w:rStyle w:val="IndexLink"/>
              </w:rPr>
              <w:t>99</w:t>
            </w:r>
          </w:hyperlink>
        </w:p>
        <w:p>
          <w:pPr>
            <w:pStyle w:val="Contents5"/>
            <w:tabs>
              <w:tab w:val="clear" w:pos="7892"/>
              <w:tab w:val="right" w:pos="9026" w:leader="dot"/>
            </w:tabs>
            <w:rPr/>
          </w:pPr>
          <w:hyperlink w:anchor="__RefHeading___Toc9587360_73709187">
            <w:r>
              <w:rPr>
                <w:webHidden/>
                <w:rStyle w:val="IndexLink"/>
                <w:rtl w:val="true"/>
              </w:rPr>
              <w:t>فرعان</w:t>
            </w:r>
            <w:r>
              <w:rPr>
                <w:rStyle w:val="IndexLink"/>
                <w:rtl w:val="true"/>
              </w:rPr>
              <w:tab/>
            </w:r>
            <w:r>
              <w:rPr>
                <w:rStyle w:val="IndexLink"/>
              </w:rPr>
              <w:t>106</w:t>
            </w:r>
          </w:hyperlink>
        </w:p>
        <w:p>
          <w:pPr>
            <w:pStyle w:val="Contents5"/>
            <w:tabs>
              <w:tab w:val="clear" w:pos="7892"/>
              <w:tab w:val="right" w:pos="9026" w:leader="dot"/>
            </w:tabs>
            <w:rPr/>
          </w:pPr>
          <w:hyperlink w:anchor="__RefHeading___Toc9587362_73709187">
            <w:r>
              <w:rPr>
                <w:webHidden/>
                <w:rStyle w:val="IndexLink"/>
                <w:rtl w:val="true"/>
              </w:rPr>
              <w:t>طهارة الکافر و المشرک عند أهل السنّة</w:t>
            </w:r>
            <w:r>
              <w:rPr>
                <w:rStyle w:val="IndexLink"/>
                <w:rtl w:val="true"/>
              </w:rPr>
              <w:tab/>
            </w:r>
            <w:r>
              <w:rPr>
                <w:rStyle w:val="IndexLink"/>
              </w:rPr>
              <w:t>107</w:t>
            </w:r>
          </w:hyperlink>
        </w:p>
        <w:p>
          <w:pPr>
            <w:pStyle w:val="Contents4"/>
            <w:tabs>
              <w:tab w:val="clear" w:pos="8176"/>
              <w:tab w:val="right" w:pos="9026" w:leader="dot"/>
            </w:tabs>
            <w:rPr/>
          </w:pPr>
          <w:hyperlink w:anchor="__RefHeading___Toc9587364_73709187">
            <w:r>
              <w:rPr>
                <w:webHidden/>
                <w:rStyle w:val="IndexLink"/>
                <w:rtl w:val="true"/>
              </w:rPr>
              <w:t>المبحث السادس</w:t>
            </w:r>
            <w:r>
              <w:rPr>
                <w:rStyle w:val="IndexLink"/>
                <w:rtl w:val="true"/>
              </w:rPr>
              <w:t xml:space="preserve">: </w:t>
            </w:r>
            <w:r>
              <w:rPr>
                <w:rStyle w:val="IndexLink"/>
                <w:rtl w:val="true"/>
              </w:rPr>
              <w:t>حکم غَیبَة الصبیّ و إخباره عن النجاسة</w:t>
            </w:r>
            <w:r>
              <w:rPr>
                <w:rStyle w:val="IndexLink"/>
                <w:rtl w:val="true"/>
              </w:rPr>
              <w:tab/>
            </w:r>
            <w:r>
              <w:rPr>
                <w:rStyle w:val="IndexLink"/>
              </w:rPr>
              <w:t>109</w:t>
            </w:r>
          </w:hyperlink>
        </w:p>
        <w:p>
          <w:pPr>
            <w:pStyle w:val="Contents5"/>
            <w:tabs>
              <w:tab w:val="clear" w:pos="7892"/>
              <w:tab w:val="right" w:pos="9026" w:leader="dot"/>
            </w:tabs>
            <w:rPr/>
          </w:pPr>
          <w:hyperlink w:anchor="__RefHeading___Toc9587366_73709187">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9587368_73709187">
            <w:r>
              <w:rPr>
                <w:webHidden/>
                <w:rStyle w:val="IndexLink"/>
                <w:rtl w:val="true"/>
              </w:rPr>
              <w:t>المطلب الاوّل</w:t>
            </w:r>
            <w:r>
              <w:rPr>
                <w:rStyle w:val="IndexLink"/>
                <w:rtl w:val="true"/>
              </w:rPr>
              <w:t xml:space="preserve">: </w:t>
            </w:r>
            <w:r>
              <w:rPr>
                <w:rStyle w:val="IndexLink"/>
                <w:rtl w:val="true"/>
              </w:rPr>
              <w:t>فی أنّ غیبة الصبیّ من المطهّرات</w:t>
            </w:r>
            <w:r>
              <w:rPr>
                <w:rStyle w:val="IndexLink"/>
                <w:rtl w:val="true"/>
              </w:rPr>
              <w:tab/>
            </w:r>
            <w:r>
              <w:rPr>
                <w:rStyle w:val="IndexLink"/>
              </w:rPr>
              <w:t>109</w:t>
            </w:r>
          </w:hyperlink>
        </w:p>
        <w:p>
          <w:pPr>
            <w:pStyle w:val="Contents6"/>
            <w:tabs>
              <w:tab w:val="clear" w:pos="7609"/>
              <w:tab w:val="right" w:pos="9026" w:leader="dot"/>
            </w:tabs>
            <w:rPr/>
          </w:pPr>
          <w:hyperlink w:anchor="__RefHeading___Toc9587370_73709187">
            <w:r>
              <w:rPr>
                <w:webHidden/>
                <w:rStyle w:val="IndexLink"/>
                <w:rtl w:val="true"/>
              </w:rPr>
              <w:t>تمهید</w:t>
            </w:r>
            <w:r>
              <w:rPr>
                <w:rStyle w:val="IndexLink"/>
                <w:rtl w:val="true"/>
              </w:rPr>
              <w:tab/>
            </w:r>
            <w:r>
              <w:rPr>
                <w:rStyle w:val="IndexLink"/>
              </w:rPr>
              <w:t>109</w:t>
            </w:r>
          </w:hyperlink>
        </w:p>
        <w:p>
          <w:pPr>
            <w:pStyle w:val="Contents5"/>
            <w:tabs>
              <w:tab w:val="clear" w:pos="7892"/>
              <w:tab w:val="right" w:pos="9026" w:leader="dot"/>
            </w:tabs>
            <w:rPr/>
          </w:pPr>
          <w:hyperlink w:anchor="__RefHeading___Toc9587372_73709187">
            <w:r>
              <w:rPr>
                <w:webHidden/>
                <w:rStyle w:val="IndexLink"/>
                <w:rtl w:val="true"/>
              </w:rPr>
              <w:t>المطلب الثانی</w:t>
            </w:r>
            <w:r>
              <w:rPr>
                <w:rStyle w:val="IndexLink"/>
                <w:rtl w:val="true"/>
              </w:rPr>
              <w:t xml:space="preserve">: </w:t>
            </w:r>
            <w:r>
              <w:rPr>
                <w:rStyle w:val="IndexLink"/>
                <w:rtl w:val="true"/>
              </w:rPr>
              <w:t>اعتبار إخبار الصبیّ عن النجاسة أو الطهارة</w:t>
            </w:r>
            <w:r>
              <w:rPr>
                <w:rStyle w:val="IndexLink"/>
                <w:rtl w:val="true"/>
              </w:rPr>
              <w:tab/>
            </w:r>
            <w:r>
              <w:rPr>
                <w:rStyle w:val="IndexLink"/>
              </w:rPr>
              <w:t>115</w:t>
            </w:r>
          </w:hyperlink>
        </w:p>
        <w:p>
          <w:pPr>
            <w:pStyle w:val="Contents6"/>
            <w:tabs>
              <w:tab w:val="clear" w:pos="7609"/>
              <w:tab w:val="right" w:pos="9026" w:leader="dot"/>
            </w:tabs>
            <w:rPr/>
          </w:pPr>
          <w:hyperlink w:anchor="__RefHeading___Toc9587374_73709187">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9587376_73709187">
            <w:r>
              <w:rPr>
                <w:webHidden/>
                <w:rStyle w:val="IndexLink"/>
                <w:rtl w:val="true"/>
              </w:rPr>
              <w:t>إیضاح</w:t>
            </w:r>
            <w:r>
              <w:rPr>
                <w:rStyle w:val="IndexLink"/>
                <w:rtl w:val="true"/>
              </w:rPr>
              <w:tab/>
            </w:r>
            <w:r>
              <w:rPr>
                <w:rStyle w:val="IndexLink"/>
              </w:rPr>
              <w:t>117</w:t>
            </w:r>
          </w:hyperlink>
        </w:p>
        <w:p>
          <w:pPr>
            <w:pStyle w:val="Contents6"/>
            <w:tabs>
              <w:tab w:val="clear" w:pos="7609"/>
              <w:tab w:val="right" w:pos="9026" w:leader="dot"/>
            </w:tabs>
            <w:rPr/>
          </w:pPr>
          <w:hyperlink w:anchor="__RefHeading___Toc9587378_73709187">
            <w:r>
              <w:rPr>
                <w:webHidden/>
                <w:rStyle w:val="IndexLink"/>
                <w:rtl w:val="true"/>
              </w:rPr>
              <w:t>آراء أهل السنّة فی المسألة</w:t>
            </w:r>
            <w:r>
              <w:rPr>
                <w:rStyle w:val="IndexLink"/>
                <w:rtl w:val="true"/>
              </w:rPr>
              <w:tab/>
            </w:r>
            <w:r>
              <w:rPr>
                <w:rStyle w:val="IndexLink"/>
              </w:rPr>
              <w:t>120</w:t>
            </w:r>
          </w:hyperlink>
        </w:p>
        <w:p>
          <w:pPr>
            <w:pStyle w:val="Contents3"/>
            <w:tabs>
              <w:tab w:val="clear" w:pos="8459"/>
              <w:tab w:val="right" w:pos="9026" w:leader="dot"/>
            </w:tabs>
            <w:rPr/>
          </w:pPr>
          <w:hyperlink w:anchor="__RefHeading___Toc9587380_73709187">
            <w:r>
              <w:rPr>
                <w:webHidden/>
                <w:rStyle w:val="IndexLink"/>
                <w:rtl w:val="true"/>
              </w:rPr>
              <w:t>الفصل الثّانی</w:t>
            </w:r>
            <w:r>
              <w:rPr>
                <w:rStyle w:val="IndexLink"/>
                <w:rtl w:val="true"/>
              </w:rPr>
              <w:t xml:space="preserve">: </w:t>
            </w:r>
            <w:r>
              <w:rPr>
                <w:rStyle w:val="IndexLink"/>
                <w:rtl w:val="true"/>
              </w:rPr>
              <w:t>فی الطهارة من الحدث</w:t>
            </w:r>
            <w:r>
              <w:rPr>
                <w:rStyle w:val="IndexLink"/>
                <w:rtl w:val="true"/>
              </w:rPr>
              <w:tab/>
            </w:r>
            <w:r>
              <w:rPr>
                <w:rStyle w:val="IndexLink"/>
              </w:rPr>
              <w:t>123</w:t>
            </w:r>
          </w:hyperlink>
        </w:p>
        <w:p>
          <w:pPr>
            <w:pStyle w:val="Contents4"/>
            <w:tabs>
              <w:tab w:val="clear" w:pos="8176"/>
              <w:tab w:val="right" w:pos="9026" w:leader="dot"/>
            </w:tabs>
            <w:rPr/>
          </w:pPr>
          <w:hyperlink w:anchor="__RefHeading___Toc9587382_73709187">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9587384_73709187">
            <w:r>
              <w:rPr>
                <w:webHidden/>
                <w:rStyle w:val="IndexLink"/>
                <w:rtl w:val="true"/>
              </w:rPr>
              <w:t>المبحث الأوّل</w:t>
            </w:r>
            <w:r>
              <w:rPr>
                <w:rStyle w:val="IndexLink"/>
                <w:rtl w:val="true"/>
              </w:rPr>
              <w:t xml:space="preserve">: </w:t>
            </w:r>
            <w:r>
              <w:rPr>
                <w:rStyle w:val="IndexLink"/>
                <w:rtl w:val="true"/>
              </w:rPr>
              <w:t>حکم مسّ الصبیّ کتابة القرآن</w:t>
            </w:r>
            <w:r>
              <w:rPr>
                <w:rStyle w:val="IndexLink"/>
                <w:rtl w:val="true"/>
              </w:rPr>
              <w:tab/>
            </w:r>
            <w:r>
              <w:rPr>
                <w:rStyle w:val="IndexLink"/>
              </w:rPr>
              <w:t>124</w:t>
            </w:r>
          </w:hyperlink>
        </w:p>
        <w:p>
          <w:pPr>
            <w:pStyle w:val="Contents5"/>
            <w:tabs>
              <w:tab w:val="clear" w:pos="7892"/>
              <w:tab w:val="right" w:pos="9026" w:leader="dot"/>
            </w:tabs>
            <w:rPr/>
          </w:pPr>
          <w:hyperlink w:anchor="__RefHeading___Toc9587386_73709187">
            <w:r>
              <w:rPr>
                <w:webHidden/>
                <w:rStyle w:val="IndexLink"/>
                <w:rtl w:val="true"/>
              </w:rPr>
              <w:t>تمهید</w:t>
            </w:r>
            <w:r>
              <w:rPr>
                <w:rStyle w:val="IndexLink"/>
                <w:rtl w:val="true"/>
              </w:rPr>
              <w:tab/>
            </w:r>
            <w:r>
              <w:rPr>
                <w:rStyle w:val="IndexLink"/>
              </w:rPr>
              <w:t>124</w:t>
            </w:r>
          </w:hyperlink>
        </w:p>
        <w:p>
          <w:pPr>
            <w:pStyle w:val="Contents5"/>
            <w:tabs>
              <w:tab w:val="clear" w:pos="7892"/>
              <w:tab w:val="right" w:pos="9026" w:leader="dot"/>
            </w:tabs>
            <w:rPr/>
          </w:pPr>
          <w:hyperlink w:anchor="__RefHeading___Toc9587388_73709187">
            <w:r>
              <w:rPr>
                <w:webHidden/>
                <w:rStyle w:val="IndexLink"/>
                <w:rtl w:val="true"/>
              </w:rPr>
              <w:t>عدم وجوب منع الولیّ الصبیَّ من المسّ‌</w:t>
            </w:r>
            <w:r>
              <w:rPr>
                <w:rStyle w:val="IndexLink"/>
                <w:rtl w:val="true"/>
              </w:rPr>
              <w:tab/>
            </w:r>
            <w:r>
              <w:rPr>
                <w:rStyle w:val="IndexLink"/>
              </w:rPr>
              <w:t>128</w:t>
            </w:r>
          </w:hyperlink>
        </w:p>
        <w:p>
          <w:pPr>
            <w:pStyle w:val="Contents6"/>
            <w:tabs>
              <w:tab w:val="clear" w:pos="7609"/>
              <w:tab w:val="right" w:pos="9026" w:leader="dot"/>
            </w:tabs>
            <w:rPr/>
          </w:pPr>
          <w:hyperlink w:anchor="__RefHeading___Toc9587390_73709187">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9587392_73709187">
            <w:r>
              <w:rPr>
                <w:webHidden/>
                <w:rStyle w:val="IndexLink"/>
                <w:rtl w:val="true"/>
              </w:rPr>
              <w:t>القول الأوّل</w:t>
            </w:r>
            <w:r>
              <w:rPr>
                <w:rStyle w:val="IndexLink"/>
                <w:rtl w:val="true"/>
              </w:rPr>
              <w:t xml:space="preserve">: </w:t>
            </w:r>
            <w:r>
              <w:rPr>
                <w:rStyle w:val="IndexLink"/>
                <w:rtl w:val="true"/>
              </w:rPr>
              <w:t>أنّه یجب</w:t>
            </w:r>
            <w:r>
              <w:rPr>
                <w:rStyle w:val="IndexLink"/>
                <w:rtl w:val="true"/>
              </w:rPr>
              <w:tab/>
            </w:r>
            <w:r>
              <w:rPr>
                <w:rStyle w:val="IndexLink"/>
              </w:rPr>
              <w:t>128</w:t>
            </w:r>
          </w:hyperlink>
        </w:p>
        <w:p>
          <w:pPr>
            <w:pStyle w:val="Contents6"/>
            <w:tabs>
              <w:tab w:val="clear" w:pos="7609"/>
              <w:tab w:val="right" w:pos="9026" w:leader="dot"/>
            </w:tabs>
            <w:rPr/>
          </w:pPr>
          <w:hyperlink w:anchor="__RefHeading___Toc9587394_73709187">
            <w:r>
              <w:rPr>
                <w:webHidden/>
                <w:rStyle w:val="IndexLink"/>
                <w:rtl w:val="true"/>
              </w:rPr>
              <w:t>أدلّة هذا الحکم</w:t>
            </w:r>
            <w:r>
              <w:rPr>
                <w:rStyle w:val="IndexLink"/>
                <w:rtl w:val="true"/>
              </w:rPr>
              <w:tab/>
            </w:r>
            <w:r>
              <w:rPr>
                <w:rStyle w:val="IndexLink"/>
              </w:rPr>
              <w:t>129</w:t>
            </w:r>
          </w:hyperlink>
        </w:p>
        <w:p>
          <w:pPr>
            <w:pStyle w:val="Contents6"/>
            <w:tabs>
              <w:tab w:val="clear" w:pos="7609"/>
              <w:tab w:val="right" w:pos="9026" w:leader="dot"/>
            </w:tabs>
            <w:rPr/>
          </w:pPr>
          <w:hyperlink w:anchor="__RefHeading___Toc9587396_73709187">
            <w:r>
              <w:rPr>
                <w:webHidden/>
                <w:rStyle w:val="IndexLink"/>
                <w:rtl w:val="true"/>
              </w:rPr>
              <w:t>القول الثانی</w:t>
            </w:r>
            <w:r>
              <w:rPr>
                <w:rStyle w:val="IndexLink"/>
                <w:rtl w:val="true"/>
              </w:rPr>
              <w:t xml:space="preserve">: </w:t>
            </w:r>
            <w:r>
              <w:rPr>
                <w:rStyle w:val="IndexLink"/>
                <w:rtl w:val="true"/>
              </w:rPr>
              <w:t>أنّه لا یجب</w:t>
            </w:r>
            <w:r>
              <w:rPr>
                <w:rStyle w:val="IndexLink"/>
                <w:rtl w:val="true"/>
              </w:rPr>
              <w:tab/>
            </w:r>
            <w:r>
              <w:rPr>
                <w:rStyle w:val="IndexLink"/>
              </w:rPr>
              <w:t>131</w:t>
            </w:r>
          </w:hyperlink>
        </w:p>
        <w:p>
          <w:pPr>
            <w:pStyle w:val="Contents6"/>
            <w:tabs>
              <w:tab w:val="clear" w:pos="7609"/>
              <w:tab w:val="right" w:pos="9026" w:leader="dot"/>
            </w:tabs>
            <w:rPr/>
          </w:pPr>
          <w:hyperlink w:anchor="__RefHeading___Toc9587398_73709187">
            <w:r>
              <w:rPr>
                <w:webHidden/>
                <w:rStyle w:val="IndexLink"/>
                <w:rtl w:val="true"/>
              </w:rPr>
              <w:t>أدلّة عدم وجوب المنع</w:t>
            </w:r>
            <w:r>
              <w:rPr>
                <w:rStyle w:val="IndexLink"/>
                <w:rtl w:val="true"/>
              </w:rPr>
              <w:tab/>
            </w:r>
            <w:r>
              <w:rPr>
                <w:rStyle w:val="IndexLink"/>
              </w:rPr>
              <w:t>132</w:t>
            </w:r>
          </w:hyperlink>
        </w:p>
        <w:p>
          <w:pPr>
            <w:pStyle w:val="Contents6"/>
            <w:tabs>
              <w:tab w:val="clear" w:pos="7609"/>
              <w:tab w:val="right" w:pos="9026" w:leader="dot"/>
            </w:tabs>
            <w:rPr/>
          </w:pPr>
          <w:hyperlink w:anchor="__RefHeading___Toc9587400_73709187">
            <w:r>
              <w:rPr>
                <w:webHidden/>
                <w:rStyle w:val="IndexLink"/>
                <w:rtl w:val="true"/>
              </w:rPr>
              <w:t>فرعان</w:t>
            </w:r>
            <w:r>
              <w:rPr>
                <w:rStyle w:val="IndexLink"/>
                <w:rtl w:val="true"/>
              </w:rPr>
              <w:tab/>
            </w:r>
            <w:r>
              <w:rPr>
                <w:rStyle w:val="IndexLink"/>
              </w:rPr>
              <w:t>133</w:t>
            </w:r>
          </w:hyperlink>
        </w:p>
        <w:p>
          <w:pPr>
            <w:pStyle w:val="Contents5"/>
            <w:tabs>
              <w:tab w:val="clear" w:pos="7892"/>
              <w:tab w:val="right" w:pos="9026" w:leader="dot"/>
            </w:tabs>
            <w:rPr/>
          </w:pPr>
          <w:hyperlink w:anchor="__RefHeading___Toc9587402_73709187">
            <w:r>
              <w:rPr>
                <w:webHidden/>
                <w:rStyle w:val="IndexLink"/>
                <w:rtl w:val="true"/>
              </w:rPr>
              <w:t>التسبیب لمسّ الطفل کتابة القرآن</w:t>
            </w:r>
            <w:r>
              <w:rPr>
                <w:rStyle w:val="IndexLink"/>
                <w:rtl w:val="true"/>
              </w:rPr>
              <w:tab/>
            </w:r>
            <w:r>
              <w:rPr>
                <w:rStyle w:val="IndexLink"/>
              </w:rPr>
              <w:t>133</w:t>
            </w:r>
          </w:hyperlink>
        </w:p>
        <w:p>
          <w:pPr>
            <w:pStyle w:val="Contents5"/>
            <w:tabs>
              <w:tab w:val="clear" w:pos="7892"/>
              <w:tab w:val="right" w:pos="9026" w:leader="dot"/>
            </w:tabs>
            <w:rPr/>
          </w:pPr>
          <w:hyperlink w:anchor="__RefHeading___Toc9587404_73709187">
            <w:r>
              <w:rPr>
                <w:webHidden/>
                <w:rStyle w:val="IndexLink"/>
                <w:rtl w:val="true"/>
              </w:rPr>
              <w:t>آراء أهل السنّة فی مسّ الصبیّ المصحف</w:t>
            </w:r>
            <w:r>
              <w:rPr>
                <w:rStyle w:val="IndexLink"/>
                <w:rtl w:val="true"/>
              </w:rPr>
              <w:tab/>
            </w:r>
            <w:r>
              <w:rPr>
                <w:rStyle w:val="IndexLink"/>
              </w:rPr>
              <w:t>136</w:t>
            </w:r>
          </w:hyperlink>
        </w:p>
        <w:p>
          <w:pPr>
            <w:pStyle w:val="Contents4"/>
            <w:tabs>
              <w:tab w:val="clear" w:pos="8176"/>
              <w:tab w:val="right" w:pos="9026" w:leader="dot"/>
            </w:tabs>
            <w:rPr/>
          </w:pPr>
          <w:hyperlink w:anchor="__RefHeading___Toc9587406_73709187">
            <w:r>
              <w:rPr>
                <w:webHidden/>
                <w:rStyle w:val="IndexLink"/>
                <w:rtl w:val="true"/>
              </w:rPr>
              <w:t>المبحث الثانی</w:t>
            </w:r>
            <w:r>
              <w:rPr>
                <w:rStyle w:val="IndexLink"/>
                <w:rtl w:val="true"/>
              </w:rPr>
              <w:t xml:space="preserve">: </w:t>
            </w:r>
            <w:r>
              <w:rPr>
                <w:rStyle w:val="IndexLink"/>
                <w:rtl w:val="true"/>
              </w:rPr>
              <w:t>جنابة الصبیّ و صحّة غسله و حکم عرقه لو أجنب من حرام</w:t>
            </w:r>
            <w:r>
              <w:rPr>
                <w:rStyle w:val="IndexLink"/>
                <w:rtl w:val="true"/>
              </w:rPr>
              <w:tab/>
            </w:r>
            <w:r>
              <w:rPr>
                <w:rStyle w:val="IndexLink"/>
              </w:rPr>
              <w:t>138</w:t>
            </w:r>
          </w:hyperlink>
        </w:p>
        <w:p>
          <w:pPr>
            <w:pStyle w:val="Contents5"/>
            <w:tabs>
              <w:tab w:val="clear" w:pos="7892"/>
              <w:tab w:val="right" w:pos="9026" w:leader="dot"/>
            </w:tabs>
            <w:rPr/>
          </w:pPr>
          <w:hyperlink w:anchor="__RefHeading___Toc9587408_73709187">
            <w:r>
              <w:rPr>
                <w:webHidden/>
                <w:rStyle w:val="IndexLink"/>
                <w:rtl w:val="true"/>
              </w:rPr>
              <w:t>تمهید</w:t>
            </w:r>
            <w:r>
              <w:rPr>
                <w:rStyle w:val="IndexLink"/>
                <w:rtl w:val="true"/>
              </w:rPr>
              <w:tab/>
            </w:r>
            <w:r>
              <w:rPr>
                <w:rStyle w:val="IndexLink"/>
              </w:rPr>
              <w:t>138</w:t>
            </w:r>
          </w:hyperlink>
        </w:p>
        <w:p>
          <w:pPr>
            <w:pStyle w:val="Contents5"/>
            <w:tabs>
              <w:tab w:val="clear" w:pos="7892"/>
              <w:tab w:val="right" w:pos="9026" w:leader="dot"/>
            </w:tabs>
            <w:rPr/>
          </w:pPr>
          <w:hyperlink w:anchor="__RefHeading___Toc9587410_73709187">
            <w:r>
              <w:rPr>
                <w:webHidden/>
                <w:rStyle w:val="IndexLink"/>
                <w:rtl w:val="true"/>
              </w:rPr>
              <w:t>عدم تحقّق الجنابة من الصبیّ بالإیلاج</w:t>
            </w:r>
            <w:r>
              <w:rPr>
                <w:rStyle w:val="IndexLink"/>
                <w:rtl w:val="true"/>
              </w:rPr>
              <w:tab/>
            </w:r>
            <w:r>
              <w:rPr>
                <w:rStyle w:val="IndexLink"/>
              </w:rPr>
              <w:t>139</w:t>
            </w:r>
          </w:hyperlink>
        </w:p>
        <w:p>
          <w:pPr>
            <w:pStyle w:val="Contents5"/>
            <w:tabs>
              <w:tab w:val="clear" w:pos="7892"/>
              <w:tab w:val="right" w:pos="9026" w:leader="dot"/>
            </w:tabs>
            <w:rPr/>
          </w:pPr>
          <w:hyperlink w:anchor="__RefHeading___Toc9587412_73709187">
            <w:r>
              <w:rPr>
                <w:webHidden/>
                <w:rStyle w:val="IndexLink"/>
                <w:rtl w:val="true"/>
              </w:rPr>
              <w:t>تحقّق الجنابة من الصبیّ بالإیلاج</w:t>
            </w:r>
            <w:r>
              <w:rPr>
                <w:rStyle w:val="IndexLink"/>
                <w:rtl w:val="true"/>
              </w:rPr>
              <w:tab/>
            </w:r>
            <w:r>
              <w:rPr>
                <w:rStyle w:val="IndexLink"/>
              </w:rPr>
              <w:t>145</w:t>
            </w:r>
          </w:hyperlink>
        </w:p>
        <w:p>
          <w:pPr>
            <w:pStyle w:val="Contents5"/>
            <w:tabs>
              <w:tab w:val="clear" w:pos="7892"/>
              <w:tab w:val="right" w:pos="9026" w:leader="dot"/>
            </w:tabs>
            <w:rPr/>
          </w:pPr>
          <w:hyperlink w:anchor="__RefHeading___Toc9587414_73709187">
            <w:r>
              <w:rPr>
                <w:webHidden/>
                <w:rStyle w:val="IndexLink"/>
                <w:rtl w:val="true"/>
              </w:rPr>
              <w:t>صحّة غسل الجنابة من الصبیّ‌</w:t>
            </w:r>
            <w:r>
              <w:rPr>
                <w:rStyle w:val="IndexLink"/>
                <w:rtl w:val="true"/>
              </w:rPr>
              <w:tab/>
            </w:r>
            <w:r>
              <w:rPr>
                <w:rStyle w:val="IndexLink"/>
              </w:rPr>
              <w:t>149</w:t>
            </w:r>
          </w:hyperlink>
        </w:p>
        <w:p>
          <w:pPr>
            <w:pStyle w:val="Contents6"/>
            <w:tabs>
              <w:tab w:val="clear" w:pos="7609"/>
              <w:tab w:val="right" w:pos="9026" w:leader="dot"/>
            </w:tabs>
            <w:rPr/>
          </w:pPr>
          <w:hyperlink w:anchor="__RefHeading___Toc9587416_73709187">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9587418_73709187">
            <w:r>
              <w:rPr>
                <w:webHidden/>
                <w:rStyle w:val="IndexLink"/>
                <w:rtl w:val="true"/>
              </w:rPr>
              <w:t>فرع</w:t>
            </w:r>
            <w:r>
              <w:rPr>
                <w:rStyle w:val="IndexLink"/>
                <w:rtl w:val="true"/>
              </w:rPr>
              <w:tab/>
            </w:r>
            <w:r>
              <w:rPr>
                <w:rStyle w:val="IndexLink"/>
              </w:rPr>
              <w:t>153</w:t>
            </w:r>
          </w:hyperlink>
        </w:p>
        <w:p>
          <w:pPr>
            <w:pStyle w:val="Contents5"/>
            <w:tabs>
              <w:tab w:val="clear" w:pos="7892"/>
              <w:tab w:val="right" w:pos="9026" w:leader="dot"/>
            </w:tabs>
            <w:rPr/>
          </w:pPr>
          <w:hyperlink w:anchor="__RefHeading___Toc9587420_73709187">
            <w:r>
              <w:rPr>
                <w:webHidden/>
                <w:rStyle w:val="IndexLink"/>
                <w:rtl w:val="true"/>
              </w:rPr>
              <w:t>منع الصبیّ ممّا یحرم علی الجنب</w:t>
            </w:r>
            <w:r>
              <w:rPr>
                <w:rStyle w:val="IndexLink"/>
                <w:rtl w:val="true"/>
              </w:rPr>
              <w:tab/>
            </w:r>
            <w:r>
              <w:rPr>
                <w:rStyle w:val="IndexLink"/>
              </w:rPr>
              <w:t>153</w:t>
            </w:r>
          </w:hyperlink>
        </w:p>
        <w:p>
          <w:pPr>
            <w:pStyle w:val="Contents6"/>
            <w:tabs>
              <w:tab w:val="clear" w:pos="7609"/>
              <w:tab w:val="right" w:pos="9026" w:leader="dot"/>
            </w:tabs>
            <w:rPr/>
          </w:pPr>
          <w:hyperlink w:anchor="__RefHeading___Toc9587422_73709187">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9587424_73709187">
            <w:r>
              <w:rPr>
                <w:webHidden/>
                <w:rStyle w:val="IndexLink"/>
                <w:rtl w:val="true"/>
              </w:rPr>
              <w:t>فرع</w:t>
            </w:r>
            <w:r>
              <w:rPr>
                <w:rStyle w:val="IndexLink"/>
                <w:rtl w:val="true"/>
              </w:rPr>
              <w:tab/>
            </w:r>
            <w:r>
              <w:rPr>
                <w:rStyle w:val="IndexLink"/>
              </w:rPr>
              <w:t>158</w:t>
            </w:r>
          </w:hyperlink>
        </w:p>
        <w:p>
          <w:pPr>
            <w:pStyle w:val="Contents5"/>
            <w:tabs>
              <w:tab w:val="clear" w:pos="7892"/>
              <w:tab w:val="right" w:pos="9026" w:leader="dot"/>
            </w:tabs>
            <w:rPr/>
          </w:pPr>
          <w:hyperlink w:anchor="__RefHeading___Toc9587426_73709187">
            <w:r>
              <w:rPr>
                <w:webHidden/>
                <w:rStyle w:val="IndexLink"/>
                <w:rtl w:val="true"/>
              </w:rPr>
              <w:t>حکم عرق الصبیّ المجنب من الحرام</w:t>
            </w:r>
            <w:r>
              <w:rPr>
                <w:rStyle w:val="IndexLink"/>
                <w:rtl w:val="true"/>
              </w:rPr>
              <w:tab/>
            </w:r>
            <w:r>
              <w:rPr>
                <w:rStyle w:val="IndexLink"/>
              </w:rPr>
              <w:t>158</w:t>
            </w:r>
          </w:hyperlink>
        </w:p>
        <w:p>
          <w:pPr>
            <w:pStyle w:val="Contents6"/>
            <w:tabs>
              <w:tab w:val="clear" w:pos="7609"/>
              <w:tab w:val="right" w:pos="9026" w:leader="dot"/>
            </w:tabs>
            <w:rPr/>
          </w:pPr>
          <w:hyperlink w:anchor="__RefHeading___Toc9587428_73709187">
            <w:r>
              <w:rPr>
                <w:webHidden/>
                <w:rStyle w:val="IndexLink"/>
                <w:rtl w:val="true"/>
              </w:rPr>
              <w:t>تمهید</w:t>
            </w:r>
            <w:r>
              <w:rPr>
                <w:rStyle w:val="IndexLink"/>
                <w:rtl w:val="true"/>
              </w:rPr>
              <w:tab/>
            </w:r>
            <w:r>
              <w:rPr>
                <w:rStyle w:val="IndexLink"/>
              </w:rPr>
              <w:t>158</w:t>
            </w:r>
          </w:hyperlink>
        </w:p>
        <w:p>
          <w:pPr>
            <w:pStyle w:val="Contents6"/>
            <w:tabs>
              <w:tab w:val="clear" w:pos="7609"/>
              <w:tab w:val="right" w:pos="9026" w:leader="dot"/>
            </w:tabs>
            <w:rPr/>
          </w:pPr>
          <w:hyperlink w:anchor="__RefHeading___Toc9587430_73709187">
            <w:r>
              <w:rPr>
                <w:webHidden/>
                <w:rStyle w:val="IndexLink"/>
                <w:rtl w:val="true"/>
              </w:rPr>
              <w:t>آراء أهل السنّة فی هذا المبحث</w:t>
            </w:r>
            <w:r>
              <w:rPr>
                <w:rStyle w:val="IndexLink"/>
                <w:rtl w:val="true"/>
              </w:rPr>
              <w:tab/>
            </w:r>
            <w:r>
              <w:rPr>
                <w:rStyle w:val="IndexLink"/>
              </w:rPr>
              <w:t>162</w:t>
            </w:r>
          </w:hyperlink>
        </w:p>
        <w:p>
          <w:pPr>
            <w:pStyle w:val="Contents6"/>
            <w:tabs>
              <w:tab w:val="clear" w:pos="7609"/>
              <w:tab w:val="right" w:pos="9026" w:leader="dot"/>
            </w:tabs>
            <w:rPr/>
          </w:pPr>
          <w:hyperlink w:anchor="__RefHeading___Toc9587432_73709187">
            <w:r>
              <w:rPr>
                <w:webHidden/>
                <w:rStyle w:val="IndexLink"/>
                <w:rtl w:val="true"/>
              </w:rPr>
              <w:t>الشافعیّة</w:t>
            </w:r>
            <w:r>
              <w:rPr>
                <w:rStyle w:val="IndexLink"/>
                <w:rtl w:val="true"/>
              </w:rPr>
              <w:tab/>
            </w:r>
            <w:r>
              <w:rPr>
                <w:rStyle w:val="IndexLink"/>
              </w:rPr>
              <w:t>163</w:t>
            </w:r>
          </w:hyperlink>
        </w:p>
        <w:p>
          <w:pPr>
            <w:pStyle w:val="Contents6"/>
            <w:tabs>
              <w:tab w:val="clear" w:pos="7609"/>
              <w:tab w:val="right" w:pos="9026" w:leader="dot"/>
            </w:tabs>
            <w:rPr/>
          </w:pPr>
          <w:hyperlink w:anchor="__RefHeading___Toc9587434_73709187">
            <w:r>
              <w:rPr>
                <w:webHidden/>
                <w:rStyle w:val="IndexLink"/>
                <w:rtl w:val="true"/>
              </w:rPr>
              <w:t>الحنابلة</w:t>
            </w:r>
            <w:r>
              <w:rPr>
                <w:rStyle w:val="IndexLink"/>
                <w:rtl w:val="true"/>
              </w:rPr>
              <w:tab/>
            </w:r>
            <w:r>
              <w:rPr>
                <w:rStyle w:val="IndexLink"/>
              </w:rPr>
              <w:t>163</w:t>
            </w:r>
          </w:hyperlink>
        </w:p>
        <w:p>
          <w:pPr>
            <w:pStyle w:val="Contents6"/>
            <w:tabs>
              <w:tab w:val="clear" w:pos="7609"/>
              <w:tab w:val="right" w:pos="9026" w:leader="dot"/>
            </w:tabs>
            <w:rPr/>
          </w:pPr>
          <w:hyperlink w:anchor="__RefHeading___Toc9587436_73709187">
            <w:r>
              <w:rPr>
                <w:webHidden/>
                <w:rStyle w:val="IndexLink"/>
                <w:rtl w:val="true"/>
              </w:rPr>
              <w:t>الحنفیّة</w:t>
            </w:r>
            <w:r>
              <w:rPr>
                <w:rStyle w:val="IndexLink"/>
                <w:rtl w:val="true"/>
              </w:rPr>
              <w:tab/>
            </w:r>
            <w:r>
              <w:rPr>
                <w:rStyle w:val="IndexLink"/>
              </w:rPr>
              <w:t>164</w:t>
            </w:r>
          </w:hyperlink>
        </w:p>
        <w:p>
          <w:pPr>
            <w:pStyle w:val="Contents6"/>
            <w:tabs>
              <w:tab w:val="clear" w:pos="7609"/>
              <w:tab w:val="right" w:pos="9026" w:leader="dot"/>
            </w:tabs>
            <w:rPr/>
          </w:pPr>
          <w:hyperlink w:anchor="__RefHeading___Toc9587438_73709187">
            <w:r>
              <w:rPr>
                <w:webHidden/>
                <w:rStyle w:val="IndexLink"/>
                <w:rtl w:val="true"/>
              </w:rPr>
              <w:t>المالکیّة</w:t>
            </w:r>
            <w:r>
              <w:rPr>
                <w:rStyle w:val="IndexLink"/>
                <w:rtl w:val="true"/>
              </w:rPr>
              <w:tab/>
            </w:r>
            <w:r>
              <w:rPr>
                <w:rStyle w:val="IndexLink"/>
              </w:rPr>
              <w:t>165</w:t>
            </w:r>
          </w:hyperlink>
        </w:p>
        <w:p>
          <w:pPr>
            <w:pStyle w:val="Contents4"/>
            <w:tabs>
              <w:tab w:val="clear" w:pos="8176"/>
              <w:tab w:val="right" w:pos="9026" w:leader="dot"/>
            </w:tabs>
            <w:rPr/>
          </w:pPr>
          <w:hyperlink w:anchor="__RefHeading___Toc9587440_73709187">
            <w:r>
              <w:rPr>
                <w:webHidden/>
                <w:rStyle w:val="IndexLink"/>
                <w:rtl w:val="true"/>
              </w:rPr>
              <w:t>المبحث الثالث</w:t>
            </w:r>
            <w:r>
              <w:rPr>
                <w:rStyle w:val="IndexLink"/>
                <w:rtl w:val="true"/>
              </w:rPr>
              <w:t xml:space="preserve">: </w:t>
            </w:r>
            <w:r>
              <w:rPr>
                <w:rStyle w:val="IndexLink"/>
                <w:rtl w:val="true"/>
              </w:rPr>
              <w:t>حکم رؤیة الصغیرة الدم</w:t>
            </w:r>
            <w:r>
              <w:rPr>
                <w:rStyle w:val="IndexLink"/>
                <w:rtl w:val="true"/>
              </w:rPr>
              <w:tab/>
            </w:r>
            <w:r>
              <w:rPr>
                <w:rStyle w:val="IndexLink"/>
              </w:rPr>
              <w:t>166</w:t>
            </w:r>
          </w:hyperlink>
        </w:p>
        <w:p>
          <w:pPr>
            <w:pStyle w:val="Contents5"/>
            <w:tabs>
              <w:tab w:val="clear" w:pos="7892"/>
              <w:tab w:val="right" w:pos="9026" w:leader="dot"/>
            </w:tabs>
            <w:rPr/>
          </w:pPr>
          <w:hyperlink w:anchor="__RefHeading___Toc9587442_73709187">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9587444_73709187">
            <w:r>
              <w:rPr>
                <w:webHidden/>
                <w:rStyle w:val="IndexLink"/>
                <w:rtl w:val="true"/>
              </w:rPr>
              <w:t>المقام الأوّل</w:t>
            </w:r>
            <w:r>
              <w:rPr>
                <w:rStyle w:val="IndexLink"/>
                <w:rtl w:val="true"/>
              </w:rPr>
              <w:t xml:space="preserve">: </w:t>
            </w:r>
            <w:r>
              <w:rPr>
                <w:rStyle w:val="IndexLink"/>
                <w:rtl w:val="true"/>
              </w:rPr>
              <w:t>عدم إمکان تحقّق الحیض قبل البلوغ</w:t>
            </w:r>
            <w:r>
              <w:rPr>
                <w:rStyle w:val="IndexLink"/>
                <w:rtl w:val="true"/>
              </w:rPr>
              <w:tab/>
            </w:r>
            <w:r>
              <w:rPr>
                <w:rStyle w:val="IndexLink"/>
              </w:rPr>
              <w:t>166</w:t>
            </w:r>
          </w:hyperlink>
        </w:p>
        <w:p>
          <w:pPr>
            <w:pStyle w:val="Contents6"/>
            <w:tabs>
              <w:tab w:val="clear" w:pos="7609"/>
              <w:tab w:val="right" w:pos="9026" w:leader="dot"/>
            </w:tabs>
            <w:rPr/>
          </w:pPr>
          <w:hyperlink w:anchor="__RefHeading___Toc9587446_73709187">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9587448_73709187">
            <w:r>
              <w:rPr>
                <w:webHidden/>
                <w:rStyle w:val="IndexLink"/>
                <w:rtl w:val="true"/>
              </w:rPr>
              <w:t>أدلّة عدم إمکان تحقّق الحیض قبل التسع</w:t>
            </w:r>
            <w:r>
              <w:rPr>
                <w:rStyle w:val="IndexLink"/>
                <w:rtl w:val="true"/>
              </w:rPr>
              <w:tab/>
            </w:r>
            <w:r>
              <w:rPr>
                <w:rStyle w:val="IndexLink"/>
              </w:rPr>
              <w:t>168</w:t>
            </w:r>
          </w:hyperlink>
        </w:p>
        <w:p>
          <w:pPr>
            <w:pStyle w:val="Contents6"/>
            <w:tabs>
              <w:tab w:val="clear" w:pos="7609"/>
              <w:tab w:val="right" w:pos="9026" w:leader="dot"/>
            </w:tabs>
            <w:rPr/>
          </w:pPr>
          <w:hyperlink w:anchor="__RefHeading___Toc9587450_73709187">
            <w:r>
              <w:rPr>
                <w:webHidden/>
                <w:rStyle w:val="IndexLink"/>
                <w:rtl w:val="true"/>
              </w:rPr>
              <w:t>إزاحة شبهة</w:t>
            </w:r>
            <w:r>
              <w:rPr>
                <w:rStyle w:val="IndexLink"/>
                <w:rtl w:val="true"/>
              </w:rPr>
              <w:tab/>
            </w:r>
            <w:r>
              <w:rPr>
                <w:rStyle w:val="IndexLink"/>
              </w:rPr>
              <w:t>171</w:t>
            </w:r>
          </w:hyperlink>
        </w:p>
        <w:p>
          <w:pPr>
            <w:pStyle w:val="Contents6"/>
            <w:tabs>
              <w:tab w:val="clear" w:pos="7609"/>
              <w:tab w:val="right" w:pos="9026" w:leader="dot"/>
            </w:tabs>
            <w:rPr/>
          </w:pPr>
          <w:hyperlink w:anchor="__RefHeading___Toc9587452_73709187">
            <w:r>
              <w:rPr>
                <w:webHidden/>
                <w:rStyle w:val="IndexLink"/>
                <w:rtl w:val="true"/>
              </w:rPr>
              <w:t>کون تحدید سنّ الحیض تحقیقاً لا تقریباً</w:t>
            </w:r>
            <w:r>
              <w:rPr>
                <w:rStyle w:val="IndexLink"/>
                <w:rtl w:val="true"/>
              </w:rPr>
              <w:tab/>
            </w:r>
            <w:r>
              <w:rPr>
                <w:rStyle w:val="IndexLink"/>
              </w:rPr>
              <w:t>172</w:t>
            </w:r>
          </w:hyperlink>
        </w:p>
        <w:p>
          <w:pPr>
            <w:pStyle w:val="Contents6"/>
            <w:tabs>
              <w:tab w:val="clear" w:pos="7609"/>
              <w:tab w:val="right" w:pos="9026" w:leader="dot"/>
            </w:tabs>
            <w:rPr/>
          </w:pPr>
          <w:hyperlink w:anchor="__RefHeading___Toc9587454_73709187">
            <w:r>
              <w:rPr>
                <w:webHidden/>
                <w:rStyle w:val="IndexLink"/>
                <w:rtl w:val="true"/>
              </w:rPr>
              <w:t>فرع</w:t>
            </w:r>
            <w:r>
              <w:rPr>
                <w:rStyle w:val="IndexLink"/>
                <w:rtl w:val="true"/>
              </w:rPr>
              <w:tab/>
            </w:r>
            <w:r>
              <w:rPr>
                <w:rStyle w:val="IndexLink"/>
              </w:rPr>
              <w:t>174</w:t>
            </w:r>
          </w:hyperlink>
        </w:p>
        <w:p>
          <w:pPr>
            <w:pStyle w:val="Contents6"/>
            <w:tabs>
              <w:tab w:val="clear" w:pos="7609"/>
              <w:tab w:val="right" w:pos="9026" w:leader="dot"/>
            </w:tabs>
            <w:rPr/>
          </w:pPr>
          <w:hyperlink w:anchor="__RefHeading___Toc9587456_73709187">
            <w:r>
              <w:rPr>
                <w:webHidden/>
                <w:rStyle w:val="IndexLink"/>
                <w:rtl w:val="true"/>
              </w:rPr>
              <w:t>رؤیة الدم من مشکوکة البلوغ</w:t>
            </w:r>
            <w:r>
              <w:rPr>
                <w:rStyle w:val="IndexLink"/>
                <w:rtl w:val="true"/>
              </w:rPr>
              <w:tab/>
            </w:r>
            <w:r>
              <w:rPr>
                <w:rStyle w:val="IndexLink"/>
              </w:rPr>
              <w:t>174</w:t>
            </w:r>
          </w:hyperlink>
        </w:p>
        <w:p>
          <w:pPr>
            <w:pStyle w:val="Contents6"/>
            <w:tabs>
              <w:tab w:val="clear" w:pos="7609"/>
              <w:tab w:val="right" w:pos="9026" w:leader="dot"/>
            </w:tabs>
            <w:rPr/>
          </w:pPr>
          <w:hyperlink w:anchor="__RefHeading___Toc9587458_73709187">
            <w:r>
              <w:rPr>
                <w:webHidden/>
                <w:rStyle w:val="IndexLink"/>
                <w:rtl w:val="true"/>
              </w:rPr>
              <w:t>مذهب أهل السنّة فیما تراه الصغیرة من الدم</w:t>
            </w:r>
            <w:r>
              <w:rPr>
                <w:rStyle w:val="IndexLink"/>
                <w:rtl w:val="true"/>
              </w:rPr>
              <w:tab/>
            </w:r>
            <w:r>
              <w:rPr>
                <w:rStyle w:val="IndexLink"/>
              </w:rPr>
              <w:t>181</w:t>
            </w:r>
          </w:hyperlink>
        </w:p>
        <w:p>
          <w:pPr>
            <w:pStyle w:val="Contents6"/>
            <w:tabs>
              <w:tab w:val="clear" w:pos="7609"/>
              <w:tab w:val="right" w:pos="9026" w:leader="dot"/>
            </w:tabs>
            <w:rPr/>
          </w:pPr>
          <w:hyperlink w:anchor="__RefHeading___Toc9587460_73709187">
            <w:r>
              <w:rPr>
                <w:webHidden/>
                <w:rStyle w:val="IndexLink"/>
                <w:rtl w:val="true"/>
              </w:rPr>
              <w:t>الحنابلة</w:t>
            </w:r>
            <w:r>
              <w:rPr>
                <w:rStyle w:val="IndexLink"/>
                <w:rtl w:val="true"/>
              </w:rPr>
              <w:tab/>
            </w:r>
            <w:r>
              <w:rPr>
                <w:rStyle w:val="IndexLink"/>
              </w:rPr>
              <w:t>181</w:t>
            </w:r>
          </w:hyperlink>
        </w:p>
        <w:p>
          <w:pPr>
            <w:pStyle w:val="Contents6"/>
            <w:tabs>
              <w:tab w:val="clear" w:pos="7609"/>
              <w:tab w:val="right" w:pos="9026" w:leader="dot"/>
            </w:tabs>
            <w:rPr/>
          </w:pPr>
          <w:hyperlink w:anchor="__RefHeading___Toc9587462_73709187">
            <w:r>
              <w:rPr>
                <w:webHidden/>
                <w:rStyle w:val="IndexLink"/>
                <w:rtl w:val="true"/>
              </w:rPr>
              <w:t>الحنفیّة</w:t>
            </w:r>
            <w:r>
              <w:rPr>
                <w:rStyle w:val="IndexLink"/>
                <w:rtl w:val="true"/>
              </w:rPr>
              <w:tab/>
            </w:r>
            <w:r>
              <w:rPr>
                <w:rStyle w:val="IndexLink"/>
              </w:rPr>
              <w:t>182</w:t>
            </w:r>
          </w:hyperlink>
        </w:p>
        <w:p>
          <w:pPr>
            <w:pStyle w:val="Contents6"/>
            <w:tabs>
              <w:tab w:val="clear" w:pos="7609"/>
              <w:tab w:val="right" w:pos="9026" w:leader="dot"/>
            </w:tabs>
            <w:rPr/>
          </w:pPr>
          <w:hyperlink w:anchor="__RefHeading___Toc9587464_73709187">
            <w:r>
              <w:rPr>
                <w:webHidden/>
                <w:rStyle w:val="IndexLink"/>
                <w:rtl w:val="true"/>
              </w:rPr>
              <w:t>الشافعیّة</w:t>
            </w:r>
            <w:r>
              <w:rPr>
                <w:rStyle w:val="IndexLink"/>
                <w:rtl w:val="true"/>
              </w:rPr>
              <w:tab/>
            </w:r>
            <w:r>
              <w:rPr>
                <w:rStyle w:val="IndexLink"/>
              </w:rPr>
              <w:t>183</w:t>
            </w:r>
          </w:hyperlink>
        </w:p>
        <w:p>
          <w:pPr>
            <w:pStyle w:val="Contents6"/>
            <w:tabs>
              <w:tab w:val="clear" w:pos="7609"/>
              <w:tab w:val="right" w:pos="9026" w:leader="dot"/>
            </w:tabs>
            <w:rPr/>
          </w:pPr>
          <w:hyperlink w:anchor="__RefHeading___Toc9587466_73709187">
            <w:r>
              <w:rPr>
                <w:webHidden/>
                <w:rStyle w:val="IndexLink"/>
                <w:rtl w:val="true"/>
              </w:rPr>
              <w:t>المالکیّة</w:t>
            </w:r>
            <w:r>
              <w:rPr>
                <w:rStyle w:val="IndexLink"/>
                <w:rtl w:val="true"/>
              </w:rPr>
              <w:tab/>
            </w:r>
            <w:r>
              <w:rPr>
                <w:rStyle w:val="IndexLink"/>
              </w:rPr>
              <w:t>184</w:t>
            </w:r>
          </w:hyperlink>
        </w:p>
        <w:p>
          <w:pPr>
            <w:pStyle w:val="Contents5"/>
            <w:tabs>
              <w:tab w:val="clear" w:pos="7892"/>
              <w:tab w:val="right" w:pos="9026" w:leader="dot"/>
            </w:tabs>
            <w:rPr/>
          </w:pPr>
          <w:hyperlink w:anchor="__RefHeading___Toc9587468_73709187">
            <w:r>
              <w:rPr>
                <w:webHidden/>
                <w:rStyle w:val="IndexLink"/>
                <w:rtl w:val="true"/>
              </w:rPr>
              <w:t>المقام الثانی</w:t>
            </w:r>
            <w:r>
              <w:rPr>
                <w:rStyle w:val="IndexLink"/>
                <w:rtl w:val="true"/>
              </w:rPr>
              <w:t xml:space="preserve">: </w:t>
            </w:r>
            <w:r>
              <w:rPr>
                <w:rStyle w:val="IndexLink"/>
                <w:rtl w:val="true"/>
              </w:rPr>
              <w:t>استحاضة الصبیّة</w:t>
            </w:r>
            <w:r>
              <w:rPr>
                <w:rStyle w:val="IndexLink"/>
                <w:rtl w:val="true"/>
              </w:rPr>
              <w:tab/>
            </w:r>
            <w:r>
              <w:rPr>
                <w:rStyle w:val="IndexLink"/>
              </w:rPr>
              <w:t>184</w:t>
            </w:r>
          </w:hyperlink>
        </w:p>
        <w:p>
          <w:pPr>
            <w:pStyle w:val="Contents6"/>
            <w:tabs>
              <w:tab w:val="clear" w:pos="7609"/>
              <w:tab w:val="right" w:pos="9026" w:leader="dot"/>
            </w:tabs>
            <w:rPr/>
          </w:pPr>
          <w:hyperlink w:anchor="__RefHeading___Toc9587470_73709187">
            <w:r>
              <w:rPr>
                <w:webHidden/>
                <w:rStyle w:val="IndexLink"/>
                <w:rtl w:val="true"/>
              </w:rPr>
              <w:t>الاستحاضة لغةً و اصطلاحاً</w:t>
            </w:r>
            <w:r>
              <w:rPr>
                <w:rStyle w:val="IndexLink"/>
                <w:rtl w:val="true"/>
              </w:rPr>
              <w:tab/>
            </w:r>
            <w:r>
              <w:rPr>
                <w:rStyle w:val="IndexLink"/>
              </w:rPr>
              <w:t>184</w:t>
            </w:r>
          </w:hyperlink>
        </w:p>
        <w:p>
          <w:pPr>
            <w:pStyle w:val="Contents6"/>
            <w:tabs>
              <w:tab w:val="clear" w:pos="7609"/>
              <w:tab w:val="right" w:pos="9026" w:leader="dot"/>
            </w:tabs>
            <w:rPr/>
          </w:pPr>
          <w:hyperlink w:anchor="__RefHeading___Toc9587472_73709187">
            <w:r>
              <w:rPr>
                <w:webHidden/>
                <w:rStyle w:val="IndexLink"/>
                <w:rtl w:val="true"/>
              </w:rPr>
              <w:t>أدلّة جواز استحاضة الصبیّة</w:t>
            </w:r>
            <w:r>
              <w:rPr>
                <w:rStyle w:val="IndexLink"/>
                <w:rtl w:val="true"/>
              </w:rPr>
              <w:tab/>
            </w:r>
            <w:r>
              <w:rPr>
                <w:rStyle w:val="IndexLink"/>
              </w:rPr>
              <w:t>190</w:t>
            </w:r>
          </w:hyperlink>
        </w:p>
        <w:p>
          <w:pPr>
            <w:pStyle w:val="Contents6"/>
            <w:tabs>
              <w:tab w:val="clear" w:pos="7609"/>
              <w:tab w:val="right" w:pos="9026" w:leader="dot"/>
            </w:tabs>
            <w:rPr/>
          </w:pPr>
          <w:hyperlink w:anchor="__RefHeading___Toc9587474_73709187">
            <w:r>
              <w:rPr>
                <w:webHidden/>
                <w:rStyle w:val="IndexLink"/>
                <w:rtl w:val="true"/>
              </w:rPr>
              <w:t>المناقشات و دفعها</w:t>
            </w:r>
            <w:r>
              <w:rPr>
                <w:rStyle w:val="IndexLink"/>
                <w:rtl w:val="true"/>
              </w:rPr>
              <w:tab/>
            </w:r>
            <w:r>
              <w:rPr>
                <w:rStyle w:val="IndexLink"/>
              </w:rPr>
              <w:t>195</w:t>
            </w:r>
          </w:hyperlink>
        </w:p>
        <w:p>
          <w:pPr>
            <w:pStyle w:val="Contents6"/>
            <w:tabs>
              <w:tab w:val="clear" w:pos="7609"/>
              <w:tab w:val="right" w:pos="9026" w:leader="dot"/>
            </w:tabs>
            <w:rPr/>
          </w:pPr>
          <w:hyperlink w:anchor="__RefHeading___Toc9587476_73709187">
            <w:r>
              <w:rPr>
                <w:webHidden/>
                <w:rStyle w:val="IndexLink"/>
                <w:rtl w:val="true"/>
              </w:rPr>
              <w:t>تنبیه</w:t>
            </w:r>
            <w:r>
              <w:rPr>
                <w:rStyle w:val="IndexLink"/>
                <w:rtl w:val="true"/>
              </w:rPr>
              <w:tab/>
            </w:r>
            <w:r>
              <w:rPr>
                <w:rStyle w:val="IndexLink"/>
              </w:rPr>
              <w:t>203</w:t>
            </w:r>
          </w:hyperlink>
        </w:p>
        <w:p>
          <w:pPr>
            <w:pStyle w:val="Contents6"/>
            <w:tabs>
              <w:tab w:val="clear" w:pos="7609"/>
              <w:tab w:val="right" w:pos="9026" w:leader="dot"/>
            </w:tabs>
            <w:rPr/>
          </w:pPr>
          <w:hyperlink w:anchor="__RefHeading___Toc9587478_73709187">
            <w:r>
              <w:rPr>
                <w:webHidden/>
                <w:rStyle w:val="IndexLink"/>
                <w:rtl w:val="true"/>
              </w:rPr>
              <w:t>ثمرة الحکم بجواز استحاضة الصبیّة</w:t>
            </w:r>
            <w:r>
              <w:rPr>
                <w:rStyle w:val="IndexLink"/>
                <w:rtl w:val="true"/>
              </w:rPr>
              <w:tab/>
            </w:r>
            <w:r>
              <w:rPr>
                <w:rStyle w:val="IndexLink"/>
              </w:rPr>
              <w:t>204</w:t>
            </w:r>
          </w:hyperlink>
        </w:p>
        <w:p>
          <w:pPr>
            <w:pStyle w:val="Contents6"/>
            <w:tabs>
              <w:tab w:val="clear" w:pos="7609"/>
              <w:tab w:val="right" w:pos="9026" w:leader="dot"/>
            </w:tabs>
            <w:rPr/>
          </w:pPr>
          <w:hyperlink w:anchor="__RefHeading___Toc9587480_73709187">
            <w:r>
              <w:rPr>
                <w:webHidden/>
                <w:rStyle w:val="IndexLink"/>
                <w:rtl w:val="true"/>
              </w:rPr>
              <w:t>آراء فقهاء أهل السنّة فی استحاضة الصغیرة</w:t>
            </w:r>
            <w:r>
              <w:rPr>
                <w:rStyle w:val="IndexLink"/>
                <w:rtl w:val="true"/>
              </w:rPr>
              <w:tab/>
            </w:r>
            <w:r>
              <w:rPr>
                <w:rStyle w:val="IndexLink"/>
              </w:rPr>
              <w:t>204</w:t>
            </w:r>
          </w:hyperlink>
        </w:p>
        <w:p>
          <w:pPr>
            <w:pStyle w:val="Contents4"/>
            <w:tabs>
              <w:tab w:val="clear" w:pos="8176"/>
              <w:tab w:val="right" w:pos="9026" w:leader="dot"/>
            </w:tabs>
            <w:rPr/>
          </w:pPr>
          <w:hyperlink w:anchor="__RefHeading___Toc9587482_73709187">
            <w:r>
              <w:rPr>
                <w:webHidden/>
                <w:rStyle w:val="IndexLink"/>
                <w:rtl w:val="true"/>
              </w:rPr>
              <w:t>المبحث الرابع</w:t>
            </w:r>
            <w:r>
              <w:rPr>
                <w:rStyle w:val="IndexLink"/>
                <w:rtl w:val="true"/>
              </w:rPr>
              <w:t xml:space="preserve">: </w:t>
            </w:r>
            <w:r>
              <w:rPr>
                <w:rStyle w:val="IndexLink"/>
                <w:rtl w:val="true"/>
              </w:rPr>
              <w:t>طهارة ولد الکافر بالتبعیّة</w:t>
            </w:r>
            <w:r>
              <w:rPr>
                <w:rStyle w:val="IndexLink"/>
                <w:rtl w:val="true"/>
              </w:rPr>
              <w:tab/>
            </w:r>
            <w:r>
              <w:rPr>
                <w:rStyle w:val="IndexLink"/>
              </w:rPr>
              <w:t>207</w:t>
            </w:r>
          </w:hyperlink>
        </w:p>
        <w:p>
          <w:pPr>
            <w:pStyle w:val="Contents5"/>
            <w:tabs>
              <w:tab w:val="clear" w:pos="7892"/>
              <w:tab w:val="right" w:pos="9026" w:leader="dot"/>
            </w:tabs>
            <w:rPr/>
          </w:pPr>
          <w:hyperlink w:anchor="__RefHeading___Toc9587484_73709187">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9587486_73709187">
            <w:r>
              <w:rPr>
                <w:webHidden/>
                <w:rStyle w:val="IndexLink"/>
                <w:rtl w:val="true"/>
              </w:rPr>
              <w:t>المطلب الأوّل</w:t>
            </w:r>
            <w:r>
              <w:rPr>
                <w:rStyle w:val="IndexLink"/>
                <w:rtl w:val="true"/>
              </w:rPr>
              <w:t xml:space="preserve">: </w:t>
            </w:r>
            <w:r>
              <w:rPr>
                <w:rStyle w:val="IndexLink"/>
                <w:rtl w:val="true"/>
              </w:rPr>
              <w:t>تبعیّة الطفل لأبویه</w:t>
            </w:r>
            <w:r>
              <w:rPr>
                <w:rStyle w:val="IndexLink"/>
                <w:rtl w:val="true"/>
              </w:rPr>
              <w:tab/>
            </w:r>
            <w:r>
              <w:rPr>
                <w:rStyle w:val="IndexLink"/>
              </w:rPr>
              <w:t>207</w:t>
            </w:r>
          </w:hyperlink>
        </w:p>
        <w:p>
          <w:pPr>
            <w:pStyle w:val="Contents6"/>
            <w:tabs>
              <w:tab w:val="clear" w:pos="7609"/>
              <w:tab w:val="right" w:pos="9026" w:leader="dot"/>
            </w:tabs>
            <w:rPr/>
          </w:pPr>
          <w:hyperlink w:anchor="__RefHeading___Toc9587488_73709187">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9587490_73709187">
            <w:r>
              <w:rPr>
                <w:webHidden/>
                <w:rStyle w:val="IndexLink"/>
                <w:rtl w:val="true"/>
              </w:rPr>
              <w:t>أدلّة طهارة ولد الکافر بتبعیّته لأبویه</w:t>
            </w:r>
            <w:r>
              <w:rPr>
                <w:rStyle w:val="IndexLink"/>
                <w:rtl w:val="true"/>
              </w:rPr>
              <w:tab/>
            </w:r>
            <w:r>
              <w:rPr>
                <w:rStyle w:val="IndexLink"/>
              </w:rPr>
              <w:t>210</w:t>
            </w:r>
          </w:hyperlink>
        </w:p>
        <w:p>
          <w:pPr>
            <w:pStyle w:val="Contents6"/>
            <w:tabs>
              <w:tab w:val="clear" w:pos="7609"/>
              <w:tab w:val="right" w:pos="9026" w:leader="dot"/>
            </w:tabs>
            <w:rPr/>
          </w:pPr>
          <w:hyperlink w:anchor="__RefHeading___Toc9587492_73709187">
            <w:r>
              <w:rPr>
                <w:webHidden/>
                <w:rStyle w:val="IndexLink"/>
                <w:rtl w:val="true"/>
              </w:rPr>
              <w:t>التبعیّة للأجداد و الجدّات</w:t>
            </w:r>
            <w:r>
              <w:rPr>
                <w:rStyle w:val="IndexLink"/>
                <w:rtl w:val="true"/>
              </w:rPr>
              <w:tab/>
            </w:r>
            <w:r>
              <w:rPr>
                <w:rStyle w:val="IndexLink"/>
              </w:rPr>
              <w:t>216</w:t>
            </w:r>
          </w:hyperlink>
        </w:p>
        <w:p>
          <w:pPr>
            <w:pStyle w:val="Contents6"/>
            <w:tabs>
              <w:tab w:val="clear" w:pos="7609"/>
              <w:tab w:val="right" w:pos="9026" w:leader="dot"/>
            </w:tabs>
            <w:rPr/>
          </w:pPr>
          <w:hyperlink w:anchor="__RefHeading___Toc9587494_73709187">
            <w:r>
              <w:rPr>
                <w:webHidden/>
                <w:rStyle w:val="IndexLink"/>
                <w:rtl w:val="true"/>
              </w:rPr>
              <w:t>فرع</w:t>
            </w:r>
            <w:r>
              <w:rPr>
                <w:rStyle w:val="IndexLink"/>
                <w:rtl w:val="true"/>
              </w:rPr>
              <w:tab/>
            </w:r>
            <w:r>
              <w:rPr>
                <w:rStyle w:val="IndexLink"/>
              </w:rPr>
              <w:t>218</w:t>
            </w:r>
          </w:hyperlink>
        </w:p>
        <w:p>
          <w:pPr>
            <w:pStyle w:val="Contents6"/>
            <w:tabs>
              <w:tab w:val="clear" w:pos="7609"/>
              <w:tab w:val="right" w:pos="9026" w:leader="dot"/>
            </w:tabs>
            <w:rPr/>
          </w:pPr>
          <w:hyperlink w:anchor="__RefHeading___Toc9587496_73709187">
            <w:r>
              <w:rPr>
                <w:webHidden/>
                <w:rStyle w:val="IndexLink"/>
                <w:rtl w:val="true"/>
              </w:rPr>
              <w:t>مذهب أهل السنّة فی المسألة</w:t>
            </w:r>
            <w:r>
              <w:rPr>
                <w:rStyle w:val="IndexLink"/>
                <w:rtl w:val="true"/>
              </w:rPr>
              <w:tab/>
            </w:r>
            <w:r>
              <w:rPr>
                <w:rStyle w:val="IndexLink"/>
              </w:rPr>
              <w:t>218</w:t>
            </w:r>
          </w:hyperlink>
        </w:p>
        <w:p>
          <w:pPr>
            <w:pStyle w:val="Contents5"/>
            <w:tabs>
              <w:tab w:val="clear" w:pos="7892"/>
              <w:tab w:val="right" w:pos="9026" w:leader="dot"/>
            </w:tabs>
            <w:rPr/>
          </w:pPr>
          <w:hyperlink w:anchor="__RefHeading___Toc9587498_73709187">
            <w:r>
              <w:rPr>
                <w:webHidden/>
                <w:rStyle w:val="IndexLink"/>
                <w:rtl w:val="true"/>
              </w:rPr>
              <w:t>المطلب الثانی</w:t>
            </w:r>
            <w:r>
              <w:rPr>
                <w:rStyle w:val="IndexLink"/>
                <w:rtl w:val="true"/>
              </w:rPr>
              <w:t xml:space="preserve">: </w:t>
            </w:r>
            <w:r>
              <w:rPr>
                <w:rStyle w:val="IndexLink"/>
                <w:rtl w:val="true"/>
              </w:rPr>
              <w:t>تبعیّة دار الإسلام</w:t>
            </w:r>
            <w:r>
              <w:rPr>
                <w:rStyle w:val="IndexLink"/>
                <w:rtl w:val="true"/>
              </w:rPr>
              <w:tab/>
            </w:r>
            <w:r>
              <w:rPr>
                <w:rStyle w:val="IndexLink"/>
              </w:rPr>
              <w:t>221</w:t>
            </w:r>
          </w:hyperlink>
        </w:p>
        <w:p>
          <w:pPr>
            <w:pStyle w:val="Contents6"/>
            <w:tabs>
              <w:tab w:val="clear" w:pos="7609"/>
              <w:tab w:val="right" w:pos="9026" w:leader="dot"/>
            </w:tabs>
            <w:rPr/>
          </w:pPr>
          <w:hyperlink w:anchor="__RefHeading___Toc9587500_73709187">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9587502_73709187">
            <w:r>
              <w:rPr>
                <w:webHidden/>
                <w:rStyle w:val="IndexLink"/>
                <w:rtl w:val="true"/>
              </w:rPr>
              <w:t>المقصود من دار الإسلام فی المقام</w:t>
            </w:r>
            <w:r>
              <w:rPr>
                <w:rStyle w:val="IndexLink"/>
                <w:rtl w:val="true"/>
              </w:rPr>
              <w:tab/>
            </w:r>
            <w:r>
              <w:rPr>
                <w:rStyle w:val="IndexLink"/>
              </w:rPr>
              <w:t>224</w:t>
            </w:r>
          </w:hyperlink>
        </w:p>
        <w:p>
          <w:pPr>
            <w:pStyle w:val="Contents6"/>
            <w:tabs>
              <w:tab w:val="clear" w:pos="7609"/>
              <w:tab w:val="right" w:pos="9026" w:leader="dot"/>
            </w:tabs>
            <w:rPr/>
          </w:pPr>
          <w:hyperlink w:anchor="__RefHeading___Toc9587504_73709187">
            <w:r>
              <w:rPr>
                <w:webHidden/>
                <w:rStyle w:val="IndexLink"/>
                <w:rtl w:val="true"/>
              </w:rPr>
              <w:t>تنبیهان</w:t>
            </w:r>
            <w:r>
              <w:rPr>
                <w:rStyle w:val="IndexLink"/>
                <w:rtl w:val="true"/>
              </w:rPr>
              <w:tab/>
            </w:r>
            <w:r>
              <w:rPr>
                <w:rStyle w:val="IndexLink"/>
              </w:rPr>
              <w:t>226</w:t>
            </w:r>
          </w:hyperlink>
        </w:p>
        <w:p>
          <w:pPr>
            <w:pStyle w:val="Contents6"/>
            <w:tabs>
              <w:tab w:val="clear" w:pos="7609"/>
              <w:tab w:val="right" w:pos="9026" w:leader="dot"/>
            </w:tabs>
            <w:rPr/>
          </w:pPr>
          <w:hyperlink w:anchor="__RefHeading___Toc9587506_73709187">
            <w:r>
              <w:rPr>
                <w:webHidden/>
                <w:rStyle w:val="IndexLink"/>
                <w:rtl w:val="true"/>
              </w:rPr>
              <w:t>أدلّة تبعیّة اللقیط لدار الإسلام</w:t>
            </w:r>
            <w:r>
              <w:rPr>
                <w:rStyle w:val="IndexLink"/>
                <w:rtl w:val="true"/>
              </w:rPr>
              <w:tab/>
            </w:r>
            <w:r>
              <w:rPr>
                <w:rStyle w:val="IndexLink"/>
              </w:rPr>
              <w:t>226</w:t>
            </w:r>
          </w:hyperlink>
        </w:p>
        <w:p>
          <w:pPr>
            <w:pStyle w:val="Contents6"/>
            <w:tabs>
              <w:tab w:val="clear" w:pos="7609"/>
              <w:tab w:val="right" w:pos="9026" w:leader="dot"/>
            </w:tabs>
            <w:rPr/>
          </w:pPr>
          <w:hyperlink w:anchor="__RefHeading___Toc9587508_73709187">
            <w:r>
              <w:rPr>
                <w:webHidden/>
                <w:rStyle w:val="IndexLink"/>
                <w:rtl w:val="true"/>
              </w:rPr>
              <w:t>مذهب أهل السنّة فی التبعیّة للدار</w:t>
            </w:r>
            <w:r>
              <w:rPr>
                <w:rStyle w:val="IndexLink"/>
                <w:rtl w:val="true"/>
              </w:rPr>
              <w:tab/>
            </w:r>
            <w:r>
              <w:rPr>
                <w:rStyle w:val="IndexLink"/>
              </w:rPr>
              <w:t>230</w:t>
            </w:r>
          </w:hyperlink>
        </w:p>
        <w:p>
          <w:pPr>
            <w:pStyle w:val="Contents5"/>
            <w:tabs>
              <w:tab w:val="clear" w:pos="7892"/>
              <w:tab w:val="right" w:pos="9026" w:leader="dot"/>
            </w:tabs>
            <w:rPr/>
          </w:pPr>
          <w:hyperlink w:anchor="__RefHeading___Toc9587510_73709187">
            <w:r>
              <w:rPr>
                <w:webHidden/>
                <w:rStyle w:val="IndexLink"/>
                <w:rtl w:val="true"/>
              </w:rPr>
              <w:t>المطلب الثالث</w:t>
            </w:r>
            <w:r>
              <w:rPr>
                <w:rStyle w:val="IndexLink"/>
                <w:rtl w:val="true"/>
              </w:rPr>
              <w:t xml:space="preserve">: </w:t>
            </w:r>
            <w:r>
              <w:rPr>
                <w:rStyle w:val="IndexLink"/>
                <w:rtl w:val="true"/>
              </w:rPr>
              <w:t>تبعیّة الصبیّ للسابی فی الإسلام و عدمها</w:t>
            </w:r>
            <w:r>
              <w:rPr>
                <w:rStyle w:val="IndexLink"/>
                <w:rtl w:val="true"/>
              </w:rPr>
              <w:tab/>
            </w:r>
            <w:r>
              <w:rPr>
                <w:rStyle w:val="IndexLink"/>
              </w:rPr>
              <w:t>232</w:t>
            </w:r>
          </w:hyperlink>
        </w:p>
        <w:p>
          <w:pPr>
            <w:pStyle w:val="Contents6"/>
            <w:tabs>
              <w:tab w:val="clear" w:pos="7609"/>
              <w:tab w:val="right" w:pos="9026" w:leader="dot"/>
            </w:tabs>
            <w:rPr/>
          </w:pPr>
          <w:hyperlink w:anchor="__RefHeading___Toc9587512_73709187">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9587514_73709187">
            <w:r>
              <w:rPr>
                <w:webHidden/>
                <w:rStyle w:val="IndexLink"/>
                <w:rtl w:val="true"/>
              </w:rPr>
              <w:t>أدلّة القول بعدم التبعیّة</w:t>
            </w:r>
            <w:r>
              <w:rPr>
                <w:rStyle w:val="IndexLink"/>
                <w:rtl w:val="true"/>
              </w:rPr>
              <w:tab/>
            </w:r>
            <w:r>
              <w:rPr>
                <w:rStyle w:val="IndexLink"/>
              </w:rPr>
              <w:t>235</w:t>
            </w:r>
          </w:hyperlink>
        </w:p>
        <w:p>
          <w:pPr>
            <w:pStyle w:val="Contents6"/>
            <w:tabs>
              <w:tab w:val="clear" w:pos="7609"/>
              <w:tab w:val="right" w:pos="9026" w:leader="dot"/>
            </w:tabs>
            <w:rPr/>
          </w:pPr>
          <w:hyperlink w:anchor="__RefHeading___Toc9587516_73709187">
            <w:r>
              <w:rPr>
                <w:webHidden/>
                <w:rStyle w:val="IndexLink"/>
                <w:rtl w:val="true"/>
              </w:rPr>
              <w:t>تبعیّة الطفل للسابی فی الإسلام</w:t>
            </w:r>
            <w:r>
              <w:rPr>
                <w:rStyle w:val="IndexLink"/>
                <w:rtl w:val="true"/>
              </w:rPr>
              <w:tab/>
            </w:r>
            <w:r>
              <w:rPr>
                <w:rStyle w:val="IndexLink"/>
              </w:rPr>
              <w:t>236</w:t>
            </w:r>
          </w:hyperlink>
        </w:p>
        <w:p>
          <w:pPr>
            <w:pStyle w:val="Contents6"/>
            <w:tabs>
              <w:tab w:val="clear" w:pos="7609"/>
              <w:tab w:val="right" w:pos="9026" w:leader="dot"/>
            </w:tabs>
            <w:rPr/>
          </w:pPr>
          <w:hyperlink w:anchor="__RefHeading___Toc9587518_73709187">
            <w:r>
              <w:rPr>
                <w:webHidden/>
                <w:rStyle w:val="IndexLink"/>
                <w:rtl w:val="true"/>
              </w:rPr>
              <w:t>أدلّة القول بالتبعیّة</w:t>
            </w:r>
            <w:r>
              <w:rPr>
                <w:rStyle w:val="IndexLink"/>
                <w:rtl w:val="true"/>
              </w:rPr>
              <w:tab/>
            </w:r>
            <w:r>
              <w:rPr>
                <w:rStyle w:val="IndexLink"/>
              </w:rPr>
              <w:t>237</w:t>
            </w:r>
          </w:hyperlink>
        </w:p>
        <w:p>
          <w:pPr>
            <w:pStyle w:val="Contents6"/>
            <w:tabs>
              <w:tab w:val="clear" w:pos="7609"/>
              <w:tab w:val="right" w:pos="9026" w:leader="dot"/>
            </w:tabs>
            <w:rPr/>
          </w:pPr>
          <w:hyperlink w:anchor="__RefHeading___Toc9587520_73709187">
            <w:r>
              <w:rPr>
                <w:webHidden/>
                <w:rStyle w:val="IndexLink"/>
                <w:rtl w:val="true"/>
              </w:rPr>
              <w:t>التوقّف فی الحکم</w:t>
            </w:r>
            <w:r>
              <w:rPr>
                <w:rStyle w:val="IndexLink"/>
                <w:rtl w:val="true"/>
              </w:rPr>
              <w:tab/>
            </w:r>
            <w:r>
              <w:rPr>
                <w:rStyle w:val="IndexLink"/>
              </w:rPr>
              <w:t>240</w:t>
            </w:r>
          </w:hyperlink>
        </w:p>
        <w:p>
          <w:pPr>
            <w:pStyle w:val="Contents6"/>
            <w:tabs>
              <w:tab w:val="clear" w:pos="7609"/>
              <w:tab w:val="right" w:pos="9026" w:leader="dot"/>
            </w:tabs>
            <w:rPr/>
          </w:pPr>
          <w:hyperlink w:anchor="__RefHeading___Toc9587522_73709187">
            <w:r>
              <w:rPr>
                <w:webHidden/>
                <w:rStyle w:val="IndexLink"/>
                <w:rtl w:val="true"/>
              </w:rPr>
              <w:t>التبعیّة فی الطهارة خاصّة</w:t>
            </w:r>
            <w:r>
              <w:rPr>
                <w:rStyle w:val="IndexLink"/>
                <w:rtl w:val="true"/>
              </w:rPr>
              <w:tab/>
            </w:r>
            <w:r>
              <w:rPr>
                <w:rStyle w:val="IndexLink"/>
              </w:rPr>
              <w:t>241</w:t>
            </w:r>
          </w:hyperlink>
        </w:p>
        <w:p>
          <w:pPr>
            <w:pStyle w:val="Contents6"/>
            <w:tabs>
              <w:tab w:val="clear" w:pos="7609"/>
              <w:tab w:val="right" w:pos="9026" w:leader="dot"/>
            </w:tabs>
            <w:rPr/>
          </w:pPr>
          <w:hyperlink w:anchor="__RefHeading___Toc9587524_73709187">
            <w:r>
              <w:rPr>
                <w:webHidden/>
                <w:rStyle w:val="IndexLink"/>
                <w:rtl w:val="true"/>
              </w:rPr>
              <w:t>أدلّة تبعیّة الطفل للسابی فی الطهارة</w:t>
            </w:r>
            <w:r>
              <w:rPr>
                <w:rStyle w:val="IndexLink"/>
                <w:rtl w:val="true"/>
              </w:rPr>
              <w:tab/>
            </w:r>
            <w:r>
              <w:rPr>
                <w:rStyle w:val="IndexLink"/>
              </w:rPr>
              <w:t>243</w:t>
            </w:r>
          </w:hyperlink>
        </w:p>
        <w:p>
          <w:pPr>
            <w:pStyle w:val="Contents6"/>
            <w:tabs>
              <w:tab w:val="clear" w:pos="7609"/>
              <w:tab w:val="right" w:pos="9026" w:leader="dot"/>
            </w:tabs>
            <w:rPr/>
          </w:pPr>
          <w:hyperlink w:anchor="__RefHeading___Toc9587526_73709187">
            <w:r>
              <w:rPr>
                <w:webHidden/>
                <w:rStyle w:val="IndexLink"/>
                <w:rtl w:val="true"/>
              </w:rPr>
              <w:t>فروع</w:t>
            </w:r>
            <w:r>
              <w:rPr>
                <w:rStyle w:val="IndexLink"/>
                <w:rtl w:val="true"/>
              </w:rPr>
              <w:tab/>
            </w:r>
            <w:r>
              <w:rPr>
                <w:rStyle w:val="IndexLink"/>
              </w:rPr>
              <w:t>246</w:t>
            </w:r>
          </w:hyperlink>
        </w:p>
        <w:p>
          <w:pPr>
            <w:pStyle w:val="Contents6"/>
            <w:tabs>
              <w:tab w:val="clear" w:pos="7609"/>
              <w:tab w:val="right" w:pos="9026" w:leader="dot"/>
            </w:tabs>
            <w:rPr/>
          </w:pPr>
          <w:hyperlink w:anchor="__RefHeading___Toc9587528_73709187">
            <w:r>
              <w:rPr>
                <w:webHidden/>
                <w:rStyle w:val="IndexLink"/>
                <w:rtl w:val="true"/>
              </w:rPr>
              <w:t>مذهب أهل السنّة فی المسألة</w:t>
            </w:r>
            <w:r>
              <w:rPr>
                <w:rStyle w:val="IndexLink"/>
                <w:rtl w:val="true"/>
              </w:rPr>
              <w:tab/>
            </w:r>
            <w:r>
              <w:rPr>
                <w:rStyle w:val="IndexLink"/>
              </w:rPr>
              <w:t>247</w:t>
            </w:r>
          </w:hyperlink>
        </w:p>
        <w:p>
          <w:pPr>
            <w:pStyle w:val="Contents4"/>
            <w:tabs>
              <w:tab w:val="clear" w:pos="8176"/>
              <w:tab w:val="right" w:pos="9026" w:leader="dot"/>
            </w:tabs>
            <w:rPr/>
          </w:pPr>
          <w:hyperlink w:anchor="__RefHeading___Toc9587530_73709187">
            <w:r>
              <w:rPr>
                <w:webHidden/>
                <w:rStyle w:val="IndexLink"/>
                <w:rtl w:val="true"/>
              </w:rPr>
              <w:t>المبحث الخامس</w:t>
            </w:r>
            <w:r>
              <w:rPr>
                <w:rStyle w:val="IndexLink"/>
                <w:rtl w:val="true"/>
              </w:rPr>
              <w:t xml:space="preserve">: </w:t>
            </w:r>
            <w:r>
              <w:rPr>
                <w:rStyle w:val="IndexLink"/>
                <w:rtl w:val="true"/>
              </w:rPr>
              <w:t>صحّة إسلام الصبیّ و عدمها</w:t>
            </w:r>
            <w:r>
              <w:rPr>
                <w:rStyle w:val="IndexLink"/>
                <w:rtl w:val="true"/>
              </w:rPr>
              <w:tab/>
            </w:r>
            <w:r>
              <w:rPr>
                <w:rStyle w:val="IndexLink"/>
              </w:rPr>
              <w:t>250</w:t>
            </w:r>
          </w:hyperlink>
        </w:p>
        <w:p>
          <w:pPr>
            <w:pStyle w:val="Contents5"/>
            <w:tabs>
              <w:tab w:val="clear" w:pos="7892"/>
              <w:tab w:val="right" w:pos="9026" w:leader="dot"/>
            </w:tabs>
            <w:rPr/>
          </w:pPr>
          <w:hyperlink w:anchor="__RefHeading___Toc9587532_73709187">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9587534_73709187">
            <w:r>
              <w:rPr>
                <w:webHidden/>
                <w:rStyle w:val="IndexLink"/>
                <w:rtl w:val="true"/>
              </w:rPr>
              <w:t>طهارة الصبیّ بالإسلام</w:t>
            </w:r>
            <w:r>
              <w:rPr>
                <w:rStyle w:val="IndexLink"/>
                <w:rtl w:val="true"/>
              </w:rPr>
              <w:tab/>
            </w:r>
            <w:r>
              <w:rPr>
                <w:rStyle w:val="IndexLink"/>
              </w:rPr>
              <w:t>250</w:t>
            </w:r>
          </w:hyperlink>
        </w:p>
        <w:p>
          <w:pPr>
            <w:pStyle w:val="Contents5"/>
            <w:tabs>
              <w:tab w:val="clear" w:pos="7892"/>
              <w:tab w:val="right" w:pos="9026" w:leader="dot"/>
            </w:tabs>
            <w:rPr/>
          </w:pPr>
          <w:hyperlink w:anchor="__RefHeading___Toc9587536_73709187">
            <w:r>
              <w:rPr>
                <w:webHidden/>
                <w:rStyle w:val="IndexLink"/>
                <w:rtl w:val="true"/>
              </w:rPr>
              <w:t>أدلّة القول بعدم صحّة إسلام الصبیّ‌</w:t>
            </w:r>
            <w:r>
              <w:rPr>
                <w:rStyle w:val="IndexLink"/>
                <w:rtl w:val="true"/>
              </w:rPr>
              <w:tab/>
            </w:r>
            <w:r>
              <w:rPr>
                <w:rStyle w:val="IndexLink"/>
              </w:rPr>
              <w:t>251</w:t>
            </w:r>
          </w:hyperlink>
        </w:p>
        <w:p>
          <w:pPr>
            <w:pStyle w:val="Contents5"/>
            <w:tabs>
              <w:tab w:val="clear" w:pos="7892"/>
              <w:tab w:val="right" w:pos="9026" w:leader="dot"/>
            </w:tabs>
            <w:rPr/>
          </w:pPr>
          <w:hyperlink w:anchor="__RefHeading___Toc9587538_73709187">
            <w:r>
              <w:rPr>
                <w:webHidden/>
                <w:rStyle w:val="IndexLink"/>
                <w:rtl w:val="true"/>
              </w:rPr>
              <w:t>صحّة إسلام الصبیّ الممیّز</w:t>
            </w:r>
            <w:r>
              <w:rPr>
                <w:rStyle w:val="IndexLink"/>
                <w:rtl w:val="true"/>
              </w:rPr>
              <w:tab/>
            </w:r>
            <w:r>
              <w:rPr>
                <w:rStyle w:val="IndexLink"/>
              </w:rPr>
              <w:t>255</w:t>
            </w:r>
          </w:hyperlink>
        </w:p>
        <w:p>
          <w:pPr>
            <w:pStyle w:val="Contents6"/>
            <w:tabs>
              <w:tab w:val="clear" w:pos="7609"/>
              <w:tab w:val="right" w:pos="9026" w:leader="dot"/>
            </w:tabs>
            <w:rPr/>
          </w:pPr>
          <w:hyperlink w:anchor="__RefHeading___Toc9587540_73709187">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9587542_73709187">
            <w:r>
              <w:rPr>
                <w:webHidden/>
                <w:rStyle w:val="IndexLink"/>
                <w:rtl w:val="true"/>
              </w:rPr>
              <w:t>أدلّة صحّة إسلام الصبیّ‌</w:t>
            </w:r>
            <w:r>
              <w:rPr>
                <w:rStyle w:val="IndexLink"/>
                <w:rtl w:val="true"/>
              </w:rPr>
              <w:tab/>
            </w:r>
            <w:r>
              <w:rPr>
                <w:rStyle w:val="IndexLink"/>
              </w:rPr>
              <w:t>256</w:t>
            </w:r>
          </w:hyperlink>
        </w:p>
        <w:p>
          <w:pPr>
            <w:pStyle w:val="Contents5"/>
            <w:tabs>
              <w:tab w:val="clear" w:pos="7892"/>
              <w:tab w:val="right" w:pos="9026" w:leader="dot"/>
            </w:tabs>
            <w:rPr/>
          </w:pPr>
          <w:hyperlink w:anchor="__RefHeading___Toc9587544_73709187">
            <w:r>
              <w:rPr>
                <w:webHidden/>
                <w:rStyle w:val="IndexLink"/>
                <w:rtl w:val="true"/>
              </w:rPr>
              <w:t>تتمیم</w:t>
            </w:r>
            <w:r>
              <w:rPr>
                <w:rStyle w:val="IndexLink"/>
                <w:rtl w:val="true"/>
              </w:rPr>
              <w:tab/>
            </w:r>
            <w:r>
              <w:rPr>
                <w:rStyle w:val="IndexLink"/>
              </w:rPr>
              <w:t>262</w:t>
            </w:r>
          </w:hyperlink>
        </w:p>
        <w:p>
          <w:pPr>
            <w:pStyle w:val="Contents5"/>
            <w:tabs>
              <w:tab w:val="clear" w:pos="7892"/>
              <w:tab w:val="right" w:pos="9026" w:leader="dot"/>
            </w:tabs>
            <w:rPr/>
          </w:pPr>
          <w:hyperlink w:anchor="__RefHeading___Toc9587546_73709187">
            <w:r>
              <w:rPr>
                <w:webHidden/>
                <w:rStyle w:val="IndexLink"/>
                <w:rtl w:val="true"/>
              </w:rPr>
              <w:t>مذهب أهل السنّة فی إسلام الصبیّ الممیّز</w:t>
            </w:r>
            <w:r>
              <w:rPr>
                <w:rStyle w:val="IndexLink"/>
                <w:rtl w:val="true"/>
              </w:rPr>
              <w:tab/>
            </w:r>
            <w:r>
              <w:rPr>
                <w:rStyle w:val="IndexLink"/>
              </w:rPr>
              <w:t>262</w:t>
            </w:r>
          </w:hyperlink>
        </w:p>
        <w:p>
          <w:pPr>
            <w:pStyle w:val="Contents3"/>
            <w:tabs>
              <w:tab w:val="clear" w:pos="8459"/>
              <w:tab w:val="right" w:pos="9026" w:leader="dot"/>
            </w:tabs>
            <w:rPr/>
          </w:pPr>
          <w:hyperlink w:anchor="__RefHeading___Toc9587548_73709187">
            <w:r>
              <w:rPr>
                <w:webHidden/>
                <w:rStyle w:val="IndexLink"/>
                <w:rtl w:val="true"/>
              </w:rPr>
              <w:t>الفصل الثالث</w:t>
            </w:r>
            <w:r>
              <w:rPr>
                <w:rStyle w:val="IndexLink"/>
                <w:rtl w:val="true"/>
              </w:rPr>
              <w:t xml:space="preserve">: </w:t>
            </w:r>
            <w:r>
              <w:rPr>
                <w:rStyle w:val="IndexLink"/>
                <w:rtl w:val="true"/>
              </w:rPr>
              <w:t>أحکام الطفل المیّت</w:t>
            </w:r>
            <w:r>
              <w:rPr>
                <w:rStyle w:val="IndexLink"/>
                <w:rtl w:val="true"/>
              </w:rPr>
              <w:tab/>
            </w:r>
            <w:r>
              <w:rPr>
                <w:rStyle w:val="IndexLink"/>
              </w:rPr>
              <w:t>267</w:t>
            </w:r>
          </w:hyperlink>
        </w:p>
        <w:p>
          <w:pPr>
            <w:pStyle w:val="Contents4"/>
            <w:tabs>
              <w:tab w:val="clear" w:pos="8176"/>
              <w:tab w:val="right" w:pos="9026" w:leader="dot"/>
            </w:tabs>
            <w:rPr/>
          </w:pPr>
          <w:hyperlink w:anchor="__RefHeading___Toc9587550_73709187">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9587552_73709187">
            <w:r>
              <w:rPr>
                <w:webHidden/>
                <w:rStyle w:val="IndexLink"/>
                <w:rtl w:val="true"/>
              </w:rPr>
              <w:t>المبحث الأوّل</w:t>
            </w:r>
            <w:r>
              <w:rPr>
                <w:rStyle w:val="IndexLink"/>
                <w:rtl w:val="true"/>
              </w:rPr>
              <w:t xml:space="preserve">: </w:t>
            </w:r>
            <w:r>
              <w:rPr>
                <w:rStyle w:val="IndexLink"/>
                <w:rtl w:val="true"/>
              </w:rPr>
              <w:t>تلقینه و توجیهه إلی القبلة</w:t>
            </w:r>
            <w:r>
              <w:rPr>
                <w:rStyle w:val="IndexLink"/>
                <w:rtl w:val="true"/>
              </w:rPr>
              <w:tab/>
            </w:r>
            <w:r>
              <w:rPr>
                <w:rStyle w:val="IndexLink"/>
              </w:rPr>
              <w:t>268</w:t>
            </w:r>
          </w:hyperlink>
        </w:p>
        <w:p>
          <w:pPr>
            <w:pStyle w:val="Contents5"/>
            <w:tabs>
              <w:tab w:val="clear" w:pos="7892"/>
              <w:tab w:val="right" w:pos="9026" w:leader="dot"/>
            </w:tabs>
            <w:rPr/>
          </w:pPr>
          <w:hyperlink w:anchor="__RefHeading___Toc9587554_73709187">
            <w:r>
              <w:rPr>
                <w:webHidden/>
                <w:rStyle w:val="IndexLink"/>
                <w:rtl w:val="true"/>
              </w:rPr>
              <w:t>أ</w:t>
            </w:r>
            <w:r>
              <w:rPr>
                <w:rStyle w:val="IndexLink"/>
                <w:rtl w:val="true"/>
              </w:rPr>
              <w:t xml:space="preserve">: </w:t>
            </w:r>
            <w:r>
              <w:rPr>
                <w:rStyle w:val="IndexLink"/>
                <w:rtl w:val="true"/>
              </w:rPr>
              <w:t>تلقینه</w:t>
            </w:r>
            <w:r>
              <w:rPr>
                <w:rStyle w:val="IndexLink"/>
                <w:rtl w:val="true"/>
              </w:rPr>
              <w:tab/>
            </w:r>
            <w:r>
              <w:rPr>
                <w:rStyle w:val="IndexLink"/>
              </w:rPr>
              <w:t>268</w:t>
            </w:r>
          </w:hyperlink>
        </w:p>
        <w:p>
          <w:pPr>
            <w:pStyle w:val="Contents5"/>
            <w:tabs>
              <w:tab w:val="clear" w:pos="7892"/>
              <w:tab w:val="right" w:pos="9026" w:leader="dot"/>
            </w:tabs>
            <w:rPr/>
          </w:pPr>
          <w:hyperlink w:anchor="__RefHeading___Toc9587556_73709187">
            <w:r>
              <w:rPr>
                <w:webHidden/>
                <w:rStyle w:val="IndexLink"/>
                <w:rtl w:val="true"/>
              </w:rPr>
              <w:t>ب</w:t>
            </w:r>
            <w:r>
              <w:rPr>
                <w:rStyle w:val="IndexLink"/>
                <w:rtl w:val="true"/>
              </w:rPr>
              <w:t xml:space="preserve">: </w:t>
            </w:r>
            <w:r>
              <w:rPr>
                <w:rStyle w:val="IndexLink"/>
                <w:rtl w:val="true"/>
              </w:rPr>
              <w:t>توجیهه إلی القبلة</w:t>
            </w:r>
            <w:r>
              <w:rPr>
                <w:rStyle w:val="IndexLink"/>
                <w:rtl w:val="true"/>
              </w:rPr>
              <w:tab/>
            </w:r>
            <w:r>
              <w:rPr>
                <w:rStyle w:val="IndexLink"/>
              </w:rPr>
              <w:t>269</w:t>
            </w:r>
          </w:hyperlink>
        </w:p>
        <w:p>
          <w:pPr>
            <w:pStyle w:val="Contents6"/>
            <w:tabs>
              <w:tab w:val="clear" w:pos="7609"/>
              <w:tab w:val="right" w:pos="9026" w:leader="dot"/>
            </w:tabs>
            <w:rPr/>
          </w:pPr>
          <w:hyperlink w:anchor="__RefHeading___Toc9587558_73709187">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9587560_73709187">
            <w:r>
              <w:rPr>
                <w:webHidden/>
                <w:rStyle w:val="IndexLink"/>
                <w:rtl w:val="true"/>
              </w:rPr>
              <w:t>أدلّة وجوب توجیه الصبیّ إلی القبلة</w:t>
            </w:r>
            <w:r>
              <w:rPr>
                <w:rStyle w:val="IndexLink"/>
                <w:rtl w:val="true"/>
              </w:rPr>
              <w:tab/>
            </w:r>
            <w:r>
              <w:rPr>
                <w:rStyle w:val="IndexLink"/>
              </w:rPr>
              <w:t>270</w:t>
            </w:r>
          </w:hyperlink>
        </w:p>
        <w:p>
          <w:pPr>
            <w:pStyle w:val="Contents5"/>
            <w:tabs>
              <w:tab w:val="clear" w:pos="7892"/>
              <w:tab w:val="right" w:pos="9026" w:leader="dot"/>
            </w:tabs>
            <w:rPr/>
          </w:pPr>
          <w:hyperlink w:anchor="__RefHeading___Toc9587562_73709187">
            <w:r>
              <w:rPr>
                <w:webHidden/>
                <w:rStyle w:val="IndexLink"/>
                <w:rtl w:val="true"/>
              </w:rPr>
              <w:t>رأی أهل السنّة فی المسألة</w:t>
            </w:r>
            <w:r>
              <w:rPr>
                <w:rStyle w:val="IndexLink"/>
                <w:rtl w:val="true"/>
              </w:rPr>
              <w:tab/>
            </w:r>
            <w:r>
              <w:rPr>
                <w:rStyle w:val="IndexLink"/>
              </w:rPr>
              <w:t>271</w:t>
            </w:r>
          </w:hyperlink>
        </w:p>
        <w:p>
          <w:pPr>
            <w:pStyle w:val="Contents4"/>
            <w:tabs>
              <w:tab w:val="clear" w:pos="8176"/>
              <w:tab w:val="right" w:pos="9026" w:leader="dot"/>
            </w:tabs>
            <w:rPr/>
          </w:pPr>
          <w:hyperlink w:anchor="__RefHeading___Toc9587564_73709187">
            <w:r>
              <w:rPr>
                <w:webHidden/>
                <w:rStyle w:val="IndexLink"/>
                <w:rtl w:val="true"/>
              </w:rPr>
              <w:t>المبحث الثانی</w:t>
            </w:r>
            <w:r>
              <w:rPr>
                <w:rStyle w:val="IndexLink"/>
                <w:rtl w:val="true"/>
              </w:rPr>
              <w:t xml:space="preserve">: </w:t>
            </w:r>
            <w:r>
              <w:rPr>
                <w:rStyle w:val="IndexLink"/>
                <w:rtl w:val="true"/>
              </w:rPr>
              <w:t>وجوب تغسیله</w:t>
            </w:r>
            <w:r>
              <w:rPr>
                <w:rStyle w:val="IndexLink"/>
                <w:rtl w:val="true"/>
              </w:rPr>
              <w:tab/>
            </w:r>
            <w:r>
              <w:rPr>
                <w:rStyle w:val="IndexLink"/>
              </w:rPr>
              <w:t>273</w:t>
            </w:r>
          </w:hyperlink>
        </w:p>
        <w:p>
          <w:pPr>
            <w:pStyle w:val="Contents5"/>
            <w:tabs>
              <w:tab w:val="clear" w:pos="7892"/>
              <w:tab w:val="right" w:pos="9026" w:leader="dot"/>
            </w:tabs>
            <w:rPr/>
          </w:pPr>
          <w:hyperlink w:anchor="__RefHeading___Toc9587566_73709187">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9587568_73709187">
            <w:r>
              <w:rPr>
                <w:webHidden/>
                <w:rStyle w:val="IndexLink"/>
                <w:rtl w:val="true"/>
              </w:rPr>
              <w:t>المقام الأوّل</w:t>
            </w:r>
            <w:r>
              <w:rPr>
                <w:rStyle w:val="IndexLink"/>
                <w:rtl w:val="true"/>
              </w:rPr>
              <w:t xml:space="preserve">: </w:t>
            </w:r>
            <w:r>
              <w:rPr>
                <w:rStyle w:val="IndexLink"/>
                <w:rtl w:val="true"/>
              </w:rPr>
              <w:t>تغسیل الطفل الذی ولد حیّاً ثمّ مات</w:t>
            </w:r>
            <w:r>
              <w:rPr>
                <w:rStyle w:val="IndexLink"/>
                <w:rtl w:val="true"/>
              </w:rPr>
              <w:tab/>
            </w:r>
            <w:r>
              <w:rPr>
                <w:rStyle w:val="IndexLink"/>
              </w:rPr>
              <w:t>274</w:t>
            </w:r>
          </w:hyperlink>
        </w:p>
        <w:p>
          <w:pPr>
            <w:pStyle w:val="Contents6"/>
            <w:tabs>
              <w:tab w:val="clear" w:pos="7609"/>
              <w:tab w:val="right" w:pos="9026" w:leader="dot"/>
            </w:tabs>
            <w:rPr/>
          </w:pPr>
          <w:hyperlink w:anchor="__RefHeading___Toc9587570_73709187">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9587572_73709187">
            <w:r>
              <w:rPr>
                <w:webHidden/>
                <w:rStyle w:val="IndexLink"/>
                <w:rtl w:val="true"/>
              </w:rPr>
              <w:t>أدلّة وجوب تغسیل الطفل المیّت</w:t>
            </w:r>
            <w:r>
              <w:rPr>
                <w:rStyle w:val="IndexLink"/>
                <w:rtl w:val="true"/>
              </w:rPr>
              <w:tab/>
            </w:r>
            <w:r>
              <w:rPr>
                <w:rStyle w:val="IndexLink"/>
              </w:rPr>
              <w:t>275</w:t>
            </w:r>
          </w:hyperlink>
        </w:p>
        <w:p>
          <w:pPr>
            <w:pStyle w:val="Contents6"/>
            <w:tabs>
              <w:tab w:val="clear" w:pos="7609"/>
              <w:tab w:val="right" w:pos="9026" w:leader="dot"/>
            </w:tabs>
            <w:rPr/>
          </w:pPr>
          <w:hyperlink w:anchor="__RefHeading___Toc9587574_73709187">
            <w:r>
              <w:rPr>
                <w:webHidden/>
                <w:rStyle w:val="IndexLink"/>
                <w:rtl w:val="true"/>
              </w:rPr>
              <w:t>فروع</w:t>
            </w:r>
            <w:r>
              <w:rPr>
                <w:rStyle w:val="IndexLink"/>
                <w:rtl w:val="true"/>
              </w:rPr>
              <w:tab/>
            </w:r>
            <w:r>
              <w:rPr>
                <w:rStyle w:val="IndexLink"/>
              </w:rPr>
              <w:t>276</w:t>
            </w:r>
          </w:hyperlink>
        </w:p>
        <w:p>
          <w:pPr>
            <w:pStyle w:val="Contents6"/>
            <w:tabs>
              <w:tab w:val="clear" w:pos="7609"/>
              <w:tab w:val="right" w:pos="9026" w:leader="dot"/>
            </w:tabs>
            <w:rPr/>
          </w:pPr>
          <w:hyperlink w:anchor="__RefHeading___Toc9587576_73709187">
            <w:r>
              <w:rPr>
                <w:webHidden/>
                <w:rStyle w:val="IndexLink"/>
                <w:rtl w:val="true"/>
              </w:rPr>
              <w:t>الأوّل</w:t>
            </w:r>
            <w:r>
              <w:rPr>
                <w:rStyle w:val="IndexLink"/>
                <w:rtl w:val="true"/>
              </w:rPr>
              <w:t xml:space="preserve">: </w:t>
            </w:r>
            <w:r>
              <w:rPr>
                <w:rStyle w:val="IndexLink"/>
                <w:rtl w:val="true"/>
              </w:rPr>
              <w:t>وجوب تغسیل لقیط دار الإسلام</w:t>
            </w:r>
            <w:r>
              <w:rPr>
                <w:rStyle w:val="IndexLink"/>
                <w:rtl w:val="true"/>
              </w:rPr>
              <w:tab/>
            </w:r>
            <w:r>
              <w:rPr>
                <w:rStyle w:val="IndexLink"/>
              </w:rPr>
              <w:t>276</w:t>
            </w:r>
          </w:hyperlink>
        </w:p>
        <w:p>
          <w:pPr>
            <w:pStyle w:val="Contents6"/>
            <w:tabs>
              <w:tab w:val="clear" w:pos="7609"/>
              <w:tab w:val="right" w:pos="9026" w:leader="dot"/>
            </w:tabs>
            <w:rPr/>
          </w:pPr>
          <w:hyperlink w:anchor="__RefHeading___Toc9587578_73709187">
            <w:r>
              <w:rPr>
                <w:webHidden/>
                <w:rStyle w:val="IndexLink"/>
                <w:rtl w:val="true"/>
              </w:rPr>
              <w:t>دلیل وجوب تغسیل اللقیط‌</w:t>
            </w:r>
            <w:r>
              <w:rPr>
                <w:rStyle w:val="IndexLink"/>
                <w:rtl w:val="true"/>
              </w:rPr>
              <w:tab/>
            </w:r>
            <w:r>
              <w:rPr>
                <w:rStyle w:val="IndexLink"/>
              </w:rPr>
              <w:t>277</w:t>
            </w:r>
          </w:hyperlink>
        </w:p>
        <w:p>
          <w:pPr>
            <w:pStyle w:val="Contents6"/>
            <w:tabs>
              <w:tab w:val="clear" w:pos="7609"/>
              <w:tab w:val="right" w:pos="9026" w:leader="dot"/>
            </w:tabs>
            <w:rPr/>
          </w:pPr>
          <w:hyperlink w:anchor="__RefHeading___Toc9587580_73709187">
            <w:r>
              <w:rPr>
                <w:webHidden/>
                <w:rStyle w:val="IndexLink"/>
                <w:rtl w:val="true"/>
              </w:rPr>
              <w:t>الفرع الثانی</w:t>
            </w:r>
            <w:r>
              <w:rPr>
                <w:rStyle w:val="IndexLink"/>
                <w:rtl w:val="true"/>
              </w:rPr>
              <w:t xml:space="preserve">: </w:t>
            </w:r>
            <w:r>
              <w:rPr>
                <w:rStyle w:val="IndexLink"/>
                <w:rtl w:val="true"/>
              </w:rPr>
              <w:t>وجوب تغسیل الطفل المولود من الزنی</w:t>
            </w:r>
            <w:r>
              <w:rPr>
                <w:rStyle w:val="IndexLink"/>
                <w:rtl w:val="true"/>
              </w:rPr>
              <w:tab/>
            </w:r>
            <w:r>
              <w:rPr>
                <w:rStyle w:val="IndexLink"/>
              </w:rPr>
              <w:t>282</w:t>
            </w:r>
          </w:hyperlink>
        </w:p>
        <w:p>
          <w:pPr>
            <w:pStyle w:val="Contents6"/>
            <w:tabs>
              <w:tab w:val="clear" w:pos="7609"/>
              <w:tab w:val="right" w:pos="9026" w:leader="dot"/>
            </w:tabs>
            <w:rPr/>
          </w:pPr>
          <w:hyperlink w:anchor="__RefHeading___Toc9587582_73709187">
            <w:r>
              <w:rPr>
                <w:webHidden/>
                <w:rStyle w:val="IndexLink"/>
                <w:rtl w:val="true"/>
              </w:rPr>
              <w:t>الفرع الثالث</w:t>
            </w:r>
            <w:r>
              <w:rPr>
                <w:rStyle w:val="IndexLink"/>
                <w:rtl w:val="true"/>
              </w:rPr>
              <w:t xml:space="preserve">: </w:t>
            </w:r>
            <w:r>
              <w:rPr>
                <w:rStyle w:val="IndexLink"/>
                <w:rtl w:val="true"/>
              </w:rPr>
              <w:t>وجوب تغسیل الطفل الأسیر</w:t>
            </w:r>
            <w:r>
              <w:rPr>
                <w:rStyle w:val="IndexLink"/>
                <w:rtl w:val="true"/>
              </w:rPr>
              <w:tab/>
            </w:r>
            <w:r>
              <w:rPr>
                <w:rStyle w:val="IndexLink"/>
              </w:rPr>
              <w:t>285</w:t>
            </w:r>
          </w:hyperlink>
        </w:p>
        <w:p>
          <w:pPr>
            <w:pStyle w:val="Contents5"/>
            <w:tabs>
              <w:tab w:val="clear" w:pos="7892"/>
              <w:tab w:val="right" w:pos="9026" w:leader="dot"/>
            </w:tabs>
            <w:rPr/>
          </w:pPr>
          <w:hyperlink w:anchor="__RefHeading___Toc9587584_73709187">
            <w:r>
              <w:rPr>
                <w:webHidden/>
                <w:rStyle w:val="IndexLink"/>
                <w:rtl w:val="true"/>
              </w:rPr>
              <w:t>المقام الثانی</w:t>
            </w:r>
            <w:r>
              <w:rPr>
                <w:rStyle w:val="IndexLink"/>
                <w:rtl w:val="true"/>
              </w:rPr>
              <w:t xml:space="preserve">: </w:t>
            </w:r>
            <w:r>
              <w:rPr>
                <w:rStyle w:val="IndexLink"/>
                <w:rtl w:val="true"/>
              </w:rPr>
              <w:t>تغسیل السقط‌</w:t>
            </w:r>
            <w:r>
              <w:rPr>
                <w:rStyle w:val="IndexLink"/>
                <w:rtl w:val="true"/>
              </w:rPr>
              <w:tab/>
            </w:r>
            <w:r>
              <w:rPr>
                <w:rStyle w:val="IndexLink"/>
              </w:rPr>
              <w:t>287</w:t>
            </w:r>
          </w:hyperlink>
        </w:p>
        <w:p>
          <w:pPr>
            <w:pStyle w:val="Contents6"/>
            <w:tabs>
              <w:tab w:val="clear" w:pos="7609"/>
              <w:tab w:val="right" w:pos="9026" w:leader="dot"/>
            </w:tabs>
            <w:rPr/>
          </w:pPr>
          <w:hyperlink w:anchor="__RefHeading___Toc9587586_73709187">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9587588_73709187">
            <w:r>
              <w:rPr>
                <w:webHidden/>
                <w:rStyle w:val="IndexLink"/>
                <w:rtl w:val="true"/>
              </w:rPr>
              <w:t>الأوّل</w:t>
            </w:r>
            <w:r>
              <w:rPr>
                <w:rStyle w:val="IndexLink"/>
                <w:rtl w:val="true"/>
              </w:rPr>
              <w:t xml:space="preserve">: </w:t>
            </w:r>
            <w:r>
              <w:rPr>
                <w:rStyle w:val="IndexLink"/>
                <w:rtl w:val="true"/>
              </w:rPr>
              <w:t>تغسیل السقط الذی بلغ أربعة أشهر</w:t>
            </w:r>
            <w:r>
              <w:rPr>
                <w:rStyle w:val="IndexLink"/>
                <w:rtl w:val="true"/>
              </w:rPr>
              <w:tab/>
            </w:r>
            <w:r>
              <w:rPr>
                <w:rStyle w:val="IndexLink"/>
              </w:rPr>
              <w:t>287</w:t>
            </w:r>
          </w:hyperlink>
        </w:p>
        <w:p>
          <w:pPr>
            <w:pStyle w:val="Contents6"/>
            <w:tabs>
              <w:tab w:val="clear" w:pos="7609"/>
              <w:tab w:val="right" w:pos="9026" w:leader="dot"/>
            </w:tabs>
            <w:rPr/>
          </w:pPr>
          <w:hyperlink w:anchor="__RefHeading___Toc9587590_73709187">
            <w:r>
              <w:rPr>
                <w:webHidden/>
                <w:rStyle w:val="IndexLink"/>
                <w:rtl w:val="true"/>
              </w:rPr>
              <w:t>أدلّة وجوب تغسیل السقط‌</w:t>
            </w:r>
            <w:r>
              <w:rPr>
                <w:rStyle w:val="IndexLink"/>
                <w:rtl w:val="true"/>
              </w:rPr>
              <w:tab/>
            </w:r>
            <w:r>
              <w:rPr>
                <w:rStyle w:val="IndexLink"/>
              </w:rPr>
              <w:t>288</w:t>
            </w:r>
          </w:hyperlink>
        </w:p>
        <w:p>
          <w:pPr>
            <w:pStyle w:val="Contents6"/>
            <w:tabs>
              <w:tab w:val="clear" w:pos="7609"/>
              <w:tab w:val="right" w:pos="9026" w:leader="dot"/>
            </w:tabs>
            <w:rPr/>
          </w:pPr>
          <w:hyperlink w:anchor="__RefHeading___Toc9587592_73709187">
            <w:r>
              <w:rPr>
                <w:webHidden/>
                <w:rStyle w:val="IndexLink"/>
                <w:rtl w:val="true"/>
              </w:rPr>
              <w:t>إیهام و دفعه</w:t>
            </w:r>
            <w:r>
              <w:rPr>
                <w:rStyle w:val="IndexLink"/>
                <w:rtl w:val="true"/>
              </w:rPr>
              <w:tab/>
            </w:r>
            <w:r>
              <w:rPr>
                <w:rStyle w:val="IndexLink"/>
              </w:rPr>
              <w:t>291</w:t>
            </w:r>
          </w:hyperlink>
        </w:p>
        <w:p>
          <w:pPr>
            <w:pStyle w:val="Contents6"/>
            <w:tabs>
              <w:tab w:val="clear" w:pos="7609"/>
              <w:tab w:val="right" w:pos="9026" w:leader="dot"/>
            </w:tabs>
            <w:rPr/>
          </w:pPr>
          <w:hyperlink w:anchor="__RefHeading___Toc9587594_73709187">
            <w:r>
              <w:rPr>
                <w:webHidden/>
                <w:rStyle w:val="IndexLink"/>
                <w:rtl w:val="true"/>
              </w:rPr>
              <w:t>الثانی</w:t>
            </w:r>
            <w:r>
              <w:rPr>
                <w:rStyle w:val="IndexLink"/>
                <w:rtl w:val="true"/>
              </w:rPr>
              <w:t xml:space="preserve">: </w:t>
            </w:r>
            <w:r>
              <w:rPr>
                <w:rStyle w:val="IndexLink"/>
                <w:rtl w:val="true"/>
              </w:rPr>
              <w:t>تغسیل السقط الذی لم یمض علیه أربعة أشهر</w:t>
            </w:r>
            <w:r>
              <w:rPr>
                <w:rStyle w:val="IndexLink"/>
                <w:rtl w:val="true"/>
              </w:rPr>
              <w:tab/>
            </w:r>
            <w:r>
              <w:rPr>
                <w:rStyle w:val="IndexLink"/>
              </w:rPr>
              <w:t>292</w:t>
            </w:r>
          </w:hyperlink>
        </w:p>
        <w:p>
          <w:pPr>
            <w:pStyle w:val="Contents6"/>
            <w:tabs>
              <w:tab w:val="clear" w:pos="7609"/>
              <w:tab w:val="right" w:pos="9026" w:leader="dot"/>
            </w:tabs>
            <w:rPr/>
          </w:pPr>
          <w:hyperlink w:anchor="__RefHeading___Toc9587596_73709187">
            <w:r>
              <w:rPr>
                <w:webHidden/>
                <w:rStyle w:val="IndexLink"/>
                <w:rtl w:val="true"/>
              </w:rPr>
              <w:t>تغسیل الصبیّ المیّت عند أهل السنّة</w:t>
            </w:r>
            <w:r>
              <w:rPr>
                <w:rStyle w:val="IndexLink"/>
                <w:rtl w:val="true"/>
              </w:rPr>
              <w:tab/>
            </w:r>
            <w:r>
              <w:rPr>
                <w:rStyle w:val="IndexLink"/>
              </w:rPr>
              <w:t>294</w:t>
            </w:r>
          </w:hyperlink>
        </w:p>
        <w:p>
          <w:pPr>
            <w:pStyle w:val="Contents6"/>
            <w:tabs>
              <w:tab w:val="clear" w:pos="7609"/>
              <w:tab w:val="right" w:pos="9026" w:leader="dot"/>
            </w:tabs>
            <w:rPr/>
          </w:pPr>
          <w:hyperlink w:anchor="__RefHeading___Toc9587598_73709187">
            <w:r>
              <w:rPr>
                <w:webHidden/>
                <w:rStyle w:val="IndexLink"/>
                <w:rtl w:val="true"/>
              </w:rPr>
              <w:t>الطفل الشهید لا یغسّل</w:t>
            </w:r>
            <w:r>
              <w:rPr>
                <w:rStyle w:val="IndexLink"/>
                <w:rtl w:val="true"/>
              </w:rPr>
              <w:tab/>
            </w:r>
            <w:r>
              <w:rPr>
                <w:rStyle w:val="IndexLink"/>
              </w:rPr>
              <w:t>295</w:t>
            </w:r>
          </w:hyperlink>
        </w:p>
        <w:p>
          <w:pPr>
            <w:pStyle w:val="Contents6"/>
            <w:tabs>
              <w:tab w:val="clear" w:pos="7609"/>
              <w:tab w:val="right" w:pos="9026" w:leader="dot"/>
            </w:tabs>
            <w:rPr/>
          </w:pPr>
          <w:hyperlink w:anchor="__RefHeading___Toc9587600_73709187">
            <w:r>
              <w:rPr>
                <w:webHidden/>
                <w:rStyle w:val="IndexLink"/>
                <w:rtl w:val="true"/>
              </w:rPr>
              <w:t>أدلّة عدم وجوب تغسیل الصبیّ الشهید</w:t>
            </w:r>
            <w:r>
              <w:rPr>
                <w:rStyle w:val="IndexLink"/>
                <w:rtl w:val="true"/>
              </w:rPr>
              <w:tab/>
            </w:r>
            <w:r>
              <w:rPr>
                <w:rStyle w:val="IndexLink"/>
              </w:rPr>
              <w:t>297</w:t>
            </w:r>
          </w:hyperlink>
        </w:p>
        <w:p>
          <w:pPr>
            <w:pStyle w:val="Contents6"/>
            <w:tabs>
              <w:tab w:val="clear" w:pos="7609"/>
              <w:tab w:val="right" w:pos="9026" w:leader="dot"/>
            </w:tabs>
            <w:rPr/>
          </w:pPr>
          <w:hyperlink w:anchor="__RefHeading___Toc9587602_73709187">
            <w:r>
              <w:rPr>
                <w:webHidden/>
                <w:rStyle w:val="IndexLink"/>
                <w:rtl w:val="true"/>
              </w:rPr>
              <w:t>قول أهل السنّة فی عدم تغسیل الصبیّ الشهید</w:t>
            </w:r>
            <w:r>
              <w:rPr>
                <w:rStyle w:val="IndexLink"/>
                <w:rtl w:val="true"/>
              </w:rPr>
              <w:tab/>
            </w:r>
            <w:r>
              <w:rPr>
                <w:rStyle w:val="IndexLink"/>
              </w:rPr>
              <w:t>302</w:t>
            </w:r>
          </w:hyperlink>
        </w:p>
        <w:p>
          <w:pPr>
            <w:pStyle w:val="Contents6"/>
            <w:tabs>
              <w:tab w:val="clear" w:pos="7609"/>
              <w:tab w:val="right" w:pos="9026" w:leader="dot"/>
            </w:tabs>
            <w:rPr/>
          </w:pPr>
          <w:hyperlink w:anchor="__RefHeading___Toc9587604_73709187">
            <w:r>
              <w:rPr>
                <w:webHidden/>
                <w:rStyle w:val="IndexLink"/>
                <w:rtl w:val="true"/>
              </w:rPr>
              <w:t>فروع</w:t>
            </w:r>
            <w:r>
              <w:rPr>
                <w:rStyle w:val="IndexLink"/>
                <w:rtl w:val="true"/>
              </w:rPr>
              <w:tab/>
            </w:r>
            <w:r>
              <w:rPr>
                <w:rStyle w:val="IndexLink"/>
              </w:rPr>
              <w:t>302</w:t>
            </w:r>
          </w:hyperlink>
        </w:p>
        <w:p>
          <w:pPr>
            <w:pStyle w:val="Contents6"/>
            <w:tabs>
              <w:tab w:val="clear" w:pos="7609"/>
              <w:tab w:val="right" w:pos="9026" w:leader="dot"/>
            </w:tabs>
            <w:rPr/>
          </w:pPr>
          <w:hyperlink w:anchor="__RefHeading___Toc9587606_73709187">
            <w:r>
              <w:rPr>
                <w:webHidden/>
                <w:rStyle w:val="IndexLink"/>
                <w:rtl w:val="true"/>
              </w:rPr>
              <w:t>التحقیق فی الفقه المنسوب إلی الرضا علیه السلام</w:t>
            </w:r>
            <w:r>
              <w:rPr>
                <w:rStyle w:val="IndexLink"/>
                <w:rtl w:val="true"/>
              </w:rPr>
              <w:tab/>
            </w:r>
            <w:r>
              <w:rPr>
                <w:rStyle w:val="IndexLink"/>
              </w:rPr>
              <w:t>306</w:t>
            </w:r>
          </w:hyperlink>
        </w:p>
        <w:p>
          <w:pPr>
            <w:pStyle w:val="Contents4"/>
            <w:tabs>
              <w:tab w:val="clear" w:pos="8176"/>
              <w:tab w:val="right" w:pos="9026" w:leader="dot"/>
            </w:tabs>
            <w:rPr/>
          </w:pPr>
          <w:hyperlink w:anchor="__RefHeading___Toc9587608_73709187">
            <w:r>
              <w:rPr>
                <w:webHidden/>
                <w:rStyle w:val="IndexLink"/>
                <w:rtl w:val="true"/>
              </w:rPr>
              <w:t>المبحث الثالث</w:t>
            </w:r>
            <w:r>
              <w:rPr>
                <w:rStyle w:val="IndexLink"/>
                <w:rtl w:val="true"/>
              </w:rPr>
              <w:t xml:space="preserve">: </w:t>
            </w:r>
            <w:r>
              <w:rPr>
                <w:rStyle w:val="IndexLink"/>
                <w:rtl w:val="true"/>
              </w:rPr>
              <w:t>حکم المماثلة فی الغاسل بالنسبة إلی الطفل المیّت</w:t>
            </w:r>
            <w:r>
              <w:rPr>
                <w:rStyle w:val="IndexLink"/>
                <w:rtl w:val="true"/>
              </w:rPr>
              <w:tab/>
            </w:r>
            <w:r>
              <w:rPr>
                <w:rStyle w:val="IndexLink"/>
              </w:rPr>
              <w:t>314</w:t>
            </w:r>
          </w:hyperlink>
        </w:p>
        <w:p>
          <w:pPr>
            <w:pStyle w:val="Contents5"/>
            <w:tabs>
              <w:tab w:val="clear" w:pos="7892"/>
              <w:tab w:val="right" w:pos="9026" w:leader="dot"/>
            </w:tabs>
            <w:rPr/>
          </w:pPr>
          <w:hyperlink w:anchor="__RefHeading___Toc9587610_73709187">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9587612_73709187">
            <w:r>
              <w:rPr>
                <w:webHidden/>
                <w:rStyle w:val="IndexLink"/>
                <w:rtl w:val="true"/>
              </w:rPr>
              <w:t>المقام الأوّل</w:t>
            </w:r>
            <w:r>
              <w:rPr>
                <w:rStyle w:val="IndexLink"/>
                <w:rtl w:val="true"/>
              </w:rPr>
              <w:t xml:space="preserve">: </w:t>
            </w:r>
            <w:r>
              <w:rPr>
                <w:rStyle w:val="IndexLink"/>
                <w:rtl w:val="true"/>
              </w:rPr>
              <w:t>تغسیل الرجل بنت ثلاث سنین</w:t>
            </w:r>
            <w:r>
              <w:rPr>
                <w:rStyle w:val="IndexLink"/>
                <w:rtl w:val="true"/>
              </w:rPr>
              <w:tab/>
            </w:r>
            <w:r>
              <w:rPr>
                <w:rStyle w:val="IndexLink"/>
              </w:rPr>
              <w:t>314</w:t>
            </w:r>
          </w:hyperlink>
        </w:p>
        <w:p>
          <w:pPr>
            <w:pStyle w:val="Contents6"/>
            <w:tabs>
              <w:tab w:val="clear" w:pos="7609"/>
              <w:tab w:val="right" w:pos="9026" w:leader="dot"/>
            </w:tabs>
            <w:rPr/>
          </w:pPr>
          <w:hyperlink w:anchor="__RefHeading___Toc9587614_73709187">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9587616_73709187">
            <w:r>
              <w:rPr>
                <w:webHidden/>
                <w:rStyle w:val="IndexLink"/>
                <w:rtl w:val="true"/>
              </w:rPr>
              <w:t>أدلّة جواز تغسیل الرجل بنت ثلاث فما دون</w:t>
            </w:r>
            <w:r>
              <w:rPr>
                <w:rStyle w:val="IndexLink"/>
                <w:rtl w:val="true"/>
              </w:rPr>
              <w:tab/>
            </w:r>
            <w:r>
              <w:rPr>
                <w:rStyle w:val="IndexLink"/>
              </w:rPr>
              <w:t>315</w:t>
            </w:r>
          </w:hyperlink>
        </w:p>
        <w:p>
          <w:pPr>
            <w:pStyle w:val="Contents5"/>
            <w:tabs>
              <w:tab w:val="clear" w:pos="7892"/>
              <w:tab w:val="right" w:pos="9026" w:leader="dot"/>
            </w:tabs>
            <w:rPr/>
          </w:pPr>
          <w:hyperlink w:anchor="__RefHeading___Toc9587618_73709187">
            <w:r>
              <w:rPr>
                <w:webHidden/>
                <w:rStyle w:val="IndexLink"/>
                <w:rtl w:val="true"/>
              </w:rPr>
              <w:t>المقام الثانی</w:t>
            </w:r>
            <w:r>
              <w:rPr>
                <w:rStyle w:val="IndexLink"/>
                <w:rtl w:val="true"/>
              </w:rPr>
              <w:t xml:space="preserve">: </w:t>
            </w:r>
            <w:r>
              <w:rPr>
                <w:rStyle w:val="IndexLink"/>
                <w:rtl w:val="true"/>
              </w:rPr>
              <w:t>تغسیل المرأة ابن ثلاث سنین</w:t>
            </w:r>
            <w:r>
              <w:rPr>
                <w:rStyle w:val="IndexLink"/>
                <w:rtl w:val="true"/>
              </w:rPr>
              <w:tab/>
            </w:r>
            <w:r>
              <w:rPr>
                <w:rStyle w:val="IndexLink"/>
              </w:rPr>
              <w:t>319</w:t>
            </w:r>
          </w:hyperlink>
        </w:p>
        <w:p>
          <w:pPr>
            <w:pStyle w:val="Contents5"/>
            <w:tabs>
              <w:tab w:val="clear" w:pos="7892"/>
              <w:tab w:val="right" w:pos="9026" w:leader="dot"/>
            </w:tabs>
            <w:rPr/>
          </w:pPr>
          <w:hyperlink w:anchor="__RefHeading___Toc9587620_73709187">
            <w:r>
              <w:rPr>
                <w:webHidden/>
                <w:rStyle w:val="IndexLink"/>
                <w:rtl w:val="true"/>
              </w:rPr>
              <w:t>أدلّة هذا الحکم</w:t>
            </w:r>
            <w:r>
              <w:rPr>
                <w:rStyle w:val="IndexLink"/>
                <w:rtl w:val="true"/>
              </w:rPr>
              <w:tab/>
            </w:r>
            <w:r>
              <w:rPr>
                <w:rStyle w:val="IndexLink"/>
              </w:rPr>
              <w:t>320</w:t>
            </w:r>
          </w:hyperlink>
        </w:p>
        <w:p>
          <w:pPr>
            <w:pStyle w:val="Contents5"/>
            <w:tabs>
              <w:tab w:val="clear" w:pos="7892"/>
              <w:tab w:val="right" w:pos="9026" w:leader="dot"/>
            </w:tabs>
            <w:rPr/>
          </w:pPr>
          <w:hyperlink w:anchor="__RefHeading___Toc9587622_73709187">
            <w:r>
              <w:rPr>
                <w:webHidden/>
                <w:rStyle w:val="IndexLink"/>
                <w:rtl w:val="true"/>
              </w:rPr>
              <w:t>تتمیم</w:t>
            </w:r>
            <w:r>
              <w:rPr>
                <w:rStyle w:val="IndexLink"/>
                <w:rtl w:val="true"/>
              </w:rPr>
              <w:tab/>
            </w:r>
            <w:r>
              <w:rPr>
                <w:rStyle w:val="IndexLink"/>
              </w:rPr>
              <w:t>322</w:t>
            </w:r>
          </w:hyperlink>
        </w:p>
        <w:p>
          <w:pPr>
            <w:pStyle w:val="Contents5"/>
            <w:tabs>
              <w:tab w:val="clear" w:pos="7892"/>
              <w:tab w:val="right" w:pos="9026" w:leader="dot"/>
            </w:tabs>
            <w:rPr/>
          </w:pPr>
          <w:hyperlink w:anchor="__RefHeading___Toc9587624_73709187">
            <w:r>
              <w:rPr>
                <w:webHidden/>
                <w:rStyle w:val="IndexLink"/>
                <w:rtl w:val="true"/>
              </w:rPr>
              <w:t>تغسیل الرجل و المرأة للأطفال عند أهل السنّة</w:t>
            </w:r>
            <w:r>
              <w:rPr>
                <w:rStyle w:val="IndexLink"/>
                <w:rtl w:val="true"/>
              </w:rPr>
              <w:tab/>
            </w:r>
            <w:r>
              <w:rPr>
                <w:rStyle w:val="IndexLink"/>
              </w:rPr>
              <w:t>329</w:t>
            </w:r>
          </w:hyperlink>
        </w:p>
        <w:p>
          <w:pPr>
            <w:pStyle w:val="Contents4"/>
            <w:tabs>
              <w:tab w:val="clear" w:pos="8176"/>
              <w:tab w:val="right" w:pos="9026" w:leader="dot"/>
            </w:tabs>
            <w:rPr/>
          </w:pPr>
          <w:hyperlink w:anchor="__RefHeading___Toc9587626_73709187">
            <w:r>
              <w:rPr>
                <w:webHidden/>
                <w:rStyle w:val="IndexLink"/>
                <w:rtl w:val="true"/>
              </w:rPr>
              <w:t>المبحث الرابع</w:t>
            </w:r>
            <w:r>
              <w:rPr>
                <w:rStyle w:val="IndexLink"/>
                <w:rtl w:val="true"/>
              </w:rPr>
              <w:t xml:space="preserve">: </w:t>
            </w:r>
            <w:r>
              <w:rPr>
                <w:rStyle w:val="IndexLink"/>
                <w:rtl w:val="true"/>
              </w:rPr>
              <w:t>فی تکفین الصبیّ و تحنیطه و دفنه</w:t>
            </w:r>
            <w:r>
              <w:rPr>
                <w:rStyle w:val="IndexLink"/>
                <w:rtl w:val="true"/>
              </w:rPr>
              <w:tab/>
            </w:r>
            <w:r>
              <w:rPr>
                <w:rStyle w:val="IndexLink"/>
              </w:rPr>
              <w:t>332</w:t>
            </w:r>
          </w:hyperlink>
        </w:p>
        <w:p>
          <w:pPr>
            <w:pStyle w:val="Contents5"/>
            <w:tabs>
              <w:tab w:val="clear" w:pos="7892"/>
              <w:tab w:val="right" w:pos="9026" w:leader="dot"/>
            </w:tabs>
            <w:rPr/>
          </w:pPr>
          <w:hyperlink w:anchor="__RefHeading___Toc9587628_73709187">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9587630_73709187">
            <w:r>
              <w:rPr>
                <w:webHidden/>
                <w:rStyle w:val="IndexLink"/>
                <w:rtl w:val="true"/>
              </w:rPr>
              <w:t>أدلّة وجوب تکفین الصبیّ و تحنیطه و دفنه</w:t>
            </w:r>
            <w:r>
              <w:rPr>
                <w:rStyle w:val="IndexLink"/>
                <w:rtl w:val="true"/>
              </w:rPr>
              <w:tab/>
            </w:r>
            <w:r>
              <w:rPr>
                <w:rStyle w:val="IndexLink"/>
              </w:rPr>
              <w:t>333</w:t>
            </w:r>
          </w:hyperlink>
        </w:p>
        <w:p>
          <w:pPr>
            <w:pStyle w:val="Contents5"/>
            <w:tabs>
              <w:tab w:val="clear" w:pos="7892"/>
              <w:tab w:val="right" w:pos="9026" w:leader="dot"/>
            </w:tabs>
            <w:rPr/>
          </w:pPr>
          <w:hyperlink w:anchor="__RefHeading___Toc9587632_73709187">
            <w:r>
              <w:rPr>
                <w:webHidden/>
                <w:rStyle w:val="IndexLink"/>
                <w:rtl w:val="true"/>
              </w:rPr>
              <w:t>وضع الجریدتین مع الصبیّ‌</w:t>
            </w:r>
            <w:r>
              <w:rPr>
                <w:rStyle w:val="IndexLink"/>
                <w:rtl w:val="true"/>
              </w:rPr>
              <w:tab/>
            </w:r>
            <w:r>
              <w:rPr>
                <w:rStyle w:val="IndexLink"/>
              </w:rPr>
              <w:t>337</w:t>
            </w:r>
          </w:hyperlink>
        </w:p>
        <w:p>
          <w:pPr>
            <w:pStyle w:val="Contents6"/>
            <w:tabs>
              <w:tab w:val="clear" w:pos="7609"/>
              <w:tab w:val="right" w:pos="9026" w:leader="dot"/>
            </w:tabs>
            <w:rPr/>
          </w:pPr>
          <w:hyperlink w:anchor="__RefHeading___Toc9587634_73709187">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9587636_73709187">
            <w:r>
              <w:rPr>
                <w:webHidden/>
                <w:rStyle w:val="IndexLink"/>
                <w:rtl w:val="true"/>
              </w:rPr>
              <w:t>الدلیل علی وضع الجریدتین مع الصبیّ‌</w:t>
            </w:r>
            <w:r>
              <w:rPr>
                <w:rStyle w:val="IndexLink"/>
                <w:rtl w:val="true"/>
              </w:rPr>
              <w:tab/>
            </w:r>
            <w:r>
              <w:rPr>
                <w:rStyle w:val="IndexLink"/>
              </w:rPr>
              <w:t>340</w:t>
            </w:r>
          </w:hyperlink>
        </w:p>
        <w:p>
          <w:pPr>
            <w:pStyle w:val="Contents6"/>
            <w:tabs>
              <w:tab w:val="clear" w:pos="7609"/>
              <w:tab w:val="right" w:pos="9026" w:leader="dot"/>
            </w:tabs>
            <w:rPr/>
          </w:pPr>
          <w:hyperlink w:anchor="__RefHeading___Toc9587638_73709187">
            <w:r>
              <w:rPr>
                <w:webHidden/>
                <w:rStyle w:val="IndexLink"/>
                <w:rtl w:val="true"/>
              </w:rPr>
              <w:t>فرعان</w:t>
            </w:r>
            <w:r>
              <w:rPr>
                <w:rStyle w:val="IndexLink"/>
                <w:rtl w:val="true"/>
              </w:rPr>
              <w:tab/>
            </w:r>
            <w:r>
              <w:rPr>
                <w:rStyle w:val="IndexLink"/>
              </w:rPr>
              <w:t>341</w:t>
            </w:r>
          </w:hyperlink>
        </w:p>
        <w:p>
          <w:pPr>
            <w:pStyle w:val="Contents6"/>
            <w:tabs>
              <w:tab w:val="clear" w:pos="7609"/>
              <w:tab w:val="right" w:pos="9026" w:leader="dot"/>
            </w:tabs>
            <w:rPr/>
          </w:pPr>
          <w:hyperlink w:anchor="__RefHeading___Toc9587640_73709187">
            <w:r>
              <w:rPr>
                <w:webHidden/>
                <w:rStyle w:val="IndexLink"/>
                <w:rtl w:val="true"/>
              </w:rPr>
              <w:t>الأوّل</w:t>
            </w:r>
            <w:r>
              <w:rPr>
                <w:rStyle w:val="IndexLink"/>
                <w:rtl w:val="true"/>
              </w:rPr>
              <w:t xml:space="preserve">: </w:t>
            </w:r>
            <w:r>
              <w:rPr>
                <w:rStyle w:val="IndexLink"/>
                <w:rtl w:val="true"/>
              </w:rPr>
              <w:t>مباشرة الصبیّ تحنیط المیّت</w:t>
            </w:r>
            <w:r>
              <w:rPr>
                <w:rStyle w:val="IndexLink"/>
                <w:rtl w:val="true"/>
              </w:rPr>
              <w:tab/>
            </w:r>
            <w:r>
              <w:rPr>
                <w:rStyle w:val="IndexLink"/>
              </w:rPr>
              <w:t>341</w:t>
            </w:r>
          </w:hyperlink>
        </w:p>
        <w:p>
          <w:pPr>
            <w:pStyle w:val="Contents6"/>
            <w:tabs>
              <w:tab w:val="clear" w:pos="7609"/>
              <w:tab w:val="right" w:pos="9026" w:leader="dot"/>
            </w:tabs>
            <w:rPr/>
          </w:pPr>
          <w:hyperlink w:anchor="__RefHeading___Toc9587642_73709187">
            <w:r>
              <w:rPr>
                <w:webHidden/>
                <w:rStyle w:val="IndexLink"/>
                <w:rtl w:val="true"/>
              </w:rPr>
              <w:t>الفرع الثانی</w:t>
            </w:r>
            <w:r>
              <w:rPr>
                <w:rStyle w:val="IndexLink"/>
                <w:rtl w:val="true"/>
              </w:rPr>
              <w:t xml:space="preserve">: </w:t>
            </w:r>
            <w:r>
              <w:rPr>
                <w:rStyle w:val="IndexLink"/>
                <w:rtl w:val="true"/>
              </w:rPr>
              <w:t>کراهة نزول الأب فی قبر ولده</w:t>
            </w:r>
            <w:r>
              <w:rPr>
                <w:rStyle w:val="IndexLink"/>
                <w:rtl w:val="true"/>
              </w:rPr>
              <w:tab/>
            </w:r>
            <w:r>
              <w:rPr>
                <w:rStyle w:val="IndexLink"/>
              </w:rPr>
              <w:t>343</w:t>
            </w:r>
          </w:hyperlink>
        </w:p>
        <w:p>
          <w:pPr>
            <w:pStyle w:val="Contents6"/>
            <w:tabs>
              <w:tab w:val="clear" w:pos="7609"/>
              <w:tab w:val="right" w:pos="9026" w:leader="dot"/>
            </w:tabs>
            <w:rPr/>
          </w:pPr>
          <w:hyperlink w:anchor="__RefHeading___Toc9587644_73709187">
            <w:r>
              <w:rPr>
                <w:webHidden/>
                <w:rStyle w:val="IndexLink"/>
                <w:rtl w:val="true"/>
              </w:rPr>
              <w:t>مذهب أهل السنّة فی تکفین الطفل و تحنیطه</w:t>
            </w:r>
            <w:r>
              <w:rPr>
                <w:rStyle w:val="IndexLink"/>
                <w:rtl w:val="true"/>
              </w:rPr>
              <w:tab/>
            </w:r>
            <w:r>
              <w:rPr>
                <w:rStyle w:val="IndexLink"/>
              </w:rPr>
              <w:t>345</w:t>
            </w:r>
          </w:hyperlink>
        </w:p>
        <w:p>
          <w:pPr>
            <w:pStyle w:val="Contents4"/>
            <w:tabs>
              <w:tab w:val="clear" w:pos="8176"/>
              <w:tab w:val="right" w:pos="9026" w:leader="dot"/>
            </w:tabs>
            <w:rPr/>
          </w:pPr>
          <w:hyperlink w:anchor="__RefHeading___Toc9587646_73709187">
            <w:r>
              <w:rPr>
                <w:webHidden/>
                <w:rStyle w:val="IndexLink"/>
                <w:rtl w:val="true"/>
              </w:rPr>
              <w:t>المبحث الخامس</w:t>
            </w:r>
            <w:r>
              <w:rPr>
                <w:rStyle w:val="IndexLink"/>
                <w:rtl w:val="true"/>
              </w:rPr>
              <w:t xml:space="preserve">: </w:t>
            </w:r>
            <w:r>
              <w:rPr>
                <w:rStyle w:val="IndexLink"/>
                <w:rtl w:val="true"/>
              </w:rPr>
              <w:t>فی الصلاة علی المیّت الصغیر</w:t>
            </w:r>
            <w:r>
              <w:rPr>
                <w:rStyle w:val="IndexLink"/>
                <w:rtl w:val="true"/>
              </w:rPr>
              <w:tab/>
            </w:r>
            <w:r>
              <w:rPr>
                <w:rStyle w:val="IndexLink"/>
              </w:rPr>
              <w:t>347</w:t>
            </w:r>
          </w:hyperlink>
        </w:p>
        <w:p>
          <w:pPr>
            <w:pStyle w:val="Contents5"/>
            <w:tabs>
              <w:tab w:val="clear" w:pos="7892"/>
              <w:tab w:val="right" w:pos="9026" w:leader="dot"/>
            </w:tabs>
            <w:rPr/>
          </w:pPr>
          <w:hyperlink w:anchor="__RefHeading___Toc9587648_73709187">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9587650_73709187">
            <w:r>
              <w:rPr>
                <w:webHidden/>
                <w:rStyle w:val="IndexLink"/>
                <w:rtl w:val="true"/>
              </w:rPr>
              <w:t>المطلب الأوّل</w:t>
            </w:r>
            <w:r>
              <w:rPr>
                <w:rStyle w:val="IndexLink"/>
                <w:rtl w:val="true"/>
              </w:rPr>
              <w:t xml:space="preserve">: </w:t>
            </w:r>
            <w:r>
              <w:rPr>
                <w:rStyle w:val="IndexLink"/>
                <w:rtl w:val="true"/>
              </w:rPr>
              <w:t>الصلاة علی السقط‌</w:t>
            </w:r>
            <w:r>
              <w:rPr>
                <w:rStyle w:val="IndexLink"/>
                <w:rtl w:val="true"/>
              </w:rPr>
              <w:tab/>
            </w:r>
            <w:r>
              <w:rPr>
                <w:rStyle w:val="IndexLink"/>
              </w:rPr>
              <w:t>347</w:t>
            </w:r>
          </w:hyperlink>
        </w:p>
        <w:p>
          <w:pPr>
            <w:pStyle w:val="Contents6"/>
            <w:tabs>
              <w:tab w:val="clear" w:pos="7609"/>
              <w:tab w:val="right" w:pos="9026" w:leader="dot"/>
            </w:tabs>
            <w:rPr/>
          </w:pPr>
          <w:hyperlink w:anchor="__RefHeading___Toc9587652_73709187">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9587654_73709187">
            <w:r>
              <w:rPr>
                <w:webHidden/>
                <w:rStyle w:val="IndexLink"/>
                <w:rtl w:val="true"/>
              </w:rPr>
              <w:t>أدلّة عدم مشروعیّة الصلاة علی السقط‌</w:t>
            </w:r>
            <w:r>
              <w:rPr>
                <w:rStyle w:val="IndexLink"/>
                <w:rtl w:val="true"/>
              </w:rPr>
              <w:tab/>
            </w:r>
            <w:r>
              <w:rPr>
                <w:rStyle w:val="IndexLink"/>
              </w:rPr>
              <w:t>349</w:t>
            </w:r>
          </w:hyperlink>
        </w:p>
        <w:p>
          <w:pPr>
            <w:pStyle w:val="Contents6"/>
            <w:tabs>
              <w:tab w:val="clear" w:pos="7609"/>
              <w:tab w:val="right" w:pos="9026" w:leader="dot"/>
            </w:tabs>
            <w:rPr/>
          </w:pPr>
          <w:hyperlink w:anchor="__RefHeading___Toc9587656_73709187">
            <w:r>
              <w:rPr>
                <w:webHidden/>
                <w:rStyle w:val="IndexLink"/>
                <w:rtl w:val="true"/>
              </w:rPr>
              <w:t>تتمیم</w:t>
            </w:r>
            <w:r>
              <w:rPr>
                <w:rStyle w:val="IndexLink"/>
                <w:rtl w:val="true"/>
              </w:rPr>
              <w:tab/>
            </w:r>
            <w:r>
              <w:rPr>
                <w:rStyle w:val="IndexLink"/>
              </w:rPr>
              <w:t>350</w:t>
            </w:r>
          </w:hyperlink>
        </w:p>
        <w:p>
          <w:pPr>
            <w:pStyle w:val="Contents5"/>
            <w:tabs>
              <w:tab w:val="clear" w:pos="7892"/>
              <w:tab w:val="right" w:pos="9026" w:leader="dot"/>
            </w:tabs>
            <w:rPr/>
          </w:pPr>
          <w:hyperlink w:anchor="__RefHeading___Toc9587658_73709187">
            <w:r>
              <w:rPr>
                <w:webHidden/>
                <w:rStyle w:val="IndexLink"/>
                <w:rtl w:val="true"/>
              </w:rPr>
              <w:t>المطلب الثانی</w:t>
            </w:r>
            <w:r>
              <w:rPr>
                <w:rStyle w:val="IndexLink"/>
                <w:rtl w:val="true"/>
              </w:rPr>
              <w:t xml:space="preserve">: </w:t>
            </w:r>
            <w:r>
              <w:rPr>
                <w:rStyle w:val="IndexLink"/>
                <w:rtl w:val="true"/>
              </w:rPr>
              <w:t>فی الصلاة علی الطفل الذی لم یبلغ الستّ‌</w:t>
            </w:r>
            <w:r>
              <w:rPr>
                <w:rStyle w:val="IndexLink"/>
                <w:rtl w:val="true"/>
              </w:rPr>
              <w:tab/>
            </w:r>
            <w:r>
              <w:rPr>
                <w:rStyle w:val="IndexLink"/>
              </w:rPr>
              <w:t>350</w:t>
            </w:r>
          </w:hyperlink>
        </w:p>
        <w:p>
          <w:pPr>
            <w:pStyle w:val="Contents6"/>
            <w:tabs>
              <w:tab w:val="clear" w:pos="7609"/>
              <w:tab w:val="right" w:pos="9026" w:leader="dot"/>
            </w:tabs>
            <w:rPr/>
          </w:pPr>
          <w:hyperlink w:anchor="__RefHeading___Toc9587660_73709187">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9587662_73709187">
            <w:r>
              <w:rPr>
                <w:webHidden/>
                <w:rStyle w:val="IndexLink"/>
                <w:rtl w:val="true"/>
              </w:rPr>
              <w:t>الدلیل علی استحباب الصلاة علی من کان عمره أقلّ من الستّ‌</w:t>
            </w:r>
            <w:r>
              <w:rPr>
                <w:rStyle w:val="IndexLink"/>
                <w:rtl w:val="true"/>
              </w:rPr>
              <w:tab/>
            </w:r>
            <w:r>
              <w:rPr>
                <w:rStyle w:val="IndexLink"/>
              </w:rPr>
              <w:t>352</w:t>
            </w:r>
          </w:hyperlink>
        </w:p>
        <w:p>
          <w:pPr>
            <w:pStyle w:val="Contents6"/>
            <w:tabs>
              <w:tab w:val="clear" w:pos="7609"/>
              <w:tab w:val="right" w:pos="9026" w:leader="dot"/>
            </w:tabs>
            <w:rPr/>
          </w:pPr>
          <w:hyperlink w:anchor="__RefHeading___Toc9587664_73709187">
            <w:r>
              <w:rPr>
                <w:webHidden/>
                <w:rStyle w:val="IndexLink"/>
                <w:rtl w:val="true"/>
              </w:rPr>
              <w:t>أدلّة هذا الحکم</w:t>
            </w:r>
            <w:r>
              <w:rPr>
                <w:rStyle w:val="IndexLink"/>
                <w:rtl w:val="true"/>
              </w:rPr>
              <w:tab/>
            </w:r>
            <w:r>
              <w:rPr>
                <w:rStyle w:val="IndexLink"/>
              </w:rPr>
              <w:t>355</w:t>
            </w:r>
          </w:hyperlink>
        </w:p>
        <w:p>
          <w:pPr>
            <w:pStyle w:val="Contents6"/>
            <w:tabs>
              <w:tab w:val="clear" w:pos="7609"/>
              <w:tab w:val="right" w:pos="9026" w:leader="dot"/>
            </w:tabs>
            <w:rPr/>
          </w:pPr>
          <w:hyperlink w:anchor="__RefHeading___Toc9587666_73709187">
            <w:r>
              <w:rPr>
                <w:webHidden/>
                <w:rStyle w:val="IndexLink"/>
                <w:rtl w:val="true"/>
              </w:rPr>
              <w:t>التحقیق فی أدلّة القولین</w:t>
            </w:r>
            <w:r>
              <w:rPr>
                <w:rStyle w:val="IndexLink"/>
                <w:rtl w:val="true"/>
              </w:rPr>
              <w:tab/>
            </w:r>
            <w:r>
              <w:rPr>
                <w:rStyle w:val="IndexLink"/>
              </w:rPr>
              <w:t>358</w:t>
            </w:r>
          </w:hyperlink>
        </w:p>
        <w:p>
          <w:pPr>
            <w:pStyle w:val="Contents6"/>
            <w:tabs>
              <w:tab w:val="clear" w:pos="7609"/>
              <w:tab w:val="right" w:pos="9026" w:leader="dot"/>
            </w:tabs>
            <w:rPr/>
          </w:pPr>
          <w:hyperlink w:anchor="__RefHeading___Toc9587668_73709187">
            <w:r>
              <w:rPr>
                <w:webHidden/>
                <w:rStyle w:val="IndexLink"/>
                <w:rtl w:val="true"/>
              </w:rPr>
              <w:t>استحباب الصلاة علی الطفل بالعنوان الثانوی</w:t>
            </w:r>
            <w:r>
              <w:rPr>
                <w:rStyle w:val="IndexLink"/>
                <w:rtl w:val="true"/>
              </w:rPr>
              <w:tab/>
            </w:r>
            <w:r>
              <w:rPr>
                <w:rStyle w:val="IndexLink"/>
              </w:rPr>
              <w:t>360</w:t>
            </w:r>
          </w:hyperlink>
        </w:p>
        <w:p>
          <w:pPr>
            <w:pStyle w:val="Contents5"/>
            <w:tabs>
              <w:tab w:val="clear" w:pos="7892"/>
              <w:tab w:val="right" w:pos="9026" w:leader="dot"/>
            </w:tabs>
            <w:rPr/>
          </w:pPr>
          <w:hyperlink w:anchor="__RefHeading___Toc9587670_73709187">
            <w:r>
              <w:rPr>
                <w:webHidden/>
                <w:rStyle w:val="IndexLink"/>
                <w:rtl w:val="true"/>
              </w:rPr>
              <w:t>المطلب الثالث</w:t>
            </w:r>
            <w:r>
              <w:rPr>
                <w:rStyle w:val="IndexLink"/>
                <w:rtl w:val="true"/>
              </w:rPr>
              <w:t xml:space="preserve">: </w:t>
            </w:r>
            <w:r>
              <w:rPr>
                <w:rStyle w:val="IndexLink"/>
                <w:rtl w:val="true"/>
              </w:rPr>
              <w:t>فی حکم الصلاة علی الطفل الّذی بلغ ستّ سنین</w:t>
            </w:r>
            <w:r>
              <w:rPr>
                <w:rStyle w:val="IndexLink"/>
                <w:rtl w:val="true"/>
              </w:rPr>
              <w:tab/>
            </w:r>
            <w:r>
              <w:rPr>
                <w:rStyle w:val="IndexLink"/>
              </w:rPr>
              <w:t>365</w:t>
            </w:r>
          </w:hyperlink>
        </w:p>
        <w:p>
          <w:pPr>
            <w:pStyle w:val="Contents6"/>
            <w:tabs>
              <w:tab w:val="clear" w:pos="7609"/>
              <w:tab w:val="right" w:pos="9026" w:leader="dot"/>
            </w:tabs>
            <w:rPr/>
          </w:pPr>
          <w:hyperlink w:anchor="__RefHeading___Toc9587672_73709187">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9587674_73709187">
            <w:r>
              <w:rPr>
                <w:webHidden/>
                <w:rStyle w:val="IndexLink"/>
                <w:rtl w:val="true"/>
              </w:rPr>
              <w:t>وجوب الصلاة علی الطفل</w:t>
            </w:r>
            <w:r>
              <w:rPr>
                <w:rStyle w:val="IndexLink"/>
                <w:rtl w:val="true"/>
              </w:rPr>
              <w:tab/>
            </w:r>
            <w:r>
              <w:rPr>
                <w:rStyle w:val="IndexLink"/>
              </w:rPr>
              <w:t>367</w:t>
            </w:r>
          </w:hyperlink>
        </w:p>
        <w:p>
          <w:pPr>
            <w:pStyle w:val="Contents6"/>
            <w:tabs>
              <w:tab w:val="clear" w:pos="7609"/>
              <w:tab w:val="right" w:pos="9026" w:leader="dot"/>
            </w:tabs>
            <w:rPr/>
          </w:pPr>
          <w:hyperlink w:anchor="__RefHeading___Toc9587676_73709187">
            <w:r>
              <w:rPr>
                <w:webHidden/>
                <w:rStyle w:val="IndexLink"/>
                <w:rtl w:val="true"/>
              </w:rPr>
              <w:t>أدلّة وجوب الصلاة علی الطفل</w:t>
            </w:r>
            <w:r>
              <w:rPr>
                <w:rStyle w:val="IndexLink"/>
                <w:rtl w:val="true"/>
              </w:rPr>
              <w:tab/>
            </w:r>
            <w:r>
              <w:rPr>
                <w:rStyle w:val="IndexLink"/>
              </w:rPr>
              <w:t>369</w:t>
            </w:r>
          </w:hyperlink>
        </w:p>
        <w:p>
          <w:pPr>
            <w:pStyle w:val="Contents6"/>
            <w:tabs>
              <w:tab w:val="clear" w:pos="7609"/>
              <w:tab w:val="right" w:pos="9026" w:leader="dot"/>
            </w:tabs>
            <w:rPr/>
          </w:pPr>
          <w:hyperlink w:anchor="__RefHeading___Toc9587678_73709187">
            <w:r>
              <w:rPr>
                <w:webHidden/>
                <w:rStyle w:val="IndexLink"/>
                <w:rtl w:val="true"/>
              </w:rPr>
              <w:t>تتمیم</w:t>
            </w:r>
            <w:r>
              <w:rPr>
                <w:rStyle w:val="IndexLink"/>
                <w:rtl w:val="true"/>
              </w:rPr>
              <w:tab/>
            </w:r>
            <w:r>
              <w:rPr>
                <w:rStyle w:val="IndexLink"/>
              </w:rPr>
              <w:t>372</w:t>
            </w:r>
          </w:hyperlink>
        </w:p>
        <w:p>
          <w:pPr>
            <w:pStyle w:val="Contents5"/>
            <w:tabs>
              <w:tab w:val="clear" w:pos="7892"/>
              <w:tab w:val="right" w:pos="9026" w:leader="dot"/>
            </w:tabs>
            <w:rPr/>
          </w:pPr>
          <w:hyperlink w:anchor="__RefHeading___Toc9587680_73709187">
            <w:r>
              <w:rPr>
                <w:webHidden/>
                <w:rStyle w:val="IndexLink"/>
                <w:rtl w:val="true"/>
              </w:rPr>
              <w:t>المطلب الرابع</w:t>
            </w:r>
            <w:r>
              <w:rPr>
                <w:rStyle w:val="IndexLink"/>
                <w:rtl w:val="true"/>
              </w:rPr>
              <w:t xml:space="preserve">: </w:t>
            </w:r>
            <w:r>
              <w:rPr>
                <w:rStyle w:val="IndexLink"/>
                <w:rtl w:val="true"/>
              </w:rPr>
              <w:t>حکم الدعاء فی الصلاة علی الطفل</w:t>
            </w:r>
            <w:r>
              <w:rPr>
                <w:rStyle w:val="IndexLink"/>
                <w:rtl w:val="true"/>
              </w:rPr>
              <w:tab/>
            </w:r>
            <w:r>
              <w:rPr>
                <w:rStyle w:val="IndexLink"/>
              </w:rPr>
              <w:t>374</w:t>
            </w:r>
          </w:hyperlink>
        </w:p>
        <w:p>
          <w:pPr>
            <w:pStyle w:val="Contents6"/>
            <w:tabs>
              <w:tab w:val="clear" w:pos="7609"/>
              <w:tab w:val="right" w:pos="9026" w:leader="dot"/>
            </w:tabs>
            <w:rPr/>
          </w:pPr>
          <w:hyperlink w:anchor="__RefHeading___Toc9587682_73709187">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9587684_73709187">
            <w:r>
              <w:rPr>
                <w:webHidden/>
                <w:rStyle w:val="IndexLink"/>
                <w:rtl w:val="true"/>
              </w:rPr>
              <w:t>أدلّة وجوب الدعاء فی الصلاة علی الطفل</w:t>
            </w:r>
            <w:r>
              <w:rPr>
                <w:rStyle w:val="IndexLink"/>
                <w:rtl w:val="true"/>
              </w:rPr>
              <w:tab/>
            </w:r>
            <w:r>
              <w:rPr>
                <w:rStyle w:val="IndexLink"/>
              </w:rPr>
              <w:t>378</w:t>
            </w:r>
          </w:hyperlink>
        </w:p>
        <w:p>
          <w:pPr>
            <w:pStyle w:val="Contents6"/>
            <w:tabs>
              <w:tab w:val="clear" w:pos="7609"/>
              <w:tab w:val="right" w:pos="9026" w:leader="dot"/>
            </w:tabs>
            <w:rPr/>
          </w:pPr>
          <w:hyperlink w:anchor="__RefHeading___Toc9587686_73709187">
            <w:r>
              <w:rPr>
                <w:webHidden/>
                <w:rStyle w:val="IndexLink"/>
                <w:rtl w:val="true"/>
              </w:rPr>
              <w:t>فرع</w:t>
            </w:r>
            <w:r>
              <w:rPr>
                <w:rStyle w:val="IndexLink"/>
                <w:rtl w:val="true"/>
              </w:rPr>
              <w:t xml:space="preserve">: </w:t>
            </w:r>
            <w:r>
              <w:rPr>
                <w:rStyle w:val="IndexLink"/>
                <w:rtl w:val="true"/>
              </w:rPr>
              <w:t>فی کیفیّة الدعاء فی الصلاة علی الطفل</w:t>
            </w:r>
            <w:r>
              <w:rPr>
                <w:rStyle w:val="IndexLink"/>
                <w:rtl w:val="true"/>
              </w:rPr>
              <w:tab/>
            </w:r>
            <w:r>
              <w:rPr>
                <w:rStyle w:val="IndexLink"/>
              </w:rPr>
              <w:t>382</w:t>
            </w:r>
          </w:hyperlink>
        </w:p>
        <w:p>
          <w:pPr>
            <w:pStyle w:val="Contents6"/>
            <w:tabs>
              <w:tab w:val="clear" w:pos="7609"/>
              <w:tab w:val="right" w:pos="9026" w:leader="dot"/>
            </w:tabs>
            <w:rPr/>
          </w:pPr>
          <w:hyperlink w:anchor="__RefHeading___Toc9587688_73709187">
            <w:r>
              <w:rPr>
                <w:webHidden/>
                <w:rStyle w:val="IndexLink"/>
                <w:rtl w:val="true"/>
              </w:rPr>
              <w:t>الصلاة علی الطفل المیّت عند مذاهب أهل السنّة</w:t>
            </w:r>
            <w:r>
              <w:rPr>
                <w:rStyle w:val="IndexLink"/>
                <w:rtl w:val="true"/>
              </w:rPr>
              <w:tab/>
            </w:r>
            <w:r>
              <w:rPr>
                <w:rStyle w:val="IndexLink"/>
              </w:rPr>
              <w:t>382</w:t>
            </w:r>
          </w:hyperlink>
        </w:p>
        <w:p>
          <w:pPr>
            <w:pStyle w:val="Contents6"/>
            <w:tabs>
              <w:tab w:val="clear" w:pos="7609"/>
              <w:tab w:val="right" w:pos="9026" w:leader="dot"/>
            </w:tabs>
            <w:rPr/>
          </w:pPr>
          <w:hyperlink w:anchor="__RefHeading___Toc9587690_73709187">
            <w:r>
              <w:rPr>
                <w:webHidden/>
                <w:rStyle w:val="IndexLink"/>
                <w:rtl w:val="true"/>
              </w:rPr>
              <w:t>کیفیّة الدعاء فی الصلاة علی الطفل عندهم</w:t>
            </w:r>
            <w:r>
              <w:rPr>
                <w:rStyle w:val="IndexLink"/>
                <w:rtl w:val="true"/>
              </w:rPr>
              <w:tab/>
            </w:r>
            <w:r>
              <w:rPr>
                <w:rStyle w:val="IndexLink"/>
              </w:rPr>
              <w:t>385</w:t>
            </w:r>
          </w:hyperlink>
        </w:p>
        <w:p>
          <w:pPr>
            <w:pStyle w:val="Contents5"/>
            <w:tabs>
              <w:tab w:val="clear" w:pos="7892"/>
              <w:tab w:val="right" w:pos="9026" w:leader="dot"/>
            </w:tabs>
            <w:rPr/>
          </w:pPr>
          <w:hyperlink w:anchor="__RefHeading___Toc9587692_73709187">
            <w:r>
              <w:rPr>
                <w:webHidden/>
                <w:rStyle w:val="IndexLink"/>
                <w:rtl w:val="true"/>
              </w:rPr>
              <w:t>المطلب الخامس</w:t>
            </w:r>
            <w:r>
              <w:rPr>
                <w:rStyle w:val="IndexLink"/>
                <w:rtl w:val="true"/>
              </w:rPr>
              <w:t xml:space="preserve">: </w:t>
            </w:r>
            <w:r>
              <w:rPr>
                <w:rStyle w:val="IndexLink"/>
                <w:rtl w:val="true"/>
              </w:rPr>
              <w:t>کیفیّة الاستئذان فی تجهیز المیّت إذا کان الولیّ صغیراً</w:t>
            </w:r>
            <w:r>
              <w:rPr>
                <w:rStyle w:val="IndexLink"/>
                <w:rtl w:val="true"/>
              </w:rPr>
              <w:tab/>
            </w:r>
            <w:r>
              <w:rPr>
                <w:rStyle w:val="IndexLink"/>
              </w:rPr>
              <w:t>386</w:t>
            </w:r>
          </w:hyperlink>
        </w:p>
        <w:p>
          <w:pPr>
            <w:pStyle w:val="Contents6"/>
            <w:tabs>
              <w:tab w:val="clear" w:pos="7609"/>
              <w:tab w:val="right" w:pos="9026" w:leader="dot"/>
            </w:tabs>
            <w:rPr/>
          </w:pPr>
          <w:hyperlink w:anchor="__RefHeading___Toc9587694_73709187">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9587696_73709187">
            <w:r>
              <w:rPr>
                <w:webHidden/>
                <w:rStyle w:val="IndexLink"/>
                <w:rtl w:val="true"/>
              </w:rPr>
              <w:t>أدلّة أولویّة الإناث بتجهیز المیّت</w:t>
            </w:r>
            <w:r>
              <w:rPr>
                <w:rStyle w:val="IndexLink"/>
                <w:rtl w:val="true"/>
              </w:rPr>
              <w:tab/>
            </w:r>
            <w:r>
              <w:rPr>
                <w:rStyle w:val="IndexLink"/>
              </w:rPr>
              <w:t>390</w:t>
            </w:r>
          </w:hyperlink>
        </w:p>
        <w:p>
          <w:pPr>
            <w:pStyle w:val="Contents6"/>
            <w:tabs>
              <w:tab w:val="clear" w:pos="7609"/>
              <w:tab w:val="right" w:pos="9026" w:leader="dot"/>
            </w:tabs>
            <w:rPr/>
          </w:pPr>
          <w:hyperlink w:anchor="__RefHeading___Toc9587698_73709187">
            <w:r>
              <w:rPr>
                <w:webHidden/>
                <w:rStyle w:val="IndexLink"/>
                <w:rtl w:val="true"/>
              </w:rPr>
              <w:t>قول بعض أهل السنّة فی المسألة</w:t>
            </w:r>
            <w:r>
              <w:rPr>
                <w:rStyle w:val="IndexLink"/>
                <w:rtl w:val="true"/>
              </w:rPr>
              <w:tab/>
            </w:r>
            <w:r>
              <w:rPr>
                <w:rStyle w:val="IndexLink"/>
              </w:rPr>
              <w:t>393</w:t>
            </w:r>
          </w:hyperlink>
        </w:p>
        <w:p>
          <w:pPr>
            <w:pStyle w:val="Contents5"/>
            <w:tabs>
              <w:tab w:val="clear" w:pos="7892"/>
              <w:tab w:val="right" w:pos="9026" w:leader="dot"/>
            </w:tabs>
            <w:rPr/>
          </w:pPr>
          <w:hyperlink w:anchor="__RefHeading___Toc9587700_73709187">
            <w:r>
              <w:rPr>
                <w:webHidden/>
                <w:rStyle w:val="IndexLink"/>
                <w:rtl w:val="true"/>
              </w:rPr>
              <w:t>المطلب السادس</w:t>
            </w:r>
            <w:r>
              <w:rPr>
                <w:rStyle w:val="IndexLink"/>
                <w:rtl w:val="true"/>
              </w:rPr>
              <w:t xml:space="preserve">: </w:t>
            </w:r>
            <w:r>
              <w:rPr>
                <w:rStyle w:val="IndexLink"/>
                <w:rtl w:val="true"/>
              </w:rPr>
              <w:t>حکم صلاة الصبیّ الممیّز علی المیّت</w:t>
            </w:r>
            <w:r>
              <w:rPr>
                <w:rStyle w:val="IndexLink"/>
                <w:rtl w:val="true"/>
              </w:rPr>
              <w:tab/>
            </w:r>
            <w:r>
              <w:rPr>
                <w:rStyle w:val="IndexLink"/>
              </w:rPr>
              <w:t>394</w:t>
            </w:r>
          </w:hyperlink>
        </w:p>
        <w:p>
          <w:pPr>
            <w:pStyle w:val="Contents6"/>
            <w:tabs>
              <w:tab w:val="clear" w:pos="7609"/>
              <w:tab w:val="right" w:pos="9026" w:leader="dot"/>
            </w:tabs>
            <w:rPr/>
          </w:pPr>
          <w:hyperlink w:anchor="__RefHeading___Toc9587702_73709187">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9587704_73709187">
            <w:r>
              <w:rPr>
                <w:webHidden/>
                <w:rStyle w:val="IndexLink"/>
                <w:rtl w:val="true"/>
              </w:rPr>
              <w:t>أدلّة هذا الحکم</w:t>
            </w:r>
            <w:r>
              <w:rPr>
                <w:rStyle w:val="IndexLink"/>
                <w:rtl w:val="true"/>
              </w:rPr>
              <w:tab/>
            </w:r>
            <w:r>
              <w:rPr>
                <w:rStyle w:val="IndexLink"/>
              </w:rPr>
              <w:t>397</w:t>
            </w:r>
          </w:hyperlink>
        </w:p>
        <w:p>
          <w:pPr>
            <w:pStyle w:val="Contents6"/>
            <w:tabs>
              <w:tab w:val="clear" w:pos="7609"/>
              <w:tab w:val="right" w:pos="9026" w:leader="dot"/>
            </w:tabs>
            <w:rPr/>
          </w:pPr>
          <w:hyperlink w:anchor="__RefHeading___Toc9587706_73709187">
            <w:r>
              <w:rPr>
                <w:webHidden/>
                <w:rStyle w:val="IndexLink"/>
                <w:rtl w:val="true"/>
              </w:rPr>
              <w:t>سقوط الواجب الکفائی بفعل الصبیّ عند أهل السنّة</w:t>
            </w:r>
            <w:r>
              <w:rPr>
                <w:rStyle w:val="IndexLink"/>
                <w:rtl w:val="true"/>
              </w:rPr>
              <w:tab/>
            </w:r>
            <w:r>
              <w:rPr>
                <w:rStyle w:val="IndexLink"/>
              </w:rPr>
              <w:t>399</w:t>
            </w:r>
          </w:hyperlink>
        </w:p>
        <w:p>
          <w:pPr>
            <w:pStyle w:val="Contents6"/>
            <w:tabs>
              <w:tab w:val="clear" w:pos="7609"/>
              <w:tab w:val="right" w:pos="9026" w:leader="dot"/>
            </w:tabs>
            <w:rPr/>
          </w:pPr>
          <w:hyperlink w:anchor="__RefHeading___Toc9587708_73709187">
            <w:r>
              <w:rPr>
                <w:webHidden/>
                <w:rStyle w:val="IndexLink"/>
                <w:rtl w:val="true"/>
              </w:rPr>
              <w:t>أوّلاً</w:t>
            </w:r>
            <w:r>
              <w:rPr>
                <w:rStyle w:val="IndexLink"/>
                <w:rtl w:val="true"/>
              </w:rPr>
              <w:t xml:space="preserve">: </w:t>
            </w:r>
            <w:r>
              <w:rPr>
                <w:rStyle w:val="IndexLink"/>
                <w:rtl w:val="true"/>
              </w:rPr>
              <w:t>مذهب الحنفیّة</w:t>
            </w:r>
            <w:r>
              <w:rPr>
                <w:rStyle w:val="IndexLink"/>
                <w:rtl w:val="true"/>
              </w:rPr>
              <w:tab/>
            </w:r>
            <w:r>
              <w:rPr>
                <w:rStyle w:val="IndexLink"/>
              </w:rPr>
              <w:t>400</w:t>
            </w:r>
          </w:hyperlink>
        </w:p>
        <w:p>
          <w:pPr>
            <w:pStyle w:val="Contents6"/>
            <w:tabs>
              <w:tab w:val="clear" w:pos="7609"/>
              <w:tab w:val="right" w:pos="9026" w:leader="dot"/>
            </w:tabs>
            <w:rPr/>
          </w:pPr>
          <w:hyperlink w:anchor="__RefHeading___Toc9587710_73709187">
            <w:r>
              <w:rPr>
                <w:webHidden/>
                <w:rStyle w:val="IndexLink"/>
                <w:rtl w:val="true"/>
              </w:rPr>
              <w:t>ثانیاً</w:t>
            </w:r>
            <w:r>
              <w:rPr>
                <w:rStyle w:val="IndexLink"/>
                <w:rtl w:val="true"/>
              </w:rPr>
              <w:t xml:space="preserve">: </w:t>
            </w:r>
            <w:r>
              <w:rPr>
                <w:rStyle w:val="IndexLink"/>
                <w:rtl w:val="true"/>
              </w:rPr>
              <w:t>مذهب الحنابلة</w:t>
            </w:r>
            <w:r>
              <w:rPr>
                <w:rStyle w:val="IndexLink"/>
                <w:rtl w:val="true"/>
              </w:rPr>
              <w:tab/>
            </w:r>
            <w:r>
              <w:rPr>
                <w:rStyle w:val="IndexLink"/>
              </w:rPr>
              <w:t>401</w:t>
            </w:r>
          </w:hyperlink>
        </w:p>
        <w:p>
          <w:pPr>
            <w:pStyle w:val="Contents6"/>
            <w:tabs>
              <w:tab w:val="clear" w:pos="7609"/>
              <w:tab w:val="right" w:pos="9026" w:leader="dot"/>
            </w:tabs>
            <w:rPr/>
          </w:pPr>
          <w:hyperlink w:anchor="__RefHeading___Toc9587712_73709187">
            <w:r>
              <w:rPr>
                <w:webHidden/>
                <w:rStyle w:val="IndexLink"/>
                <w:rtl w:val="true"/>
              </w:rPr>
              <w:t>ثالثاً</w:t>
            </w:r>
            <w:r>
              <w:rPr>
                <w:rStyle w:val="IndexLink"/>
                <w:rtl w:val="true"/>
              </w:rPr>
              <w:t xml:space="preserve">: </w:t>
            </w:r>
            <w:r>
              <w:rPr>
                <w:rStyle w:val="IndexLink"/>
                <w:rtl w:val="true"/>
              </w:rPr>
              <w:t>مذهب الشافعیّة</w:t>
            </w:r>
            <w:r>
              <w:rPr>
                <w:rStyle w:val="IndexLink"/>
                <w:rtl w:val="true"/>
              </w:rPr>
              <w:tab/>
            </w:r>
            <w:r>
              <w:rPr>
                <w:rStyle w:val="IndexLink"/>
              </w:rPr>
              <w:t>401</w:t>
            </w:r>
          </w:hyperlink>
        </w:p>
        <w:p>
          <w:pPr>
            <w:pStyle w:val="Contents2"/>
            <w:tabs>
              <w:tab w:val="clear" w:pos="8743"/>
              <w:tab w:val="right" w:pos="9026" w:leader="dot"/>
            </w:tabs>
            <w:rPr/>
          </w:pPr>
          <w:hyperlink w:anchor="__RefHeading___Toc9587714_73709187">
            <w:r>
              <w:rPr>
                <w:webHidden/>
                <w:rStyle w:val="IndexLink"/>
                <w:rtl w:val="true"/>
              </w:rPr>
              <w:t>الباب التاسع</w:t>
            </w:r>
            <w:r>
              <w:rPr>
                <w:rStyle w:val="IndexLink"/>
                <w:rtl w:val="true"/>
              </w:rPr>
              <w:t xml:space="preserve">: </w:t>
            </w:r>
            <w:r>
              <w:rPr>
                <w:rStyle w:val="IndexLink"/>
                <w:rtl w:val="true"/>
              </w:rPr>
              <w:t>عبادات الصبیّ</w:t>
            </w:r>
            <w:r>
              <w:rPr>
                <w:rStyle w:val="IndexLink"/>
                <w:rtl w:val="true"/>
              </w:rPr>
              <w:tab/>
            </w:r>
            <w:r>
              <w:rPr>
                <w:rStyle w:val="IndexLink"/>
              </w:rPr>
              <w:t>403</w:t>
            </w:r>
          </w:hyperlink>
        </w:p>
        <w:p>
          <w:pPr>
            <w:pStyle w:val="Contents3"/>
            <w:tabs>
              <w:tab w:val="clear" w:pos="8459"/>
              <w:tab w:val="right" w:pos="9026" w:leader="dot"/>
            </w:tabs>
            <w:rPr/>
          </w:pPr>
          <w:hyperlink w:anchor="__RefHeading___Toc9587716_73709187">
            <w:r>
              <w:rPr>
                <w:webHidden/>
                <w:rStyle w:val="IndexLink"/>
                <w:rtl w:val="true"/>
              </w:rPr>
              <w:t>اشارة</w:t>
            </w:r>
            <w:r>
              <w:rPr>
                <w:rStyle w:val="IndexLink"/>
                <w:rtl w:val="true"/>
              </w:rPr>
              <w:tab/>
            </w:r>
            <w:r>
              <w:rPr>
                <w:rStyle w:val="IndexLink"/>
              </w:rPr>
              <w:t>403</w:t>
            </w:r>
          </w:hyperlink>
        </w:p>
        <w:p>
          <w:pPr>
            <w:pStyle w:val="Contents3"/>
            <w:tabs>
              <w:tab w:val="clear" w:pos="8459"/>
              <w:tab w:val="right" w:pos="9026" w:leader="dot"/>
            </w:tabs>
            <w:rPr/>
          </w:pPr>
          <w:hyperlink w:anchor="__RefHeading___Toc9587718_73709187">
            <w:r>
              <w:rPr>
                <w:webHidden/>
                <w:rStyle w:val="IndexLink"/>
                <w:rtl w:val="true"/>
              </w:rPr>
              <w:t>تمهید</w:t>
            </w:r>
            <w:r>
              <w:rPr>
                <w:rStyle w:val="IndexLink"/>
                <w:rtl w:val="true"/>
              </w:rPr>
              <w:tab/>
            </w:r>
            <w:r>
              <w:rPr>
                <w:rStyle w:val="IndexLink"/>
              </w:rPr>
              <w:t>404</w:t>
            </w:r>
          </w:hyperlink>
        </w:p>
        <w:p>
          <w:pPr>
            <w:pStyle w:val="Contents3"/>
            <w:tabs>
              <w:tab w:val="clear" w:pos="8459"/>
              <w:tab w:val="right" w:pos="9026" w:leader="dot"/>
            </w:tabs>
            <w:rPr/>
          </w:pPr>
          <w:hyperlink w:anchor="__RefHeading___Toc9587720_73709187">
            <w:r>
              <w:rPr>
                <w:webHidden/>
                <w:rStyle w:val="IndexLink"/>
                <w:rtl w:val="true"/>
              </w:rPr>
              <w:t>الفصل الأوّل</w:t>
            </w:r>
            <w:r>
              <w:rPr>
                <w:rStyle w:val="IndexLink"/>
                <w:rtl w:val="true"/>
              </w:rPr>
              <w:t xml:space="preserve">: </w:t>
            </w:r>
            <w:r>
              <w:rPr>
                <w:rStyle w:val="IndexLink"/>
                <w:rtl w:val="true"/>
              </w:rPr>
              <w:t>مشروعیّة عبادات الصبیّ</w:t>
            </w:r>
            <w:r>
              <w:rPr>
                <w:rStyle w:val="IndexLink"/>
                <w:rtl w:val="true"/>
              </w:rPr>
              <w:tab/>
            </w:r>
            <w:r>
              <w:rPr>
                <w:rStyle w:val="IndexLink"/>
              </w:rPr>
              <w:t>405</w:t>
            </w:r>
          </w:hyperlink>
        </w:p>
        <w:p>
          <w:pPr>
            <w:pStyle w:val="Contents4"/>
            <w:tabs>
              <w:tab w:val="clear" w:pos="8176"/>
              <w:tab w:val="right" w:pos="9026" w:leader="dot"/>
            </w:tabs>
            <w:rPr/>
          </w:pPr>
          <w:hyperlink w:anchor="__RefHeading___Toc9587722_73709187">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9587724_73709187">
            <w:r>
              <w:rPr>
                <w:webHidden/>
                <w:rStyle w:val="IndexLink"/>
                <w:rtl w:val="true"/>
              </w:rPr>
              <w:t>المبحث الأوّل</w:t>
            </w:r>
            <w:r>
              <w:rPr>
                <w:rStyle w:val="IndexLink"/>
                <w:rtl w:val="true"/>
              </w:rPr>
              <w:t xml:space="preserve">: </w:t>
            </w:r>
            <w:r>
              <w:rPr>
                <w:rStyle w:val="IndexLink"/>
                <w:rtl w:val="true"/>
              </w:rPr>
              <w:t>بیان ما هو المقصود من مشروعیّة عبادات الصبیّ‌</w:t>
            </w:r>
            <w:r>
              <w:rPr>
                <w:rStyle w:val="IndexLink"/>
                <w:rtl w:val="true"/>
              </w:rPr>
              <w:tab/>
            </w:r>
            <w:r>
              <w:rPr>
                <w:rStyle w:val="IndexLink"/>
              </w:rPr>
              <w:t>406</w:t>
            </w:r>
          </w:hyperlink>
        </w:p>
        <w:p>
          <w:pPr>
            <w:pStyle w:val="Contents4"/>
            <w:tabs>
              <w:tab w:val="clear" w:pos="8176"/>
              <w:tab w:val="right" w:pos="9026" w:leader="dot"/>
            </w:tabs>
            <w:rPr/>
          </w:pPr>
          <w:hyperlink w:anchor="__RefHeading___Toc9587726_73709187">
            <w:r>
              <w:rPr>
                <w:webHidden/>
                <w:rStyle w:val="IndexLink"/>
                <w:rtl w:val="true"/>
              </w:rPr>
              <w:t>المبحث الثانی</w:t>
            </w:r>
            <w:r>
              <w:rPr>
                <w:rStyle w:val="IndexLink"/>
                <w:rtl w:val="true"/>
              </w:rPr>
              <w:t xml:space="preserve">: </w:t>
            </w:r>
            <w:r>
              <w:rPr>
                <w:rStyle w:val="IndexLink"/>
                <w:rtl w:val="true"/>
              </w:rPr>
              <w:t>الأقوال فی المسألة و أدلّتها</w:t>
            </w:r>
            <w:r>
              <w:rPr>
                <w:rStyle w:val="IndexLink"/>
                <w:rtl w:val="true"/>
              </w:rPr>
              <w:tab/>
            </w:r>
            <w:r>
              <w:rPr>
                <w:rStyle w:val="IndexLink"/>
              </w:rPr>
              <w:t>408</w:t>
            </w:r>
          </w:hyperlink>
        </w:p>
        <w:p>
          <w:pPr>
            <w:pStyle w:val="Contents5"/>
            <w:tabs>
              <w:tab w:val="clear" w:pos="7892"/>
              <w:tab w:val="right" w:pos="9026" w:leader="dot"/>
            </w:tabs>
            <w:rPr/>
          </w:pPr>
          <w:hyperlink w:anchor="__RefHeading___Toc9587728_73709187">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9587730_73709187">
            <w:r>
              <w:rPr>
                <w:webHidden/>
                <w:rStyle w:val="IndexLink"/>
                <w:rtl w:val="true"/>
              </w:rPr>
              <w:t>أدلّة مشروعیّة عبادات الصبیّ‌</w:t>
            </w:r>
            <w:r>
              <w:rPr>
                <w:rStyle w:val="IndexLink"/>
                <w:rtl w:val="true"/>
              </w:rPr>
              <w:tab/>
            </w:r>
            <w:r>
              <w:rPr>
                <w:rStyle w:val="IndexLink"/>
              </w:rPr>
              <w:t>410</w:t>
            </w:r>
          </w:hyperlink>
        </w:p>
        <w:p>
          <w:pPr>
            <w:pStyle w:val="Contents6"/>
            <w:tabs>
              <w:tab w:val="clear" w:pos="7609"/>
              <w:tab w:val="right" w:pos="9026" w:leader="dot"/>
            </w:tabs>
            <w:rPr/>
          </w:pPr>
          <w:hyperlink w:anchor="__RefHeading___Toc9587732_73709187">
            <w:r>
              <w:rPr>
                <w:webHidden/>
                <w:rStyle w:val="IndexLink"/>
                <w:rtl w:val="true"/>
              </w:rPr>
              <w:t>اشارة</w:t>
            </w:r>
            <w:r>
              <w:rPr>
                <w:rStyle w:val="IndexLink"/>
                <w:rtl w:val="true"/>
              </w:rPr>
              <w:tab/>
            </w:r>
            <w:r>
              <w:rPr>
                <w:rStyle w:val="IndexLink"/>
              </w:rPr>
              <w:t>410</w:t>
            </w:r>
          </w:hyperlink>
        </w:p>
        <w:p>
          <w:pPr>
            <w:pStyle w:val="Contents6"/>
            <w:tabs>
              <w:tab w:val="clear" w:pos="7609"/>
              <w:tab w:val="right" w:pos="9026" w:leader="dot"/>
            </w:tabs>
            <w:rPr/>
          </w:pPr>
          <w:hyperlink w:anchor="__RefHeading___Toc9587734_73709187">
            <w:r>
              <w:rPr>
                <w:webHidden/>
                <w:rStyle w:val="IndexLink"/>
                <w:rtl w:val="true"/>
              </w:rPr>
              <w:t>مناقشة الاستدلال</w:t>
            </w:r>
            <w:r>
              <w:rPr>
                <w:rStyle w:val="IndexLink"/>
                <w:rtl w:val="true"/>
              </w:rPr>
              <w:tab/>
            </w:r>
            <w:r>
              <w:rPr>
                <w:rStyle w:val="IndexLink"/>
              </w:rPr>
              <w:t>410</w:t>
            </w:r>
          </w:hyperlink>
        </w:p>
        <w:p>
          <w:pPr>
            <w:pStyle w:val="Contents6"/>
            <w:tabs>
              <w:tab w:val="clear" w:pos="7609"/>
              <w:tab w:val="right" w:pos="9026" w:leader="dot"/>
            </w:tabs>
            <w:rPr/>
          </w:pPr>
          <w:hyperlink w:anchor="__RefHeading___Toc9587736_73709187">
            <w:r>
              <w:rPr>
                <w:webHidden/>
                <w:rStyle w:val="IndexLink"/>
                <w:rtl w:val="true"/>
              </w:rPr>
              <w:t>الطائفة الاُولی</w:t>
            </w:r>
            <w:r>
              <w:rPr>
                <w:rStyle w:val="IndexLink"/>
                <w:rtl w:val="true"/>
              </w:rPr>
              <w:t xml:space="preserve">: </w:t>
            </w:r>
            <w:r>
              <w:rPr>
                <w:rStyle w:val="IndexLink"/>
                <w:rtl w:val="true"/>
              </w:rPr>
              <w:t>ما ورد فی أذان الصبیّ و جواز إمامته</w:t>
            </w:r>
            <w:r>
              <w:rPr>
                <w:rStyle w:val="IndexLink"/>
                <w:rtl w:val="true"/>
              </w:rPr>
              <w:tab/>
            </w:r>
            <w:r>
              <w:rPr>
                <w:rStyle w:val="IndexLink"/>
              </w:rPr>
              <w:t>422</w:t>
            </w:r>
          </w:hyperlink>
        </w:p>
        <w:p>
          <w:pPr>
            <w:pStyle w:val="Contents6"/>
            <w:tabs>
              <w:tab w:val="clear" w:pos="7609"/>
              <w:tab w:val="right" w:pos="9026" w:leader="dot"/>
            </w:tabs>
            <w:rPr/>
          </w:pPr>
          <w:hyperlink w:anchor="__RefHeading___Toc9587738_73709187">
            <w:r>
              <w:rPr>
                <w:webHidden/>
                <w:rStyle w:val="IndexLink"/>
                <w:rtl w:val="true"/>
              </w:rPr>
              <w:t>الطائفة الثانیة</w:t>
            </w:r>
            <w:r>
              <w:rPr>
                <w:rStyle w:val="IndexLink"/>
                <w:rtl w:val="true"/>
              </w:rPr>
              <w:t xml:space="preserve">: </w:t>
            </w:r>
            <w:r>
              <w:rPr>
                <w:rStyle w:val="IndexLink"/>
                <w:rtl w:val="true"/>
              </w:rPr>
              <w:t>ما ورد فی صوم الصبیّ و صلاته</w:t>
            </w:r>
            <w:r>
              <w:rPr>
                <w:rStyle w:val="IndexLink"/>
                <w:rtl w:val="true"/>
              </w:rPr>
              <w:tab/>
            </w:r>
            <w:r>
              <w:rPr>
                <w:rStyle w:val="IndexLink"/>
              </w:rPr>
              <w:t>424</w:t>
            </w:r>
          </w:hyperlink>
        </w:p>
        <w:p>
          <w:pPr>
            <w:pStyle w:val="Contents6"/>
            <w:tabs>
              <w:tab w:val="clear" w:pos="7609"/>
              <w:tab w:val="right" w:pos="9026" w:leader="dot"/>
            </w:tabs>
            <w:rPr/>
          </w:pPr>
          <w:hyperlink w:anchor="__RefHeading___Toc9587740_73709187">
            <w:r>
              <w:rPr>
                <w:webHidden/>
                <w:rStyle w:val="IndexLink"/>
                <w:rtl w:val="true"/>
              </w:rPr>
              <w:t>الطائفة الثالثة</w:t>
            </w:r>
            <w:r>
              <w:rPr>
                <w:rStyle w:val="IndexLink"/>
                <w:rtl w:val="true"/>
              </w:rPr>
              <w:t xml:space="preserve">: </w:t>
            </w:r>
            <w:r>
              <w:rPr>
                <w:rStyle w:val="IndexLink"/>
                <w:rtl w:val="true"/>
              </w:rPr>
              <w:t>ما ورد فی حجّ الصبیّ‌</w:t>
            </w:r>
            <w:r>
              <w:rPr>
                <w:rStyle w:val="IndexLink"/>
                <w:rtl w:val="true"/>
              </w:rPr>
              <w:tab/>
            </w:r>
            <w:r>
              <w:rPr>
                <w:rStyle w:val="IndexLink"/>
              </w:rPr>
              <w:t>425</w:t>
            </w:r>
          </w:hyperlink>
        </w:p>
        <w:p>
          <w:pPr>
            <w:pStyle w:val="Contents6"/>
            <w:tabs>
              <w:tab w:val="clear" w:pos="7609"/>
              <w:tab w:val="right" w:pos="9026" w:leader="dot"/>
            </w:tabs>
            <w:rPr/>
          </w:pPr>
          <w:hyperlink w:anchor="__RefHeading___Toc9587742_73709187">
            <w:r>
              <w:rPr>
                <w:webHidden/>
                <w:rStyle w:val="IndexLink"/>
                <w:rtl w:val="true"/>
              </w:rPr>
              <w:t>الطائفة الرابعة</w:t>
            </w:r>
            <w:r>
              <w:rPr>
                <w:rStyle w:val="IndexLink"/>
                <w:rtl w:val="true"/>
              </w:rPr>
              <w:t xml:space="preserve">: </w:t>
            </w:r>
            <w:r>
              <w:rPr>
                <w:rStyle w:val="IndexLink"/>
                <w:rtl w:val="true"/>
              </w:rPr>
              <w:t>ما ورد فی صدقة الصبیّ و وقفه و عتقه و وصیّته</w:t>
            </w:r>
            <w:r>
              <w:rPr>
                <w:rStyle w:val="IndexLink"/>
                <w:rtl w:val="true"/>
              </w:rPr>
              <w:tab/>
            </w:r>
            <w:r>
              <w:rPr>
                <w:rStyle w:val="IndexLink"/>
              </w:rPr>
              <w:t>426</w:t>
            </w:r>
          </w:hyperlink>
        </w:p>
        <w:p>
          <w:pPr>
            <w:pStyle w:val="Contents5"/>
            <w:tabs>
              <w:tab w:val="clear" w:pos="7892"/>
              <w:tab w:val="right" w:pos="9026" w:leader="dot"/>
            </w:tabs>
            <w:rPr/>
          </w:pPr>
          <w:hyperlink w:anchor="__RefHeading___Toc9587744_73709187">
            <w:r>
              <w:rPr>
                <w:webHidden/>
                <w:rStyle w:val="IndexLink"/>
                <w:rtl w:val="true"/>
              </w:rPr>
              <w:t>ما معنی مشروعیّة عبادات الصبیّ؟</w:t>
            </w:r>
            <w:r>
              <w:rPr>
                <w:rStyle w:val="IndexLink"/>
                <w:rtl w:val="true"/>
              </w:rPr>
              <w:tab/>
            </w:r>
            <w:r>
              <w:rPr>
                <w:rStyle w:val="IndexLink"/>
              </w:rPr>
              <w:t>432</w:t>
            </w:r>
          </w:hyperlink>
        </w:p>
        <w:p>
          <w:pPr>
            <w:pStyle w:val="Contents5"/>
            <w:tabs>
              <w:tab w:val="clear" w:pos="7892"/>
              <w:tab w:val="right" w:pos="9026" w:leader="dot"/>
            </w:tabs>
            <w:rPr/>
          </w:pPr>
          <w:hyperlink w:anchor="__RefHeading___Toc9587746_73709187">
            <w:r>
              <w:rPr>
                <w:webHidden/>
                <w:rStyle w:val="IndexLink"/>
                <w:rtl w:val="true"/>
              </w:rPr>
              <w:t>عبادات الصبیّ تمرینیّة</w:t>
            </w:r>
            <w:r>
              <w:rPr>
                <w:rStyle w:val="IndexLink"/>
                <w:rtl w:val="true"/>
              </w:rPr>
              <w:tab/>
            </w:r>
            <w:r>
              <w:rPr>
                <w:rStyle w:val="IndexLink"/>
              </w:rPr>
              <w:t>434</w:t>
            </w:r>
          </w:hyperlink>
        </w:p>
        <w:p>
          <w:pPr>
            <w:pStyle w:val="Contents6"/>
            <w:tabs>
              <w:tab w:val="clear" w:pos="7609"/>
              <w:tab w:val="right" w:pos="9026" w:leader="dot"/>
            </w:tabs>
            <w:rPr/>
          </w:pPr>
          <w:hyperlink w:anchor="__RefHeading___Toc9587748_73709187">
            <w:r>
              <w:rPr>
                <w:webHidden/>
                <w:rStyle w:val="IndexLink"/>
                <w:rtl w:val="true"/>
              </w:rPr>
              <w:t>اشارة</w:t>
            </w:r>
            <w:r>
              <w:rPr>
                <w:rStyle w:val="IndexLink"/>
                <w:rtl w:val="true"/>
              </w:rPr>
              <w:tab/>
            </w:r>
            <w:r>
              <w:rPr>
                <w:rStyle w:val="IndexLink"/>
              </w:rPr>
              <w:t>434</w:t>
            </w:r>
          </w:hyperlink>
        </w:p>
        <w:p>
          <w:pPr>
            <w:pStyle w:val="Contents6"/>
            <w:tabs>
              <w:tab w:val="clear" w:pos="7609"/>
              <w:tab w:val="right" w:pos="9026" w:leader="dot"/>
            </w:tabs>
            <w:rPr/>
          </w:pPr>
          <w:hyperlink w:anchor="__RefHeading___Toc9587750_73709187">
            <w:r>
              <w:rPr>
                <w:webHidden/>
                <w:rStyle w:val="IndexLink"/>
                <w:rtl w:val="true"/>
              </w:rPr>
              <w:t>أدلّة القول بتمرینیّة عبادات الصبیّ‌</w:t>
            </w:r>
            <w:r>
              <w:rPr>
                <w:rStyle w:val="IndexLink"/>
                <w:rtl w:val="true"/>
              </w:rPr>
              <w:tab/>
            </w:r>
            <w:r>
              <w:rPr>
                <w:rStyle w:val="IndexLink"/>
              </w:rPr>
              <w:t>436</w:t>
            </w:r>
          </w:hyperlink>
        </w:p>
        <w:p>
          <w:pPr>
            <w:pStyle w:val="Contents6"/>
            <w:tabs>
              <w:tab w:val="clear" w:pos="7609"/>
              <w:tab w:val="right" w:pos="9026" w:leader="dot"/>
            </w:tabs>
            <w:rPr/>
          </w:pPr>
          <w:hyperlink w:anchor="__RefHeading___Toc9587752_73709187">
            <w:r>
              <w:rPr>
                <w:webHidden/>
                <w:rStyle w:val="IndexLink"/>
                <w:rtl w:val="true"/>
              </w:rPr>
              <w:t>معنی تمرینیّة عبادات الصبیّ‌</w:t>
            </w:r>
            <w:r>
              <w:rPr>
                <w:rStyle w:val="IndexLink"/>
                <w:rtl w:val="true"/>
              </w:rPr>
              <w:tab/>
            </w:r>
            <w:r>
              <w:rPr>
                <w:rStyle w:val="IndexLink"/>
              </w:rPr>
              <w:t>441</w:t>
            </w:r>
          </w:hyperlink>
        </w:p>
        <w:p>
          <w:pPr>
            <w:pStyle w:val="Contents4"/>
            <w:tabs>
              <w:tab w:val="clear" w:pos="8176"/>
              <w:tab w:val="right" w:pos="9026" w:leader="dot"/>
            </w:tabs>
            <w:rPr/>
          </w:pPr>
          <w:hyperlink w:anchor="__RefHeading___Toc9587754_73709187">
            <w:r>
              <w:rPr>
                <w:webHidden/>
                <w:rStyle w:val="IndexLink"/>
                <w:rtl w:val="true"/>
              </w:rPr>
              <w:t>المبحث الثالث</w:t>
            </w:r>
            <w:r>
              <w:rPr>
                <w:rStyle w:val="IndexLink"/>
                <w:rtl w:val="true"/>
              </w:rPr>
              <w:t xml:space="preserve">: </w:t>
            </w:r>
            <w:r>
              <w:rPr>
                <w:rStyle w:val="IndexLink"/>
                <w:rtl w:val="true"/>
              </w:rPr>
              <w:t>فی الثمرات المتفرّعة علی مشروعیّة عبادات الصبیّ‌</w:t>
            </w:r>
            <w:r>
              <w:rPr>
                <w:rStyle w:val="IndexLink"/>
                <w:rtl w:val="true"/>
              </w:rPr>
              <w:tab/>
            </w:r>
            <w:r>
              <w:rPr>
                <w:rStyle w:val="IndexLink"/>
              </w:rPr>
              <w:t>447</w:t>
            </w:r>
          </w:hyperlink>
        </w:p>
        <w:p>
          <w:pPr>
            <w:pStyle w:val="Contents5"/>
            <w:tabs>
              <w:tab w:val="clear" w:pos="7892"/>
              <w:tab w:val="right" w:pos="9026" w:leader="dot"/>
            </w:tabs>
            <w:rPr/>
          </w:pPr>
          <w:hyperlink w:anchor="__RefHeading___Toc9587756_73709187">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9587758_73709187">
            <w:r>
              <w:rPr>
                <w:webHidden/>
                <w:rStyle w:val="IndexLink"/>
                <w:rtl w:val="true"/>
              </w:rPr>
              <w:t>آراء مذاهب أهل السنّة فی المسألة</w:t>
            </w:r>
            <w:r>
              <w:rPr>
                <w:rStyle w:val="IndexLink"/>
                <w:rtl w:val="true"/>
              </w:rPr>
              <w:tab/>
            </w:r>
            <w:r>
              <w:rPr>
                <w:rStyle w:val="IndexLink"/>
              </w:rPr>
              <w:t>449</w:t>
            </w:r>
          </w:hyperlink>
        </w:p>
        <w:p>
          <w:pPr>
            <w:pStyle w:val="Contents6"/>
            <w:tabs>
              <w:tab w:val="clear" w:pos="7609"/>
              <w:tab w:val="right" w:pos="9026" w:leader="dot"/>
            </w:tabs>
            <w:rPr/>
          </w:pPr>
          <w:hyperlink w:anchor="__RefHeading___Toc9587760_73709187">
            <w:r>
              <w:rPr>
                <w:webHidden/>
                <w:rStyle w:val="IndexLink"/>
                <w:rtl w:val="true"/>
              </w:rPr>
              <w:t>أ</w:t>
            </w:r>
            <w:r>
              <w:rPr>
                <w:rStyle w:val="IndexLink"/>
                <w:rtl w:val="true"/>
              </w:rPr>
              <w:t xml:space="preserve">: </w:t>
            </w:r>
            <w:r>
              <w:rPr>
                <w:rStyle w:val="IndexLink"/>
                <w:rtl w:val="true"/>
              </w:rPr>
              <w:t>المالکیّة</w:t>
            </w:r>
            <w:r>
              <w:rPr>
                <w:rStyle w:val="IndexLink"/>
                <w:rtl w:val="true"/>
              </w:rPr>
              <w:tab/>
            </w:r>
            <w:r>
              <w:rPr>
                <w:rStyle w:val="IndexLink"/>
              </w:rPr>
              <w:t>449</w:t>
            </w:r>
          </w:hyperlink>
        </w:p>
        <w:p>
          <w:pPr>
            <w:pStyle w:val="Contents6"/>
            <w:tabs>
              <w:tab w:val="clear" w:pos="7609"/>
              <w:tab w:val="right" w:pos="9026" w:leader="dot"/>
            </w:tabs>
            <w:rPr/>
          </w:pPr>
          <w:hyperlink w:anchor="__RefHeading___Toc9587762_73709187">
            <w:r>
              <w:rPr>
                <w:webHidden/>
                <w:rStyle w:val="IndexLink"/>
                <w:rtl w:val="true"/>
              </w:rPr>
              <w:t>ب</w:t>
            </w:r>
            <w:r>
              <w:rPr>
                <w:rStyle w:val="IndexLink"/>
                <w:rtl w:val="true"/>
              </w:rPr>
              <w:t xml:space="preserve">: </w:t>
            </w:r>
            <w:r>
              <w:rPr>
                <w:rStyle w:val="IndexLink"/>
                <w:rtl w:val="true"/>
              </w:rPr>
              <w:t>الحنابلة</w:t>
            </w:r>
            <w:r>
              <w:rPr>
                <w:rStyle w:val="IndexLink"/>
                <w:rtl w:val="true"/>
              </w:rPr>
              <w:tab/>
            </w:r>
            <w:r>
              <w:rPr>
                <w:rStyle w:val="IndexLink"/>
              </w:rPr>
              <w:t>450</w:t>
            </w:r>
          </w:hyperlink>
        </w:p>
        <w:p>
          <w:pPr>
            <w:pStyle w:val="Contents6"/>
            <w:tabs>
              <w:tab w:val="clear" w:pos="7609"/>
              <w:tab w:val="right" w:pos="9026" w:leader="dot"/>
            </w:tabs>
            <w:rPr/>
          </w:pPr>
          <w:hyperlink w:anchor="__RefHeading___Toc9587764_73709187">
            <w:r>
              <w:rPr>
                <w:webHidden/>
                <w:rStyle w:val="IndexLink"/>
                <w:rtl w:val="true"/>
              </w:rPr>
              <w:t>ج</w:t>
            </w:r>
            <w:r>
              <w:rPr>
                <w:rStyle w:val="IndexLink"/>
                <w:rtl w:val="true"/>
              </w:rPr>
              <w:t xml:space="preserve">: </w:t>
            </w:r>
            <w:r>
              <w:rPr>
                <w:rStyle w:val="IndexLink"/>
                <w:rtl w:val="true"/>
              </w:rPr>
              <w:t>الحنفیّة</w:t>
            </w:r>
            <w:r>
              <w:rPr>
                <w:rStyle w:val="IndexLink"/>
                <w:rtl w:val="true"/>
              </w:rPr>
              <w:tab/>
            </w:r>
            <w:r>
              <w:rPr>
                <w:rStyle w:val="IndexLink"/>
              </w:rPr>
              <w:t>451</w:t>
            </w:r>
          </w:hyperlink>
        </w:p>
        <w:p>
          <w:pPr>
            <w:pStyle w:val="Contents6"/>
            <w:tabs>
              <w:tab w:val="clear" w:pos="7609"/>
              <w:tab w:val="right" w:pos="9026" w:leader="dot"/>
            </w:tabs>
            <w:rPr/>
          </w:pPr>
          <w:hyperlink w:anchor="__RefHeading___Toc9587766_73709187">
            <w:r>
              <w:rPr>
                <w:webHidden/>
                <w:rStyle w:val="IndexLink"/>
                <w:rtl w:val="true"/>
              </w:rPr>
              <w:t>د</w:t>
            </w:r>
            <w:r>
              <w:rPr>
                <w:rStyle w:val="IndexLink"/>
                <w:rtl w:val="true"/>
              </w:rPr>
              <w:t xml:space="preserve">: </w:t>
            </w:r>
            <w:r>
              <w:rPr>
                <w:rStyle w:val="IndexLink"/>
                <w:rtl w:val="true"/>
              </w:rPr>
              <w:t>الشافعیّة</w:t>
            </w:r>
            <w:r>
              <w:rPr>
                <w:rStyle w:val="IndexLink"/>
                <w:rtl w:val="true"/>
              </w:rPr>
              <w:tab/>
            </w:r>
            <w:r>
              <w:rPr>
                <w:rStyle w:val="IndexLink"/>
              </w:rPr>
              <w:t>453</w:t>
            </w:r>
          </w:hyperlink>
        </w:p>
        <w:p>
          <w:pPr>
            <w:pStyle w:val="Contents3"/>
            <w:tabs>
              <w:tab w:val="clear" w:pos="8459"/>
              <w:tab w:val="right" w:pos="9026" w:leader="dot"/>
            </w:tabs>
            <w:rPr/>
          </w:pPr>
          <w:hyperlink w:anchor="__RefHeading___Toc9587768_73709187">
            <w:r>
              <w:rPr>
                <w:webHidden/>
                <w:rStyle w:val="IndexLink"/>
                <w:rtl w:val="true"/>
              </w:rPr>
              <w:t>الفصل الثانی</w:t>
            </w:r>
            <w:r>
              <w:rPr>
                <w:rStyle w:val="IndexLink"/>
                <w:rtl w:val="true"/>
              </w:rPr>
              <w:t xml:space="preserve">: </w:t>
            </w:r>
            <w:r>
              <w:rPr>
                <w:rStyle w:val="IndexLink"/>
                <w:rtl w:val="true"/>
              </w:rPr>
              <w:t>صلاة الصبیّ</w:t>
            </w:r>
            <w:r>
              <w:rPr>
                <w:rStyle w:val="IndexLink"/>
                <w:rtl w:val="true"/>
              </w:rPr>
              <w:tab/>
            </w:r>
            <w:r>
              <w:rPr>
                <w:rStyle w:val="IndexLink"/>
              </w:rPr>
              <w:t>455</w:t>
            </w:r>
          </w:hyperlink>
        </w:p>
        <w:p>
          <w:pPr>
            <w:pStyle w:val="Contents4"/>
            <w:tabs>
              <w:tab w:val="clear" w:pos="8176"/>
              <w:tab w:val="right" w:pos="9026" w:leader="dot"/>
            </w:tabs>
            <w:rPr/>
          </w:pPr>
          <w:hyperlink w:anchor="__RefHeading___Toc9587770_73709187">
            <w:r>
              <w:rPr>
                <w:webHidden/>
                <w:rStyle w:val="IndexLink"/>
                <w:rtl w:val="true"/>
              </w:rPr>
              <w:t>اشارة</w:t>
            </w:r>
            <w:r>
              <w:rPr>
                <w:rStyle w:val="IndexLink"/>
                <w:rtl w:val="true"/>
              </w:rPr>
              <w:tab/>
            </w:r>
            <w:r>
              <w:rPr>
                <w:rStyle w:val="IndexLink"/>
              </w:rPr>
              <w:t>455</w:t>
            </w:r>
          </w:hyperlink>
        </w:p>
        <w:p>
          <w:pPr>
            <w:pStyle w:val="Contents4"/>
            <w:tabs>
              <w:tab w:val="clear" w:pos="8176"/>
              <w:tab w:val="right" w:pos="9026" w:leader="dot"/>
            </w:tabs>
            <w:rPr/>
          </w:pPr>
          <w:hyperlink w:anchor="__RefHeading___Toc9587772_73709187">
            <w:r>
              <w:rPr>
                <w:webHidden/>
                <w:rStyle w:val="IndexLink"/>
                <w:rtl w:val="true"/>
              </w:rPr>
              <w:t>تمهید</w:t>
            </w:r>
            <w:r>
              <w:rPr>
                <w:rStyle w:val="IndexLink"/>
                <w:rtl w:val="true"/>
              </w:rPr>
              <w:tab/>
            </w:r>
            <w:r>
              <w:rPr>
                <w:rStyle w:val="IndexLink"/>
              </w:rPr>
              <w:t>456</w:t>
            </w:r>
          </w:hyperlink>
        </w:p>
        <w:p>
          <w:pPr>
            <w:pStyle w:val="Contents4"/>
            <w:tabs>
              <w:tab w:val="clear" w:pos="8176"/>
              <w:tab w:val="right" w:pos="9026" w:leader="dot"/>
            </w:tabs>
            <w:rPr/>
          </w:pPr>
          <w:hyperlink w:anchor="__RefHeading___Toc9587774_73709187">
            <w:r>
              <w:rPr>
                <w:webHidden/>
                <w:rStyle w:val="IndexLink"/>
                <w:rtl w:val="true"/>
              </w:rPr>
              <w:t>المبحث الأوّل</w:t>
            </w:r>
            <w:r>
              <w:rPr>
                <w:rStyle w:val="IndexLink"/>
                <w:rtl w:val="true"/>
              </w:rPr>
              <w:t>:</w:t>
            </w:r>
            <w:r>
              <w:rPr>
                <w:rStyle w:val="IndexLink"/>
                <w:rtl w:val="true"/>
              </w:rPr>
              <w:t>شرائط صلاة الصبیّ‌</w:t>
            </w:r>
            <w:r>
              <w:rPr>
                <w:rStyle w:val="IndexLink"/>
                <w:rtl w:val="true"/>
              </w:rPr>
              <w:tab/>
            </w:r>
            <w:r>
              <w:rPr>
                <w:rStyle w:val="IndexLink"/>
              </w:rPr>
              <w:t>457</w:t>
            </w:r>
          </w:hyperlink>
        </w:p>
        <w:p>
          <w:pPr>
            <w:pStyle w:val="Contents5"/>
            <w:tabs>
              <w:tab w:val="clear" w:pos="7892"/>
              <w:tab w:val="right" w:pos="9026" w:leader="dot"/>
            </w:tabs>
            <w:rPr/>
          </w:pPr>
          <w:hyperlink w:anchor="__RefHeading___Toc9587776_73709187">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9587778_73709187">
            <w:r>
              <w:rPr>
                <w:webHidden/>
                <w:rStyle w:val="IndexLink"/>
                <w:rtl w:val="true"/>
              </w:rPr>
              <w:t>أدلّة هذا الحکم</w:t>
            </w:r>
            <w:r>
              <w:rPr>
                <w:rStyle w:val="IndexLink"/>
                <w:rtl w:val="true"/>
              </w:rPr>
              <w:tab/>
            </w:r>
            <w:r>
              <w:rPr>
                <w:rStyle w:val="IndexLink"/>
              </w:rPr>
              <w:t>459</w:t>
            </w:r>
          </w:hyperlink>
        </w:p>
        <w:p>
          <w:pPr>
            <w:pStyle w:val="Contents6"/>
            <w:tabs>
              <w:tab w:val="clear" w:pos="7609"/>
              <w:tab w:val="right" w:pos="9026" w:leader="dot"/>
            </w:tabs>
            <w:rPr/>
          </w:pPr>
          <w:hyperlink w:anchor="__RefHeading___Toc9587780_73709187">
            <w:r>
              <w:rPr>
                <w:webHidden/>
                <w:rStyle w:val="IndexLink"/>
                <w:rtl w:val="true"/>
              </w:rPr>
              <w:t>اشارة</w:t>
            </w:r>
            <w:r>
              <w:rPr>
                <w:rStyle w:val="IndexLink"/>
                <w:rtl w:val="true"/>
              </w:rPr>
              <w:tab/>
            </w:r>
            <w:r>
              <w:rPr>
                <w:rStyle w:val="IndexLink"/>
              </w:rPr>
              <w:t>459</w:t>
            </w:r>
          </w:hyperlink>
        </w:p>
        <w:p>
          <w:pPr>
            <w:pStyle w:val="Contents6"/>
            <w:tabs>
              <w:tab w:val="clear" w:pos="7609"/>
              <w:tab w:val="right" w:pos="9026" w:leader="dot"/>
            </w:tabs>
            <w:rPr/>
          </w:pPr>
          <w:hyperlink w:anchor="__RefHeading___Toc9587782_73709187">
            <w:r>
              <w:rPr>
                <w:webHidden/>
                <w:rStyle w:val="IndexLink"/>
                <w:rtl w:val="true"/>
              </w:rPr>
              <w:t>الطائفة الاُولی‌</w:t>
            </w:r>
            <w:r>
              <w:rPr>
                <w:rStyle w:val="IndexLink"/>
                <w:rtl w:val="true"/>
              </w:rPr>
              <w:tab/>
            </w:r>
            <w:r>
              <w:rPr>
                <w:rStyle w:val="IndexLink"/>
              </w:rPr>
              <w:t>461</w:t>
            </w:r>
          </w:hyperlink>
        </w:p>
        <w:p>
          <w:pPr>
            <w:pStyle w:val="Contents6"/>
            <w:tabs>
              <w:tab w:val="clear" w:pos="7609"/>
              <w:tab w:val="right" w:pos="9026" w:leader="dot"/>
            </w:tabs>
            <w:rPr/>
          </w:pPr>
          <w:hyperlink w:anchor="__RefHeading___Toc9587784_73709187">
            <w:r>
              <w:rPr>
                <w:webHidden/>
                <w:rStyle w:val="IndexLink"/>
                <w:rtl w:val="true"/>
              </w:rPr>
              <w:t>الطائفة الثانیة</w:t>
            </w:r>
            <w:r>
              <w:rPr>
                <w:rStyle w:val="IndexLink"/>
                <w:rtl w:val="true"/>
              </w:rPr>
              <w:tab/>
            </w:r>
            <w:r>
              <w:rPr>
                <w:rStyle w:val="IndexLink"/>
              </w:rPr>
              <w:t>461</w:t>
            </w:r>
          </w:hyperlink>
        </w:p>
        <w:p>
          <w:pPr>
            <w:pStyle w:val="Contents6"/>
            <w:tabs>
              <w:tab w:val="clear" w:pos="7609"/>
              <w:tab w:val="right" w:pos="9026" w:leader="dot"/>
            </w:tabs>
            <w:rPr/>
          </w:pPr>
          <w:hyperlink w:anchor="__RefHeading___Toc9587786_73709187">
            <w:r>
              <w:rPr>
                <w:webHidden/>
                <w:rStyle w:val="IndexLink"/>
                <w:rtl w:val="true"/>
              </w:rPr>
              <w:t>الطائفة الثالثة</w:t>
            </w:r>
            <w:r>
              <w:rPr>
                <w:rStyle w:val="IndexLink"/>
                <w:rtl w:val="true"/>
              </w:rPr>
              <w:tab/>
            </w:r>
            <w:r>
              <w:rPr>
                <w:rStyle w:val="IndexLink"/>
              </w:rPr>
              <w:t>461</w:t>
            </w:r>
          </w:hyperlink>
        </w:p>
        <w:p>
          <w:pPr>
            <w:pStyle w:val="Contents6"/>
            <w:tabs>
              <w:tab w:val="clear" w:pos="7609"/>
              <w:tab w:val="right" w:pos="9026" w:leader="dot"/>
            </w:tabs>
            <w:rPr/>
          </w:pPr>
          <w:hyperlink w:anchor="__RefHeading___Toc9587788_73709187">
            <w:r>
              <w:rPr>
                <w:webHidden/>
                <w:rStyle w:val="IndexLink"/>
                <w:rtl w:val="true"/>
              </w:rPr>
              <w:t>الطائفة الرابعة</w:t>
            </w:r>
            <w:r>
              <w:rPr>
                <w:rStyle w:val="IndexLink"/>
                <w:rtl w:val="true"/>
              </w:rPr>
              <w:tab/>
            </w:r>
            <w:r>
              <w:rPr>
                <w:rStyle w:val="IndexLink"/>
              </w:rPr>
              <w:t>462</w:t>
            </w:r>
          </w:hyperlink>
        </w:p>
        <w:p>
          <w:pPr>
            <w:pStyle w:val="Contents5"/>
            <w:tabs>
              <w:tab w:val="clear" w:pos="7892"/>
              <w:tab w:val="right" w:pos="9026" w:leader="dot"/>
            </w:tabs>
            <w:rPr/>
          </w:pPr>
          <w:hyperlink w:anchor="__RefHeading___Toc9587790_73709187">
            <w:r>
              <w:rPr>
                <w:webHidden/>
                <w:rStyle w:val="IndexLink"/>
                <w:rtl w:val="true"/>
              </w:rPr>
              <w:t>رأی أهل السنّة فی المسألة</w:t>
            </w:r>
            <w:r>
              <w:rPr>
                <w:rStyle w:val="IndexLink"/>
                <w:rtl w:val="true"/>
              </w:rPr>
              <w:tab/>
            </w:r>
            <w:r>
              <w:rPr>
                <w:rStyle w:val="IndexLink"/>
              </w:rPr>
              <w:t>463</w:t>
            </w:r>
          </w:hyperlink>
        </w:p>
        <w:p>
          <w:pPr>
            <w:pStyle w:val="Contents5"/>
            <w:tabs>
              <w:tab w:val="clear" w:pos="7892"/>
              <w:tab w:val="right" w:pos="9026" w:leader="dot"/>
            </w:tabs>
            <w:rPr/>
          </w:pPr>
          <w:hyperlink w:anchor="__RefHeading___Toc9587792_73709187">
            <w:r>
              <w:rPr>
                <w:webHidden/>
                <w:rStyle w:val="IndexLink"/>
                <w:rtl w:val="true"/>
              </w:rPr>
              <w:t>فروع</w:t>
            </w:r>
            <w:r>
              <w:rPr>
                <w:rStyle w:val="IndexLink"/>
                <w:rtl w:val="true"/>
              </w:rPr>
              <w:tab/>
            </w:r>
            <w:r>
              <w:rPr>
                <w:rStyle w:val="IndexLink"/>
              </w:rPr>
              <w:t>465</w:t>
            </w:r>
          </w:hyperlink>
        </w:p>
        <w:p>
          <w:pPr>
            <w:pStyle w:val="Contents6"/>
            <w:tabs>
              <w:tab w:val="clear" w:pos="7609"/>
              <w:tab w:val="right" w:pos="9026" w:leader="dot"/>
            </w:tabs>
            <w:rPr/>
          </w:pPr>
          <w:hyperlink w:anchor="__RefHeading___Toc9587794_73709187">
            <w:r>
              <w:rPr>
                <w:webHidden/>
                <w:rStyle w:val="IndexLink"/>
                <w:rtl w:val="true"/>
              </w:rPr>
              <w:t>الأوّل</w:t>
            </w:r>
            <w:r>
              <w:rPr>
                <w:rStyle w:val="IndexLink"/>
                <w:rtl w:val="true"/>
              </w:rPr>
              <w:t xml:space="preserve">: </w:t>
            </w:r>
            <w:r>
              <w:rPr>
                <w:rStyle w:val="IndexLink"/>
                <w:rtl w:val="true"/>
              </w:rPr>
              <w:t>طهارة الصبیّ فی الصلاة</w:t>
            </w:r>
            <w:r>
              <w:rPr>
                <w:rStyle w:val="IndexLink"/>
                <w:rtl w:val="true"/>
              </w:rPr>
              <w:tab/>
            </w:r>
            <w:r>
              <w:rPr>
                <w:rStyle w:val="IndexLink"/>
              </w:rPr>
              <w:t>465</w:t>
            </w:r>
          </w:hyperlink>
        </w:p>
        <w:p>
          <w:pPr>
            <w:pStyle w:val="Contents6"/>
            <w:tabs>
              <w:tab w:val="clear" w:pos="7609"/>
              <w:tab w:val="right" w:pos="9026" w:leader="dot"/>
            </w:tabs>
            <w:rPr/>
          </w:pPr>
          <w:hyperlink w:anchor="__RefHeading___Toc9587796_73709187">
            <w:r>
              <w:rPr>
                <w:webHidden/>
                <w:rStyle w:val="IndexLink"/>
                <w:rtl w:val="true"/>
              </w:rPr>
              <w:t>الفرع الثانی</w:t>
            </w:r>
            <w:r>
              <w:rPr>
                <w:rStyle w:val="IndexLink"/>
                <w:rtl w:val="true"/>
              </w:rPr>
              <w:t xml:space="preserve">: </w:t>
            </w:r>
            <w:r>
              <w:rPr>
                <w:rStyle w:val="IndexLink"/>
                <w:rtl w:val="true"/>
              </w:rPr>
              <w:t>لبس الصبیّ لباس الشهرة و ما یختصّ بالصبیّة</w:t>
            </w:r>
            <w:r>
              <w:rPr>
                <w:rStyle w:val="IndexLink"/>
                <w:rtl w:val="true"/>
              </w:rPr>
              <w:tab/>
            </w:r>
            <w:r>
              <w:rPr>
                <w:rStyle w:val="IndexLink"/>
              </w:rPr>
              <w:t>466</w:t>
            </w:r>
          </w:hyperlink>
        </w:p>
        <w:p>
          <w:pPr>
            <w:pStyle w:val="Contents6"/>
            <w:tabs>
              <w:tab w:val="clear" w:pos="7609"/>
              <w:tab w:val="right" w:pos="9026" w:leader="dot"/>
            </w:tabs>
            <w:rPr/>
          </w:pPr>
          <w:hyperlink w:anchor="__RefHeading___Toc9587798_73709187">
            <w:r>
              <w:rPr>
                <w:webHidden/>
                <w:rStyle w:val="IndexLink"/>
                <w:rtl w:val="true"/>
              </w:rPr>
              <w:t>الفرع الثالث</w:t>
            </w:r>
            <w:r>
              <w:rPr>
                <w:rStyle w:val="IndexLink"/>
                <w:rtl w:val="true"/>
              </w:rPr>
              <w:t xml:space="preserve">: </w:t>
            </w:r>
            <w:r>
              <w:rPr>
                <w:rStyle w:val="IndexLink"/>
                <w:rtl w:val="true"/>
              </w:rPr>
              <w:t>صلاة الصبیان فی لباس أو مکان مغصوبین</w:t>
            </w:r>
            <w:r>
              <w:rPr>
                <w:rStyle w:val="IndexLink"/>
                <w:rtl w:val="true"/>
              </w:rPr>
              <w:tab/>
            </w:r>
            <w:r>
              <w:rPr>
                <w:rStyle w:val="IndexLink"/>
              </w:rPr>
              <w:t>469</w:t>
            </w:r>
          </w:hyperlink>
        </w:p>
        <w:p>
          <w:pPr>
            <w:pStyle w:val="Contents6"/>
            <w:tabs>
              <w:tab w:val="clear" w:pos="7609"/>
              <w:tab w:val="right" w:pos="9026" w:leader="dot"/>
            </w:tabs>
            <w:rPr/>
          </w:pPr>
          <w:hyperlink w:anchor="__RefHeading___Toc9587800_73709187">
            <w:r>
              <w:rPr>
                <w:webHidden/>
                <w:rStyle w:val="IndexLink"/>
                <w:rtl w:val="true"/>
              </w:rPr>
              <w:t>الفرع الرابع</w:t>
            </w:r>
            <w:r>
              <w:rPr>
                <w:rStyle w:val="IndexLink"/>
                <w:rtl w:val="true"/>
              </w:rPr>
              <w:t xml:space="preserve">: </w:t>
            </w:r>
            <w:r>
              <w:rPr>
                <w:rStyle w:val="IndexLink"/>
                <w:rtl w:val="true"/>
              </w:rPr>
              <w:t>صلاة الصبیّ فی الحریر المحض</w:t>
            </w:r>
            <w:r>
              <w:rPr>
                <w:rStyle w:val="IndexLink"/>
                <w:rtl w:val="true"/>
              </w:rPr>
              <w:tab/>
            </w:r>
            <w:r>
              <w:rPr>
                <w:rStyle w:val="IndexLink"/>
              </w:rPr>
              <w:t>471</w:t>
            </w:r>
          </w:hyperlink>
        </w:p>
        <w:p>
          <w:pPr>
            <w:pStyle w:val="Contents6"/>
            <w:tabs>
              <w:tab w:val="clear" w:pos="7609"/>
              <w:tab w:val="right" w:pos="9026" w:leader="dot"/>
            </w:tabs>
            <w:rPr/>
          </w:pPr>
          <w:hyperlink w:anchor="__RefHeading___Toc9587802_73709187">
            <w:r>
              <w:rPr>
                <w:webHidden/>
                <w:rStyle w:val="IndexLink"/>
                <w:rtl w:val="true"/>
              </w:rPr>
              <w:t>الجهة الاُولی</w:t>
            </w:r>
            <w:r>
              <w:rPr>
                <w:rStyle w:val="IndexLink"/>
                <w:rtl w:val="true"/>
              </w:rPr>
              <w:t xml:space="preserve">: </w:t>
            </w:r>
            <w:r>
              <w:rPr>
                <w:rStyle w:val="IndexLink"/>
                <w:rtl w:val="true"/>
              </w:rPr>
              <w:t>إلباس الولیّ الصبیّ الحریر</w:t>
            </w:r>
            <w:r>
              <w:rPr>
                <w:rStyle w:val="IndexLink"/>
                <w:rtl w:val="true"/>
              </w:rPr>
              <w:tab/>
            </w:r>
            <w:r>
              <w:rPr>
                <w:rStyle w:val="IndexLink"/>
              </w:rPr>
              <w:t>472</w:t>
            </w:r>
          </w:hyperlink>
        </w:p>
        <w:p>
          <w:pPr>
            <w:pStyle w:val="Contents6"/>
            <w:tabs>
              <w:tab w:val="clear" w:pos="7609"/>
              <w:tab w:val="right" w:pos="9026" w:leader="dot"/>
            </w:tabs>
            <w:rPr/>
          </w:pPr>
          <w:hyperlink w:anchor="__RefHeading___Toc9587804_73709187">
            <w:r>
              <w:rPr>
                <w:webHidden/>
                <w:rStyle w:val="IndexLink"/>
                <w:rtl w:val="true"/>
              </w:rPr>
              <w:t>التفصیل فی المسألة</w:t>
            </w:r>
            <w:r>
              <w:rPr>
                <w:rStyle w:val="IndexLink"/>
                <w:rtl w:val="true"/>
              </w:rPr>
              <w:tab/>
            </w:r>
            <w:r>
              <w:rPr>
                <w:rStyle w:val="IndexLink"/>
              </w:rPr>
              <w:t>474</w:t>
            </w:r>
          </w:hyperlink>
        </w:p>
        <w:p>
          <w:pPr>
            <w:pStyle w:val="Contents6"/>
            <w:tabs>
              <w:tab w:val="clear" w:pos="7609"/>
              <w:tab w:val="right" w:pos="9026" w:leader="dot"/>
            </w:tabs>
            <w:rPr/>
          </w:pPr>
          <w:hyperlink w:anchor="__RefHeading___Toc9587806_73709187">
            <w:r>
              <w:rPr>
                <w:webHidden/>
                <w:rStyle w:val="IndexLink"/>
                <w:rtl w:val="true"/>
              </w:rPr>
              <w:t>الجهة الثانیة</w:t>
            </w:r>
            <w:r>
              <w:rPr>
                <w:rStyle w:val="IndexLink"/>
                <w:rtl w:val="true"/>
              </w:rPr>
              <w:t xml:space="preserve">: </w:t>
            </w:r>
            <w:r>
              <w:rPr>
                <w:rStyle w:val="IndexLink"/>
                <w:rtl w:val="true"/>
              </w:rPr>
              <w:t>لبس الصبیّ نفسه الحریر</w:t>
            </w:r>
            <w:r>
              <w:rPr>
                <w:rStyle w:val="IndexLink"/>
                <w:rtl w:val="true"/>
              </w:rPr>
              <w:tab/>
            </w:r>
            <w:r>
              <w:rPr>
                <w:rStyle w:val="IndexLink"/>
              </w:rPr>
              <w:t>476</w:t>
            </w:r>
          </w:hyperlink>
        </w:p>
        <w:p>
          <w:pPr>
            <w:pStyle w:val="Contents6"/>
            <w:tabs>
              <w:tab w:val="clear" w:pos="7609"/>
              <w:tab w:val="right" w:pos="9026" w:leader="dot"/>
            </w:tabs>
            <w:rPr/>
          </w:pPr>
          <w:hyperlink w:anchor="__RefHeading___Toc9587808_73709187">
            <w:r>
              <w:rPr>
                <w:webHidden/>
                <w:rStyle w:val="IndexLink"/>
                <w:rtl w:val="true"/>
              </w:rPr>
              <w:t>الجهة الثالثة</w:t>
            </w:r>
            <w:r>
              <w:rPr>
                <w:rStyle w:val="IndexLink"/>
                <w:rtl w:val="true"/>
              </w:rPr>
              <w:t xml:space="preserve">: </w:t>
            </w:r>
            <w:r>
              <w:rPr>
                <w:rStyle w:val="IndexLink"/>
                <w:rtl w:val="true"/>
              </w:rPr>
              <w:t>حکم صلاة الصبیّ فی الحریر المحض</w:t>
            </w:r>
            <w:r>
              <w:rPr>
                <w:rStyle w:val="IndexLink"/>
                <w:rtl w:val="true"/>
              </w:rPr>
              <w:tab/>
            </w:r>
            <w:r>
              <w:rPr>
                <w:rStyle w:val="IndexLink"/>
              </w:rPr>
              <w:t>477</w:t>
            </w:r>
          </w:hyperlink>
        </w:p>
        <w:p>
          <w:pPr>
            <w:pStyle w:val="Contents6"/>
            <w:tabs>
              <w:tab w:val="clear" w:pos="7609"/>
              <w:tab w:val="right" w:pos="9026" w:leader="dot"/>
            </w:tabs>
            <w:rPr/>
          </w:pPr>
          <w:hyperlink w:anchor="__RefHeading___Toc9587810_73709187">
            <w:r>
              <w:rPr>
                <w:webHidden/>
                <w:rStyle w:val="IndexLink"/>
                <w:rtl w:val="true"/>
              </w:rPr>
              <w:t>رأی أهل السنّة فی هذا الفرع</w:t>
            </w:r>
            <w:r>
              <w:rPr>
                <w:rStyle w:val="IndexLink"/>
                <w:rtl w:val="true"/>
              </w:rPr>
              <w:tab/>
            </w:r>
            <w:r>
              <w:rPr>
                <w:rStyle w:val="IndexLink"/>
              </w:rPr>
              <w:t>482</w:t>
            </w:r>
          </w:hyperlink>
        </w:p>
        <w:p>
          <w:pPr>
            <w:pStyle w:val="Contents6"/>
            <w:tabs>
              <w:tab w:val="clear" w:pos="7609"/>
              <w:tab w:val="right" w:pos="9026" w:leader="dot"/>
            </w:tabs>
            <w:rPr/>
          </w:pPr>
          <w:hyperlink w:anchor="__RefHeading___Toc9587812_73709187">
            <w:r>
              <w:rPr>
                <w:webHidden/>
                <w:rStyle w:val="IndexLink"/>
                <w:rtl w:val="true"/>
              </w:rPr>
              <w:t>الفرع الخامس</w:t>
            </w:r>
            <w:r>
              <w:rPr>
                <w:rStyle w:val="IndexLink"/>
                <w:rtl w:val="true"/>
              </w:rPr>
              <w:t xml:space="preserve">: </w:t>
            </w:r>
            <w:r>
              <w:rPr>
                <w:rStyle w:val="IndexLink"/>
                <w:rtl w:val="true"/>
              </w:rPr>
              <w:t>صلاة الصبیّ فی الثوب المموّه بالذهب</w:t>
            </w:r>
            <w:r>
              <w:rPr>
                <w:rStyle w:val="IndexLink"/>
                <w:rtl w:val="true"/>
              </w:rPr>
              <w:tab/>
            </w:r>
            <w:r>
              <w:rPr>
                <w:rStyle w:val="IndexLink"/>
              </w:rPr>
              <w:t>484</w:t>
            </w:r>
          </w:hyperlink>
        </w:p>
        <w:p>
          <w:pPr>
            <w:pStyle w:val="Contents6"/>
            <w:tabs>
              <w:tab w:val="clear" w:pos="7609"/>
              <w:tab w:val="right" w:pos="9026" w:leader="dot"/>
            </w:tabs>
            <w:rPr/>
          </w:pPr>
          <w:hyperlink w:anchor="__RefHeading___Toc9587814_73709187">
            <w:r>
              <w:rPr>
                <w:webHidden/>
                <w:rStyle w:val="IndexLink"/>
                <w:rtl w:val="true"/>
              </w:rPr>
              <w:t>الاُولی و الثانیة</w:t>
            </w:r>
            <w:r>
              <w:rPr>
                <w:rStyle w:val="IndexLink"/>
                <w:rtl w:val="true"/>
              </w:rPr>
              <w:t xml:space="preserve">: </w:t>
            </w:r>
            <w:r>
              <w:rPr>
                <w:rStyle w:val="IndexLink"/>
                <w:rtl w:val="true"/>
              </w:rPr>
              <w:t>بیان الحکم التکلیفی فی المسألة</w:t>
            </w:r>
            <w:r>
              <w:rPr>
                <w:rStyle w:val="IndexLink"/>
                <w:rtl w:val="true"/>
              </w:rPr>
              <w:tab/>
            </w:r>
            <w:r>
              <w:rPr>
                <w:rStyle w:val="IndexLink"/>
              </w:rPr>
              <w:t>485</w:t>
            </w:r>
          </w:hyperlink>
        </w:p>
        <w:p>
          <w:pPr>
            <w:pStyle w:val="Contents6"/>
            <w:tabs>
              <w:tab w:val="clear" w:pos="7609"/>
              <w:tab w:val="right" w:pos="9026" w:leader="dot"/>
            </w:tabs>
            <w:rPr/>
          </w:pPr>
          <w:hyperlink w:anchor="__RefHeading___Toc9587816_73709187">
            <w:r>
              <w:rPr>
                <w:webHidden/>
                <w:rStyle w:val="IndexLink"/>
                <w:rtl w:val="true"/>
              </w:rPr>
              <w:t>الثالثة</w:t>
            </w:r>
            <w:r>
              <w:rPr>
                <w:rStyle w:val="IndexLink"/>
                <w:rtl w:val="true"/>
              </w:rPr>
              <w:t xml:space="preserve">: </w:t>
            </w:r>
            <w:r>
              <w:rPr>
                <w:rStyle w:val="IndexLink"/>
                <w:rtl w:val="true"/>
              </w:rPr>
              <w:t>الحکم الوضعی فی المسألة</w:t>
            </w:r>
            <w:r>
              <w:rPr>
                <w:rStyle w:val="IndexLink"/>
                <w:rtl w:val="true"/>
              </w:rPr>
              <w:tab/>
            </w:r>
            <w:r>
              <w:rPr>
                <w:rStyle w:val="IndexLink"/>
              </w:rPr>
              <w:t>487</w:t>
            </w:r>
          </w:hyperlink>
        </w:p>
        <w:p>
          <w:pPr>
            <w:pStyle w:val="Contents6"/>
            <w:tabs>
              <w:tab w:val="clear" w:pos="7609"/>
              <w:tab w:val="right" w:pos="9026" w:leader="dot"/>
            </w:tabs>
            <w:rPr/>
          </w:pPr>
          <w:hyperlink w:anchor="__RefHeading___Toc9587818_73709187">
            <w:r>
              <w:rPr>
                <w:webHidden/>
                <w:rStyle w:val="IndexLink"/>
                <w:rtl w:val="true"/>
              </w:rPr>
              <w:t>الفرع السادس</w:t>
            </w:r>
            <w:r>
              <w:rPr>
                <w:rStyle w:val="IndexLink"/>
                <w:rtl w:val="true"/>
              </w:rPr>
              <w:t xml:space="preserve">: </w:t>
            </w:r>
            <w:r>
              <w:rPr>
                <w:rStyle w:val="IndexLink"/>
                <w:rtl w:val="true"/>
              </w:rPr>
              <w:t>صحّة صلاة الصبیّة مع عدم تغطیة رأسها</w:t>
            </w:r>
            <w:r>
              <w:rPr>
                <w:rStyle w:val="IndexLink"/>
                <w:rtl w:val="true"/>
              </w:rPr>
              <w:tab/>
            </w:r>
            <w:r>
              <w:rPr>
                <w:rStyle w:val="IndexLink"/>
              </w:rPr>
              <w:t>488</w:t>
            </w:r>
          </w:hyperlink>
        </w:p>
        <w:p>
          <w:pPr>
            <w:pStyle w:val="Contents6"/>
            <w:tabs>
              <w:tab w:val="clear" w:pos="7609"/>
              <w:tab w:val="right" w:pos="9026" w:leader="dot"/>
            </w:tabs>
            <w:rPr/>
          </w:pPr>
          <w:hyperlink w:anchor="__RefHeading___Toc9587820_73709187">
            <w:r>
              <w:rPr>
                <w:webHidden/>
                <w:rStyle w:val="IndexLink"/>
                <w:rtl w:val="true"/>
              </w:rPr>
              <w:t>أدلّة عدم اشتراط ستر الرأس للصبیّة فی الصلاة</w:t>
            </w:r>
            <w:r>
              <w:rPr>
                <w:rStyle w:val="IndexLink"/>
                <w:rtl w:val="true"/>
              </w:rPr>
              <w:tab/>
            </w:r>
            <w:r>
              <w:rPr>
                <w:rStyle w:val="IndexLink"/>
              </w:rPr>
              <w:t>490</w:t>
            </w:r>
          </w:hyperlink>
        </w:p>
        <w:p>
          <w:pPr>
            <w:pStyle w:val="Contents6"/>
            <w:tabs>
              <w:tab w:val="clear" w:pos="7609"/>
              <w:tab w:val="right" w:pos="9026" w:leader="dot"/>
            </w:tabs>
            <w:rPr/>
          </w:pPr>
          <w:hyperlink w:anchor="__RefHeading___Toc9587822_73709187">
            <w:r>
              <w:rPr>
                <w:webHidden/>
                <w:rStyle w:val="IndexLink"/>
                <w:rtl w:val="true"/>
              </w:rPr>
              <w:t>رأی أهل السنّة فی المسألة</w:t>
            </w:r>
            <w:r>
              <w:rPr>
                <w:rStyle w:val="IndexLink"/>
                <w:rtl w:val="true"/>
              </w:rPr>
              <w:tab/>
            </w:r>
            <w:r>
              <w:rPr>
                <w:rStyle w:val="IndexLink"/>
              </w:rPr>
              <w:t>492</w:t>
            </w:r>
          </w:hyperlink>
        </w:p>
        <w:p>
          <w:pPr>
            <w:pStyle w:val="Contents6"/>
            <w:tabs>
              <w:tab w:val="clear" w:pos="7609"/>
              <w:tab w:val="right" w:pos="9026" w:leader="dot"/>
            </w:tabs>
            <w:rPr/>
          </w:pPr>
          <w:hyperlink w:anchor="__RefHeading___Toc9587824_73709187">
            <w:r>
              <w:rPr>
                <w:webHidden/>
                <w:rStyle w:val="IndexLink"/>
                <w:rtl w:val="true"/>
              </w:rPr>
              <w:t>الفرع السابع</w:t>
            </w:r>
            <w:r>
              <w:rPr>
                <w:rStyle w:val="IndexLink"/>
                <w:rtl w:val="true"/>
              </w:rPr>
              <w:t xml:space="preserve">: </w:t>
            </w:r>
            <w:r>
              <w:rPr>
                <w:rStyle w:val="IndexLink"/>
                <w:rtl w:val="true"/>
              </w:rPr>
              <w:t>حکم تقدّم الصبیّة علی الصبیّ فی الصلاة</w:t>
            </w:r>
            <w:r>
              <w:rPr>
                <w:rStyle w:val="IndexLink"/>
                <w:rtl w:val="true"/>
              </w:rPr>
              <w:tab/>
            </w:r>
            <w:r>
              <w:rPr>
                <w:rStyle w:val="IndexLink"/>
              </w:rPr>
              <w:t>493</w:t>
            </w:r>
          </w:hyperlink>
        </w:p>
        <w:p>
          <w:pPr>
            <w:pStyle w:val="Contents4"/>
            <w:tabs>
              <w:tab w:val="clear" w:pos="8176"/>
              <w:tab w:val="right" w:pos="9026" w:leader="dot"/>
            </w:tabs>
            <w:rPr/>
          </w:pPr>
          <w:hyperlink w:anchor="__RefHeading___Toc9587826_73709187">
            <w:r>
              <w:rPr>
                <w:webHidden/>
                <w:rStyle w:val="IndexLink"/>
                <w:rtl w:val="true"/>
              </w:rPr>
              <w:t>المبحث الثانی</w:t>
            </w:r>
            <w:r>
              <w:rPr>
                <w:rStyle w:val="IndexLink"/>
                <w:rtl w:val="true"/>
              </w:rPr>
              <w:t>:</w:t>
            </w:r>
            <w:r>
              <w:rPr>
                <w:rStyle w:val="IndexLink"/>
                <w:rtl w:val="true"/>
              </w:rPr>
              <w:t>أذان الصبیّ و إقامته</w:t>
            </w:r>
            <w:r>
              <w:rPr>
                <w:rStyle w:val="IndexLink"/>
                <w:rtl w:val="true"/>
              </w:rPr>
              <w:tab/>
            </w:r>
            <w:r>
              <w:rPr>
                <w:rStyle w:val="IndexLink"/>
              </w:rPr>
              <w:t>500</w:t>
            </w:r>
          </w:hyperlink>
        </w:p>
        <w:p>
          <w:pPr>
            <w:pStyle w:val="Contents5"/>
            <w:tabs>
              <w:tab w:val="clear" w:pos="7892"/>
              <w:tab w:val="right" w:pos="9026" w:leader="dot"/>
            </w:tabs>
            <w:rPr/>
          </w:pPr>
          <w:hyperlink w:anchor="__RefHeading___Toc9587828_73709187">
            <w:r>
              <w:rPr>
                <w:webHidden/>
                <w:rStyle w:val="IndexLink"/>
                <w:rtl w:val="true"/>
              </w:rPr>
              <w:t>المطلب الأوّل</w:t>
            </w:r>
            <w:r>
              <w:rPr>
                <w:rStyle w:val="IndexLink"/>
                <w:rtl w:val="true"/>
              </w:rPr>
              <w:t xml:space="preserve">: </w:t>
            </w:r>
            <w:r>
              <w:rPr>
                <w:rStyle w:val="IndexLink"/>
                <w:rtl w:val="true"/>
              </w:rPr>
              <w:t>أذان الصبیّ‌</w:t>
            </w:r>
            <w:r>
              <w:rPr>
                <w:rStyle w:val="IndexLink"/>
                <w:rtl w:val="true"/>
              </w:rPr>
              <w:tab/>
            </w:r>
            <w:r>
              <w:rPr>
                <w:rStyle w:val="IndexLink"/>
              </w:rPr>
              <w:t>500</w:t>
            </w:r>
          </w:hyperlink>
        </w:p>
        <w:p>
          <w:pPr>
            <w:pStyle w:val="Contents6"/>
            <w:tabs>
              <w:tab w:val="clear" w:pos="7609"/>
              <w:tab w:val="right" w:pos="9026" w:leader="dot"/>
            </w:tabs>
            <w:rPr/>
          </w:pPr>
          <w:hyperlink w:anchor="__RefHeading___Toc9587830_73709187">
            <w:r>
              <w:rPr>
                <w:webHidden/>
                <w:rStyle w:val="IndexLink"/>
                <w:rtl w:val="true"/>
              </w:rPr>
              <w:t>اشارة</w:t>
            </w:r>
            <w:r>
              <w:rPr>
                <w:rStyle w:val="IndexLink"/>
                <w:rtl w:val="true"/>
              </w:rPr>
              <w:tab/>
            </w:r>
            <w:r>
              <w:rPr>
                <w:rStyle w:val="IndexLink"/>
              </w:rPr>
              <w:t>500</w:t>
            </w:r>
          </w:hyperlink>
        </w:p>
        <w:p>
          <w:pPr>
            <w:pStyle w:val="Contents6"/>
            <w:tabs>
              <w:tab w:val="clear" w:pos="7609"/>
              <w:tab w:val="right" w:pos="9026" w:leader="dot"/>
            </w:tabs>
            <w:rPr/>
          </w:pPr>
          <w:hyperlink w:anchor="__RefHeading___Toc9587832_73709187">
            <w:r>
              <w:rPr>
                <w:webHidden/>
                <w:rStyle w:val="IndexLink"/>
                <w:rtl w:val="true"/>
              </w:rPr>
              <w:t>أدلّة صحّة أذان الصبیّ الممیّز و جواز الاکتفاء به</w:t>
            </w:r>
            <w:r>
              <w:rPr>
                <w:rStyle w:val="IndexLink"/>
                <w:rtl w:val="true"/>
              </w:rPr>
              <w:tab/>
            </w:r>
            <w:r>
              <w:rPr>
                <w:rStyle w:val="IndexLink"/>
              </w:rPr>
              <w:t>502</w:t>
            </w:r>
          </w:hyperlink>
        </w:p>
        <w:p>
          <w:pPr>
            <w:pStyle w:val="Contents5"/>
            <w:tabs>
              <w:tab w:val="clear" w:pos="7892"/>
              <w:tab w:val="right" w:pos="9026" w:leader="dot"/>
            </w:tabs>
            <w:rPr/>
          </w:pPr>
          <w:hyperlink w:anchor="__RefHeading___Toc9587834_73709187">
            <w:r>
              <w:rPr>
                <w:webHidden/>
                <w:rStyle w:val="IndexLink"/>
                <w:rtl w:val="true"/>
              </w:rPr>
              <w:t>أذان الصبیّ عند أهل السنّة</w:t>
            </w:r>
            <w:r>
              <w:rPr>
                <w:rStyle w:val="IndexLink"/>
                <w:rtl w:val="true"/>
              </w:rPr>
              <w:tab/>
            </w:r>
            <w:r>
              <w:rPr>
                <w:rStyle w:val="IndexLink"/>
              </w:rPr>
              <w:t>506</w:t>
            </w:r>
          </w:hyperlink>
        </w:p>
        <w:p>
          <w:pPr>
            <w:pStyle w:val="Contents5"/>
            <w:tabs>
              <w:tab w:val="clear" w:pos="7892"/>
              <w:tab w:val="right" w:pos="9026" w:leader="dot"/>
            </w:tabs>
            <w:rPr/>
          </w:pPr>
          <w:hyperlink w:anchor="__RefHeading___Toc9587836_73709187">
            <w:r>
              <w:rPr>
                <w:webHidden/>
                <w:rStyle w:val="IndexLink"/>
                <w:rtl w:val="true"/>
              </w:rPr>
              <w:t>المطلب الثانی</w:t>
            </w:r>
            <w:r>
              <w:rPr>
                <w:rStyle w:val="IndexLink"/>
                <w:rtl w:val="true"/>
              </w:rPr>
              <w:t xml:space="preserve">: </w:t>
            </w:r>
            <w:r>
              <w:rPr>
                <w:rStyle w:val="IndexLink"/>
                <w:rtl w:val="true"/>
              </w:rPr>
              <w:t>إقامة الصبیّ‌</w:t>
            </w:r>
            <w:r>
              <w:rPr>
                <w:rStyle w:val="IndexLink"/>
                <w:rtl w:val="true"/>
              </w:rPr>
              <w:tab/>
            </w:r>
            <w:r>
              <w:rPr>
                <w:rStyle w:val="IndexLink"/>
              </w:rPr>
              <w:t>508</w:t>
            </w:r>
          </w:hyperlink>
        </w:p>
        <w:p>
          <w:pPr>
            <w:pStyle w:val="Contents5"/>
            <w:tabs>
              <w:tab w:val="clear" w:pos="7892"/>
              <w:tab w:val="right" w:pos="9026" w:leader="dot"/>
            </w:tabs>
            <w:rPr/>
          </w:pPr>
          <w:hyperlink w:anchor="__RefHeading___Toc9587838_73709187">
            <w:r>
              <w:rPr>
                <w:webHidden/>
                <w:rStyle w:val="IndexLink"/>
                <w:rtl w:val="true"/>
              </w:rPr>
              <w:t>إقامة الصبیّ عند أهل السنّة</w:t>
            </w:r>
            <w:r>
              <w:rPr>
                <w:rStyle w:val="IndexLink"/>
                <w:rtl w:val="true"/>
              </w:rPr>
              <w:tab/>
            </w:r>
            <w:r>
              <w:rPr>
                <w:rStyle w:val="IndexLink"/>
              </w:rPr>
              <w:t>511</w:t>
            </w:r>
          </w:hyperlink>
        </w:p>
        <w:p>
          <w:pPr>
            <w:pStyle w:val="Contents4"/>
            <w:tabs>
              <w:tab w:val="clear" w:pos="8176"/>
              <w:tab w:val="right" w:pos="9026" w:leader="dot"/>
            </w:tabs>
            <w:rPr/>
          </w:pPr>
          <w:hyperlink w:anchor="__RefHeading___Toc9587840_73709187">
            <w:r>
              <w:rPr>
                <w:webHidden/>
                <w:rStyle w:val="IndexLink"/>
                <w:rtl w:val="true"/>
              </w:rPr>
              <w:t>المبحث الثالث</w:t>
            </w:r>
            <w:r>
              <w:rPr>
                <w:rStyle w:val="IndexLink"/>
                <w:rtl w:val="true"/>
              </w:rPr>
              <w:t>:</w:t>
            </w:r>
            <w:r>
              <w:rPr>
                <w:rStyle w:val="IndexLink"/>
                <w:rtl w:val="true"/>
              </w:rPr>
              <w:t>انعقاد الجماعة بالصبیّ‌</w:t>
            </w:r>
            <w:r>
              <w:rPr>
                <w:rStyle w:val="IndexLink"/>
                <w:rtl w:val="true"/>
              </w:rPr>
              <w:tab/>
            </w:r>
            <w:r>
              <w:rPr>
                <w:rStyle w:val="IndexLink"/>
              </w:rPr>
              <w:t>513</w:t>
            </w:r>
          </w:hyperlink>
        </w:p>
        <w:p>
          <w:pPr>
            <w:pStyle w:val="Contents5"/>
            <w:tabs>
              <w:tab w:val="clear" w:pos="7892"/>
              <w:tab w:val="right" w:pos="9026" w:leader="dot"/>
            </w:tabs>
            <w:rPr/>
          </w:pPr>
          <w:hyperlink w:anchor="__RefHeading___Toc9587842_73709187">
            <w:r>
              <w:rPr>
                <w:webHidden/>
                <w:rStyle w:val="IndexLink"/>
                <w:rtl w:val="true"/>
              </w:rPr>
              <w:t>اشارة</w:t>
            </w:r>
            <w:r>
              <w:rPr>
                <w:rStyle w:val="IndexLink"/>
                <w:rtl w:val="true"/>
              </w:rPr>
              <w:tab/>
            </w:r>
            <w:r>
              <w:rPr>
                <w:rStyle w:val="IndexLink"/>
              </w:rPr>
              <w:t>513</w:t>
            </w:r>
          </w:hyperlink>
        </w:p>
        <w:p>
          <w:pPr>
            <w:pStyle w:val="Contents5"/>
            <w:tabs>
              <w:tab w:val="clear" w:pos="7892"/>
              <w:tab w:val="right" w:pos="9026" w:leader="dot"/>
            </w:tabs>
            <w:rPr/>
          </w:pPr>
          <w:hyperlink w:anchor="__RefHeading___Toc9587844_73709187">
            <w:r>
              <w:rPr>
                <w:webHidden/>
                <w:rStyle w:val="IndexLink"/>
                <w:rtl w:val="true"/>
              </w:rPr>
              <w:t>أدلّة انعقاد الجماعة بالصبیّ‌</w:t>
            </w:r>
            <w:r>
              <w:rPr>
                <w:rStyle w:val="IndexLink"/>
                <w:rtl w:val="true"/>
              </w:rPr>
              <w:tab/>
            </w:r>
            <w:r>
              <w:rPr>
                <w:rStyle w:val="IndexLink"/>
              </w:rPr>
              <w:t>514</w:t>
            </w:r>
          </w:hyperlink>
        </w:p>
        <w:p>
          <w:pPr>
            <w:pStyle w:val="Contents5"/>
            <w:tabs>
              <w:tab w:val="clear" w:pos="7892"/>
              <w:tab w:val="right" w:pos="9026" w:leader="dot"/>
            </w:tabs>
            <w:rPr/>
          </w:pPr>
          <w:hyperlink w:anchor="__RefHeading___Toc9587846_73709187">
            <w:r>
              <w:rPr>
                <w:webHidden/>
                <w:rStyle w:val="IndexLink"/>
                <w:rtl w:val="true"/>
              </w:rPr>
              <w:t>آراء أهل السنّة فی المسألة</w:t>
            </w:r>
            <w:r>
              <w:rPr>
                <w:rStyle w:val="IndexLink"/>
                <w:rtl w:val="true"/>
              </w:rPr>
              <w:tab/>
            </w:r>
            <w:r>
              <w:rPr>
                <w:rStyle w:val="IndexLink"/>
              </w:rPr>
              <w:t>519</w:t>
            </w:r>
          </w:hyperlink>
        </w:p>
        <w:p>
          <w:pPr>
            <w:pStyle w:val="Contents5"/>
            <w:tabs>
              <w:tab w:val="clear" w:pos="7892"/>
              <w:tab w:val="right" w:pos="9026" w:leader="dot"/>
            </w:tabs>
            <w:rPr/>
          </w:pPr>
          <w:hyperlink w:anchor="__RefHeading___Toc9587848_73709187">
            <w:r>
              <w:rPr>
                <w:webHidden/>
                <w:rStyle w:val="IndexLink"/>
                <w:rtl w:val="true"/>
              </w:rPr>
              <w:t>کراهة تمکین الصبیان من الصفّ الأوّل أو عدمها</w:t>
            </w:r>
            <w:r>
              <w:rPr>
                <w:rStyle w:val="IndexLink"/>
                <w:rtl w:val="true"/>
              </w:rPr>
              <w:tab/>
            </w:r>
            <w:r>
              <w:rPr>
                <w:rStyle w:val="IndexLink"/>
              </w:rPr>
              <w:t>520</w:t>
            </w:r>
          </w:hyperlink>
        </w:p>
        <w:p>
          <w:pPr>
            <w:pStyle w:val="Contents5"/>
            <w:tabs>
              <w:tab w:val="clear" w:pos="7892"/>
              <w:tab w:val="right" w:pos="9026" w:leader="dot"/>
            </w:tabs>
            <w:rPr/>
          </w:pPr>
          <w:hyperlink w:anchor="__RefHeading___Toc9587850_73709187">
            <w:r>
              <w:rPr>
                <w:webHidden/>
                <w:rStyle w:val="IndexLink"/>
                <w:rtl w:val="true"/>
              </w:rPr>
              <w:t>رأی أهل السنّة فی المسألة</w:t>
            </w:r>
            <w:r>
              <w:rPr>
                <w:rStyle w:val="IndexLink"/>
                <w:rtl w:val="true"/>
              </w:rPr>
              <w:tab/>
            </w:r>
            <w:r>
              <w:rPr>
                <w:rStyle w:val="IndexLink"/>
              </w:rPr>
              <w:t>525</w:t>
            </w:r>
          </w:hyperlink>
        </w:p>
        <w:p>
          <w:pPr>
            <w:pStyle w:val="Contents4"/>
            <w:tabs>
              <w:tab w:val="clear" w:pos="8176"/>
              <w:tab w:val="right" w:pos="9026" w:leader="dot"/>
            </w:tabs>
            <w:rPr/>
          </w:pPr>
          <w:hyperlink w:anchor="__RefHeading___Toc9587852_73709187">
            <w:r>
              <w:rPr>
                <w:webHidden/>
                <w:rStyle w:val="IndexLink"/>
                <w:rtl w:val="true"/>
              </w:rPr>
              <w:t>المبحث الرابع</w:t>
            </w:r>
            <w:r>
              <w:rPr>
                <w:rStyle w:val="IndexLink"/>
                <w:rtl w:val="true"/>
              </w:rPr>
              <w:t>:</w:t>
            </w:r>
            <w:r>
              <w:rPr>
                <w:rStyle w:val="IndexLink"/>
                <w:rtl w:val="true"/>
              </w:rPr>
              <w:t>عدم انعقاد صلاة الجمعة بالصبیّ‌</w:t>
            </w:r>
            <w:r>
              <w:rPr>
                <w:rStyle w:val="IndexLink"/>
                <w:rtl w:val="true"/>
              </w:rPr>
              <w:tab/>
            </w:r>
            <w:r>
              <w:rPr>
                <w:rStyle w:val="IndexLink"/>
              </w:rPr>
              <w:t>526</w:t>
            </w:r>
          </w:hyperlink>
        </w:p>
        <w:p>
          <w:pPr>
            <w:pStyle w:val="Contents5"/>
            <w:tabs>
              <w:tab w:val="clear" w:pos="7892"/>
              <w:tab w:val="right" w:pos="9026" w:leader="dot"/>
            </w:tabs>
            <w:rPr/>
          </w:pPr>
          <w:hyperlink w:anchor="__RefHeading___Toc9587854_73709187">
            <w:r>
              <w:rPr>
                <w:webHidden/>
                <w:rStyle w:val="IndexLink"/>
                <w:rtl w:val="true"/>
              </w:rPr>
              <w:t>اشارة</w:t>
            </w:r>
            <w:r>
              <w:rPr>
                <w:rStyle w:val="IndexLink"/>
                <w:rtl w:val="true"/>
              </w:rPr>
              <w:tab/>
            </w:r>
            <w:r>
              <w:rPr>
                <w:rStyle w:val="IndexLink"/>
              </w:rPr>
              <w:t>526</w:t>
            </w:r>
          </w:hyperlink>
        </w:p>
        <w:p>
          <w:pPr>
            <w:pStyle w:val="Contents5"/>
            <w:tabs>
              <w:tab w:val="clear" w:pos="7892"/>
              <w:tab w:val="right" w:pos="9026" w:leader="dot"/>
            </w:tabs>
            <w:rPr/>
          </w:pPr>
          <w:hyperlink w:anchor="__RefHeading___Toc9587856_73709187">
            <w:r>
              <w:rPr>
                <w:webHidden/>
                <w:rStyle w:val="IndexLink"/>
                <w:rtl w:val="true"/>
              </w:rPr>
              <w:t>رأی أهل السنّة</w:t>
            </w:r>
            <w:r>
              <w:rPr>
                <w:rStyle w:val="IndexLink"/>
                <w:rtl w:val="true"/>
              </w:rPr>
              <w:tab/>
            </w:r>
            <w:r>
              <w:rPr>
                <w:rStyle w:val="IndexLink"/>
              </w:rPr>
              <w:t>529</w:t>
            </w:r>
          </w:hyperlink>
        </w:p>
        <w:p>
          <w:pPr>
            <w:pStyle w:val="Contents4"/>
            <w:tabs>
              <w:tab w:val="clear" w:pos="8176"/>
              <w:tab w:val="right" w:pos="9026" w:leader="dot"/>
            </w:tabs>
            <w:rPr/>
          </w:pPr>
          <w:hyperlink w:anchor="__RefHeading___Toc9587858_73709187">
            <w:r>
              <w:rPr>
                <w:webHidden/>
                <w:rStyle w:val="IndexLink"/>
                <w:rtl w:val="true"/>
              </w:rPr>
              <w:t>المبحث الخامس</w:t>
            </w:r>
            <w:r>
              <w:rPr>
                <w:rStyle w:val="IndexLink"/>
                <w:rtl w:val="true"/>
              </w:rPr>
              <w:t>:</w:t>
            </w:r>
            <w:r>
              <w:rPr>
                <w:rStyle w:val="IndexLink"/>
                <w:rtl w:val="true"/>
              </w:rPr>
              <w:t>إمامة الصبیّ فی الصلاة</w:t>
            </w:r>
            <w:r>
              <w:rPr>
                <w:rStyle w:val="IndexLink"/>
                <w:rtl w:val="true"/>
              </w:rPr>
              <w:tab/>
            </w:r>
            <w:r>
              <w:rPr>
                <w:rStyle w:val="IndexLink"/>
              </w:rPr>
              <w:t>531</w:t>
            </w:r>
          </w:hyperlink>
        </w:p>
        <w:p>
          <w:pPr>
            <w:pStyle w:val="Contents5"/>
            <w:tabs>
              <w:tab w:val="clear" w:pos="7892"/>
              <w:tab w:val="right" w:pos="9026" w:leader="dot"/>
            </w:tabs>
            <w:rPr/>
          </w:pPr>
          <w:hyperlink w:anchor="__RefHeading___Toc9587860_73709187">
            <w:r>
              <w:rPr>
                <w:webHidden/>
                <w:rStyle w:val="IndexLink"/>
                <w:rtl w:val="true"/>
              </w:rPr>
              <w:t>اشارة</w:t>
            </w:r>
            <w:r>
              <w:rPr>
                <w:rStyle w:val="IndexLink"/>
                <w:rtl w:val="true"/>
              </w:rPr>
              <w:tab/>
            </w:r>
            <w:r>
              <w:rPr>
                <w:rStyle w:val="IndexLink"/>
              </w:rPr>
              <w:t>531</w:t>
            </w:r>
          </w:hyperlink>
        </w:p>
        <w:p>
          <w:pPr>
            <w:pStyle w:val="Contents5"/>
            <w:tabs>
              <w:tab w:val="clear" w:pos="7892"/>
              <w:tab w:val="right" w:pos="9026" w:leader="dot"/>
            </w:tabs>
            <w:rPr/>
          </w:pPr>
          <w:hyperlink w:anchor="__RefHeading___Toc9587862_73709187">
            <w:r>
              <w:rPr>
                <w:webHidden/>
                <w:rStyle w:val="IndexLink"/>
                <w:rtl w:val="true"/>
              </w:rPr>
              <w:t>المطلب الأوّل</w:t>
            </w:r>
            <w:r>
              <w:rPr>
                <w:rStyle w:val="IndexLink"/>
                <w:rtl w:val="true"/>
              </w:rPr>
              <w:t xml:space="preserve">: </w:t>
            </w:r>
            <w:r>
              <w:rPr>
                <w:rStyle w:val="IndexLink"/>
                <w:rtl w:val="true"/>
              </w:rPr>
              <w:t>إمامته فی الفرائض</w:t>
            </w:r>
            <w:r>
              <w:rPr>
                <w:rStyle w:val="IndexLink"/>
                <w:rtl w:val="true"/>
              </w:rPr>
              <w:tab/>
            </w:r>
            <w:r>
              <w:rPr>
                <w:rStyle w:val="IndexLink"/>
              </w:rPr>
              <w:t>531</w:t>
            </w:r>
          </w:hyperlink>
        </w:p>
        <w:p>
          <w:pPr>
            <w:pStyle w:val="Contents6"/>
            <w:tabs>
              <w:tab w:val="clear" w:pos="7609"/>
              <w:tab w:val="right" w:pos="9026" w:leader="dot"/>
            </w:tabs>
            <w:rPr/>
          </w:pPr>
          <w:hyperlink w:anchor="__RefHeading___Toc9587864_73709187">
            <w:r>
              <w:rPr>
                <w:webHidden/>
                <w:rStyle w:val="IndexLink"/>
                <w:rtl w:val="true"/>
              </w:rPr>
              <w:t>اشارة</w:t>
            </w:r>
            <w:r>
              <w:rPr>
                <w:rStyle w:val="IndexLink"/>
                <w:rtl w:val="true"/>
              </w:rPr>
              <w:tab/>
            </w:r>
            <w:r>
              <w:rPr>
                <w:rStyle w:val="IndexLink"/>
              </w:rPr>
              <w:t>531</w:t>
            </w:r>
          </w:hyperlink>
        </w:p>
        <w:p>
          <w:pPr>
            <w:pStyle w:val="Contents6"/>
            <w:tabs>
              <w:tab w:val="clear" w:pos="7609"/>
              <w:tab w:val="right" w:pos="9026" w:leader="dot"/>
            </w:tabs>
            <w:rPr/>
          </w:pPr>
          <w:hyperlink w:anchor="__RefHeading___Toc9587866_73709187">
            <w:r>
              <w:rPr>
                <w:webHidden/>
                <w:rStyle w:val="IndexLink"/>
                <w:rtl w:val="true"/>
              </w:rPr>
              <w:t>أدلّة صحّة إمامة الصبیّ فی الفرائض</w:t>
            </w:r>
            <w:r>
              <w:rPr>
                <w:rStyle w:val="IndexLink"/>
                <w:rtl w:val="true"/>
              </w:rPr>
              <w:tab/>
            </w:r>
            <w:r>
              <w:rPr>
                <w:rStyle w:val="IndexLink"/>
              </w:rPr>
              <w:t>532</w:t>
            </w:r>
          </w:hyperlink>
        </w:p>
        <w:p>
          <w:pPr>
            <w:pStyle w:val="Contents5"/>
            <w:tabs>
              <w:tab w:val="clear" w:pos="7892"/>
              <w:tab w:val="right" w:pos="9026" w:leader="dot"/>
            </w:tabs>
            <w:rPr/>
          </w:pPr>
          <w:hyperlink w:anchor="__RefHeading___Toc9587868_73709187">
            <w:r>
              <w:rPr>
                <w:webHidden/>
                <w:rStyle w:val="IndexLink"/>
                <w:rtl w:val="true"/>
              </w:rPr>
              <w:t>عدم جواز إمامة الصبیّ فی الفرائض</w:t>
            </w:r>
            <w:r>
              <w:rPr>
                <w:rStyle w:val="IndexLink"/>
                <w:rtl w:val="true"/>
              </w:rPr>
              <w:tab/>
            </w:r>
            <w:r>
              <w:rPr>
                <w:rStyle w:val="IndexLink"/>
              </w:rPr>
              <w:t>534</w:t>
            </w:r>
          </w:hyperlink>
        </w:p>
        <w:p>
          <w:pPr>
            <w:pStyle w:val="Contents6"/>
            <w:tabs>
              <w:tab w:val="clear" w:pos="7609"/>
              <w:tab w:val="right" w:pos="9026" w:leader="dot"/>
            </w:tabs>
            <w:rPr/>
          </w:pPr>
          <w:hyperlink w:anchor="__RefHeading___Toc9587870_73709187">
            <w:r>
              <w:rPr>
                <w:webHidden/>
                <w:rStyle w:val="IndexLink"/>
                <w:rtl w:val="true"/>
              </w:rPr>
              <w:t>اشارة</w:t>
            </w:r>
            <w:r>
              <w:rPr>
                <w:rStyle w:val="IndexLink"/>
                <w:rtl w:val="true"/>
              </w:rPr>
              <w:tab/>
            </w:r>
            <w:r>
              <w:rPr>
                <w:rStyle w:val="IndexLink"/>
              </w:rPr>
              <w:t>534</w:t>
            </w:r>
          </w:hyperlink>
        </w:p>
        <w:p>
          <w:pPr>
            <w:pStyle w:val="Contents6"/>
            <w:tabs>
              <w:tab w:val="clear" w:pos="7609"/>
              <w:tab w:val="right" w:pos="9026" w:leader="dot"/>
            </w:tabs>
            <w:rPr/>
          </w:pPr>
          <w:hyperlink w:anchor="__RefHeading___Toc9587872_73709187">
            <w:r>
              <w:rPr>
                <w:webHidden/>
                <w:rStyle w:val="IndexLink"/>
                <w:rtl w:val="true"/>
              </w:rPr>
              <w:t>أدلّة عدم جواز إمامة الصبیّ فی الفرائض</w:t>
            </w:r>
            <w:r>
              <w:rPr>
                <w:rStyle w:val="IndexLink"/>
                <w:rtl w:val="true"/>
              </w:rPr>
              <w:tab/>
            </w:r>
            <w:r>
              <w:rPr>
                <w:rStyle w:val="IndexLink"/>
              </w:rPr>
              <w:t>535</w:t>
            </w:r>
          </w:hyperlink>
        </w:p>
        <w:p>
          <w:pPr>
            <w:pStyle w:val="Contents6"/>
            <w:tabs>
              <w:tab w:val="clear" w:pos="7609"/>
              <w:tab w:val="right" w:pos="9026" w:leader="dot"/>
            </w:tabs>
            <w:rPr/>
          </w:pPr>
          <w:hyperlink w:anchor="__RefHeading___Toc9587874_73709187">
            <w:r>
              <w:rPr>
                <w:webHidden/>
                <w:rStyle w:val="IndexLink"/>
                <w:rtl w:val="true"/>
              </w:rPr>
              <w:t>إیضاح</w:t>
            </w:r>
            <w:r>
              <w:rPr>
                <w:rStyle w:val="IndexLink"/>
                <w:rtl w:val="true"/>
              </w:rPr>
              <w:tab/>
            </w:r>
            <w:r>
              <w:rPr>
                <w:rStyle w:val="IndexLink"/>
              </w:rPr>
              <w:t>539</w:t>
            </w:r>
          </w:hyperlink>
        </w:p>
        <w:p>
          <w:pPr>
            <w:pStyle w:val="Contents6"/>
            <w:tabs>
              <w:tab w:val="clear" w:pos="7609"/>
              <w:tab w:val="right" w:pos="9026" w:leader="dot"/>
            </w:tabs>
            <w:rPr/>
          </w:pPr>
          <w:hyperlink w:anchor="__RefHeading___Toc9587876_73709187">
            <w:r>
              <w:rPr>
                <w:webHidden/>
                <w:rStyle w:val="IndexLink"/>
                <w:rtl w:val="true"/>
              </w:rPr>
              <w:t>رأی أهل السنّة فی المسألة</w:t>
            </w:r>
            <w:r>
              <w:rPr>
                <w:rStyle w:val="IndexLink"/>
                <w:rtl w:val="true"/>
              </w:rPr>
              <w:tab/>
            </w:r>
            <w:r>
              <w:rPr>
                <w:rStyle w:val="IndexLink"/>
              </w:rPr>
              <w:t>540</w:t>
            </w:r>
          </w:hyperlink>
        </w:p>
        <w:p>
          <w:pPr>
            <w:pStyle w:val="Contents5"/>
            <w:tabs>
              <w:tab w:val="clear" w:pos="7892"/>
              <w:tab w:val="right" w:pos="9026" w:leader="dot"/>
            </w:tabs>
            <w:rPr/>
          </w:pPr>
          <w:hyperlink w:anchor="__RefHeading___Toc9587878_73709187">
            <w:r>
              <w:rPr>
                <w:webHidden/>
                <w:rStyle w:val="IndexLink"/>
                <w:rtl w:val="true"/>
              </w:rPr>
              <w:t>المطلب الثانی</w:t>
            </w:r>
            <w:r>
              <w:rPr>
                <w:rStyle w:val="IndexLink"/>
                <w:rtl w:val="true"/>
              </w:rPr>
              <w:t xml:space="preserve">: </w:t>
            </w:r>
            <w:r>
              <w:rPr>
                <w:rStyle w:val="IndexLink"/>
                <w:rtl w:val="true"/>
              </w:rPr>
              <w:t>إمامة الصبیّ فی النفل</w:t>
            </w:r>
            <w:r>
              <w:rPr>
                <w:rStyle w:val="IndexLink"/>
                <w:rtl w:val="true"/>
              </w:rPr>
              <w:tab/>
            </w:r>
            <w:r>
              <w:rPr>
                <w:rStyle w:val="IndexLink"/>
              </w:rPr>
              <w:t>542</w:t>
            </w:r>
          </w:hyperlink>
        </w:p>
        <w:p>
          <w:pPr>
            <w:pStyle w:val="Contents6"/>
            <w:tabs>
              <w:tab w:val="clear" w:pos="7609"/>
              <w:tab w:val="right" w:pos="9026" w:leader="dot"/>
            </w:tabs>
            <w:rPr/>
          </w:pPr>
          <w:hyperlink w:anchor="__RefHeading___Toc9587880_73709187">
            <w:r>
              <w:rPr>
                <w:webHidden/>
                <w:rStyle w:val="IndexLink"/>
                <w:rtl w:val="true"/>
              </w:rPr>
              <w:t>اشارة</w:t>
            </w:r>
            <w:r>
              <w:rPr>
                <w:rStyle w:val="IndexLink"/>
                <w:rtl w:val="true"/>
              </w:rPr>
              <w:tab/>
            </w:r>
            <w:r>
              <w:rPr>
                <w:rStyle w:val="IndexLink"/>
              </w:rPr>
              <w:t>542</w:t>
            </w:r>
          </w:hyperlink>
        </w:p>
        <w:p>
          <w:pPr>
            <w:pStyle w:val="Contents6"/>
            <w:tabs>
              <w:tab w:val="clear" w:pos="7609"/>
              <w:tab w:val="right" w:pos="9026" w:leader="dot"/>
            </w:tabs>
            <w:rPr/>
          </w:pPr>
          <w:hyperlink w:anchor="__RefHeading___Toc9587882_73709187">
            <w:r>
              <w:rPr>
                <w:webHidden/>
                <w:rStyle w:val="IndexLink"/>
                <w:rtl w:val="true"/>
              </w:rPr>
              <w:t>مذهب أهل السنّة فی المسألة</w:t>
            </w:r>
            <w:r>
              <w:rPr>
                <w:rStyle w:val="IndexLink"/>
                <w:rtl w:val="true"/>
              </w:rPr>
              <w:tab/>
            </w:r>
            <w:r>
              <w:rPr>
                <w:rStyle w:val="IndexLink"/>
              </w:rPr>
              <w:t>544</w:t>
            </w:r>
          </w:hyperlink>
        </w:p>
        <w:p>
          <w:pPr>
            <w:pStyle w:val="Contents5"/>
            <w:tabs>
              <w:tab w:val="clear" w:pos="7892"/>
              <w:tab w:val="right" w:pos="9026" w:leader="dot"/>
            </w:tabs>
            <w:rPr/>
          </w:pPr>
          <w:hyperlink w:anchor="__RefHeading___Toc9587884_73709187">
            <w:r>
              <w:rPr>
                <w:webHidden/>
                <w:rStyle w:val="IndexLink"/>
                <w:rtl w:val="true"/>
              </w:rPr>
              <w:t>المطلب الثالث</w:t>
            </w:r>
            <w:r>
              <w:rPr>
                <w:rStyle w:val="IndexLink"/>
                <w:rtl w:val="true"/>
              </w:rPr>
              <w:t xml:space="preserve">: </w:t>
            </w:r>
            <w:r>
              <w:rPr>
                <w:rStyle w:val="IndexLink"/>
                <w:rtl w:val="true"/>
              </w:rPr>
              <w:t>إمامة الصبیّ لمثله</w:t>
            </w:r>
            <w:r>
              <w:rPr>
                <w:rStyle w:val="IndexLink"/>
                <w:rtl w:val="true"/>
              </w:rPr>
              <w:tab/>
            </w:r>
            <w:r>
              <w:rPr>
                <w:rStyle w:val="IndexLink"/>
              </w:rPr>
              <w:t>545</w:t>
            </w:r>
          </w:hyperlink>
        </w:p>
        <w:p>
          <w:pPr>
            <w:pStyle w:val="Contents6"/>
            <w:tabs>
              <w:tab w:val="clear" w:pos="7609"/>
              <w:tab w:val="right" w:pos="9026" w:leader="dot"/>
            </w:tabs>
            <w:rPr/>
          </w:pPr>
          <w:hyperlink w:anchor="__RefHeading___Toc9587886_73709187">
            <w:r>
              <w:rPr>
                <w:webHidden/>
                <w:rStyle w:val="IndexLink"/>
                <w:rtl w:val="true"/>
              </w:rPr>
              <w:t>اشارة</w:t>
            </w:r>
            <w:r>
              <w:rPr>
                <w:rStyle w:val="IndexLink"/>
                <w:rtl w:val="true"/>
              </w:rPr>
              <w:tab/>
            </w:r>
            <w:r>
              <w:rPr>
                <w:rStyle w:val="IndexLink"/>
              </w:rPr>
              <w:t>545</w:t>
            </w:r>
          </w:hyperlink>
        </w:p>
        <w:p>
          <w:pPr>
            <w:pStyle w:val="Contents6"/>
            <w:tabs>
              <w:tab w:val="clear" w:pos="7609"/>
              <w:tab w:val="right" w:pos="9026" w:leader="dot"/>
            </w:tabs>
            <w:rPr/>
          </w:pPr>
          <w:hyperlink w:anchor="__RefHeading___Toc9587888_73709187">
            <w:r>
              <w:rPr>
                <w:webHidden/>
                <w:rStyle w:val="IndexLink"/>
                <w:rtl w:val="true"/>
              </w:rPr>
              <w:t>رأی أهل السنّة فی المسألة</w:t>
            </w:r>
            <w:r>
              <w:rPr>
                <w:rStyle w:val="IndexLink"/>
                <w:rtl w:val="true"/>
              </w:rPr>
              <w:tab/>
            </w:r>
            <w:r>
              <w:rPr>
                <w:rStyle w:val="IndexLink"/>
              </w:rPr>
              <w:t>548</w:t>
            </w:r>
          </w:hyperlink>
        </w:p>
        <w:p>
          <w:pPr>
            <w:pStyle w:val="Contents6"/>
            <w:tabs>
              <w:tab w:val="clear" w:pos="7609"/>
              <w:tab w:val="right" w:pos="9026" w:leader="dot"/>
            </w:tabs>
            <w:rPr/>
          </w:pPr>
          <w:hyperlink w:anchor="__RefHeading___Toc9587890_73709187">
            <w:r>
              <w:rPr>
                <w:webHidden/>
                <w:rStyle w:val="IndexLink"/>
                <w:rtl w:val="true"/>
              </w:rPr>
              <w:t>فرعان ینبغی ذکرهما فی المقام</w:t>
            </w:r>
            <w:r>
              <w:rPr>
                <w:rStyle w:val="IndexLink"/>
                <w:rtl w:val="true"/>
              </w:rPr>
              <w:tab/>
            </w:r>
            <w:r>
              <w:rPr>
                <w:rStyle w:val="IndexLink"/>
              </w:rPr>
              <w:t>549</w:t>
            </w:r>
          </w:hyperlink>
        </w:p>
        <w:p>
          <w:pPr>
            <w:pStyle w:val="Contents4"/>
            <w:tabs>
              <w:tab w:val="clear" w:pos="8176"/>
              <w:tab w:val="right" w:pos="9026" w:leader="dot"/>
            </w:tabs>
            <w:rPr/>
          </w:pPr>
          <w:hyperlink w:anchor="__RefHeading___Toc9587892_73709187">
            <w:r>
              <w:rPr>
                <w:webHidden/>
                <w:rStyle w:val="IndexLink"/>
                <w:rtl w:val="true"/>
              </w:rPr>
              <w:t>المبحث السادس</w:t>
            </w:r>
            <w:r>
              <w:rPr>
                <w:rStyle w:val="IndexLink"/>
                <w:rtl w:val="true"/>
              </w:rPr>
              <w:t>:</w:t>
            </w:r>
            <w:r>
              <w:rPr>
                <w:rStyle w:val="IndexLink"/>
                <w:rtl w:val="true"/>
              </w:rPr>
              <w:t>عدم وجوب القضاء علی الصبیّ</w:t>
            </w:r>
            <w:r>
              <w:rPr>
                <w:rStyle w:val="IndexLink"/>
                <w:rtl w:val="true"/>
              </w:rPr>
              <w:tab/>
            </w:r>
            <w:r>
              <w:rPr>
                <w:rStyle w:val="IndexLink"/>
              </w:rPr>
              <w:t>551</w:t>
            </w:r>
          </w:hyperlink>
        </w:p>
        <w:p>
          <w:pPr>
            <w:pStyle w:val="Contents5"/>
            <w:tabs>
              <w:tab w:val="clear" w:pos="7892"/>
              <w:tab w:val="right" w:pos="9026" w:leader="dot"/>
            </w:tabs>
            <w:rPr/>
          </w:pPr>
          <w:hyperlink w:anchor="__RefHeading___Toc9587894_73709187">
            <w:r>
              <w:rPr>
                <w:webHidden/>
                <w:rStyle w:val="IndexLink"/>
                <w:rtl w:val="true"/>
              </w:rPr>
              <w:t>اشارة</w:t>
            </w:r>
            <w:r>
              <w:rPr>
                <w:rStyle w:val="IndexLink"/>
                <w:rtl w:val="true"/>
              </w:rPr>
              <w:tab/>
            </w:r>
            <w:r>
              <w:rPr>
                <w:rStyle w:val="IndexLink"/>
              </w:rPr>
              <w:t>551</w:t>
            </w:r>
          </w:hyperlink>
        </w:p>
        <w:p>
          <w:pPr>
            <w:pStyle w:val="Contents5"/>
            <w:tabs>
              <w:tab w:val="clear" w:pos="7892"/>
              <w:tab w:val="right" w:pos="9026" w:leader="dot"/>
            </w:tabs>
            <w:rPr/>
          </w:pPr>
          <w:hyperlink w:anchor="__RefHeading___Toc9587896_73709187">
            <w:r>
              <w:rPr>
                <w:webHidden/>
                <w:rStyle w:val="IndexLink"/>
                <w:rtl w:val="true"/>
              </w:rPr>
              <w:t>رأی أهل السنّة فی وجوب القضاء علیه</w:t>
            </w:r>
            <w:r>
              <w:rPr>
                <w:rStyle w:val="IndexLink"/>
                <w:rtl w:val="true"/>
              </w:rPr>
              <w:tab/>
            </w:r>
            <w:r>
              <w:rPr>
                <w:rStyle w:val="IndexLink"/>
              </w:rPr>
              <w:t>553</w:t>
            </w:r>
          </w:hyperlink>
        </w:p>
        <w:p>
          <w:pPr>
            <w:pStyle w:val="Contents4"/>
            <w:tabs>
              <w:tab w:val="clear" w:pos="8176"/>
              <w:tab w:val="right" w:pos="9026" w:leader="dot"/>
            </w:tabs>
            <w:rPr/>
          </w:pPr>
          <w:hyperlink w:anchor="__RefHeading___Toc9587898_73709187">
            <w:r>
              <w:rPr>
                <w:webHidden/>
                <w:rStyle w:val="IndexLink"/>
                <w:rtl w:val="true"/>
              </w:rPr>
              <w:t>المبحث السابع</w:t>
            </w:r>
            <w:r>
              <w:rPr>
                <w:rStyle w:val="IndexLink"/>
                <w:rtl w:val="true"/>
              </w:rPr>
              <w:t>:</w:t>
            </w:r>
            <w:r>
              <w:rPr>
                <w:rStyle w:val="IndexLink"/>
                <w:rtl w:val="true"/>
              </w:rPr>
              <w:t>حکم قضاء صلاة المیّت بالنسبة إلی الصغیر</w:t>
            </w:r>
            <w:r>
              <w:rPr>
                <w:rStyle w:val="IndexLink"/>
                <w:rtl w:val="true"/>
              </w:rPr>
              <w:tab/>
            </w:r>
            <w:r>
              <w:rPr>
                <w:rStyle w:val="IndexLink"/>
              </w:rPr>
              <w:t>554</w:t>
            </w:r>
          </w:hyperlink>
        </w:p>
        <w:p>
          <w:pPr>
            <w:pStyle w:val="Contents5"/>
            <w:tabs>
              <w:tab w:val="clear" w:pos="7892"/>
              <w:tab w:val="right" w:pos="9026" w:leader="dot"/>
            </w:tabs>
            <w:rPr/>
          </w:pPr>
          <w:hyperlink w:anchor="__RefHeading___Toc9587900_73709187">
            <w:r>
              <w:rPr>
                <w:webHidden/>
                <w:rStyle w:val="IndexLink"/>
                <w:rtl w:val="true"/>
              </w:rPr>
              <w:t>اشارة</w:t>
            </w:r>
            <w:r>
              <w:rPr>
                <w:rStyle w:val="IndexLink"/>
                <w:rtl w:val="true"/>
              </w:rPr>
              <w:tab/>
            </w:r>
            <w:r>
              <w:rPr>
                <w:rStyle w:val="IndexLink"/>
              </w:rPr>
              <w:t>554</w:t>
            </w:r>
          </w:hyperlink>
        </w:p>
        <w:p>
          <w:pPr>
            <w:pStyle w:val="Contents5"/>
            <w:tabs>
              <w:tab w:val="clear" w:pos="7892"/>
              <w:tab w:val="right" w:pos="9026" w:leader="dot"/>
            </w:tabs>
            <w:rPr/>
          </w:pPr>
          <w:hyperlink w:anchor="__RefHeading___Toc9587902_73709187">
            <w:r>
              <w:rPr>
                <w:webHidden/>
                <w:rStyle w:val="IndexLink"/>
                <w:rtl w:val="true"/>
              </w:rPr>
              <w:t>أدلّة عدم اشتراط کمال الولیّ‌</w:t>
            </w:r>
            <w:r>
              <w:rPr>
                <w:rStyle w:val="IndexLink"/>
                <w:rtl w:val="true"/>
              </w:rPr>
              <w:tab/>
            </w:r>
            <w:r>
              <w:rPr>
                <w:rStyle w:val="IndexLink"/>
              </w:rPr>
              <w:t>557</w:t>
            </w:r>
          </w:hyperlink>
        </w:p>
        <w:p>
          <w:pPr>
            <w:pStyle w:val="Contents5"/>
            <w:tabs>
              <w:tab w:val="clear" w:pos="7892"/>
              <w:tab w:val="right" w:pos="9026" w:leader="dot"/>
            </w:tabs>
            <w:rPr/>
          </w:pPr>
          <w:hyperlink w:anchor="__RefHeading___Toc9587904_73709187">
            <w:r>
              <w:rPr>
                <w:webHidden/>
                <w:rStyle w:val="IndexLink"/>
                <w:rtl w:val="true"/>
              </w:rPr>
              <w:t>فرع</w:t>
            </w:r>
            <w:r>
              <w:rPr>
                <w:rStyle w:val="IndexLink"/>
                <w:rtl w:val="true"/>
              </w:rPr>
              <w:tab/>
            </w:r>
            <w:r>
              <w:rPr>
                <w:rStyle w:val="IndexLink"/>
              </w:rPr>
              <w:t>560</w:t>
            </w:r>
          </w:hyperlink>
        </w:p>
        <w:p>
          <w:pPr>
            <w:pStyle w:val="Contents4"/>
            <w:tabs>
              <w:tab w:val="clear" w:pos="8176"/>
              <w:tab w:val="right" w:pos="9026" w:leader="dot"/>
            </w:tabs>
            <w:rPr/>
          </w:pPr>
          <w:hyperlink w:anchor="__RefHeading___Toc9587906_73709187">
            <w:r>
              <w:rPr>
                <w:webHidden/>
                <w:rStyle w:val="IndexLink"/>
                <w:rtl w:val="true"/>
              </w:rPr>
              <w:t>المبحث الثامن</w:t>
            </w:r>
            <w:r>
              <w:rPr>
                <w:rStyle w:val="IndexLink"/>
                <w:rtl w:val="true"/>
              </w:rPr>
              <w:t>:</w:t>
            </w:r>
            <w:r>
              <w:rPr>
                <w:rStyle w:val="IndexLink"/>
                <w:rtl w:val="true"/>
              </w:rPr>
              <w:t>نیابة الصبیّ فی الصلاة أو الصوم</w:t>
            </w:r>
            <w:r>
              <w:rPr>
                <w:rStyle w:val="IndexLink"/>
                <w:rtl w:val="true"/>
              </w:rPr>
              <w:tab/>
            </w:r>
            <w:r>
              <w:rPr>
                <w:rStyle w:val="IndexLink"/>
              </w:rPr>
              <w:t>561</w:t>
            </w:r>
          </w:hyperlink>
        </w:p>
        <w:p>
          <w:pPr>
            <w:pStyle w:val="Contents5"/>
            <w:tabs>
              <w:tab w:val="clear" w:pos="7892"/>
              <w:tab w:val="right" w:pos="9026" w:leader="dot"/>
            </w:tabs>
            <w:rPr/>
          </w:pPr>
          <w:hyperlink w:anchor="__RefHeading___Toc9587908_73709187">
            <w:r>
              <w:rPr>
                <w:webHidden/>
                <w:rStyle w:val="IndexLink"/>
                <w:rtl w:val="true"/>
              </w:rPr>
              <w:t>اشارة</w:t>
            </w:r>
            <w:r>
              <w:rPr>
                <w:rStyle w:val="IndexLink"/>
                <w:rtl w:val="true"/>
              </w:rPr>
              <w:tab/>
            </w:r>
            <w:r>
              <w:rPr>
                <w:rStyle w:val="IndexLink"/>
              </w:rPr>
              <w:t>561</w:t>
            </w:r>
          </w:hyperlink>
        </w:p>
        <w:p>
          <w:pPr>
            <w:pStyle w:val="Contents5"/>
            <w:tabs>
              <w:tab w:val="clear" w:pos="7892"/>
              <w:tab w:val="right" w:pos="9026" w:leader="dot"/>
            </w:tabs>
            <w:rPr/>
          </w:pPr>
          <w:hyperlink w:anchor="__RefHeading___Toc9587910_73709187">
            <w:r>
              <w:rPr>
                <w:webHidden/>
                <w:rStyle w:val="IndexLink"/>
                <w:rtl w:val="true"/>
              </w:rPr>
              <w:t>صحّتها علی القول بمشروعیّة عباداته</w:t>
            </w:r>
            <w:r>
              <w:rPr>
                <w:rStyle w:val="IndexLink"/>
                <w:rtl w:val="true"/>
              </w:rPr>
              <w:tab/>
            </w:r>
            <w:r>
              <w:rPr>
                <w:rStyle w:val="IndexLink"/>
              </w:rPr>
              <w:t>564</w:t>
            </w:r>
          </w:hyperlink>
        </w:p>
        <w:p>
          <w:pPr>
            <w:pStyle w:val="Contents5"/>
            <w:tabs>
              <w:tab w:val="clear" w:pos="7892"/>
              <w:tab w:val="right" w:pos="9026" w:leader="dot"/>
            </w:tabs>
            <w:rPr/>
          </w:pPr>
          <w:hyperlink w:anchor="__RefHeading___Toc9587912_73709187">
            <w:r>
              <w:rPr>
                <w:webHidden/>
                <w:rStyle w:val="IndexLink"/>
                <w:rtl w:val="true"/>
              </w:rPr>
              <w:t>رأی أهل السنّة فی المسألة</w:t>
            </w:r>
            <w:r>
              <w:rPr>
                <w:rStyle w:val="IndexLink"/>
                <w:rtl w:val="true"/>
              </w:rPr>
              <w:tab/>
            </w:r>
            <w:r>
              <w:rPr>
                <w:rStyle w:val="IndexLink"/>
              </w:rPr>
              <w:t>568</w:t>
            </w:r>
          </w:hyperlink>
        </w:p>
        <w:p>
          <w:pPr>
            <w:pStyle w:val="Contents5"/>
            <w:tabs>
              <w:tab w:val="clear" w:pos="7892"/>
              <w:tab w:val="right" w:pos="9026" w:leader="dot"/>
            </w:tabs>
            <w:rPr/>
          </w:pPr>
          <w:hyperlink w:anchor="__RefHeading___Toc9587914_73709187">
            <w:r>
              <w:rPr>
                <w:webHidden/>
                <w:rStyle w:val="IndexLink"/>
                <w:rtl w:val="true"/>
              </w:rPr>
              <w:t>فرع</w:t>
            </w:r>
            <w:r>
              <w:rPr>
                <w:rStyle w:val="IndexLink"/>
                <w:rtl w:val="true"/>
              </w:rPr>
              <w:t xml:space="preserve">: </w:t>
            </w:r>
            <w:r>
              <w:rPr>
                <w:rStyle w:val="IndexLink"/>
                <w:rtl w:val="true"/>
              </w:rPr>
              <w:t>فی استحباب تطوّع الصبیّ بالصلاة و الصوم</w:t>
            </w:r>
            <w:r>
              <w:rPr>
                <w:rStyle w:val="IndexLink"/>
                <w:rtl w:val="true"/>
              </w:rPr>
              <w:tab/>
            </w:r>
            <w:r>
              <w:rPr>
                <w:rStyle w:val="IndexLink"/>
              </w:rPr>
              <w:t>569</w:t>
            </w:r>
          </w:hyperlink>
        </w:p>
        <w:p>
          <w:pPr>
            <w:pStyle w:val="Contents4"/>
            <w:tabs>
              <w:tab w:val="clear" w:pos="8176"/>
              <w:tab w:val="right" w:pos="9026" w:leader="dot"/>
            </w:tabs>
            <w:rPr/>
          </w:pPr>
          <w:hyperlink w:anchor="__RefHeading___Toc9587916_73709187">
            <w:r>
              <w:rPr>
                <w:webHidden/>
                <w:rStyle w:val="IndexLink"/>
                <w:rtl w:val="true"/>
              </w:rPr>
              <w:t>المبحث التاسع</w:t>
            </w:r>
            <w:r>
              <w:rPr>
                <w:rStyle w:val="IndexLink"/>
                <w:rtl w:val="true"/>
              </w:rPr>
              <w:t>:</w:t>
            </w:r>
            <w:r>
              <w:rPr>
                <w:rStyle w:val="IndexLink"/>
                <w:rtl w:val="true"/>
              </w:rPr>
              <w:t>صلاة الصبیّ فی السفر و تبعیّته لأبویه فیه و فی الوطن</w:t>
            </w:r>
            <w:r>
              <w:rPr>
                <w:rStyle w:val="IndexLink"/>
                <w:rtl w:val="true"/>
              </w:rPr>
              <w:tab/>
            </w:r>
            <w:r>
              <w:rPr>
                <w:rStyle w:val="IndexLink"/>
              </w:rPr>
              <w:t>571</w:t>
            </w:r>
          </w:hyperlink>
        </w:p>
        <w:p>
          <w:pPr>
            <w:pStyle w:val="Contents5"/>
            <w:tabs>
              <w:tab w:val="clear" w:pos="7892"/>
              <w:tab w:val="right" w:pos="9026" w:leader="dot"/>
            </w:tabs>
            <w:rPr/>
          </w:pPr>
          <w:hyperlink w:anchor="__RefHeading___Toc9587918_73709187">
            <w:r>
              <w:rPr>
                <w:webHidden/>
                <w:rStyle w:val="IndexLink"/>
                <w:rtl w:val="true"/>
              </w:rPr>
              <w:t>اشارة</w:t>
            </w:r>
            <w:r>
              <w:rPr>
                <w:rStyle w:val="IndexLink"/>
                <w:rtl w:val="true"/>
              </w:rPr>
              <w:tab/>
            </w:r>
            <w:r>
              <w:rPr>
                <w:rStyle w:val="IndexLink"/>
              </w:rPr>
              <w:t>571</w:t>
            </w:r>
          </w:hyperlink>
        </w:p>
        <w:p>
          <w:pPr>
            <w:pStyle w:val="Contents5"/>
            <w:tabs>
              <w:tab w:val="clear" w:pos="7892"/>
              <w:tab w:val="right" w:pos="9026" w:leader="dot"/>
            </w:tabs>
            <w:rPr/>
          </w:pPr>
          <w:hyperlink w:anchor="__RefHeading___Toc9587920_73709187">
            <w:r>
              <w:rPr>
                <w:webHidden/>
                <w:rStyle w:val="IndexLink"/>
                <w:rtl w:val="true"/>
              </w:rPr>
              <w:t>المطلب الأوّل</w:t>
            </w:r>
            <w:r>
              <w:rPr>
                <w:rStyle w:val="IndexLink"/>
                <w:rtl w:val="true"/>
              </w:rPr>
              <w:t xml:space="preserve">: </w:t>
            </w:r>
            <w:r>
              <w:rPr>
                <w:rStyle w:val="IndexLink"/>
                <w:rtl w:val="true"/>
              </w:rPr>
              <w:t>تبعیّة الصبیّ فی الوطن</w:t>
            </w:r>
            <w:r>
              <w:rPr>
                <w:rStyle w:val="IndexLink"/>
                <w:rtl w:val="true"/>
              </w:rPr>
              <w:tab/>
            </w:r>
            <w:r>
              <w:rPr>
                <w:rStyle w:val="IndexLink"/>
              </w:rPr>
              <w:t>571</w:t>
            </w:r>
          </w:hyperlink>
        </w:p>
        <w:p>
          <w:pPr>
            <w:pStyle w:val="Contents5"/>
            <w:tabs>
              <w:tab w:val="clear" w:pos="7892"/>
              <w:tab w:val="right" w:pos="9026" w:leader="dot"/>
            </w:tabs>
            <w:rPr/>
          </w:pPr>
          <w:hyperlink w:anchor="__RefHeading___Toc9587922_73709187">
            <w:r>
              <w:rPr>
                <w:webHidden/>
                <w:rStyle w:val="IndexLink"/>
                <w:rtl w:val="true"/>
              </w:rPr>
              <w:t>إعراض الصبیّ عن وطن أبویه</w:t>
            </w:r>
            <w:r>
              <w:rPr>
                <w:rStyle w:val="IndexLink"/>
                <w:rtl w:val="true"/>
              </w:rPr>
              <w:tab/>
            </w:r>
            <w:r>
              <w:rPr>
                <w:rStyle w:val="IndexLink"/>
              </w:rPr>
              <w:t>574</w:t>
            </w:r>
          </w:hyperlink>
        </w:p>
        <w:p>
          <w:pPr>
            <w:pStyle w:val="Contents5"/>
            <w:tabs>
              <w:tab w:val="clear" w:pos="7892"/>
              <w:tab w:val="right" w:pos="9026" w:leader="dot"/>
            </w:tabs>
            <w:rPr/>
          </w:pPr>
          <w:hyperlink w:anchor="__RefHeading___Toc9587924_73709187">
            <w:r>
              <w:rPr>
                <w:webHidden/>
                <w:rStyle w:val="IndexLink"/>
                <w:rtl w:val="true"/>
              </w:rPr>
              <w:t>مذهب أهل السنّة</w:t>
            </w:r>
            <w:r>
              <w:rPr>
                <w:rStyle w:val="IndexLink"/>
                <w:rtl w:val="true"/>
              </w:rPr>
              <w:tab/>
            </w:r>
            <w:r>
              <w:rPr>
                <w:rStyle w:val="IndexLink"/>
              </w:rPr>
              <w:t>575</w:t>
            </w:r>
          </w:hyperlink>
        </w:p>
        <w:p>
          <w:pPr>
            <w:pStyle w:val="Contents5"/>
            <w:tabs>
              <w:tab w:val="clear" w:pos="7892"/>
              <w:tab w:val="right" w:pos="9026" w:leader="dot"/>
            </w:tabs>
            <w:rPr/>
          </w:pPr>
          <w:hyperlink w:anchor="__RefHeading___Toc9587926_73709187">
            <w:r>
              <w:rPr>
                <w:webHidden/>
                <w:rStyle w:val="IndexLink"/>
                <w:rtl w:val="true"/>
              </w:rPr>
              <w:t>المطلب الثانی</w:t>
            </w:r>
            <w:r>
              <w:rPr>
                <w:rStyle w:val="IndexLink"/>
                <w:rtl w:val="true"/>
              </w:rPr>
              <w:t xml:space="preserve">: </w:t>
            </w:r>
            <w:r>
              <w:rPr>
                <w:rStyle w:val="IndexLink"/>
                <w:rtl w:val="true"/>
              </w:rPr>
              <w:t>تبعیّة الصبیّ لأبویه فی السفر</w:t>
            </w:r>
            <w:r>
              <w:rPr>
                <w:rStyle w:val="IndexLink"/>
                <w:rtl w:val="true"/>
              </w:rPr>
              <w:tab/>
            </w:r>
            <w:r>
              <w:rPr>
                <w:rStyle w:val="IndexLink"/>
              </w:rPr>
              <w:t>576</w:t>
            </w:r>
          </w:hyperlink>
        </w:p>
        <w:p>
          <w:pPr>
            <w:pStyle w:val="Contents6"/>
            <w:tabs>
              <w:tab w:val="clear" w:pos="7609"/>
              <w:tab w:val="right" w:pos="9026" w:leader="dot"/>
            </w:tabs>
            <w:rPr/>
          </w:pPr>
          <w:hyperlink w:anchor="__RefHeading___Toc9587928_73709187">
            <w:r>
              <w:rPr>
                <w:webHidden/>
                <w:rStyle w:val="IndexLink"/>
                <w:rtl w:val="true"/>
              </w:rPr>
              <w:t>اشارة</w:t>
            </w:r>
            <w:r>
              <w:rPr>
                <w:rStyle w:val="IndexLink"/>
                <w:rtl w:val="true"/>
              </w:rPr>
              <w:tab/>
            </w:r>
            <w:r>
              <w:rPr>
                <w:rStyle w:val="IndexLink"/>
              </w:rPr>
              <w:t>576</w:t>
            </w:r>
          </w:hyperlink>
        </w:p>
        <w:p>
          <w:pPr>
            <w:pStyle w:val="Contents6"/>
            <w:tabs>
              <w:tab w:val="clear" w:pos="7609"/>
              <w:tab w:val="right" w:pos="9026" w:leader="dot"/>
            </w:tabs>
            <w:rPr/>
          </w:pPr>
          <w:hyperlink w:anchor="__RefHeading___Toc9587930_73709187">
            <w:r>
              <w:rPr>
                <w:webHidden/>
                <w:rStyle w:val="IndexLink"/>
                <w:rtl w:val="true"/>
              </w:rPr>
              <w:t>فرع</w:t>
            </w:r>
            <w:r>
              <w:rPr>
                <w:rStyle w:val="IndexLink"/>
                <w:rtl w:val="true"/>
              </w:rPr>
              <w:tab/>
            </w:r>
            <w:r>
              <w:rPr>
                <w:rStyle w:val="IndexLink"/>
              </w:rPr>
              <w:t>580</w:t>
            </w:r>
          </w:hyperlink>
        </w:p>
        <w:p>
          <w:pPr>
            <w:pStyle w:val="Contents6"/>
            <w:tabs>
              <w:tab w:val="clear" w:pos="7609"/>
              <w:tab w:val="right" w:pos="9026" w:leader="dot"/>
            </w:tabs>
            <w:rPr/>
          </w:pPr>
          <w:hyperlink w:anchor="__RefHeading___Toc9587932_73709187">
            <w:r>
              <w:rPr>
                <w:webHidden/>
                <w:rStyle w:val="IndexLink"/>
                <w:rtl w:val="true"/>
              </w:rPr>
              <w:t>رأی أهل السنّة</w:t>
            </w:r>
            <w:r>
              <w:rPr>
                <w:rStyle w:val="IndexLink"/>
                <w:rtl w:val="true"/>
              </w:rPr>
              <w:tab/>
            </w:r>
            <w:r>
              <w:rPr>
                <w:rStyle w:val="IndexLink"/>
              </w:rPr>
              <w:t>580</w:t>
            </w:r>
          </w:hyperlink>
        </w:p>
        <w:p>
          <w:pPr>
            <w:pStyle w:val="Contents5"/>
            <w:tabs>
              <w:tab w:val="clear" w:pos="7892"/>
              <w:tab w:val="right" w:pos="9026" w:leader="dot"/>
            </w:tabs>
            <w:rPr/>
          </w:pPr>
          <w:hyperlink w:anchor="__RefHeading___Toc9587934_73709187">
            <w:r>
              <w:rPr>
                <w:webHidden/>
                <w:rStyle w:val="IndexLink"/>
                <w:rtl w:val="true"/>
              </w:rPr>
              <w:t>المطلب الثالث</w:t>
            </w:r>
            <w:r>
              <w:rPr>
                <w:rStyle w:val="IndexLink"/>
                <w:rtl w:val="true"/>
              </w:rPr>
              <w:t xml:space="preserve">: </w:t>
            </w:r>
            <w:r>
              <w:rPr>
                <w:rStyle w:val="IndexLink"/>
                <w:rtl w:val="true"/>
              </w:rPr>
              <w:t>صلاة الصبیّ فی السفر</w:t>
            </w:r>
            <w:r>
              <w:rPr>
                <w:rStyle w:val="IndexLink"/>
                <w:rtl w:val="true"/>
              </w:rPr>
              <w:tab/>
            </w:r>
            <w:r>
              <w:rPr>
                <w:rStyle w:val="IndexLink"/>
              </w:rPr>
              <w:t>581</w:t>
            </w:r>
          </w:hyperlink>
        </w:p>
        <w:p>
          <w:pPr>
            <w:pStyle w:val="Contents6"/>
            <w:tabs>
              <w:tab w:val="clear" w:pos="7609"/>
              <w:tab w:val="right" w:pos="9026" w:leader="dot"/>
            </w:tabs>
            <w:rPr/>
          </w:pPr>
          <w:hyperlink w:anchor="__RefHeading___Toc9587936_73709187">
            <w:r>
              <w:rPr>
                <w:webHidden/>
                <w:rStyle w:val="IndexLink"/>
                <w:rtl w:val="true"/>
              </w:rPr>
              <w:t>اشارة</w:t>
            </w:r>
            <w:r>
              <w:rPr>
                <w:rStyle w:val="IndexLink"/>
                <w:rtl w:val="true"/>
              </w:rPr>
              <w:tab/>
            </w:r>
            <w:r>
              <w:rPr>
                <w:rStyle w:val="IndexLink"/>
              </w:rPr>
              <w:t>581</w:t>
            </w:r>
          </w:hyperlink>
        </w:p>
        <w:p>
          <w:pPr>
            <w:pStyle w:val="Contents6"/>
            <w:tabs>
              <w:tab w:val="clear" w:pos="7609"/>
              <w:tab w:val="right" w:pos="9026" w:leader="dot"/>
            </w:tabs>
            <w:rPr/>
          </w:pPr>
          <w:hyperlink w:anchor="__RefHeading___Toc9587938_73709187">
            <w:r>
              <w:rPr>
                <w:webHidden/>
                <w:rStyle w:val="IndexLink"/>
                <w:rtl w:val="true"/>
              </w:rPr>
              <w:t>المسألة الاُولی</w:t>
            </w:r>
            <w:r>
              <w:rPr>
                <w:rStyle w:val="IndexLink"/>
                <w:rtl w:val="true"/>
              </w:rPr>
              <w:t xml:space="preserve">: </w:t>
            </w:r>
            <w:r>
              <w:rPr>
                <w:rStyle w:val="IndexLink"/>
                <w:rtl w:val="true"/>
              </w:rPr>
              <w:t>صلاته مع عدم قصده إقامة عشرة أیّام</w:t>
            </w:r>
            <w:r>
              <w:rPr>
                <w:rStyle w:val="IndexLink"/>
                <w:rtl w:val="true"/>
              </w:rPr>
              <w:tab/>
            </w:r>
            <w:r>
              <w:rPr>
                <w:rStyle w:val="IndexLink"/>
              </w:rPr>
              <w:t>581</w:t>
            </w:r>
          </w:hyperlink>
        </w:p>
        <w:p>
          <w:pPr>
            <w:pStyle w:val="Contents6"/>
            <w:tabs>
              <w:tab w:val="clear" w:pos="7609"/>
              <w:tab w:val="right" w:pos="9026" w:leader="dot"/>
            </w:tabs>
            <w:rPr/>
          </w:pPr>
          <w:hyperlink w:anchor="__RefHeading___Toc9587940_73709187">
            <w:r>
              <w:rPr>
                <w:webHidden/>
                <w:rStyle w:val="IndexLink"/>
                <w:rtl w:val="true"/>
              </w:rPr>
              <w:t>المسألة الثانیة</w:t>
            </w:r>
            <w:r>
              <w:rPr>
                <w:rStyle w:val="IndexLink"/>
                <w:rtl w:val="true"/>
              </w:rPr>
              <w:t xml:space="preserve">: </w:t>
            </w:r>
            <w:r>
              <w:rPr>
                <w:rStyle w:val="IndexLink"/>
                <w:rtl w:val="true"/>
              </w:rPr>
              <w:t>وجوب الإتمام مع قصده الإقامة</w:t>
            </w:r>
            <w:r>
              <w:rPr>
                <w:rStyle w:val="IndexLink"/>
                <w:rtl w:val="true"/>
              </w:rPr>
              <w:tab/>
            </w:r>
            <w:r>
              <w:rPr>
                <w:rStyle w:val="IndexLink"/>
              </w:rPr>
              <w:t>583</w:t>
            </w:r>
          </w:hyperlink>
        </w:p>
        <w:p>
          <w:pPr>
            <w:pStyle w:val="Contents6"/>
            <w:tabs>
              <w:tab w:val="clear" w:pos="7609"/>
              <w:tab w:val="right" w:pos="9026" w:leader="dot"/>
            </w:tabs>
            <w:rPr/>
          </w:pPr>
          <w:hyperlink w:anchor="__RefHeading___Toc9587942_73709187">
            <w:r>
              <w:rPr>
                <w:webHidden/>
                <w:rStyle w:val="IndexLink"/>
                <w:rtl w:val="true"/>
              </w:rPr>
              <w:t>رأی أهل السنّة فی المسألة</w:t>
            </w:r>
            <w:r>
              <w:rPr>
                <w:rStyle w:val="IndexLink"/>
                <w:rtl w:val="true"/>
              </w:rPr>
              <w:tab/>
            </w:r>
            <w:r>
              <w:rPr>
                <w:rStyle w:val="IndexLink"/>
              </w:rPr>
              <w:t>585</w:t>
            </w:r>
          </w:hyperlink>
        </w:p>
        <w:p>
          <w:pPr>
            <w:pStyle w:val="Contents4"/>
            <w:tabs>
              <w:tab w:val="clear" w:pos="8176"/>
              <w:tab w:val="right" w:pos="9026" w:leader="dot"/>
            </w:tabs>
            <w:rPr/>
          </w:pPr>
          <w:hyperlink w:anchor="__RefHeading___Toc9587944_73709187">
            <w:r>
              <w:rPr>
                <w:webHidden/>
                <w:rStyle w:val="IndexLink"/>
                <w:rtl w:val="true"/>
              </w:rPr>
              <w:t>المبحث العاشر</w:t>
            </w:r>
            <w:r>
              <w:rPr>
                <w:rStyle w:val="IndexLink"/>
                <w:rtl w:val="true"/>
              </w:rPr>
              <w:t>:</w:t>
            </w:r>
            <w:r>
              <w:rPr>
                <w:rStyle w:val="IndexLink"/>
                <w:rtl w:val="true"/>
              </w:rPr>
              <w:t>بلوغ الصبیّ فی أثناء وقت الصلاة</w:t>
            </w:r>
            <w:r>
              <w:rPr>
                <w:rStyle w:val="IndexLink"/>
                <w:rtl w:val="true"/>
              </w:rPr>
              <w:tab/>
            </w:r>
            <w:r>
              <w:rPr>
                <w:rStyle w:val="IndexLink"/>
              </w:rPr>
              <w:t>587</w:t>
            </w:r>
          </w:hyperlink>
        </w:p>
        <w:p>
          <w:pPr>
            <w:pStyle w:val="Contents5"/>
            <w:tabs>
              <w:tab w:val="clear" w:pos="7892"/>
              <w:tab w:val="right" w:pos="9026" w:leader="dot"/>
            </w:tabs>
            <w:rPr/>
          </w:pPr>
          <w:hyperlink w:anchor="__RefHeading___Toc9587946_73709187">
            <w:r>
              <w:rPr>
                <w:webHidden/>
                <w:rStyle w:val="IndexLink"/>
                <w:rtl w:val="true"/>
              </w:rPr>
              <w:t>اشارة</w:t>
            </w:r>
            <w:r>
              <w:rPr>
                <w:rStyle w:val="IndexLink"/>
                <w:rtl w:val="true"/>
              </w:rPr>
              <w:tab/>
            </w:r>
            <w:r>
              <w:rPr>
                <w:rStyle w:val="IndexLink"/>
              </w:rPr>
              <w:t>587</w:t>
            </w:r>
          </w:hyperlink>
        </w:p>
        <w:p>
          <w:pPr>
            <w:pStyle w:val="Contents5"/>
            <w:tabs>
              <w:tab w:val="clear" w:pos="7892"/>
              <w:tab w:val="right" w:pos="9026" w:leader="dot"/>
            </w:tabs>
            <w:rPr/>
          </w:pPr>
          <w:hyperlink w:anchor="__RefHeading___Toc9587948_73709187">
            <w:r>
              <w:rPr>
                <w:webHidden/>
                <w:rStyle w:val="IndexLink"/>
                <w:rtl w:val="true"/>
              </w:rPr>
              <w:t>الصورة الاُولی</w:t>
            </w:r>
            <w:r>
              <w:rPr>
                <w:rStyle w:val="IndexLink"/>
                <w:rtl w:val="true"/>
              </w:rPr>
              <w:t xml:space="preserve">: </w:t>
            </w:r>
            <w:r>
              <w:rPr>
                <w:rStyle w:val="IndexLink"/>
                <w:rtl w:val="true"/>
              </w:rPr>
              <w:t>بلوغه فی ضیق الوقت</w:t>
            </w:r>
            <w:r>
              <w:rPr>
                <w:rStyle w:val="IndexLink"/>
                <w:rtl w:val="true"/>
              </w:rPr>
              <w:tab/>
            </w:r>
            <w:r>
              <w:rPr>
                <w:rStyle w:val="IndexLink"/>
              </w:rPr>
              <w:t>587</w:t>
            </w:r>
          </w:hyperlink>
        </w:p>
        <w:p>
          <w:pPr>
            <w:pStyle w:val="Contents6"/>
            <w:tabs>
              <w:tab w:val="clear" w:pos="7609"/>
              <w:tab w:val="right" w:pos="9026" w:leader="dot"/>
            </w:tabs>
            <w:rPr/>
          </w:pPr>
          <w:hyperlink w:anchor="__RefHeading___Toc9587950_73709187">
            <w:r>
              <w:rPr>
                <w:webHidden/>
                <w:rStyle w:val="IndexLink"/>
                <w:rtl w:val="true"/>
              </w:rPr>
              <w:t>اشارة</w:t>
            </w:r>
            <w:r>
              <w:rPr>
                <w:rStyle w:val="IndexLink"/>
                <w:rtl w:val="true"/>
              </w:rPr>
              <w:tab/>
            </w:r>
            <w:r>
              <w:rPr>
                <w:rStyle w:val="IndexLink"/>
              </w:rPr>
              <w:t>587</w:t>
            </w:r>
          </w:hyperlink>
        </w:p>
        <w:p>
          <w:pPr>
            <w:pStyle w:val="Contents6"/>
            <w:tabs>
              <w:tab w:val="clear" w:pos="7609"/>
              <w:tab w:val="right" w:pos="9026" w:leader="dot"/>
            </w:tabs>
            <w:rPr/>
          </w:pPr>
          <w:hyperlink w:anchor="__RefHeading___Toc9587952_73709187">
            <w:r>
              <w:rPr>
                <w:webHidden/>
                <w:rStyle w:val="IndexLink"/>
                <w:rtl w:val="true"/>
              </w:rPr>
              <w:t>أدلّة وجوب الصلاة علی الصبیّ لو بلغ فی أثناء الوقت</w:t>
            </w:r>
            <w:r>
              <w:rPr>
                <w:rStyle w:val="IndexLink"/>
                <w:rtl w:val="true"/>
              </w:rPr>
              <w:tab/>
            </w:r>
            <w:r>
              <w:rPr>
                <w:rStyle w:val="IndexLink"/>
              </w:rPr>
              <w:t>590</w:t>
            </w:r>
          </w:hyperlink>
        </w:p>
        <w:p>
          <w:pPr>
            <w:pStyle w:val="Contents6"/>
            <w:tabs>
              <w:tab w:val="clear" w:pos="7609"/>
              <w:tab w:val="right" w:pos="9026" w:leader="dot"/>
            </w:tabs>
            <w:rPr/>
          </w:pPr>
          <w:hyperlink w:anchor="__RefHeading___Toc9587954_73709187">
            <w:r>
              <w:rPr>
                <w:webHidden/>
                <w:rStyle w:val="IndexLink"/>
                <w:rtl w:val="true"/>
              </w:rPr>
              <w:t>فرع</w:t>
            </w:r>
            <w:r>
              <w:rPr>
                <w:rStyle w:val="IndexLink"/>
                <w:rtl w:val="true"/>
              </w:rPr>
              <w:tab/>
            </w:r>
            <w:r>
              <w:rPr>
                <w:rStyle w:val="IndexLink"/>
              </w:rPr>
              <w:t>595</w:t>
            </w:r>
          </w:hyperlink>
        </w:p>
        <w:p>
          <w:pPr>
            <w:pStyle w:val="Contents6"/>
            <w:tabs>
              <w:tab w:val="clear" w:pos="7609"/>
              <w:tab w:val="right" w:pos="9026" w:leader="dot"/>
            </w:tabs>
            <w:rPr/>
          </w:pPr>
          <w:hyperlink w:anchor="__RefHeading___Toc9587956_73709187">
            <w:r>
              <w:rPr>
                <w:webHidden/>
                <w:rStyle w:val="IndexLink"/>
                <w:rtl w:val="true"/>
              </w:rPr>
              <w:t>آراء أهل السنّة فی المقام</w:t>
            </w:r>
            <w:r>
              <w:rPr>
                <w:rStyle w:val="IndexLink"/>
                <w:rtl w:val="true"/>
              </w:rPr>
              <w:tab/>
            </w:r>
            <w:r>
              <w:rPr>
                <w:rStyle w:val="IndexLink"/>
              </w:rPr>
              <w:t>596</w:t>
            </w:r>
          </w:hyperlink>
        </w:p>
        <w:p>
          <w:pPr>
            <w:pStyle w:val="Contents5"/>
            <w:tabs>
              <w:tab w:val="clear" w:pos="7892"/>
              <w:tab w:val="right" w:pos="9026" w:leader="dot"/>
            </w:tabs>
            <w:rPr/>
          </w:pPr>
          <w:hyperlink w:anchor="__RefHeading___Toc9587958_73709187">
            <w:r>
              <w:rPr>
                <w:webHidden/>
                <w:rStyle w:val="IndexLink"/>
                <w:rtl w:val="true"/>
              </w:rPr>
              <w:t>الصورة الثانیة</w:t>
            </w:r>
            <w:r>
              <w:rPr>
                <w:rStyle w:val="IndexLink"/>
                <w:rtl w:val="true"/>
              </w:rPr>
              <w:t xml:space="preserve">: </w:t>
            </w:r>
            <w:r>
              <w:rPr>
                <w:rStyle w:val="IndexLink"/>
                <w:rtl w:val="true"/>
              </w:rPr>
              <w:t>بلوغ الصبیّ فی أثناء الصلاة</w:t>
            </w:r>
            <w:r>
              <w:rPr>
                <w:rStyle w:val="IndexLink"/>
                <w:rtl w:val="true"/>
              </w:rPr>
              <w:tab/>
            </w:r>
            <w:r>
              <w:rPr>
                <w:rStyle w:val="IndexLink"/>
              </w:rPr>
              <w:t>597</w:t>
            </w:r>
          </w:hyperlink>
        </w:p>
        <w:p>
          <w:pPr>
            <w:pStyle w:val="Contents6"/>
            <w:tabs>
              <w:tab w:val="clear" w:pos="7609"/>
              <w:tab w:val="right" w:pos="9026" w:leader="dot"/>
            </w:tabs>
            <w:rPr/>
          </w:pPr>
          <w:hyperlink w:anchor="__RefHeading___Toc9587960_73709187">
            <w:r>
              <w:rPr>
                <w:webHidden/>
                <w:rStyle w:val="IndexLink"/>
                <w:rtl w:val="true"/>
              </w:rPr>
              <w:t>اشارة</w:t>
            </w:r>
            <w:r>
              <w:rPr>
                <w:rStyle w:val="IndexLink"/>
                <w:rtl w:val="true"/>
              </w:rPr>
              <w:tab/>
            </w:r>
            <w:r>
              <w:rPr>
                <w:rStyle w:val="IndexLink"/>
              </w:rPr>
              <w:t>597</w:t>
            </w:r>
          </w:hyperlink>
        </w:p>
        <w:p>
          <w:pPr>
            <w:pStyle w:val="Contents6"/>
            <w:tabs>
              <w:tab w:val="clear" w:pos="7609"/>
              <w:tab w:val="right" w:pos="9026" w:leader="dot"/>
            </w:tabs>
            <w:rPr/>
          </w:pPr>
          <w:hyperlink w:anchor="__RefHeading___Toc9587962_73709187">
            <w:r>
              <w:rPr>
                <w:webHidden/>
                <w:rStyle w:val="IndexLink"/>
                <w:rtl w:val="true"/>
              </w:rPr>
              <w:t>القول الأوّل</w:t>
            </w:r>
            <w:r>
              <w:rPr>
                <w:rStyle w:val="IndexLink"/>
                <w:rtl w:val="true"/>
              </w:rPr>
              <w:t xml:space="preserve">: </w:t>
            </w:r>
            <w:r>
              <w:rPr>
                <w:rStyle w:val="IndexLink"/>
                <w:rtl w:val="true"/>
              </w:rPr>
              <w:t>وجوب إعادة الطهارة و الصلاة</w:t>
            </w:r>
            <w:r>
              <w:rPr>
                <w:rStyle w:val="IndexLink"/>
                <w:rtl w:val="true"/>
              </w:rPr>
              <w:tab/>
            </w:r>
            <w:r>
              <w:rPr>
                <w:rStyle w:val="IndexLink"/>
              </w:rPr>
              <w:t>598</w:t>
            </w:r>
          </w:hyperlink>
        </w:p>
        <w:p>
          <w:pPr>
            <w:pStyle w:val="Contents6"/>
            <w:tabs>
              <w:tab w:val="clear" w:pos="7609"/>
              <w:tab w:val="right" w:pos="9026" w:leader="dot"/>
            </w:tabs>
            <w:rPr/>
          </w:pPr>
          <w:hyperlink w:anchor="__RefHeading___Toc9587964_73709187">
            <w:r>
              <w:rPr>
                <w:webHidden/>
                <w:rStyle w:val="IndexLink"/>
                <w:rtl w:val="true"/>
              </w:rPr>
              <w:t>القول الثانی</w:t>
            </w:r>
            <w:r>
              <w:rPr>
                <w:rStyle w:val="IndexLink"/>
                <w:rtl w:val="true"/>
              </w:rPr>
              <w:t xml:space="preserve">: </w:t>
            </w:r>
            <w:r>
              <w:rPr>
                <w:rStyle w:val="IndexLink"/>
                <w:rtl w:val="true"/>
              </w:rPr>
              <w:t>عدم وجوب الإعادة، و هو الحقّ‌</w:t>
            </w:r>
            <w:r>
              <w:rPr>
                <w:rStyle w:val="IndexLink"/>
                <w:rtl w:val="true"/>
              </w:rPr>
              <w:tab/>
            </w:r>
            <w:r>
              <w:rPr>
                <w:rStyle w:val="IndexLink"/>
              </w:rPr>
              <w:t>601</w:t>
            </w:r>
          </w:hyperlink>
        </w:p>
        <w:p>
          <w:pPr>
            <w:pStyle w:val="Contents5"/>
            <w:tabs>
              <w:tab w:val="clear" w:pos="7892"/>
              <w:tab w:val="right" w:pos="9026" w:leader="dot"/>
            </w:tabs>
            <w:rPr/>
          </w:pPr>
          <w:hyperlink w:anchor="__RefHeading___Toc9587966_73709187">
            <w:r>
              <w:rPr>
                <w:webHidden/>
                <w:rStyle w:val="IndexLink"/>
                <w:rtl w:val="true"/>
              </w:rPr>
              <w:t>الصورة الثالثة</w:t>
            </w:r>
            <w:r>
              <w:rPr>
                <w:rStyle w:val="IndexLink"/>
                <w:rtl w:val="true"/>
              </w:rPr>
              <w:t xml:space="preserve">: </w:t>
            </w:r>
            <w:r>
              <w:rPr>
                <w:rStyle w:val="IndexLink"/>
                <w:rtl w:val="true"/>
              </w:rPr>
              <w:t>بلوغ الصبیّ بعد إتیانه الصلاة فی الوقت</w:t>
            </w:r>
            <w:r>
              <w:rPr>
                <w:rStyle w:val="IndexLink"/>
                <w:rtl w:val="true"/>
              </w:rPr>
              <w:tab/>
            </w:r>
            <w:r>
              <w:rPr>
                <w:rStyle w:val="IndexLink"/>
              </w:rPr>
              <w:t>604</w:t>
            </w:r>
          </w:hyperlink>
        </w:p>
        <w:p>
          <w:pPr>
            <w:pStyle w:val="Contents6"/>
            <w:tabs>
              <w:tab w:val="clear" w:pos="7609"/>
              <w:tab w:val="right" w:pos="9026" w:leader="dot"/>
            </w:tabs>
            <w:rPr/>
          </w:pPr>
          <w:hyperlink w:anchor="__RefHeading___Toc9587968_73709187">
            <w:r>
              <w:rPr>
                <w:webHidden/>
                <w:rStyle w:val="IndexLink"/>
                <w:rtl w:val="true"/>
              </w:rPr>
              <w:t>اشارة</w:t>
            </w:r>
            <w:r>
              <w:rPr>
                <w:rStyle w:val="IndexLink"/>
                <w:rtl w:val="true"/>
              </w:rPr>
              <w:tab/>
            </w:r>
            <w:r>
              <w:rPr>
                <w:rStyle w:val="IndexLink"/>
              </w:rPr>
              <w:t>604</w:t>
            </w:r>
          </w:hyperlink>
        </w:p>
        <w:p>
          <w:pPr>
            <w:pStyle w:val="Contents6"/>
            <w:tabs>
              <w:tab w:val="clear" w:pos="7609"/>
              <w:tab w:val="right" w:pos="9026" w:leader="dot"/>
            </w:tabs>
            <w:rPr/>
          </w:pPr>
          <w:hyperlink w:anchor="__RefHeading___Toc9587970_73709187">
            <w:r>
              <w:rPr>
                <w:webHidden/>
                <w:rStyle w:val="IndexLink"/>
                <w:rtl w:val="true"/>
              </w:rPr>
              <w:t>آراء أهل السنّة فی الصورتین الأخیرتین</w:t>
            </w:r>
            <w:r>
              <w:rPr>
                <w:rStyle w:val="IndexLink"/>
                <w:rtl w:val="true"/>
              </w:rPr>
              <w:tab/>
            </w:r>
            <w:r>
              <w:rPr>
                <w:rStyle w:val="IndexLink"/>
              </w:rPr>
              <w:t>605</w:t>
            </w:r>
          </w:hyperlink>
        </w:p>
        <w:p>
          <w:pPr>
            <w:pStyle w:val="Contents2"/>
            <w:tabs>
              <w:tab w:val="clear" w:pos="8743"/>
              <w:tab w:val="right" w:pos="9026" w:leader="dot"/>
            </w:tabs>
            <w:rPr/>
          </w:pPr>
          <w:hyperlink w:anchor="__RefHeading___Toc9587972_73709187">
            <w:r>
              <w:rPr>
                <w:webHidden/>
                <w:rStyle w:val="IndexLink"/>
                <w:rtl w:val="true"/>
              </w:rPr>
              <w:t>فهرس المطالب</w:t>
            </w:r>
            <w:r>
              <w:rPr>
                <w:rStyle w:val="IndexLink"/>
                <w:rtl w:val="true"/>
              </w:rPr>
              <w:tab/>
            </w:r>
            <w:r>
              <w:rPr>
                <w:rStyle w:val="IndexLink"/>
              </w:rPr>
              <w:t>608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55_254196"/>
      <w:bookmarkStart w:id="1" w:name="pg11755_254196"/>
      <w:bookmarkEnd w:id="1"/>
    </w:p>
    <w:p>
      <w:pPr>
        <w:pStyle w:val="Heading2"/>
        <w:numPr>
          <w:ilvl w:val="1"/>
          <w:numId w:val="1"/>
        </w:numPr>
        <w:rPr/>
      </w:pPr>
      <w:bookmarkStart w:id="2" w:name="pg11755_254196"/>
      <w:bookmarkStart w:id="3" w:name="__RefHeading___Toc9587254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احکام الاطفال و ادلتها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مقارنه تفصیلیه بین مذهب الامامیه و المذاهب الاخری الجزء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محمدجواد الفاضل‌اللنکرانی؛ تالیف جمع من‌المحققین فی اللجنه الفقهیه؛ رتبها و نظمها قدره الله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فقه‌الائمه‌الاطهار علیهم‌السلام،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5694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و نشر در جلد ششم مرکز فقه‌الائمة‌الاطهار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والدین و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 ، قدرت‌الله،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۳۷۴۶۹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87256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موسوعه احکام الاطفال و ادلتها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مقارنه تفصیلیه بین مذهب الامامیه و المذاهب الاخری الجزء الرابع</w:t>
      </w:r>
    </w:p>
    <w:p>
      <w:pPr>
        <w:pStyle w:val="BookText"/>
        <w:rPr/>
      </w:pPr>
      <w:r>
        <w:rPr>
          <w:rFonts w:ascii="IRNazanin" w:hAnsi="IRNazanin" w:eastAsia="IRNazanin"/>
          <w:color w:val="111111"/>
          <w:sz w:val="28"/>
          <w:sz w:val="28"/>
          <w:szCs w:val="28"/>
          <w:rtl w:val="true"/>
          <w:lang w:bidi="fa-IR"/>
        </w:rPr>
        <w:t>اشراف محمدجواد الفاضل‌اللنکرانی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جمع من‌المحققین فی اللجنه الفقهیه؛ رتبها و نظمها قدره الله الانصاری</w:t>
      </w:r>
    </w:p>
    <w:p>
      <w:pPr>
        <w:pStyle w:val="BookText"/>
        <w:rPr/>
      </w:pPr>
      <w:r>
        <w:rPr>
          <w:rFonts w:ascii="IRNazanin" w:hAnsi="IRNazanin" w:eastAsia="IRNazanin"/>
          <w:color w:val="111111"/>
          <w:sz w:val="28"/>
          <w:sz w:val="28"/>
          <w:szCs w:val="28"/>
          <w:rtl w:val="true"/>
          <w:lang w:bidi="fa-IR"/>
        </w:rPr>
        <w:t>تألیف جمع من المحقّقین فی مرکز الفقه الأئمّة الأطهار علیهم السلام</w:t>
      </w:r>
    </w:p>
    <w:p>
      <w:pPr>
        <w:pStyle w:val="BookText"/>
        <w:rPr/>
      </w:pPr>
      <w:r>
        <w:rPr>
          <w:rFonts w:ascii="IRNazanin" w:hAnsi="IRNazanin" w:eastAsia="IRNazanin"/>
          <w:color w:val="111111"/>
          <w:sz w:val="28"/>
          <w:sz w:val="28"/>
          <w:szCs w:val="28"/>
          <w:rtl w:val="true"/>
          <w:lang w:bidi="fa-IR"/>
        </w:rPr>
        <w:t>رئیس اللجنة و المدوّن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قدرت اللّه الأنصاری</w:t>
      </w:r>
    </w:p>
    <w:p>
      <w:pPr>
        <w:pStyle w:val="BookText"/>
        <w:rPr/>
      </w:pPr>
      <w:r>
        <w:rPr>
          <w:rFonts w:ascii="IRNazanin" w:hAnsi="IRNazanin" w:eastAsia="IRNazanin"/>
          <w:color w:val="111111"/>
          <w:sz w:val="28"/>
          <w:sz w:val="28"/>
          <w:szCs w:val="28"/>
          <w:rtl w:val="true"/>
          <w:lang w:bidi="fa-IR"/>
        </w:rPr>
        <w:t>و المساعدون فی التألیف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جواد الأنصاری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البهشتی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عباس علی پیوندی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عبد الحسین الجمالی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علی السعیدی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أکبر الطباطبائی</w:t>
      </w:r>
    </w:p>
    <w:p>
      <w:pPr>
        <w:pStyle w:val="BookText"/>
        <w:rPr/>
      </w:pPr>
      <w:r>
        <w:rPr>
          <w:rFonts w:ascii="IRNazanin" w:hAnsi="IRNazanin" w:eastAsia="IRNazanin"/>
          <w:color w:val="111111"/>
          <w:sz w:val="28"/>
          <w:sz w:val="28"/>
          <w:szCs w:val="28"/>
          <w:rtl w:val="true"/>
          <w:lang w:bidi="fa-IR"/>
        </w:rPr>
        <w:t>مع تعلیقات</w:t>
      </w:r>
    </w:p>
    <w:p>
      <w:pPr>
        <w:pStyle w:val="BookText"/>
        <w:rPr/>
      </w:pPr>
      <w:r>
        <w:rPr>
          <w:rFonts w:ascii="IRNazanin" w:hAnsi="IRNazanin" w:eastAsia="IRNazanin"/>
          <w:color w:val="111111"/>
          <w:sz w:val="28"/>
          <w:sz w:val="28"/>
          <w:szCs w:val="28"/>
          <w:rtl w:val="true"/>
          <w:lang w:bidi="fa-IR"/>
        </w:rPr>
        <w:t>الاُستاذ المحقّق الشیخ محمّد جواد الفاضل اللنکرانی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 رمزناها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ج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ذیلها</w:t>
      </w:r>
      <w:bookmarkStart w:id="7" w:name="pg11755_254204"/>
    </w:p>
    <w:p>
      <w:pPr>
        <w:pStyle w:val="Heading2"/>
        <w:numPr>
          <w:ilvl w:val="1"/>
          <w:numId w:val="1"/>
        </w:numPr>
        <w:rPr/>
      </w:pPr>
      <w:bookmarkStart w:id="8" w:name="__RefHeading___Toc9587258_73709187"/>
      <w:bookmarkStart w:id="9" w:name="_Toc3"/>
      <w:bookmarkEnd w:id="7"/>
      <w:bookmarkEnd w:id="8"/>
      <w:r>
        <w:rPr>
          <w:rtl w:val="true"/>
        </w:rPr>
        <w:t>شکر و ثناء</w:t>
      </w:r>
      <w:bookmarkEnd w:id="9"/>
    </w:p>
    <w:p>
      <w:pPr>
        <w:pStyle w:val="BookText"/>
        <w:rPr/>
      </w:pPr>
      <w:r>
        <w:rPr>
          <w:rFonts w:ascii="IRNazanin" w:hAnsi="IRNazanin" w:eastAsia="IRNazanin"/>
          <w:color w:val="111111"/>
          <w:sz w:val="28"/>
          <w:sz w:val="28"/>
          <w:szCs w:val="28"/>
          <w:rtl w:val="true"/>
          <w:lang w:bidi="fa-IR"/>
        </w:rPr>
        <w:t xml:space="preserve">بین أیدی فضلاء الحوزة و اساتذتها المجلّد الرابع من الموسوعة الفقهیة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أحکام الأطفال و أدلّتها مقارنة تفصیلة بین مذهب الامامیة و المذاهب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فی مرکز فقه الأئمّة الأطهار علیهم السلام الّذی کان من خدمات المرجع الدینی الأعلی آیة اللّه العظمی الشیخ محمّد الفاضل اللنکرانی رحمه الله و حشره اللّه تعالی مع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نتقدّم بالشکر الجزیل و الثناء الجمیل إلی الأستاذ المحقّق الشیخ محمّد جواد الفاضل دام ظلّه، رئیس المرکز الفقهی و الّذی أمدّنا بالعون و النصح و الارشاد طوال فترة العمل مع بذله لقصاری جهده بکتابة تعلیقات علمیّة دقیقة علی الموسوعة، و إن لم یکن بنائه علی التعلیق و التحقیق فی جمیع المسائل و المطالب</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نغتنم الفرصة لنقدّم الشکر و الثناء إلی کلّ من ساعدنا و بذل جهداً فی انجاز هذا المشروع العلمی القیّم المبارک، و ندعو اللّه عزّ و جلّ لهم بالتوفیق،</w:t>
      </w:r>
    </w:p>
    <w:p>
      <w:pPr>
        <w:pStyle w:val="BookText"/>
        <w:rPr/>
      </w:pPr>
      <w:r>
        <w:rPr>
          <w:rFonts w:ascii="IRNazanin" w:hAnsi="IRNazanin" w:eastAsia="IRNazanin"/>
          <w:color w:val="111111"/>
          <w:sz w:val="28"/>
          <w:sz w:val="28"/>
          <w:szCs w:val="28"/>
          <w:rtl w:val="true"/>
          <w:lang w:bidi="fa-IR"/>
        </w:rPr>
        <w:t>انّه نِعم المولی و نعم النصیر، و هم حجج الإسلام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رضا الفاضل الکاشانی مدیر مرکز فقه الأئمّة الأطهار علیهم السلام الاشراف المباشر و متابعة مراحل طبع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سیف اللّه الصرّامی، و الشیخ أبو القاسم علی دوست، الإرشاد إلی تصحیح موارد الاشتباه المحتملة فی الاستدلالات و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علی الأنصاری الحمیداوی المراجعة النهائیة و التهذیب و تقویم النص الفنّی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عبد الرضا 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المقابلة و مراجعة المصادر و تخریجها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نهایة المطاف نسأل اللّه تعالی سبحانه أن یجعل عملنا فی هذا المشروع صالحاً خالصاً لوجهه مقرّباً الیه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p>
    <w:p>
      <w:pPr>
        <w:pStyle w:val="BookText"/>
        <w:rPr/>
      </w:pPr>
      <w:r>
        <w:rPr>
          <w:rFonts w:ascii="IRNazanin" w:hAnsi="IRNazanin" w:eastAsia="IRNazanin"/>
          <w:color w:val="111111"/>
          <w:sz w:val="28"/>
          <w:sz w:val="28"/>
          <w:szCs w:val="28"/>
          <w:rtl w:val="true"/>
          <w:lang w:bidi="fa-IR"/>
        </w:rPr>
        <w:t>قدرت اللّه الأنصاری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lang w:bidi="fa-IR"/>
        </w:rPr>
        <w:t>1429</w:t>
      </w:r>
      <w:bookmarkStart w:id="10" w:name="pg11755_254208"/>
    </w:p>
    <w:p>
      <w:pPr>
        <w:pStyle w:val="Heading2"/>
        <w:numPr>
          <w:ilvl w:val="1"/>
          <w:numId w:val="1"/>
        </w:numPr>
        <w:rPr/>
      </w:pPr>
      <w:bookmarkStart w:id="11" w:name="__RefHeading___Toc9587260_73709187"/>
      <w:bookmarkStart w:id="12" w:name="_Toc4"/>
      <w:bookmarkEnd w:id="10"/>
      <w:bookmarkEnd w:id="11"/>
      <w:r>
        <w:rPr>
          <w:rtl w:val="true"/>
        </w:rPr>
        <w:t>الباب الثامن</w:t>
      </w:r>
      <w:r>
        <w:rPr>
          <w:rtl w:val="true"/>
        </w:rPr>
        <w:t xml:space="preserve">: </w:t>
      </w:r>
      <w:r>
        <w:rPr>
          <w:rtl w:val="true"/>
        </w:rPr>
        <w:t>أحکام الطهارة المتعلّقة بالصبیّ حیّاً و میّتاً</w:t>
      </w:r>
      <w:bookmarkEnd w:id="12"/>
    </w:p>
    <w:p>
      <w:pPr>
        <w:pStyle w:val="Heading3"/>
        <w:numPr>
          <w:ilvl w:val="2"/>
          <w:numId w:val="1"/>
        </w:numPr>
        <w:rPr/>
      </w:pPr>
      <w:bookmarkStart w:id="13" w:name="__RefHeading___Toc9587262_73709187"/>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و فیه ثلاثة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الطهارة من الخبث</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الطهارة من الحدث</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الطفل المیّت</w:t>
      </w:r>
      <w:bookmarkStart w:id="15" w:name="pg11755_254212"/>
    </w:p>
    <w:p>
      <w:pPr>
        <w:pStyle w:val="BookText"/>
        <w:rPr/>
      </w:pPr>
      <w:bookmarkEnd w:id="15"/>
      <w:r>
        <w:rPr>
          <w:rFonts w:ascii="IRNazanin" w:hAnsi="IRNazanin" w:eastAsia="IRNazanin"/>
          <w:color w:val="111111"/>
          <w:sz w:val="28"/>
          <w:sz w:val="28"/>
          <w:szCs w:val="28"/>
          <w:rtl w:val="true"/>
          <w:lang w:bidi="fa-IR"/>
        </w:rPr>
        <w:t>أحکام الطهارة المتعلّقة بالصبی</w:t>
      </w:r>
    </w:p>
    <w:p>
      <w:pPr>
        <w:pStyle w:val="Heading3"/>
        <w:numPr>
          <w:ilvl w:val="2"/>
          <w:numId w:val="1"/>
        </w:numPr>
        <w:rPr/>
      </w:pPr>
      <w:bookmarkStart w:id="16" w:name="__RefHeading___Toc9587264_73709187"/>
      <w:bookmarkStart w:id="17" w:name="_Toc6"/>
      <w:bookmarkEnd w:id="16"/>
      <w:r>
        <w:rPr>
          <w:rtl w:val="true"/>
        </w:rPr>
        <w:t>تمهید</w:t>
      </w:r>
      <w:bookmarkEnd w:id="17"/>
    </w:p>
    <w:p>
      <w:pPr>
        <w:pStyle w:val="BookText"/>
        <w:rPr/>
      </w:pPr>
      <w:r>
        <w:rPr>
          <w:rFonts w:ascii="Amiri" w:hAnsi="Amiri" w:eastAsia="Amiri" w:cs="Amiri"/>
          <w:color w:val="111111"/>
          <w:sz w:val="28"/>
          <w:sz w:val="28"/>
          <w:szCs w:val="28"/>
          <w:rtl w:val="true"/>
          <w:lang w:bidi="ar-SA"/>
        </w:rPr>
        <w:t>الطهارة و النجاسة لغةً و اصطلاحاً</w:t>
      </w:r>
    </w:p>
    <w:p>
      <w:pPr>
        <w:pStyle w:val="BookText"/>
        <w:rPr/>
      </w:pPr>
      <w:r>
        <w:rPr>
          <w:rFonts w:ascii="IRNazanin" w:hAnsi="IRNazanin" w:eastAsia="IRNazanin"/>
          <w:color w:val="111111"/>
          <w:sz w:val="28"/>
          <w:sz w:val="28"/>
          <w:szCs w:val="28"/>
          <w:rtl w:val="true"/>
          <w:lang w:bidi="fa-IR"/>
        </w:rPr>
        <w:t>الطهارة و الطهر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النقاء من الدنس و النجس، و التطهّر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التنزّه عن الذمّ و کلّ قبیح، و فلان طاهر الثیاب، إذا لم یدنّس، طهّره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 به، و الطهارة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جسمانیّة و نفسانیّة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المعروف کما فی مقابس الأنوار</w:t>
      </w:r>
      <w:r>
        <w:rPr>
          <w:rStyle w:val="FootnoteAnchor"/>
          <w:rtl w:val="true"/>
        </w:rPr>
        <w:footnoteReference w:id="3"/>
      </w:r>
      <w:r>
        <w:rPr>
          <w:rFonts w:ascii="IRNazanin" w:hAnsi="IRNazanin" w:eastAsia="IRNazanin"/>
          <w:color w:val="111111"/>
          <w:sz w:val="28"/>
          <w:sz w:val="28"/>
          <w:szCs w:val="28"/>
          <w:rtl w:val="true"/>
          <w:lang w:bidi="fa-IR"/>
        </w:rPr>
        <w:t>، بل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علیه أکثر علمائنا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للوضوء أو الغسل أو التیمّم علی وجه له تأثیر فی استباحة الصلاة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هذا التعریف لفظی</w:t>
      </w:r>
      <w:r>
        <w:rPr>
          <w:rStyle w:val="FootnoteAnchor"/>
          <w:rtl w:val="true"/>
        </w:rPr>
        <w:footnoteReference w:id="6"/>
      </w:r>
      <w:r>
        <w:rPr>
          <w:rFonts w:ascii="IRNazanin" w:hAnsi="IRNazanin" w:eastAsia="IRNazanin"/>
          <w:color w:val="111111"/>
          <w:sz w:val="28"/>
          <w:sz w:val="28"/>
          <w:szCs w:val="28"/>
          <w:rtl w:val="true"/>
          <w:lang w:bidi="fa-IR"/>
        </w:rPr>
        <w:t>علی قانون أهل اللغة، و هو تبدیل اسم</w:t>
      </w:r>
    </w:p>
    <w:p>
      <w:pPr>
        <w:pStyle w:val="BookText"/>
        <w:rPr/>
      </w:pPr>
      <w:r>
        <w:rPr>
          <w:rFonts w:ascii="IRNazanin" w:hAnsi="IRNazanin" w:eastAsia="IRNazanin"/>
          <w:color w:val="111111"/>
          <w:sz w:val="28"/>
          <w:sz w:val="28"/>
          <w:szCs w:val="28"/>
          <w:rtl w:val="true"/>
          <w:lang w:bidi="fa-IR"/>
        </w:rPr>
        <w:t>باسم آخر أظهر منه، و یحمل علی خصوص الطهارات الثلاث التی هی نوع من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الطهارة تشمل إزالة النجاسة أیضاً للتبادر، و کثرة إطلاقها فی الکتاب و السنّة و لسان المتشرّعة، و لاستبعاد جعل البحث عنها بالعرض، و لحملها علی ما هو المتعارف فی اللّغة و عدم ثبوت النقل، و لذا 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الطهور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 المزیل للحدث و النجاسة</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التبیان</w:t>
      </w:r>
      <w:r>
        <w:rPr>
          <w:rStyle w:val="FootnoteAnchor"/>
          <w:rtl w:val="true"/>
        </w:rPr>
        <w:footnoteReference w:id="8"/>
      </w:r>
      <w:r>
        <w:rPr>
          <w:rFonts w:ascii="IRNazanin" w:hAnsi="IRNazanin" w:eastAsia="IRNazanin"/>
          <w:color w:val="111111"/>
          <w:sz w:val="28"/>
          <w:sz w:val="28"/>
          <w:szCs w:val="28"/>
          <w:rtl w:val="true"/>
          <w:lang w:bidi="fa-IR"/>
        </w:rPr>
        <w:t>وفقه القرآن</w:t>
      </w:r>
      <w:r>
        <w:rPr>
          <w:rStyle w:val="FootnoteAnchor"/>
          <w:rtl w:val="true"/>
        </w:rPr>
        <w:footnoteReference w:id="9"/>
      </w:r>
      <w:r>
        <w:rPr>
          <w:rFonts w:ascii="IRNazanin" w:hAnsi="IRNazanin" w:eastAsia="IRNazanin"/>
          <w:color w:val="111111"/>
          <w:sz w:val="28"/>
          <w:sz w:val="28"/>
          <w:szCs w:val="28"/>
          <w:rtl w:val="true"/>
          <w:lang w:bidi="fa-IR"/>
        </w:rPr>
        <w:t>و مجمع البیان</w:t>
      </w:r>
      <w:r>
        <w:rPr>
          <w:rStyle w:val="FootnoteAnchor"/>
          <w:rtl w:val="true"/>
        </w:rPr>
        <w:footnoteReference w:id="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طهوراً، أی طاهراً مطهّراً مزیلاً للأحداث و النجاسات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فالمتحصّل ممّا تقدّم أنّ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ارتفاع الحدث و زوال الخبث و ما فی معناهما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النجاسة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الطهارة کما فی القاموس</w:t>
      </w:r>
      <w:r>
        <w:rPr>
          <w:rStyle w:val="FootnoteAnchor"/>
          <w:rtl w:val="true"/>
        </w:rPr>
        <w:footnoteReference w:id="11"/>
      </w:r>
      <w:r>
        <w:rPr>
          <w:rFonts w:ascii="IRNazanin" w:hAnsi="IRNazanin" w:eastAsia="IRNazanin"/>
          <w:color w:val="111111"/>
          <w:sz w:val="28"/>
          <w:sz w:val="28"/>
          <w:szCs w:val="28"/>
          <w:rtl w:val="true"/>
          <w:lang w:bidi="fa-IR"/>
        </w:rPr>
        <w:t>، و جاء فی مجمع البحرین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الشیء ینجس نجساً من باب تعب، إذا کان قذراً غیر نظیف، و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استعمل مع الرجس کسر أوّله،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رجس نجس</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النَّجْس و النِّجْس و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الدنس</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و کذا فی غیرها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الاصطلاح</w:t>
      </w:r>
      <w:r>
        <w:rPr>
          <w:rStyle w:val="FootnoteAnchor"/>
          <w:rtl w:val="true"/>
        </w:rPr>
        <w:footnoteReference w:id="15"/>
      </w: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قذارة خاصّة فی نظر الشارع، مجهولة الکنه، اقتضت إیجاب هجرها فی امور مخصوصة، فکلّ جسم خلا عن تلک القذارة فی نظر الشارع فهو طاهر نظیف</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مصباح الفقیه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هذه المقدّمة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أکثر أحکام الطهارة و النجاسة یشترک فیه البالغ و غیر البالغ، و لکن بعض أحکامها یتعلّق بالصبیّ باعتبار أنّه صبیّ، کنجاسته تبعاً لأبویه الکافرین، و کیفیّة تطهیره بالإسلام، و هکذا طهارته تبعاً لأبویه المسلمین، و التطهیر من بول الرضیع بالصبّ مرّةً، و العفو عن ثوب المربّیة للصبیّ فی الصلاة إذا تنجّس ببول الرضیع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علم ممّا تقدّم أنّ الطهارة إمّا من الخبث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إمّا من الحدث، و علی هذا یقع الکلام فی الأحکام المتعلّقة بالصبیّ فی فصلین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الطهارة من الخبث</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الطهارة من الحدث</w:t>
      </w:r>
      <w:r>
        <w:rPr>
          <w:rFonts w:eastAsia="IRNazanin" w:cs="IRNazanin"/>
          <w:color w:val="111111"/>
          <w:sz w:val="28"/>
          <w:szCs w:val="28"/>
          <w:rtl w:val="true"/>
          <w:lang w:bidi="fa-IR"/>
        </w:rPr>
        <w:t>.</w:t>
      </w:r>
      <w:bookmarkStart w:id="18" w:name="pg11755_254221"/>
    </w:p>
    <w:p>
      <w:pPr>
        <w:pStyle w:val="Heading3"/>
        <w:numPr>
          <w:ilvl w:val="2"/>
          <w:numId w:val="1"/>
        </w:numPr>
        <w:rPr/>
      </w:pPr>
      <w:bookmarkStart w:id="19" w:name="__RefHeading___Toc9587266_73709187"/>
      <w:bookmarkStart w:id="20" w:name="_Toc7"/>
      <w:bookmarkEnd w:id="18"/>
      <w:bookmarkEnd w:id="19"/>
      <w:r>
        <w:rPr>
          <w:rtl w:val="true"/>
        </w:rPr>
        <w:t>الفصل الأوّل</w:t>
      </w:r>
      <w:r>
        <w:rPr>
          <w:rtl w:val="true"/>
        </w:rPr>
        <w:t xml:space="preserve">: </w:t>
      </w:r>
      <w:r>
        <w:rPr>
          <w:rtl w:val="true"/>
        </w:rPr>
        <w:t>فی الطهارة من الخبث</w:t>
      </w:r>
      <w:bookmarkEnd w:id="20"/>
    </w:p>
    <w:p>
      <w:pPr>
        <w:pStyle w:val="Heading4"/>
        <w:numPr>
          <w:ilvl w:val="3"/>
          <w:numId w:val="1"/>
        </w:numPr>
        <w:rPr/>
      </w:pPr>
      <w:bookmarkStart w:id="21" w:name="__RefHeading___Toc9587268_73709187"/>
      <w:bookmarkStart w:id="22" w:name="_Toc8"/>
      <w:bookmarkEnd w:id="21"/>
      <w:r>
        <w:rPr>
          <w:rtl w:val="true"/>
        </w:rPr>
        <w:t>اشارة</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مباحث</w:t>
      </w:r>
      <w:bookmarkStart w:id="23" w:name="pg11755_254225"/>
    </w:p>
    <w:p>
      <w:pPr>
        <w:pStyle w:val="Heading4"/>
        <w:numPr>
          <w:ilvl w:val="3"/>
          <w:numId w:val="1"/>
        </w:numPr>
        <w:rPr/>
      </w:pPr>
      <w:bookmarkStart w:id="24" w:name="__RefHeading___Toc9587270_73709187"/>
      <w:bookmarkStart w:id="25" w:name="_Toc9"/>
      <w:bookmarkEnd w:id="23"/>
      <w:bookmarkEnd w:id="24"/>
      <w:r>
        <w:rPr>
          <w:rtl w:val="true"/>
        </w:rPr>
        <w:t>المبحث الأوّل</w:t>
      </w:r>
      <w:r>
        <w:rPr>
          <w:rtl w:val="true"/>
        </w:rPr>
        <w:t xml:space="preserve">: </w:t>
      </w:r>
      <w:r>
        <w:rPr>
          <w:rtl w:val="true"/>
        </w:rPr>
        <w:t>کفایة الصبّ فی التطهیر من بول الرضیع</w:t>
      </w:r>
      <w:bookmarkEnd w:id="25"/>
    </w:p>
    <w:p>
      <w:pPr>
        <w:pStyle w:val="Heading5"/>
        <w:numPr>
          <w:ilvl w:val="4"/>
          <w:numId w:val="1"/>
        </w:numPr>
        <w:rPr/>
      </w:pPr>
      <w:bookmarkStart w:id="26" w:name="__RefHeading___Toc9587272_73709187"/>
      <w:bookmarkStart w:id="27" w:name="_Toc10"/>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لا خلاف بین الأصحاب</w:t>
      </w:r>
      <w:r>
        <w:rPr>
          <w:rStyle w:val="FootnoteAnchor"/>
          <w:rtl w:val="true"/>
        </w:rPr>
        <w:footnoteReference w:id="18"/>
      </w:r>
      <w:r>
        <w:rPr>
          <w:rFonts w:ascii="IRNazanin" w:hAnsi="IRNazanin" w:eastAsia="IRNazanin"/>
          <w:color w:val="111111"/>
          <w:sz w:val="28"/>
          <w:sz w:val="28"/>
          <w:szCs w:val="28"/>
          <w:rtl w:val="true"/>
          <w:lang w:bidi="fa-IR"/>
        </w:rPr>
        <w:t>فی أنّه لا فرق فی نجاسة بول الإنسان بین الصغیر و الکبیر، و بین الرضیع و غیره، بل ثبت الإجماع منهم علیه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إلی عموم الروایات الواردة فی نجاسة البول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صحیح الحلبی، قال</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بول الصبیّ، قال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 علیه الماء، فإن کان قد أکل فاغسله بالماء غسلاً، و الغلام و الجاریة فی ذلک شرعٌ سواء</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و غیره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جاء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البالغ و غیر البالغ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إلّا أن یکون غیر البالغ صبیّاً ذکراً، فإنّ بوله و لبنه ما لم یأکل اللحم لیس بنجس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ابن الجنید بما رواه السکونی عن جعفر، عن أبیه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الجاریة و بولها یغسل منه الثوب قبل أن تطعم؛ لأنّ لبنها یخرج عن مثانة امّها، و لبن الغلام لا یغسل منه الثوب و لا من بوله قبل أن یطعم؛ لأنّ لبن الغلام یخرج من العضدین و المنکبین</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لأنّه لو کان نجساً لوجب غسله کبول البالغ، و لم یکتف بالصبّ کغیره من الأبوال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بالطعن فی السند أوّلاً، و بالقول بالموجب ثانیاً، فإنّ انتفاء الغسل لا یستلزم</w:t>
      </w:r>
      <w:r>
        <w:rPr>
          <w:rStyle w:val="FootnoteAnchor"/>
          <w:rtl w:val="true"/>
        </w:rPr>
        <w:footnoteReference w:id="25"/>
      </w:r>
      <w:r>
        <w:rPr>
          <w:rFonts w:ascii="IRNazanin" w:hAnsi="IRNazanin" w:eastAsia="IRNazanin"/>
          <w:color w:val="111111"/>
          <w:sz w:val="28"/>
          <w:sz w:val="28"/>
          <w:szCs w:val="28"/>
          <w:rtl w:val="true"/>
          <w:lang w:bidi="fa-IR"/>
        </w:rPr>
        <w:t>انتفاء الصبّ، و نحن لم نوجب الغسل، و إنّما أوجبنا الصبّ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بالمنع من المشارکة فی کیفیّة الإزالة، فإنّ النجاسات تتفاوت و تقبل الشدّة و الضعف، فجاز أن یکون بول الرضیع ضعیف النجاسة، فاکتفی فیه بالصبّ دون بول البالغ</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المدارک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غضّ النظر عن ضعف سند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قاصرة عن معارضة</w:t>
      </w:r>
      <w:bookmarkStart w:id="28" w:name="pg11755_254229"/>
    </w:p>
    <w:p>
      <w:pPr>
        <w:pStyle w:val="BookText"/>
        <w:rPr/>
      </w:pPr>
      <w:bookmarkEnd w:id="28"/>
      <w:r>
        <w:rPr>
          <w:rFonts w:ascii="Amiri" w:hAnsi="Amiri" w:eastAsia="Amiri" w:cs="Amiri"/>
          <w:color w:val="111111"/>
          <w:sz w:val="28"/>
          <w:sz w:val="28"/>
          <w:szCs w:val="28"/>
          <w:rtl w:val="true"/>
          <w:lang w:bidi="ar-SA"/>
        </w:rPr>
        <w:t>ما تقدّم</w:t>
      </w:r>
      <w:r>
        <w:rPr>
          <w:rStyle w:val="FootnoteAnchor"/>
          <w:rtl w:val="true"/>
        </w:rPr>
        <w:footnoteReference w:id="28"/>
      </w:r>
      <w:r>
        <w:rPr>
          <w:rFonts w:ascii="IRNazanin" w:hAnsi="IRNazanin" w:eastAsia="IRNazanin"/>
          <w:color w:val="111111"/>
          <w:sz w:val="28"/>
          <w:sz w:val="28"/>
          <w:szCs w:val="28"/>
          <w:rtl w:val="true"/>
          <w:lang w:bidi="fa-IR"/>
        </w:rPr>
        <w:t xml:space="preserve">من الروایات المعتبرة الواردة فی خصوص بول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المعتضدة بالإجماع الذی ادّعاه السیّد، و کذا فی المعتبر و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لشذوذها، و اشتهار تلک النصوص فتوی و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الروایة دلّت علی نجاسة لبن الجاریة، و لم یلتزم به أحد من الفقهاء، و لا خلاف فی طهارته، فلا یجوز الاعتماد علی هذه الروایة الضعیفة المخالفة لعمل الأصحاب فی رفع الید عن مقتضیات الأدلّة العامّة و الخاصّة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لا إشکال فی نجاسة بول الصبیّ کالکبیر، و لکن الحکم الذی یختصّ بالصبیّ الرضیع و ینبغی ذکره فی المقام هو عدم وجوب غسل الثوب من بوله، و کفایة صبّ الماء علیه، فیلزم أن نبیّن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المقصود من الرضیع فی المقام، ثمّ نذکر آراء الفقهاء و أدلّة المسألة</w:t>
      </w:r>
      <w:r>
        <w:rPr>
          <w:rFonts w:eastAsia="IRNazanin" w:cs="IRNazanin"/>
          <w:color w:val="111111"/>
          <w:sz w:val="28"/>
          <w:szCs w:val="28"/>
          <w:rtl w:val="true"/>
          <w:lang w:bidi="fa-IR"/>
        </w:rPr>
        <w:t>.</w:t>
      </w:r>
    </w:p>
    <w:p>
      <w:pPr>
        <w:pStyle w:val="Heading5"/>
        <w:numPr>
          <w:ilvl w:val="4"/>
          <w:numId w:val="1"/>
        </w:numPr>
        <w:rPr/>
      </w:pPr>
      <w:bookmarkStart w:id="29" w:name="__RefHeading___Toc9587274_73709187"/>
      <w:bookmarkStart w:id="30" w:name="_Toc11"/>
      <w:bookmarkEnd w:id="29"/>
      <w:r>
        <w:rPr>
          <w:rtl w:val="true"/>
        </w:rPr>
        <w:t>الرضیع فی اللغة و الاصطلاح</w:t>
      </w:r>
      <w:bookmarkEnd w:id="30"/>
    </w:p>
    <w:p>
      <w:pPr>
        <w:pStyle w:val="BookText"/>
        <w:rPr/>
      </w:pPr>
      <w:r>
        <w:rPr>
          <w:rFonts w:ascii="IRNazanin" w:hAnsi="IRNazanin" w:eastAsia="IRNazanin"/>
          <w:color w:val="111111"/>
          <w:sz w:val="28"/>
          <w:sz w:val="28"/>
          <w:szCs w:val="28"/>
          <w:rtl w:val="true"/>
          <w:lang w:bidi="fa-IR"/>
        </w:rPr>
        <w:t>الرضیع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الطفل الذی ارتضع اللبن من ثدی امّه،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أرضعت الاُمّ ولدها، أی کان لها ولد ترضعه، فهی مرضع و مرضعة، و هو رضیع</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المقصود منه عند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الذی لم یتغذّ بالطعام کثیراً بحیث</w:t>
      </w:r>
    </w:p>
    <w:p>
      <w:pPr>
        <w:pStyle w:val="BookText"/>
        <w:rPr/>
      </w:pPr>
      <w:r>
        <w:rPr>
          <w:rFonts w:ascii="IRNazanin" w:hAnsi="IRNazanin" w:eastAsia="IRNazanin"/>
          <w:color w:val="111111"/>
          <w:sz w:val="28"/>
          <w:sz w:val="28"/>
          <w:szCs w:val="28"/>
          <w:rtl w:val="true"/>
          <w:lang w:bidi="fa-IR"/>
        </w:rPr>
        <w:t>یساوی اللبن، فلا یضرّ القلیل</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قیّده بعضهم بمن لم یبلغ سنتین کما فی السرائر</w:t>
      </w:r>
      <w:r>
        <w:rPr>
          <w:rStyle w:val="FootnoteAnchor"/>
          <w:rtl w:val="true"/>
        </w:rPr>
        <w:footnoteReference w:id="32"/>
      </w:r>
      <w:r>
        <w:rPr>
          <w:rFonts w:ascii="IRNazanin" w:hAnsi="IRNazanin" w:eastAsia="IRNazanin"/>
          <w:color w:val="111111"/>
          <w:sz w:val="28"/>
          <w:sz w:val="28"/>
          <w:szCs w:val="28"/>
          <w:rtl w:val="true"/>
          <w:lang w:bidi="fa-IR"/>
        </w:rPr>
        <w:t>، و یظهر من کلام المحقّق الکرکی أیضاً،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یتجاوز سنّ الرضاعة</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 التقیید بسنتین المحقّق الحلّی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تُصغِ إلی من یعلّق الحکم بالحولین، فإنّه مجازف، بل لو استقلّ بالغذاء قبل الحولین یتعلّق ببوله وجوب الغسل</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عنوان الرضیع لم یرد فی شیء من الروایات المعتبرة، و إنّما ورد فیها عنوان الصبیّ مقیّداً فی بعضها بما إذا لم یأکل الطعام</w:t>
      </w:r>
      <w:r>
        <w:rPr>
          <w:rStyle w:val="FootnoteAnchor"/>
          <w:rtl w:val="true"/>
        </w:rPr>
        <w:footnoteReference w:id="35"/>
      </w:r>
      <w:r>
        <w:rPr>
          <w:rFonts w:ascii="IRNazanin" w:hAnsi="IRNazanin" w:eastAsia="IRNazanin"/>
          <w:color w:val="111111"/>
          <w:sz w:val="28"/>
          <w:sz w:val="28"/>
          <w:szCs w:val="28"/>
          <w:rtl w:val="true"/>
          <w:lang w:bidi="fa-IR"/>
        </w:rPr>
        <w:t>، و حیث إنّ الصبیّ غیر المتغذّی بالطعام لا ینفکّ عن کونه رضیعاً، فعبّر عنه الأصحاب بالرضیع، و علیه فالمدار إنّما هو علی صدق عنوان الصبیّ الذی لم یأکل الطعام کثیراً، بحیث یساوی اللبن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الفقیه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الغلام المتغذّی باللبن الذی لم یصر آکلاً للطعام أکلاً یعتدّ به، مستنداً إلی شهوته، کما صرّح به غیر واحد؛ لأنّ هذا هو المتبادر من إطلاق الرضیع فی الفتاوی، و فی عبارة الفقه الرضوی</w:t>
      </w:r>
      <w:r>
        <w:rPr>
          <w:rStyle w:val="FootnoteAnchor"/>
          <w:rtl w:val="true"/>
        </w:rPr>
        <w:footnoteReference w:id="36"/>
      </w:r>
      <w:bookmarkStart w:id="31" w:name="pg11755_254233"/>
    </w:p>
    <w:p>
      <w:pPr>
        <w:pStyle w:val="BookText"/>
        <w:rPr/>
      </w:pPr>
      <w:bookmarkEnd w:id="31"/>
      <w:r>
        <w:rPr>
          <w:rFonts w:ascii="IRNazanin" w:hAnsi="IRNazanin" w:eastAsia="IRNazanin"/>
          <w:color w:val="111111"/>
          <w:sz w:val="28"/>
          <w:sz w:val="28"/>
          <w:szCs w:val="28"/>
          <w:rtl w:val="true"/>
          <w:lang w:bidi="fa-IR"/>
        </w:rPr>
        <w:t>و من قوله صلّی اللّه علیه و آله و سلّم فی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ینضح علی بول الصبیّ ما لم یأکل</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عن الحلّی من تحدید الصبیّ الرضیع بمن لم یبلغ سنتین</w:t>
      </w:r>
      <w:r>
        <w:rPr>
          <w:rStyle w:val="FootnoteAnchor"/>
          <w:rtl w:val="true"/>
        </w:rPr>
        <w:footnoteReference w:id="38"/>
      </w:r>
      <w:r>
        <w:rPr>
          <w:rFonts w:ascii="IRNazanin" w:hAnsi="IRNazanin" w:eastAsia="IRNazanin"/>
          <w:color w:val="111111"/>
          <w:sz w:val="28"/>
          <w:sz w:val="28"/>
          <w:szCs w:val="28"/>
          <w:rtl w:val="true"/>
          <w:lang w:bidi="fa-IR"/>
        </w:rPr>
        <w:t>،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أراد بذلک تقیید کون رضاعه فی الحولین احترازاً عمّا لو بقی علی صفته بعد مضیّ الحولین، بدعوی أنّه هو المتبادر من إطلاقه لکان</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وجیهاً</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Heading5"/>
        <w:numPr>
          <w:ilvl w:val="4"/>
          <w:numId w:val="1"/>
        </w:numPr>
        <w:rPr/>
      </w:pPr>
      <w:bookmarkStart w:id="32" w:name="__RefHeading___Toc9587276_73709187"/>
      <w:bookmarkStart w:id="33" w:name="_Toc12"/>
      <w:bookmarkEnd w:id="32"/>
      <w:r>
        <w:rPr>
          <w:rtl w:val="true"/>
        </w:rPr>
        <w:t>آراء الفقهاء فی المسألة</w:t>
      </w:r>
      <w:bookmarkEnd w:id="33"/>
    </w:p>
    <w:p>
      <w:pPr>
        <w:pStyle w:val="BookText"/>
        <w:rPr/>
      </w:pPr>
      <w:r>
        <w:rPr>
          <w:rFonts w:ascii="IRNazanin" w:hAnsi="IRNazanin" w:eastAsia="IRNazanin"/>
          <w:color w:val="111111"/>
          <w:sz w:val="28"/>
          <w:sz w:val="28"/>
          <w:szCs w:val="28"/>
          <w:rtl w:val="true"/>
          <w:lang w:bidi="fa-IR"/>
        </w:rPr>
        <w:t xml:space="preserve">لا خلاف بین أصحابنا فی أنّه لا یعتبر فی تطهیر الثوب أو البدن من بول الصبیّ الرضیع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استغراق المحلّ بالماء و انفصاله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صبّ الماء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بول الصبیّ قبل أن یطعم لا یجب غسل الثوب منه، بل یصبّ الماء علیه صبّاً</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المنتهی</w:t>
      </w:r>
      <w:r>
        <w:rPr>
          <w:rStyle w:val="FootnoteAnchor"/>
          <w:rtl w:val="true"/>
        </w:rPr>
        <w:footnoteReference w:id="42"/>
      </w:r>
      <w:r>
        <w:rPr>
          <w:rFonts w:ascii="IRNazanin" w:hAnsi="IRNazanin" w:eastAsia="IRNazanin"/>
          <w:color w:val="111111"/>
          <w:sz w:val="28"/>
          <w:sz w:val="28"/>
          <w:szCs w:val="28"/>
          <w:rtl w:val="true"/>
          <w:lang w:bidi="fa-IR"/>
        </w:rPr>
        <w:t>و المختلف</w:t>
      </w:r>
      <w:r>
        <w:rPr>
          <w:rStyle w:val="FootnoteAnchor"/>
          <w:rtl w:val="true"/>
        </w:rPr>
        <w:footnoteReference w:id="43"/>
      </w:r>
      <w:r>
        <w:rPr>
          <w:rFonts w:ascii="IRNazanin" w:hAnsi="IRNazanin" w:eastAsia="IRNazanin"/>
          <w:color w:val="111111"/>
          <w:sz w:val="28"/>
          <w:sz w:val="28"/>
          <w:szCs w:val="28"/>
          <w:rtl w:val="true"/>
          <w:lang w:bidi="fa-IR"/>
        </w:rPr>
        <w:t>و الکفایة</w:t>
      </w:r>
      <w:r>
        <w:rPr>
          <w:rStyle w:val="FootnoteAnchor"/>
          <w:rtl w:val="true"/>
        </w:rPr>
        <w:footnoteReference w:id="44"/>
      </w:r>
      <w:r>
        <w:rPr>
          <w:rFonts w:ascii="IRNazanin" w:hAnsi="IRNazanin" w:eastAsia="IRNazanin"/>
          <w:color w:val="111111"/>
          <w:sz w:val="28"/>
          <w:sz w:val="28"/>
          <w:szCs w:val="28"/>
          <w:rtl w:val="true"/>
          <w:lang w:bidi="fa-IR"/>
        </w:rPr>
        <w:t>نسبته إلی المشهور،</w:t>
      </w:r>
      <w:bookmarkStart w:id="34" w:name="pg11755_254235"/>
    </w:p>
    <w:p>
      <w:pPr>
        <w:pStyle w:val="BookText"/>
        <w:rPr/>
      </w:pPr>
      <w:bookmarkEnd w:id="34"/>
      <w:r>
        <w:rPr>
          <w:rFonts w:ascii="IRNazanin" w:hAnsi="IRNazanin" w:eastAsia="IRNazanin"/>
          <w:color w:val="111111"/>
          <w:sz w:val="28"/>
          <w:sz w:val="28"/>
          <w:szCs w:val="28"/>
          <w:rtl w:val="true"/>
          <w:lang w:bidi="fa-IR"/>
        </w:rPr>
        <w:t>و فی المفاتیح</w:t>
      </w:r>
      <w:r>
        <w:rPr>
          <w:rStyle w:val="FootnoteAnchor"/>
          <w:rtl w:val="true"/>
        </w:rPr>
        <w:footnoteReference w:id="45"/>
      </w:r>
      <w:r>
        <w:rPr>
          <w:rFonts w:ascii="IRNazanin" w:hAnsi="IRNazanin" w:eastAsia="IRNazanin"/>
          <w:color w:val="111111"/>
          <w:sz w:val="28"/>
          <w:sz w:val="28"/>
          <w:szCs w:val="28"/>
          <w:rtl w:val="true"/>
          <w:lang w:bidi="fa-IR"/>
        </w:rPr>
        <w:t>و الریاض</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فی الناصریات</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الخلاف</w:t>
      </w:r>
      <w:r>
        <w:rPr>
          <w:rStyle w:val="FootnoteAnchor"/>
          <w:rtl w:val="true"/>
        </w:rPr>
        <w:footnoteReference w:id="48"/>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مذهب الأصحاب، لا نعلم فیه مخالفاً</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بکفایة الصبّ و عدم اعتبار الغسل کثیرٌ من أصحابنا المتقدّمین و المتأخّرین، و متأخّری المتأخّرین، و فقهاء العصر</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 w:name="__RefHeading___Toc9587278_73709187"/>
      <w:bookmarkStart w:id="36" w:name="_Toc13"/>
      <w:bookmarkEnd w:id="35"/>
      <w:r>
        <w:rPr>
          <w:rtl w:val="true"/>
        </w:rPr>
        <w:t>أدلّة کفایة الصبّ فی التطهیر من بول الرضیع</w:t>
      </w:r>
      <w:bookmarkEnd w:id="36"/>
    </w:p>
    <w:p>
      <w:pPr>
        <w:pStyle w:val="BookText"/>
        <w:rPr/>
      </w:pPr>
      <w:r>
        <w:rPr>
          <w:rFonts w:ascii="IRNazanin" w:hAnsi="IRNazanin" w:eastAsia="IRNazanin"/>
          <w:color w:val="111111"/>
          <w:sz w:val="28"/>
          <w:sz w:val="28"/>
          <w:szCs w:val="28"/>
          <w:rtl w:val="true"/>
          <w:lang w:bidi="fa-IR"/>
        </w:rPr>
        <w:t>و یمکن أن یستدلّ للحکم المذکور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کما تقدّم، قال فی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الإجماع عن بعض الأصحاب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الحجّة بعد شهادة التتبّع منّا و ممّن عرفت له، بل قد یشعر أیضاً نسبة الخلاف فیه فی المعتبر و المنتهی إلی أبی حنیفة و غیره من أهل الخلاف بالإجماع علیه بیننا</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السالم عمّا یصلح للمعارضة، کما فی المدارک</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الحدائق</w:t>
      </w:r>
      <w:r>
        <w:rPr>
          <w:rStyle w:val="FootnoteAnchor"/>
          <w:rtl w:val="true"/>
        </w:rPr>
        <w:footnoteReference w:id="53"/>
      </w:r>
      <w:r>
        <w:rPr>
          <w:rFonts w:ascii="IRNazanin" w:hAnsi="IRNazanin" w:eastAsia="IRNazanin"/>
          <w:color w:val="111111"/>
          <w:sz w:val="28"/>
          <w:sz w:val="28"/>
          <w:szCs w:val="28"/>
          <w:rtl w:val="true"/>
          <w:lang w:bidi="fa-IR"/>
        </w:rPr>
        <w:t>، و لعلّ المراد به عدم اعتبار الغسل؛ لعدم ورود دلیل علی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بول الصبیّ،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یصبّ علیه الماء، فإنّ کان قد أکل فاغسله غسلاً، و الغلام و الجاریة فی ذلک شرع سواء</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نصّ بکفایة الصبّ و عدم وجوب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فقه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بول الغلام الرضیع فتصبّ علیه الماء صبّاً، و إن کان قد أکل الطعام فاغسله، و الغلام و الجاریة سواء</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الراوندی فی نوادره عن موسی بن جعفر، عن أبیه، عن آبائه،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الحسن و الحسین علیهما السلام علی ثوب رسول اللّه صلی الله علیه و آله قبل أن یطعما، فلم یغسل بولهما من ثوبه</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و مثله ما رواه فی الجعفریّات</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فی بول الصبیّ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یصبّ علیه الماء حتّی یخرج من الجانب الآخر</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اتی بالحسن بن علیّ علیه السلام،</w:t>
      </w:r>
    </w:p>
    <w:p>
      <w:pPr>
        <w:pStyle w:val="BookText"/>
        <w:rPr/>
      </w:pPr>
      <w:r>
        <w:rPr>
          <w:rFonts w:ascii="IRNazanin" w:hAnsi="IRNazanin" w:eastAsia="IRNazanin"/>
          <w:color w:val="111111"/>
          <w:sz w:val="28"/>
          <w:sz w:val="28"/>
          <w:szCs w:val="28"/>
          <w:rtl w:val="true"/>
          <w:lang w:bidi="fa-IR"/>
        </w:rPr>
        <w:t>فوضع فی حجره، فبال علیه، فأخذه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تزرموا</w:t>
      </w:r>
      <w:r>
        <w:rPr>
          <w:rStyle w:val="FootnoteAnchor"/>
          <w:rtl w:val="true"/>
        </w:rPr>
        <w:footnoteReference w:id="59"/>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بماء فصبّ علیه</w:t>
      </w:r>
      <w:r>
        <w:rPr>
          <w:rStyle w:val="FootnoteAnchor"/>
          <w:rtl w:val="true"/>
        </w:rPr>
        <w:footnoteReference w:id="60"/>
      </w:r>
      <w:r>
        <w:rPr>
          <w:rFonts w:ascii="IRNazanin" w:hAnsi="IRNazanin" w:eastAsia="IRNazanin"/>
          <w:color w:val="111111"/>
          <w:sz w:val="28"/>
          <w:sz w:val="28"/>
          <w:szCs w:val="28"/>
          <w:rtl w:val="true"/>
          <w:lang w:bidi="fa-IR"/>
        </w:rPr>
        <w:t>، و غیرها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کلّه یقیّد و یخصّص إطلاق و عموم ما دلّ علی وجوب الغسل الزائد علی الصبّ من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مقابل تلک النصوص روایتین تدلّان علی وجوب الغسل فی بول الصبیّ، و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بول الصبیّ یصیب الثوب،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أجد مکانه؟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الثوب کلّه</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أجاب الشیخ عنها فی الاستبصار بأنّه یحتمل أن یکون أراد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علیه الماء، و یجوز أن یکون أراد بول من أکل الطعام</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الثانی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الجوابین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فی مقام الجمع، و أمّا الأوّل فیحتاج إلی مزید تکلّف</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الحمل علی الاستحباب، و علی من أکل الطعام</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الإمام الخمینی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فطریق الجمع بینها و بین صحیحة الحلبی تقییدها، بها، و یمکن حملها علی الاستحباب و کمال النظافة؛ تحکیماً لنصّ</w:t>
      </w:r>
    </w:p>
    <w:p>
      <w:pPr>
        <w:pStyle w:val="BookText"/>
        <w:rPr/>
      </w:pPr>
      <w:r>
        <w:rPr>
          <w:rFonts w:ascii="IRNazanin" w:hAnsi="IRNazanin" w:eastAsia="IRNazanin"/>
          <w:color w:val="111111"/>
          <w:sz w:val="28"/>
          <w:sz w:val="28"/>
          <w:szCs w:val="28"/>
          <w:rtl w:val="true"/>
          <w:lang w:bidi="fa-IR"/>
        </w:rPr>
        <w:t>روایة السکونی</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حسین بن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الصبیّ یبول علی الثوب،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تصبّ علیه الماء قلیلاً، ثمّ تعصره</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عنها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بعدم وضوح السند، و ثانیاً بالحمل علی الاستحباب، أو علی أنّ المراد بالعصر ما یتوقّف علیه إخراج عین النجاسة من الثوب</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الثالث منها جیّد فی مقام الجمع، فلا بأس به</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أنّ الخبر معتبر؛ لأنّ الحسین بن أبی العلاء موثّق علی الأقوی</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استحسنه فی الحدائق أیضاً ضعیف؛ لأنّ مقتضی الإطلاق وجوب العصر مطلقاً، سواء توقّف علیه إخراج عین النجاسة أم لا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تدلّ علی عدم وجوب الغسل المعتبر فی سائر</w:t>
      </w:r>
      <w:bookmarkStart w:id="37" w:name="pg11755_254244"/>
    </w:p>
    <w:p>
      <w:pPr>
        <w:pStyle w:val="BookText"/>
        <w:rPr/>
      </w:pPr>
      <w:bookmarkEnd w:id="37"/>
      <w:r>
        <w:rPr>
          <w:rFonts w:ascii="IRNazanin" w:hAnsi="IRNazanin" w:eastAsia="IRNazanin"/>
          <w:color w:val="111111"/>
          <w:sz w:val="28"/>
          <w:sz w:val="28"/>
          <w:szCs w:val="28"/>
          <w:rtl w:val="true"/>
          <w:lang w:bidi="fa-IR"/>
        </w:rPr>
        <w:t xml:space="preserve">النجاسات؛ لأنّ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 علیه الماء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فی ذلک، فالأمر بالعصر منزّل علی الاستحباب، أو أنّه جار مجری العادة، و لیس المراد من العصر العصر المعهود فی غسل الثیاب، بقرینة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 علیه الماء، سیّما مع تقیید الصبّ بکونه قلیلاً، و هذا دلیل آخر علی عدم لزوم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ذلک فهی قاصرة عن معارضة صحیحة الحلبی؛ لإعراض الأصحاب عن ظاهرها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تحتمل</w:t>
      </w:r>
      <w:r>
        <w:rPr>
          <w:rStyle w:val="FootnoteAnchor"/>
          <w:rtl w:val="true"/>
        </w:rPr>
        <w:footnoteReference w:id="72"/>
      </w:r>
      <w:r>
        <w:rPr>
          <w:rFonts w:ascii="IRNazanin" w:hAnsi="IRNazanin" w:eastAsia="IRNazanin"/>
          <w:color w:val="111111"/>
          <w:sz w:val="28"/>
          <w:sz w:val="28"/>
          <w:szCs w:val="28"/>
          <w:rtl w:val="true"/>
          <w:lang w:bidi="fa-IR"/>
        </w:rPr>
        <w:t>إرادة العصر للتجفیف لا التطهیر</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فلا إشکال فتوی و نصّاً فی عدم وجوب الغسل من بول الصبیّ الرضیع، و جواز الاکتفاء بالصبّ فقط</w:t>
      </w:r>
      <w:r>
        <w:rPr>
          <w:rFonts w:eastAsia="IRNazanin" w:cs="IRNazanin"/>
          <w:color w:val="111111"/>
          <w:sz w:val="28"/>
          <w:szCs w:val="28"/>
          <w:rtl w:val="true"/>
          <w:lang w:bidi="fa-IR"/>
        </w:rPr>
        <w:t>.</w:t>
      </w:r>
    </w:p>
    <w:p>
      <w:pPr>
        <w:pStyle w:val="Heading5"/>
        <w:numPr>
          <w:ilvl w:val="4"/>
          <w:numId w:val="1"/>
        </w:numPr>
        <w:rPr/>
      </w:pPr>
      <w:bookmarkStart w:id="38" w:name="__RefHeading___Toc9587280_73709187"/>
      <w:bookmarkStart w:id="39" w:name="_Toc14"/>
      <w:bookmarkEnd w:id="38"/>
      <w:r>
        <w:rPr>
          <w:rtl w:val="true"/>
        </w:rPr>
        <w:t>جهات یلزم ذکرها</w:t>
      </w:r>
      <w:bookmarkEnd w:id="39"/>
    </w:p>
    <w:p>
      <w:pPr>
        <w:pStyle w:val="Heading6"/>
        <w:numPr>
          <w:ilvl w:val="5"/>
          <w:numId w:val="1"/>
        </w:numPr>
        <w:rPr/>
      </w:pPr>
      <w:bookmarkStart w:id="40" w:name="__RefHeading___Toc9587282_73709187"/>
      <w:bookmarkStart w:id="41" w:name="_Toc15"/>
      <w:bookmarkEnd w:id="40"/>
      <w:r>
        <w:rPr>
          <w:rtl w:val="true"/>
        </w:rPr>
        <w:t>الاُولی</w:t>
      </w:r>
      <w:r>
        <w:rPr>
          <w:rtl w:val="true"/>
        </w:rPr>
        <w:t xml:space="preserve">: </w:t>
      </w:r>
      <w:r>
        <w:rPr>
          <w:rtl w:val="true"/>
        </w:rPr>
        <w:t>معنی الصبّ لغة و اصطلاحاً</w:t>
      </w:r>
      <w:bookmarkEnd w:id="41"/>
    </w:p>
    <w:p>
      <w:pPr>
        <w:pStyle w:val="BookText"/>
        <w:rPr/>
      </w:pPr>
      <w:r>
        <w:rPr>
          <w:rFonts w:ascii="IRNazanin" w:hAnsi="IRNazanin" w:eastAsia="IRNazanin"/>
          <w:color w:val="111111"/>
          <w:sz w:val="28"/>
          <w:sz w:val="28"/>
          <w:szCs w:val="28"/>
          <w:rtl w:val="true"/>
          <w:lang w:bidi="fa-IR"/>
        </w:rPr>
        <w:t>الصبّ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الإراقة، جاء 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أراقه، و صببت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سکبته</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المصباح المنیر</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المقصود منه عند الفقهاء فی باب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الماء إلی محلّ النجاسة،</w:t>
      </w:r>
      <w:bookmarkStart w:id="42" w:name="pg11755_254246"/>
    </w:p>
    <w:p>
      <w:pPr>
        <w:pStyle w:val="BookText"/>
        <w:rPr/>
      </w:pPr>
      <w:bookmarkEnd w:id="42"/>
      <w:r>
        <w:rPr>
          <w:rFonts w:ascii="IRNazanin" w:hAnsi="IRNazanin" w:eastAsia="IRNazanin"/>
          <w:color w:val="111111"/>
          <w:sz w:val="28"/>
          <w:sz w:val="28"/>
          <w:szCs w:val="28"/>
          <w:rtl w:val="true"/>
          <w:lang w:bidi="fa-IR"/>
        </w:rPr>
        <w:t>قال الفاضل الخراسانی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بالصبّ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الماء إلی محلّ النجاسة، و لا یعتبر السیلان و التقاطر، و یعتبر استیعاب محلّ النجاسة، و لا یعتبر انفصال الماء عن ذلک المحلّ</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یشترط جریانه علی المحلّ، و لا انفصاله بطریق أولی</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الروض</w:t>
      </w:r>
      <w:r>
        <w:rPr>
          <w:rStyle w:val="FootnoteAnchor"/>
          <w:rtl w:val="true"/>
        </w:rPr>
        <w:footnoteReference w:id="78"/>
      </w:r>
      <w:r>
        <w:rPr>
          <w:rFonts w:ascii="IRNazanin" w:hAnsi="IRNazanin" w:eastAsia="IRNazanin"/>
          <w:color w:val="111111"/>
          <w:sz w:val="28"/>
          <w:sz w:val="28"/>
          <w:szCs w:val="28"/>
          <w:rtl w:val="true"/>
          <w:lang w:bidi="fa-IR"/>
        </w:rPr>
        <w:t>و المسالک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یعتبر فی الصبّ الاستیعاب لما أصابه البول لا الانفصال،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یتوقّف علیه زوال عین النجاسة، مع احتمال الاکتفاء به مطلقاً؛ لإطلاق النصّ</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الفاضل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الصبّ بمفهومه یشمل ما ینفصل معه الماء و غیره، و المستوعب و غیره، فیشمل الرشّ، إلّا أنّ السابق إلی الفهم المستوعب</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الریاض</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 w:name="__RefHeading___Toc9587284_73709187"/>
      <w:bookmarkStart w:id="44" w:name="_Toc16"/>
      <w:bookmarkEnd w:id="43"/>
      <w:r>
        <w:rPr>
          <w:rtl w:val="true"/>
        </w:rPr>
        <w:t>الجهة الثانیة</w:t>
      </w:r>
      <w:r>
        <w:rPr>
          <w:rtl w:val="true"/>
        </w:rPr>
        <w:t xml:space="preserve">: </w:t>
      </w:r>
      <w:r>
        <w:rPr>
          <w:rtl w:val="true"/>
        </w:rPr>
        <w:t>عدم کفایة النضح و الرشّ عن الصبّ‌</w:t>
      </w:r>
      <w:bookmarkEnd w:id="4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الفقهاء عدم کفایة النضح و الرشّ عن الصبّ، و لکن قال</w:t>
      </w:r>
    </w:p>
    <w:p>
      <w:pPr>
        <w:pStyle w:val="BookText"/>
        <w:rPr/>
      </w:pPr>
      <w:r>
        <w:rPr>
          <w:rFonts w:ascii="IRNazanin" w:hAnsi="IRNazanin" w:eastAsia="IRNazanin"/>
          <w:color w:val="111111"/>
          <w:sz w:val="28"/>
          <w:sz w:val="28"/>
          <w:szCs w:val="28"/>
          <w:rtl w:val="true"/>
          <w:lang w:bidi="fa-IR"/>
        </w:rPr>
        <w:t xml:space="preserve">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الحکم بالصبّ لبول الصبیّ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الشافعی و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یکفی الرشّ‌</w:t>
      </w:r>
      <w:r>
        <w:rPr>
          <w:rStyle w:val="FootnoteAnchor"/>
          <w:rtl w:val="true"/>
        </w:rPr>
        <w:footnoteReference w:id="84"/>
      </w:r>
      <w:r>
        <w:rPr>
          <w:rFonts w:ascii="IRNazanin" w:hAnsi="IRNazanin" w:eastAsia="IRNazanin"/>
          <w:color w:val="111111"/>
          <w:sz w:val="28"/>
          <w:sz w:val="28"/>
          <w:szCs w:val="28"/>
          <w:rtl w:val="true"/>
          <w:lang w:bidi="fa-IR"/>
        </w:rPr>
        <w:t>، و هو قول لنا، فیجب فیه التعمیم، فلا یکفی إصابة الرشّ بعض مورد النجاسة</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 بهذا المعنی مرادف للرشّ و النضح الوارد فی الأخبار فی جملة من المواضع</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القول بکفایة الرشّ ضعیف، فإنّ المتبادر من الصبّ الوارد فی النصوص و الفتاوی یغایر النضح و الرشّ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الخمینی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الظاهر من الأخبار المعتمدة لزوم الصبّ، فلا یکفی النضح و الرشّ، و هو معقد إجماع الخلاف</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إلغاء الخصوصیّة لو فرضت قاهریة الماء بالرشّ مع تکرّره</w:t>
      </w:r>
      <w:r>
        <w:rPr>
          <w:rStyle w:val="FootnoteAnchor"/>
          <w:rtl w:val="true"/>
        </w:rPr>
        <w:footnoteReference w:id="88"/>
      </w:r>
      <w:r>
        <w:rPr>
          <w:rFonts w:ascii="IRNazanin" w:hAnsi="IRNazanin" w:eastAsia="IRNazanin"/>
          <w:color w:val="111111"/>
          <w:sz w:val="28"/>
          <w:sz w:val="28"/>
          <w:szCs w:val="28"/>
          <w:rtl w:val="true"/>
          <w:lang w:bidi="fa-IR"/>
        </w:rPr>
        <w:t>و إن لا تخلو من وجه، لکنّ الأوجه خلافها؛ لاحتمال کون الدفعة دخیلة فی التطهیر، و القاهریّة التدریجیّة غیر کافیة، بل العرف یساعد علی ذلک فی أبواب التطهیر و إزالة النجاسات</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مصباح الفقیه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مع الأمر بالصبّ فی النصّ و الفتوی، فإنّ الاکتفاء بالرشّ یوجب الشکّ، فیستصحب حکم النجاسة، حیث لم تکن الحکمة فی أمر</w:t>
      </w:r>
      <w:bookmarkStart w:id="45" w:name="pg11755_254250"/>
    </w:p>
    <w:p>
      <w:pPr>
        <w:pStyle w:val="BookText"/>
        <w:rPr/>
      </w:pPr>
      <w:bookmarkEnd w:id="45"/>
      <w:r>
        <w:rPr>
          <w:rFonts w:ascii="IRNazanin" w:hAnsi="IRNazanin" w:eastAsia="IRNazanin"/>
          <w:color w:val="111111"/>
          <w:sz w:val="28"/>
          <w:sz w:val="28"/>
          <w:szCs w:val="28"/>
          <w:rtl w:val="true"/>
          <w:lang w:bidi="fa-IR"/>
        </w:rPr>
        <w:t>التطهیر ظاهرة لنا، کما أشار إلیه فی الجواهر</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 w:name="__RefHeading___Toc9587286_73709187"/>
      <w:bookmarkStart w:id="47" w:name="_Toc17"/>
      <w:bookmarkEnd w:id="46"/>
      <w:r>
        <w:rPr>
          <w:rtl w:val="true"/>
        </w:rPr>
        <w:t>الجهة الثالثة</w:t>
      </w:r>
      <w:r>
        <w:rPr>
          <w:rtl w:val="true"/>
        </w:rPr>
        <w:t xml:space="preserve">: </w:t>
      </w:r>
      <w:r>
        <w:rPr>
          <w:rtl w:val="true"/>
        </w:rPr>
        <w:t>کفایة الصبّ مرّةً واحدة</w:t>
      </w:r>
      <w:bookmarkEnd w:id="47"/>
    </w:p>
    <w:p>
      <w:pPr>
        <w:pStyle w:val="BookText"/>
        <w:rPr/>
      </w:pPr>
      <w:r>
        <w:rPr>
          <w:rFonts w:ascii="IRNazanin" w:hAnsi="IRNazanin" w:eastAsia="IRNazanin"/>
          <w:color w:val="111111"/>
          <w:sz w:val="28"/>
          <w:sz w:val="28"/>
          <w:szCs w:val="28"/>
          <w:rtl w:val="true"/>
          <w:lang w:bidi="fa-IR"/>
        </w:rPr>
        <w:t xml:space="preserve">لا خلاف بین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المعتبر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یکفی فی التطهیر من بول الصبیّ الذی لم یأکل صبّ الماء علیه مرّةً واحدة، بل ادّعی فی الناصریّات</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الخلاف</w:t>
      </w:r>
      <w:r>
        <w:rPr>
          <w:rStyle w:val="FootnoteAnchor"/>
          <w:rtl w:val="true"/>
        </w:rPr>
        <w:footnoteReference w:id="94"/>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الأصحاب لا نعلم فیه مخالفاً</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حکی فی الجواهر عن شرح المفاتیح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إجزاء الصبّ فی بول الصبیّ قبل الأکل من دون حاجة إلی التعدّد و لا إلی العصر، فیدلّ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أصالة البراءة و الإجماع المنقول عن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الشیعة فی کتب الإمامیّة</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مصباح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بول الصبیّ مرّة واحدة، کما هو المتسالم علیه بین الأصحاب، علی ما استظهره بعض</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اختاره فی العروة، و أضاف بأنّ المرّتان أحوط‌</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w:t>
      </w:r>
    </w:p>
    <w:p>
      <w:pPr>
        <w:pStyle w:val="BookText"/>
        <w:rPr/>
      </w:pPr>
      <w:r>
        <w:rPr>
          <w:rFonts w:ascii="IRNazanin" w:hAnsi="IRNazanin" w:eastAsia="IRNazanin"/>
          <w:color w:val="111111"/>
          <w:sz w:val="28"/>
          <w:sz w:val="28"/>
          <w:szCs w:val="28"/>
          <w:rtl w:val="true"/>
          <w:lang w:bidi="fa-IR"/>
        </w:rPr>
        <w:t>أعلام العصر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فظاهر هذه الکلمات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کلمة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الاکتفاء بالمرّة، حیث أفردوا حکم التطهیر من بول الصبیّ بالاکتفاء بالصبّ و عدم تنصیصهم علی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کشف الغطاء لزوم صبّ الماء مرّتین،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حکمه صبّ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رسوب الماء الغسالة 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حتّی یصل إلی تمام محلّ الإصابة</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صحیحة الحلبی المتقدّمة الدالّة علی کفایة الصبّ مطلقة، و مقتضی قاعدة الإطلاق و التقیید تقییدها بما دلّ علی اعتبار التعدّد فی مطلق البول، کما فی صحیحة أبی إسحاق النحوی</w:t>
      </w:r>
      <w:r>
        <w:rPr>
          <w:rStyle w:val="FootnoteAnchor"/>
          <w:rtl w:val="true"/>
        </w:rPr>
        <w:footnoteReference w:id="101"/>
      </w:r>
      <w:r>
        <w:rPr>
          <w:rFonts w:ascii="IRNazanin" w:hAnsi="IRNazanin" w:eastAsia="IRNazanin"/>
          <w:color w:val="111111"/>
          <w:sz w:val="28"/>
          <w:sz w:val="28"/>
          <w:szCs w:val="28"/>
          <w:rtl w:val="true"/>
          <w:lang w:bidi="fa-IR"/>
        </w:rPr>
        <w:t>، و حسنة حسین بن أبی العلاء</w:t>
      </w:r>
      <w:r>
        <w:rPr>
          <w:rStyle w:val="FootnoteAnchor"/>
          <w:rtl w:val="true"/>
        </w:rPr>
        <w:footnoteReference w:id="102"/>
      </w:r>
      <w:r>
        <w:rPr>
          <w:rFonts w:ascii="IRNazanin" w:hAnsi="IRNazanin" w:eastAsia="IRNazanin"/>
          <w:color w:val="111111"/>
          <w:sz w:val="28"/>
          <w:sz w:val="28"/>
          <w:szCs w:val="28"/>
          <w:rtl w:val="true"/>
          <w:lang w:bidi="fa-IR"/>
        </w:rPr>
        <w:t>و غیرهما من الأخبار المشتملة</w:t>
      </w:r>
      <w:r>
        <w:rPr>
          <w:rStyle w:val="FootnoteAnchor"/>
          <w:rtl w:val="true"/>
        </w:rPr>
        <w:footnoteReference w:id="103"/>
      </w:r>
      <w:r>
        <w:rPr>
          <w:rFonts w:ascii="IRNazanin" w:hAnsi="IRNazanin" w:eastAsia="IRNazanin"/>
          <w:color w:val="111111"/>
          <w:sz w:val="28"/>
          <w:sz w:val="28"/>
          <w:szCs w:val="28"/>
          <w:rtl w:val="true"/>
          <w:lang w:bidi="fa-IR"/>
        </w:rPr>
        <w:t>علی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 علیه الماء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السؤال عن إصابة البول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ما ذهب إلیه المشهور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الأصل و الإجماع کما تقدّم فی کلام الجواهر، و کذا النصوص؛</w:t>
      </w:r>
      <w:bookmarkStart w:id="48" w:name="pg11755_254255"/>
    </w:p>
    <w:p>
      <w:pPr>
        <w:pStyle w:val="BookText"/>
        <w:rPr/>
      </w:pPr>
      <w:bookmarkEnd w:id="48"/>
      <w:r>
        <w:rPr>
          <w:rFonts w:ascii="IRNazanin" w:hAnsi="IRNazanin" w:eastAsia="IRNazanin"/>
          <w:color w:val="111111"/>
          <w:sz w:val="28"/>
          <w:sz w:val="28"/>
          <w:szCs w:val="28"/>
          <w:rtl w:val="true"/>
          <w:lang w:bidi="fa-IR"/>
        </w:rPr>
        <w:t>لأنّ صحیحة الحلبی و إن کانت مطلقة إلّا أنّ حسنة الحسین بن أبی العلاء المتقدّمة ظاهرة الدلالة فی کفایة الصبّة الواحدة، حیث قال علیه السلام فی جواب السؤال عن الصبیّ یبول علی الثوب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تصبّ علیه الماء قلیلاً، ثمّ تعصره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 فی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التفصیل</w:t>
      </w:r>
      <w:r>
        <w:rPr>
          <w:rStyle w:val="FootnoteAnchor"/>
          <w:rtl w:val="true"/>
        </w:rPr>
        <w:footnoteReference w:id="105"/>
      </w:r>
      <w:r>
        <w:rPr>
          <w:rFonts w:ascii="IRNazanin" w:hAnsi="IRNazanin" w:eastAsia="IRNazanin"/>
          <w:color w:val="111111"/>
          <w:sz w:val="28"/>
          <w:sz w:val="28"/>
          <w:szCs w:val="28"/>
          <w:rtl w:val="true"/>
          <w:lang w:bidi="fa-IR"/>
        </w:rPr>
        <w:t>قاطع للشرکة، فإنّه علیه السلام فصّل بین بول الصبیّ، حیث اکتفی فیه بالصبّ مرّة، و بین غیره، فأوجب فیه الصبّ مرّتین، و هذا دلیل علی أنّ التعدّد إنّما هو فی بول غیر الصبیّ، و أمّا بول الصبیّ فیکفی فیه الصبّ مرّة واحدة، کما فی التنقیح</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ما جاء فی الفقه المنسوب للإمام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بول الغلام الرضیع فتصبّ علیه الماء صبّاً</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تؤیّده أیضاً الأخبار الواردة من طریق أهل السنّة الحاکیة لفعل النبیّ حیث اکتفی صلی الله علیه و آله بالمرّة الواحدة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 w:name="__RefHeading___Toc9587288_73709187"/>
      <w:bookmarkStart w:id="50" w:name="_Toc18"/>
      <w:bookmarkEnd w:id="49"/>
      <w:r>
        <w:rPr>
          <w:rtl w:val="true"/>
        </w:rPr>
        <w:t>الجهة الرابعة</w:t>
      </w:r>
      <w:r>
        <w:rPr>
          <w:rtl w:val="true"/>
        </w:rPr>
        <w:t xml:space="preserve">: </w:t>
      </w:r>
      <w:r>
        <w:rPr>
          <w:rtl w:val="true"/>
        </w:rPr>
        <w:t>عدم اعتبار العصر</w:t>
      </w:r>
      <w:bookmarkEnd w:id="50"/>
    </w:p>
    <w:p>
      <w:pPr>
        <w:pStyle w:val="BookText"/>
        <w:rPr/>
      </w:pPr>
      <w:r>
        <w:rPr>
          <w:rFonts w:ascii="IRNazanin" w:hAnsi="IRNazanin" w:eastAsia="IRNazanin"/>
          <w:color w:val="111111"/>
          <w:sz w:val="28"/>
          <w:sz w:val="28"/>
          <w:szCs w:val="28"/>
          <w:rtl w:val="true"/>
          <w:lang w:bidi="fa-IR"/>
        </w:rPr>
        <w:t>هل یعتبر العصر بعد الصبّ فی التطهیر من بول الرضیع أو یکفی فی إزالته مجرّد الصبّ؟ فیه وجهان، بل قولان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 وجوب العصر إذا کان الغسل فی غیر</w:t>
      </w:r>
    </w:p>
    <w:p>
      <w:pPr>
        <w:pStyle w:val="BookText"/>
        <w:rPr/>
      </w:pPr>
      <w:r>
        <w:rPr>
          <w:rFonts w:ascii="IRNazanin" w:hAnsi="IRNazanin" w:eastAsia="IRNazanin"/>
          <w:color w:val="111111"/>
          <w:sz w:val="28"/>
          <w:sz w:val="28"/>
          <w:szCs w:val="28"/>
          <w:rtl w:val="true"/>
          <w:lang w:bidi="fa-IR"/>
        </w:rPr>
        <w:t>الکثیر و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یستثنی من ذلک بول الرضیع الذی لم یتغذّ بغیر اللبن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یکتفی بصبّ الماء علی محلّه</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یکفی صبّ الماء علیه من غیر عصر بلا خلاف فی الظاهر</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بعدم اعتبار العصر فی الجواهر</w:t>
      </w:r>
      <w:r>
        <w:rPr>
          <w:rStyle w:val="FootnoteAnchor"/>
          <w:rtl w:val="true"/>
        </w:rPr>
        <w:footnoteReference w:id="111"/>
      </w:r>
      <w:r>
        <w:rPr>
          <w:rFonts w:ascii="IRNazanin" w:hAnsi="IRNazanin" w:eastAsia="IRNazanin"/>
          <w:color w:val="111111"/>
          <w:sz w:val="28"/>
          <w:sz w:val="28"/>
          <w:szCs w:val="28"/>
          <w:rtl w:val="true"/>
          <w:lang w:bidi="fa-IR"/>
        </w:rPr>
        <w:t>، و به قال أیضاً الشیخ الأعظم</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الفاضل الأصفهانی</w:t>
      </w:r>
      <w:r>
        <w:rPr>
          <w:rStyle w:val="FootnoteAnchor"/>
          <w:rtl w:val="true"/>
        </w:rPr>
        <w:footnoteReference w:id="113"/>
      </w:r>
      <w:r>
        <w:rPr>
          <w:rFonts w:ascii="IRNazanin" w:hAnsi="IRNazanin" w:eastAsia="IRNazanin"/>
          <w:color w:val="111111"/>
          <w:sz w:val="28"/>
          <w:sz w:val="28"/>
          <w:szCs w:val="28"/>
          <w:rtl w:val="true"/>
          <w:lang w:bidi="fa-IR"/>
        </w:rPr>
        <w:t>و غیرهم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تدلّ علیه النصوص المتقدّمة</w:t>
      </w:r>
      <w:r>
        <w:rPr>
          <w:rStyle w:val="FootnoteAnchor"/>
          <w:rtl w:val="true"/>
        </w:rPr>
        <w:footnoteReference w:id="115"/>
      </w:r>
      <w:r>
        <w:rPr>
          <w:rFonts w:ascii="IRNazanin" w:hAnsi="IRNazanin" w:eastAsia="IRNazanin"/>
          <w:color w:val="111111"/>
          <w:sz w:val="28"/>
          <w:sz w:val="28"/>
          <w:szCs w:val="28"/>
          <w:rtl w:val="true"/>
          <w:lang w:bidi="fa-IR"/>
        </w:rPr>
        <w:t>؛ لأنّه لم یذکر فیها العصر بعد الصبّ، إلّا فی معتبرة الحسین بن أبی العلاء،</w:t>
      </w:r>
      <w:r>
        <w:rPr>
          <w:rStyle w:val="FootnoteAnchor"/>
          <w:rtl w:val="true"/>
        </w:rPr>
        <w:footnoteReference w:id="116"/>
      </w:r>
      <w:r>
        <w:rPr>
          <w:rFonts w:ascii="IRNazanin" w:hAnsi="IRNazanin" w:eastAsia="IRNazanin"/>
          <w:color w:val="111111"/>
          <w:sz w:val="28"/>
          <w:sz w:val="28"/>
          <w:szCs w:val="28"/>
          <w:rtl w:val="true"/>
          <w:lang w:bidi="fa-IR"/>
        </w:rPr>
        <w:t>و سیأتی 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یقال باعتبار العصر، فقد جاء فی مستند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بوجوب العصر، بل وجوب الإجراء أو الانفصال أیضاً مع توقّف إزالة عین البول علیه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بعض الحواشی</w:t>
      </w:r>
      <w:r>
        <w:rPr>
          <w:rStyle w:val="FootnoteAnchor"/>
          <w:rtl w:val="true"/>
        </w:rPr>
        <w:footnoteReference w:id="118"/>
      </w: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الانفصال علی القول بنجاسة الغسالة</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الوجه فیه ما ورد فی ذیل معتبرة الحسین بن أبی العلاء،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 علیه الماء، ثمّ تعصره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سیّما بناءً علی أنّ الغسالة نجسة، فإنّ الماء ینفعل بملاقاة البول لا محالة، و لا مناص فی تطهیر المتنجّس حینئذٍ من إخراج الغسالة بالعصر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عدم الاعتبار؛ و ذلک لأنّ الأمر بالعصر یحمل علی الاستحباب أو علی التقیّة، فلا یدلّ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الأمر بالعصر فی الحسنة یحتمل أن یکون جاریاً مجری العادة و الغلبة؛ فإنّ الغالب عصر المتنجّس بعد الصبّ علیه، کما یحتمل أن یکون مستحبّاً؛ للقطع بکفایة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مقارناً مع الصبّ، فالتقیید بکونه بعد الصبّ قرینة علی ما ذکرناه، فلا دلالة للحسنة علی اعتبار العصر بعد الصبّ</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مانع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کفایة الصبّ و عدم وجوب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حمل الروایة الدالّة علی لزوم الغسل علی الصبّ بقرینة الروایة الدالّة علی کفایة الصبّ، فإنّ الصبّ أیضاً نوع من الغسل</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و إن صرّح بعض الفقهاء بعدم اعتبار العصر فی تطهیر الثوب من بول الرضیع، و لکنّ بعضهم لم یتعرّض لهذا القید، و اکتفوا بعدم وجوب الغسل فقط، و الظاهر أنّ عدم وجوب الغسل فی المقام یشمل عدم العصر أیضاً،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عدم الغسل عندهم عدم اعتبار العصر</w:t>
      </w:r>
      <w:bookmarkStart w:id="51" w:name="pg11755_254262"/>
    </w:p>
    <w:p>
      <w:pPr>
        <w:pStyle w:val="BookText"/>
        <w:rPr/>
      </w:pPr>
      <w:bookmarkEnd w:id="51"/>
      <w:r>
        <w:rPr>
          <w:rFonts w:ascii="IRNazanin" w:hAnsi="IRNazanin" w:eastAsia="IRNazanin"/>
          <w:color w:val="111111"/>
          <w:sz w:val="28"/>
          <w:sz w:val="28"/>
          <w:szCs w:val="28"/>
          <w:rtl w:val="true"/>
          <w:lang w:bidi="fa-IR"/>
        </w:rPr>
        <w:t>أیضاً و إن اختلفت عباراتهم، و هذا ظاهر لمن تتبّع کلماتهم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لما قلنا صرّح المحقّق فی المعتبر بأنّ الغسل یتضمّن العصر، و مع عدم العصر یکون صبّاً،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الفرق بین الثوب و البدن فلأنّ البول یلاقی ظاهر البدن و لا یرسب فیه، فیکفی صبّ الماء؛ لأنّه یزیل ما علی ظاهره، و لیس کذلک الثوب؛ لأنّ النجاسة ترسخ فیه، فلا تزول إلّا بالعصر</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 w:name="__RefHeading___Toc9587290_73709187"/>
      <w:bookmarkStart w:id="53" w:name="_Toc19"/>
      <w:bookmarkEnd w:id="52"/>
      <w:r>
        <w:rPr>
          <w:rtl w:val="true"/>
        </w:rPr>
        <w:t>الجهة الخامسة</w:t>
      </w:r>
      <w:r>
        <w:rPr>
          <w:rtl w:val="true"/>
        </w:rPr>
        <w:t xml:space="preserve">: </w:t>
      </w:r>
      <w:r>
        <w:rPr>
          <w:rtl w:val="true"/>
        </w:rPr>
        <w:t>عدم اعتبار انفصال الغسالة</w:t>
      </w:r>
      <w:bookmarkEnd w:id="53"/>
    </w:p>
    <w:p>
      <w:pPr>
        <w:pStyle w:val="BookText"/>
        <w:rPr/>
      </w:pP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کثیر من الفقهاء بعدم اعتبار انفصال الغسالة فی المقام، کما فی الخلاف</w:t>
      </w:r>
      <w:r>
        <w:rPr>
          <w:rStyle w:val="FootnoteAnchor"/>
          <w:rtl w:val="true"/>
        </w:rPr>
        <w:footnoteReference w:id="125"/>
      </w:r>
      <w:r>
        <w:rPr>
          <w:rFonts w:ascii="IRNazanin" w:hAnsi="IRNazanin" w:eastAsia="IRNazanin"/>
          <w:color w:val="111111"/>
          <w:sz w:val="28"/>
          <w:sz w:val="28"/>
          <w:szCs w:val="28"/>
          <w:rtl w:val="true"/>
          <w:lang w:bidi="fa-IR"/>
        </w:rPr>
        <w:t>و النهایة</w:t>
      </w:r>
      <w:r>
        <w:rPr>
          <w:rStyle w:val="FootnoteAnchor"/>
          <w:rtl w:val="true"/>
        </w:rPr>
        <w:footnoteReference w:id="126"/>
      </w:r>
      <w:r>
        <w:rPr>
          <w:rFonts w:ascii="IRNazanin" w:hAnsi="IRNazanin" w:eastAsia="IRNazanin"/>
          <w:color w:val="111111"/>
          <w:sz w:val="28"/>
          <w:sz w:val="28"/>
          <w:szCs w:val="28"/>
          <w:rtl w:val="true"/>
          <w:lang w:bidi="fa-IR"/>
        </w:rPr>
        <w:t>و جامع المقاصد</w:t>
      </w:r>
      <w:r>
        <w:rPr>
          <w:rStyle w:val="FootnoteAnchor"/>
          <w:rtl w:val="true"/>
        </w:rPr>
        <w:footnoteReference w:id="127"/>
      </w:r>
      <w:r>
        <w:rPr>
          <w:rFonts w:ascii="IRNazanin" w:hAnsi="IRNazanin" w:eastAsia="IRNazanin"/>
          <w:color w:val="111111"/>
          <w:sz w:val="28"/>
          <w:sz w:val="28"/>
          <w:szCs w:val="28"/>
          <w:rtl w:val="true"/>
          <w:lang w:bidi="fa-IR"/>
        </w:rPr>
        <w:t>و المسالک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الفقیه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یعتبر فی بول الرضیع انفصال الغسالة، بل و لا جریان الماء علی الموضع النجس؛ لأنّ الصبّ الذی یجزئ فی تطهیره قد یتخلّف عن الأمرین فیما إذا کان الشیء النجس کالأرض الرخوة أو الثوب المحشوّ بقطن و نحوه</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54" w:name="pg11755_254264"/>
    </w:p>
    <w:p>
      <w:pPr>
        <w:pStyle w:val="BookText"/>
        <w:rPr/>
      </w:pPr>
      <w:bookmarkEnd w:id="54"/>
      <w:r>
        <w:rPr>
          <w:rFonts w:ascii="IRNazanin" w:hAnsi="IRNazanin" w:eastAsia="IRNazanin"/>
          <w:color w:val="111111"/>
          <w:sz w:val="28"/>
          <w:sz w:val="28"/>
          <w:szCs w:val="28"/>
          <w:rtl w:val="true"/>
          <w:lang w:bidi="fa-IR"/>
        </w:rPr>
        <w:t>و یدلّ علیه إطلاق النصوص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ظهور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النصوص و غیرها، کما لا یخفی علی من لاحظها فی خفّة هذه النجاسة و التساهل فی أمرها و أنّه لذلک خالفت غیرها من النجاسات، مضافاً إلی ظاهر الإجماع السابق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اعتبار أصل الانفصال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حینئذٍ عدم اعتبار الانفصال مطلقاً، و به یمتاز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بول البالغ</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و هو حسن</w:t>
      </w:r>
      <w:r>
        <w:rPr>
          <w:rFonts w:eastAsia="IRNazanin" w:cs="IRNazanin"/>
          <w:color w:val="111111"/>
          <w:sz w:val="28"/>
          <w:szCs w:val="28"/>
          <w:rtl w:val="true"/>
          <w:lang w:bidi="fa-IR"/>
        </w:rPr>
        <w:t>.</w:t>
      </w:r>
    </w:p>
    <w:p>
      <w:pPr>
        <w:pStyle w:val="Heading6"/>
        <w:numPr>
          <w:ilvl w:val="5"/>
          <w:numId w:val="1"/>
        </w:numPr>
        <w:rPr/>
      </w:pPr>
      <w:bookmarkStart w:id="55" w:name="__RefHeading___Toc9587292_73709187"/>
      <w:bookmarkStart w:id="56" w:name="_Toc20"/>
      <w:bookmarkEnd w:id="55"/>
      <w:r>
        <w:rPr>
          <w:rtl w:val="true"/>
        </w:rPr>
        <w:t>الجهة السادسة</w:t>
      </w:r>
      <w:r>
        <w:rPr>
          <w:rtl w:val="true"/>
        </w:rPr>
        <w:t xml:space="preserve">: </w:t>
      </w:r>
      <w:r>
        <w:rPr>
          <w:rtl w:val="true"/>
        </w:rPr>
        <w:t>طهارة غسالة بول الصبیّ‌</w:t>
      </w:r>
      <w:bookmarkEnd w:id="56"/>
    </w:p>
    <w:p>
      <w:pPr>
        <w:pStyle w:val="BookText"/>
        <w:rPr/>
      </w:pPr>
      <w:r>
        <w:rPr>
          <w:rFonts w:ascii="IRNazanin" w:hAnsi="IRNazanin" w:eastAsia="IRNazanin"/>
          <w:color w:val="111111"/>
          <w:sz w:val="28"/>
          <w:sz w:val="28"/>
          <w:szCs w:val="28"/>
          <w:rtl w:val="true"/>
          <w:lang w:bidi="fa-IR"/>
        </w:rPr>
        <w:t>إنّ غسالة بول الصبیّ محکومة بالطهارة؛ لأنّ طهارة المحلّ مع بقاء الغسالة فیه یقتضی طهارة الغسالة مع خروجها، و حیث ثبت عدم وجوب الانفصال فالغسالة 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أفتی به السیّد الخوئی رحمه الله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إخراج الغسالة فی التطهیر عن بول الصبیّ؛ للحکم بطهارتها ما دامت باقیة فی محلّها تبعاً له، فلا یحکم بنجاستها بالانفصال</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الفقیه الهمدانی قوّی نجاستها، و علّله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قلیل لاقی نجساً فینجس، و لا ینافیه طهارته علی تقدیر رسوبه فیما انصبّ علیه و عدم انفصاله عنه؛ لأنّه حینئذٍ کالمتخلّف من الغسالة یتبع المحلّ فی طهارته، و لا استبعاد فیه بعد مساعدة الدلیل علیه</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bookmarkStart w:id="57" w:name="pg11755_254266"/>
    </w:p>
    <w:p>
      <w:pPr>
        <w:pStyle w:val="BookText"/>
        <w:rPr/>
      </w:pPr>
      <w:bookmarkEnd w:id="57"/>
      <w:r>
        <w:rPr>
          <w:rFonts w:ascii="IRNazanin" w:hAnsi="IRNazanin" w:eastAsia="IRNazanin"/>
          <w:color w:val="111111"/>
          <w:sz w:val="28"/>
          <w:sz w:val="28"/>
          <w:szCs w:val="28"/>
          <w:rtl w:val="true"/>
          <w:lang w:bidi="fa-IR"/>
        </w:rPr>
        <w:t>و لقد أجاد الإمام الخمینی رحمه الله فی الجواب عنه،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بول الرضیع الذی بیّن الشارع کیفیّة تطهیره و أخطأ العرف فیها، فلا ینبغی الإشکال فی أنّ المتفاهم من أدلّتها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غلبة الماء علیه مطهّرة من غیر انفعاله به، و إلّا فلا یحکم بجواز بقائه فی الثوب حتّی یبس، و معه کیف یمکن التفکیک عرفاً بین الماء الذی فی المحلّ، فیقال بطهارته إذا کان فیه، و نجاسته إذا انفصل منه؟</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 w:name="__RefHeading___Toc9587294_73709187"/>
      <w:bookmarkStart w:id="59" w:name="_Toc21"/>
      <w:bookmarkEnd w:id="58"/>
      <w:r>
        <w:rPr>
          <w:rtl w:val="true"/>
        </w:rPr>
        <w:t>الجهة السابعة</w:t>
      </w:r>
      <w:r>
        <w:rPr>
          <w:rtl w:val="true"/>
        </w:rPr>
        <w:t xml:space="preserve">: </w:t>
      </w:r>
      <w:r>
        <w:rPr>
          <w:rtl w:val="true"/>
        </w:rPr>
        <w:t>عدم إلحاق الصبیّة بالصبیّ‌</w:t>
      </w:r>
      <w:bookmarkEnd w:id="59"/>
    </w:p>
    <w:p>
      <w:pPr>
        <w:pStyle w:val="BookText"/>
        <w:rPr/>
      </w:pPr>
      <w:r>
        <w:rPr>
          <w:rFonts w:ascii="IRNazanin" w:hAnsi="IRNazanin" w:eastAsia="IRNazanin"/>
          <w:color w:val="111111"/>
          <w:sz w:val="28"/>
          <w:sz w:val="28"/>
          <w:szCs w:val="28"/>
          <w:rtl w:val="true"/>
          <w:lang w:bidi="fa-IR"/>
        </w:rPr>
        <w:t>هل یکون الحکم بکفایة الصبّ خاصّاً بالصبیّ أو یعمّ الصبیّة أیضاً؟ المشهور بین الأصحاب الاختصاص</w:t>
      </w:r>
      <w:r>
        <w:rPr>
          <w:rStyle w:val="FootnoteAnchor"/>
          <w:rtl w:val="true"/>
        </w:rPr>
        <w:footnoteReference w:id="134"/>
      </w:r>
      <w:r>
        <w:rPr>
          <w:rFonts w:ascii="IRNazanin" w:hAnsi="IRNazanin" w:eastAsia="IRNazanin"/>
          <w:color w:val="111111"/>
          <w:sz w:val="28"/>
          <w:sz w:val="28"/>
          <w:szCs w:val="28"/>
          <w:rtl w:val="true"/>
          <w:lang w:bidi="fa-IR"/>
        </w:rPr>
        <w:t>و وجوب الغسل من بول الصبیّة کالبالغ، و هو الأقوی و ادّعی فی الناصریّات</w:t>
      </w:r>
      <w:r>
        <w:rPr>
          <w:rStyle w:val="FootnoteAnchor"/>
          <w:rtl w:val="true"/>
        </w:rPr>
        <w:footnoteReference w:id="135"/>
      </w:r>
      <w:r>
        <w:rPr>
          <w:rFonts w:ascii="IRNazanin" w:hAnsi="IRNazanin" w:eastAsia="IRNazanin"/>
          <w:color w:val="111111"/>
          <w:sz w:val="28"/>
          <w:sz w:val="28"/>
          <w:szCs w:val="28"/>
          <w:rtl w:val="true"/>
          <w:lang w:bidi="fa-IR"/>
        </w:rPr>
        <w:t>و الخلاف</w:t>
      </w:r>
      <w:r>
        <w:rPr>
          <w:rStyle w:val="FootnoteAnchor"/>
          <w:rtl w:val="true"/>
        </w:rPr>
        <w:footnoteReference w:id="136"/>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مفتاح الکرامة</w:t>
      </w:r>
      <w:r>
        <w:rPr>
          <w:rStyle w:val="FootnoteAnchor"/>
          <w:rtl w:val="true"/>
        </w:rPr>
        <w:footnoteReference w:id="1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نقل علی ذلک الإجماع فی المختلف</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یختصّ الحکم المذکور بالصبیّ خاصّة دون الصبیّة وفاقاً للمشهور، بل لعلّه لا خلاف فیه</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60" w:name="pg11755_254268"/>
    </w:p>
    <w:p>
      <w:pPr>
        <w:pStyle w:val="Heading5"/>
        <w:numPr>
          <w:ilvl w:val="4"/>
          <w:numId w:val="1"/>
        </w:numPr>
        <w:rPr/>
      </w:pPr>
      <w:bookmarkStart w:id="61" w:name="__RefHeading___Toc9587296_73709187"/>
      <w:bookmarkStart w:id="62" w:name="_Toc22"/>
      <w:bookmarkEnd w:id="60"/>
      <w:bookmarkEnd w:id="61"/>
      <w:r>
        <w:rPr>
          <w:rtl w:val="true"/>
        </w:rPr>
        <w:t>أدلّة اختصاص الحکم بالصبیّ‌</w:t>
      </w:r>
      <w:bookmarkEnd w:id="62"/>
    </w:p>
    <w:p>
      <w:pPr>
        <w:pStyle w:val="BookText"/>
        <w:rPr/>
      </w:pPr>
      <w:r>
        <w:rPr>
          <w:rFonts w:ascii="IRNazanin" w:hAnsi="IRNazanin" w:eastAsia="IRNazanin"/>
          <w:color w:val="111111"/>
          <w:sz w:val="28"/>
          <w:sz w:val="28"/>
          <w:szCs w:val="28"/>
          <w:rtl w:val="true"/>
          <w:lang w:bidi="fa-IR"/>
        </w:rPr>
        <w:t>و یمکن أن یستدلّ لما علیه المشهور باُمور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کما تقدّم، إلّا أنّه لا یکون دلیلاً مستقلّاً فی مقابل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کما فی الریاض</w:t>
      </w:r>
      <w:r>
        <w:rPr>
          <w:rStyle w:val="FootnoteAnchor"/>
          <w:rtl w:val="true"/>
        </w:rPr>
        <w:footnoteReference w:id="140"/>
      </w:r>
      <w:r>
        <w:rPr>
          <w:rFonts w:ascii="IRNazanin" w:hAnsi="IRNazanin" w:eastAsia="IRNazanin"/>
          <w:color w:val="111111"/>
          <w:sz w:val="28"/>
          <w:sz w:val="28"/>
          <w:szCs w:val="28"/>
          <w:rtl w:val="true"/>
          <w:lang w:bidi="fa-IR"/>
        </w:rPr>
        <w:t>و کشف اللثام</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المستفیضة؛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المتقدّمة، فإنّها تدلّ علی کفایة الصبّ فی التطهیر من بول الصبیّ، بضمیمة اتّفاق الأصحاب علی العمل به، و هو مفقود فی الصبیّة؛ لأنّها بالنسبة إلی الصبیّة مورد إعراض أکثر الأصحاب، و لأنّ ذیل الصحیحة</w:t>
      </w:r>
      <w:r>
        <w:rPr>
          <w:rStyle w:val="FootnoteAnchor"/>
          <w:rtl w:val="true"/>
        </w:rPr>
        <w:footnoteReference w:id="1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الغلام و الجاریة فی ذلک شرع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المساواة مجمل، حیث یحتمل مساواتهما فی أصل النجاسة لا فی کیفیّة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الروایة محمولة علی التسویة فی التنجیس لا فی حکم الإزالة؛ مصیراً إلی ما أفتی به أکثر الأصحاب</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یحتمل أن یکون ذیل الصحیحة راجعاً إلی خصوص الجملة الأخیرة،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قد 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الغلام و الجاریة شرع</w:t>
      </w:r>
    </w:p>
    <w:p>
      <w:pPr>
        <w:pStyle w:val="BookText"/>
        <w:rPr/>
      </w:pP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بعد أکل الطعام، کما صرّح به الشیخ فی الاستبصار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لأنّه إن قلنا بجریان مثل هذا الترکیب</w:t>
      </w:r>
      <w:r>
        <w:rPr>
          <w:rStyle w:val="FootnoteAnchor"/>
          <w:rtl w:val="true"/>
        </w:rPr>
        <w:footnoteReference w:id="145"/>
      </w:r>
      <w:r>
        <w:rPr>
          <w:rFonts w:ascii="IRNazanin" w:hAnsi="IRNazanin" w:eastAsia="IRNazanin"/>
          <w:color w:val="111111"/>
          <w:sz w:val="28"/>
          <w:sz w:val="28"/>
          <w:szCs w:val="28"/>
          <w:rtl w:val="true"/>
          <w:lang w:bidi="fa-IR"/>
        </w:rPr>
        <w:t>مجری القید المتعقّب بجمل متعدّدة یقتصر فیه علی المتیقّن، أی الأخیرة فقط کما فی الجواهر</w:t>
      </w:r>
      <w:r>
        <w:rPr>
          <w:rStyle w:val="FootnoteAnchor"/>
          <w:rtl w:val="true"/>
        </w:rPr>
        <w:footnoteReference w:id="146"/>
      </w:r>
      <w:r>
        <w:rPr>
          <w:rFonts w:ascii="IRNazanin" w:hAnsi="IRNazanin" w:eastAsia="IRNazanin"/>
          <w:color w:val="111111"/>
          <w:sz w:val="28"/>
          <w:sz w:val="28"/>
          <w:szCs w:val="28"/>
          <w:rtl w:val="true"/>
          <w:lang w:bidi="fa-IR"/>
        </w:rPr>
        <w:t>، فلا مناص حینئذٍ من الاکتفاء فی الخروج عن مقتضی الأدلّة الدالّة علی لزوم غسل البول مرّتین بخصوص بول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السکونی عن جعفر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الجاریة و بولها یغسل منه الثوب قبل أن تطعم؛ لأنّ لبنها یخرج من مثانة 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 الله علیه و آله قال فی بول الرضیع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ینضح بول الغلام، و یغسل بول الجاریة</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روایة أبو السمح</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من بول الجاریة و یرشّ من بول الغلام</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ما جاء فی روایة لبابة بنت الحارث</w:t>
      </w:r>
      <w:r>
        <w:rPr>
          <w:rStyle w:val="FootnoteAnchor"/>
          <w:rtl w:val="true"/>
        </w:rPr>
        <w:footnoteReference w:id="151"/>
      </w:r>
      <w:r>
        <w:rPr>
          <w:rFonts w:ascii="IRNazanin" w:hAnsi="IRNazanin" w:eastAsia="IRNazanin"/>
          <w:color w:val="111111"/>
          <w:sz w:val="28"/>
          <w:sz w:val="28"/>
          <w:szCs w:val="28"/>
          <w:rtl w:val="true"/>
          <w:lang w:bidi="fa-IR"/>
        </w:rPr>
        <w:t>، و ما رواه أحمد بن حنبل عن عبد الرحمن بن مهدی</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الأخبار مع ضعفها لا یبعد دعوی انجبارها بالنسبة إلی ما فیها من غسل بول الاُنثی بشهرته بین الأصحاب، و لا أقلّ یمکن أن تکون مؤیّدة لصحیحة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الوارد</w:t>
      </w:r>
      <w:r>
        <w:rPr>
          <w:rStyle w:val="FootnoteAnchor"/>
          <w:rtl w:val="true"/>
        </w:rPr>
        <w:footnoteReference w:id="153"/>
      </w:r>
      <w:r>
        <w:rPr>
          <w:rFonts w:ascii="IRNazanin" w:hAnsi="IRNazanin" w:eastAsia="IRNazanin"/>
          <w:color w:val="111111"/>
          <w:sz w:val="28"/>
          <w:sz w:val="28"/>
          <w:szCs w:val="28"/>
          <w:rtl w:val="true"/>
          <w:lang w:bidi="fa-IR"/>
        </w:rPr>
        <w:t>فی النصوص هو الصبیّ، فلا مناص من أن یقتصر بکفایة الصبّ علیه، و یرجع فی بول الصبیّة إلی عموم ما دلّ علی أنّ البول یغسل منه الثوب و البدن مرّتین؛ لأنّ المقدار المتیقّن من تخصیص ذلک إنّما هو التخصیص ببول الصبیّ، و أمّا بول الصبیّة فیبقی مشمولاً لعموم الدلیل أو إطلاقه، کما فی التنقیح</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ذلک کلّه قال الشهید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بول الصبیّ فیکفی الصبّ علیه؛ للنصّ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بول الصبیّة قول بالمساواة، و العصر أولی</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استظهره من کلام الصدوقین، حیث قال فی الهدایة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بول الغلام الرضیع یصبّ علیه الماء صبّاً، و إن کان قد أکل الطعام غسل، و الغلام و الجاریة فی هذا سواء</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و کذا فی الفقیه</w:t>
      </w:r>
      <w:r>
        <w:rPr>
          <w:rStyle w:val="FootnoteAnchor"/>
          <w:rtl w:val="true"/>
        </w:rPr>
        <w:footnoteReference w:id="157"/>
      </w:r>
      <w:r>
        <w:rPr>
          <w:rFonts w:ascii="IRNazanin" w:hAnsi="IRNazanin" w:eastAsia="IRNazanin"/>
          <w:color w:val="111111"/>
          <w:sz w:val="28"/>
          <w:sz w:val="28"/>
          <w:szCs w:val="28"/>
          <w:rtl w:val="true"/>
          <w:lang w:bidi="fa-IR"/>
        </w:rPr>
        <w:t>، و الفقه المنسوب للإمام الرضا علیه السلام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 عبارة الصدوقین حیث أوردا عبارة حسنة الحلبی بعینها، القول بالمساواة</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فی الحدائق صریحاً؛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العجب من الأصحاب مع اعتمادهم فی أصل الحکم علی الحسنة المذکورة کیف عدلوا عمّا تضمّنته من التسویة بین الغلام و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فإنّ الخبر المذکور قد اشتمل علی حکمین و لا معارض له فیهما فی البین، فالقول بأحدهما دون الآخر تحکم کما لا یخفی</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مستند کلام الصدوقین ذیل صحیحة الحلبی</w:t>
      </w:r>
      <w:r>
        <w:rPr>
          <w:rStyle w:val="FootnoteAnchor"/>
          <w:rtl w:val="true"/>
        </w:rPr>
        <w:footnoteReference w:id="161"/>
      </w:r>
      <w:r>
        <w:rPr>
          <w:rFonts w:ascii="IRNazanin" w:hAnsi="IRNazanin" w:eastAsia="IRNazanin"/>
          <w:color w:val="111111"/>
          <w:sz w:val="28"/>
          <w:sz w:val="28"/>
          <w:szCs w:val="28"/>
          <w:rtl w:val="true"/>
          <w:lang w:bidi="fa-IR"/>
        </w:rPr>
        <w:t>المتقدّمة الدالّ علی المساواة، و قد تقدّم الإشکال فی التمسّک به من الإجمال</w:t>
      </w:r>
      <w:r>
        <w:rPr>
          <w:rStyle w:val="FootnoteAnchor"/>
          <w:rtl w:val="true"/>
        </w:rPr>
        <w:footnoteReference w:id="162"/>
      </w:r>
      <w:r>
        <w:rPr>
          <w:rFonts w:ascii="IRNazanin" w:hAnsi="IRNazanin" w:eastAsia="IRNazanin"/>
          <w:color w:val="111111"/>
          <w:sz w:val="28"/>
          <w:sz w:val="28"/>
          <w:szCs w:val="28"/>
          <w:rtl w:val="true"/>
          <w:lang w:bidi="fa-IR"/>
        </w:rPr>
        <w:t>، و إعراض الأصحاب عنه، مع معارضة ذیل الصحیحة لموثّقة السکونی</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حیث إنّ الصحیحة تتضمّن المساواة بین الغلام و الجاریة، و الموثّقة صریحة بالافتراق بینهما، و لا جمع عقلائی بینهما، کما أشار إلیه الإمام الخمینی قدس سره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فالمتعیّن ما ذهب إلیه المشهور من أنّ کفایة الصبّ مختصّ بالصبیّ الرضیع،</w:t>
      </w:r>
      <w:bookmarkStart w:id="63" w:name="pg11755_254277"/>
    </w:p>
    <w:p>
      <w:pPr>
        <w:pStyle w:val="BookText"/>
        <w:rPr/>
      </w:pPr>
      <w:bookmarkEnd w:id="63"/>
      <w:r>
        <w:rPr>
          <w:rFonts w:ascii="IRNazanin" w:hAnsi="IRNazanin" w:eastAsia="IRNazanin"/>
          <w:color w:val="111111"/>
          <w:sz w:val="28"/>
          <w:sz w:val="28"/>
          <w:szCs w:val="28"/>
          <w:rtl w:val="true"/>
          <w:lang w:bidi="fa-IR"/>
        </w:rPr>
        <w:t>و فی بول الصبیّة یجب الغسل</w:t>
      </w:r>
      <w:r>
        <w:rPr>
          <w:rFonts w:eastAsia="IRNazanin" w:cs="IRNazanin"/>
          <w:color w:val="111111"/>
          <w:sz w:val="28"/>
          <w:szCs w:val="28"/>
          <w:rtl w:val="true"/>
          <w:lang w:bidi="fa-IR"/>
        </w:rPr>
        <w:t>.</w:t>
      </w:r>
    </w:p>
    <w:p>
      <w:pPr>
        <w:pStyle w:val="Heading5"/>
        <w:numPr>
          <w:ilvl w:val="4"/>
          <w:numId w:val="1"/>
        </w:numPr>
        <w:rPr/>
      </w:pPr>
      <w:bookmarkStart w:id="64" w:name="__RefHeading___Toc9587298_73709187"/>
      <w:bookmarkStart w:id="65" w:name="_Toc23"/>
      <w:bookmarkEnd w:id="64"/>
      <w:r>
        <w:rPr>
          <w:rtl w:val="true"/>
        </w:rPr>
        <w:t>فروع</w:t>
      </w:r>
      <w:bookmarkEnd w:id="6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جریان حکم بول الصبیّ علی ما تنجّس به من المائعات و غیرها کالماء و نحوه، فیجزئ الصبّ علی المتنجّس بالمتنجّس به بعد إخراج العین أو استهلاکها، بناء علی الاکتفاء؛ لعدم زیادة الفرع عن أصله، و ظهور انتقال حکم النجاسة إلی المتنجّس لا أزید</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أصابه نجاسة اخری غیر بول الصبیّ أو اختلط ببول الصبیّ نجاسة غیره لم یجر علیه الحکم المذکور، علی إشکال فیما لو اختلط معه ما لا یخرج المتنجّس به عن صدق نجاسته ببول الصبیّ، کالقلیل جدّاً من بول البالغ مثلاً، و خصوصاً لو کان المباشر لبول الصبیّ نجساً حکماً؛ لمنع تأثیر النجس فی النجس حکماً مع عدم بقاء اسم المؤثّر</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یشکل الحکم لو کان یتغذّی ولد المسلم بلبن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الأقوی فیه عدم الإلحاق اقتصاراً</w:t>
      </w:r>
      <w:r>
        <w:rPr>
          <w:rStyle w:val="FootnoteAnchor"/>
          <w:rtl w:val="true"/>
        </w:rPr>
        <w:footnoteReference w:id="167"/>
      </w:r>
      <w:r>
        <w:rPr>
          <w:rFonts w:ascii="IRNazanin" w:hAnsi="IRNazanin" w:eastAsia="IRNazanin"/>
          <w:color w:val="111111"/>
          <w:sz w:val="28"/>
          <w:sz w:val="28"/>
          <w:szCs w:val="28"/>
          <w:rtl w:val="true"/>
          <w:lang w:bidi="fa-IR"/>
        </w:rPr>
        <w:t>علی المتیقّن</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الخمینی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ثبوت الحکم لمن شرب من الألبان الجافّة المعمولة فی هذه الأعصار علی إشکال، سیّما إذا کان ممزوجاً ببعض الأغذیة، بل الأقرب عدم الثبوت فی هذا الفرض</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bookmarkStart w:id="66" w:name="pg11755_254279"/>
    </w:p>
    <w:p>
      <w:pPr>
        <w:pStyle w:val="Heading5"/>
        <w:numPr>
          <w:ilvl w:val="4"/>
          <w:numId w:val="1"/>
        </w:numPr>
        <w:rPr/>
      </w:pPr>
      <w:bookmarkStart w:id="67" w:name="__RefHeading___Toc9587300_73709187"/>
      <w:bookmarkStart w:id="68" w:name="_Toc24"/>
      <w:bookmarkEnd w:id="66"/>
      <w:bookmarkEnd w:id="67"/>
      <w:r>
        <w:rPr>
          <w:rtl w:val="true"/>
        </w:rPr>
        <w:t>آراء فقهاء أهل السنّة فی المسألة</w:t>
      </w:r>
      <w:bookmarkEnd w:id="68"/>
    </w:p>
    <w:p>
      <w:pPr>
        <w:pStyle w:val="BookText"/>
        <w:rPr/>
      </w:pPr>
      <w:r>
        <w:rPr>
          <w:rFonts w:ascii="IRNazanin" w:hAnsi="IRNazanin" w:eastAsia="IRNazanin"/>
          <w:color w:val="111111"/>
          <w:sz w:val="28"/>
          <w:sz w:val="28"/>
          <w:szCs w:val="28"/>
          <w:rtl w:val="true"/>
          <w:lang w:bidi="fa-IR"/>
        </w:rPr>
        <w:t>الظاهر أنّه لا خلاف بینهم فی أنّ بول الصبیّ و الصبیّة نجس، و لکن اختلفوا فی کیفیّة التطهیر منه، فذهب الشافعیّة و الحنابلة إلی أنّه یکفی فی بول الصبیّ الذی لم یطعم النضح، و هو أن یبلّ موضعه بالماء و إن لم ینزل عنه، و لا یجزئ فی بول الصبیّة إلّا الغسل</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أنّه لا بدّ من أن یصیب الماء جمیع موضع البول، ثمّ لإیراده ثلاث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النضح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النضح مع الغلبة و المکاثرة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ینضمّ إلی ذلک الجریان و السیلان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حاجة فی الرشّ إلی الدرجة الثالثة، و هل یحتاج إلی الثانیة؟ وجهان</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المجموع</w:t>
      </w:r>
      <w:r>
        <w:rPr>
          <w:rStyle w:val="FootnoteAnchor"/>
          <w:rtl w:val="true"/>
        </w:rPr>
        <w:footnoteReference w:id="172"/>
      </w:r>
      <w:r>
        <w:rPr>
          <w:rFonts w:ascii="Amiri" w:hAnsi="Amiri" w:eastAsia="Amiri" w:cs="Amiri"/>
          <w:color w:val="111111"/>
          <w:sz w:val="28"/>
          <w:sz w:val="28"/>
          <w:szCs w:val="28"/>
          <w:rtl w:val="true"/>
          <w:lang w:bidi="ar-SA"/>
        </w:rPr>
        <w:t>و الروضة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استندوا للحکم المذکور بنصوص،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ام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جاءت رسول اللّه صلی الله علیه و آله بابن لها صغیر لم یأکل الطعام، فأجلسه رسول اللّه صلی الله علیه و آله فی حجره، فبال علیه، فدعا رسول اللّه بماء، فنضحه علیه و لم یغسله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کان یؤتی بالصبیان، فیبرّک علیهم و یحنّکهم، فأُتی بصبیّ، فبال علیه، فدعا بماء، فأتبعه بوله</w:t>
      </w:r>
    </w:p>
    <w:p>
      <w:pPr>
        <w:pStyle w:val="BookText"/>
        <w:rPr/>
      </w:pPr>
      <w:r>
        <w:rPr>
          <w:rFonts w:ascii="IRNazanin" w:hAnsi="IRNazanin" w:eastAsia="IRNazanin"/>
          <w:color w:val="111111"/>
          <w:sz w:val="28"/>
          <w:sz w:val="28"/>
          <w:szCs w:val="28"/>
          <w:rtl w:val="true"/>
          <w:lang w:bidi="fa-IR"/>
        </w:rPr>
        <w:t>و لم یغسله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الحنفیّة و المالکیّة إلی أنّه یجب غسل بول الصبیّ کما یغسل بول الجاریة، و أنّ بول الصبیّ و الصبیّة کبول الرجل، مرضعین کانا أو غیر مرضعین</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استدلّ علی ذلک بأنّه قد أجمع المسلمون علی أنّه لا فرق بین بول الرجل و المرأة، ففی القیاس کذلک بول الغلام و الجاریة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الکاشانی فی البدائع بروایة عمّار، حیث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عمّار، إنّما یغسل الثوب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الغائط و البول و القیء و الدم و المنی</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الحدیث، من غیر فصل بین بول و بول</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أوجز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نجس داخل تحت عموم إیجاب غسل البول</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bookmarkStart w:id="69" w:name="pg11755_254284"/>
    </w:p>
    <w:p>
      <w:pPr>
        <w:pStyle w:val="Heading4"/>
        <w:numPr>
          <w:ilvl w:val="3"/>
          <w:numId w:val="1"/>
        </w:numPr>
        <w:rPr/>
      </w:pPr>
      <w:bookmarkStart w:id="70" w:name="__RefHeading___Toc9587302_73709187"/>
      <w:bookmarkStart w:id="71" w:name="_Toc25"/>
      <w:bookmarkEnd w:id="69"/>
      <w:bookmarkEnd w:id="70"/>
      <w:r>
        <w:rPr>
          <w:rtl w:val="true"/>
        </w:rPr>
        <w:t>المبحث الثانی</w:t>
      </w:r>
      <w:r>
        <w:rPr>
          <w:rtl w:val="true"/>
        </w:rPr>
        <w:t xml:space="preserve">: </w:t>
      </w:r>
      <w:r>
        <w:rPr>
          <w:rtl w:val="true"/>
        </w:rPr>
        <w:t>حکم ثوب المربّیة للصبیّ‌</w:t>
      </w:r>
      <w:bookmarkEnd w:id="71"/>
    </w:p>
    <w:p>
      <w:pPr>
        <w:pStyle w:val="Heading5"/>
        <w:numPr>
          <w:ilvl w:val="4"/>
          <w:numId w:val="1"/>
        </w:numPr>
        <w:rPr/>
      </w:pPr>
      <w:bookmarkStart w:id="72" w:name="__RefHeading___Toc9587304_73709187"/>
      <w:bookmarkStart w:id="73" w:name="_Toc26"/>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المشهور بین الأصحاب رضوان اللّه علیهم أنّ المرأة المربّیة للصبیّ إذا کان لها ثوب واحد أجزأها غسله فی الیوم مرّة واحدة، و تصلّی باقی الصلوات و إن کان فیه نجاسة، بل هو ممّا 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المربّیة للصبیّ إذا کان علیها ثوب لا تملک غیره، و تصیبه النجاسة فی کلّ وقت، و لا یمکنها التحرّز من ذلک، و لا تقدر علی غسله فی کلّ حالّ، فلتغسل ثوبها فی کلّ یوم مرّة واحدة، و تصلّی فیه و لیس علیها شیء</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الصدوق رحمه الله روایة تدلّ علی ذلک فی الفقیه</w:t>
      </w:r>
      <w:r>
        <w:rPr>
          <w:rStyle w:val="FootnoteAnchor"/>
          <w:rtl w:val="true"/>
        </w:rPr>
        <w:footnoteReference w:id="182"/>
      </w:r>
      <w:r>
        <w:rPr>
          <w:rFonts w:ascii="IRNazanin" w:hAnsi="IRNazanin" w:eastAsia="IRNazanin"/>
          <w:color w:val="111111"/>
          <w:sz w:val="28"/>
          <w:sz w:val="28"/>
          <w:szCs w:val="28"/>
          <w:rtl w:val="true"/>
          <w:lang w:bidi="fa-IR"/>
        </w:rPr>
        <w:t>و المقنع</w:t>
      </w:r>
      <w:r>
        <w:rPr>
          <w:rStyle w:val="FootnoteAnchor"/>
          <w:rtl w:val="true"/>
        </w:rPr>
        <w:footnoteReference w:id="183"/>
      </w:r>
      <w:r>
        <w:rPr>
          <w:rFonts w:ascii="IRNazanin" w:hAnsi="IRNazanin" w:eastAsia="IRNazanin"/>
          <w:color w:val="111111"/>
          <w:sz w:val="28"/>
          <w:sz w:val="28"/>
          <w:szCs w:val="28"/>
          <w:rtl w:val="true"/>
          <w:lang w:bidi="fa-IR"/>
        </w:rPr>
        <w:t>، و به قال ابن البرّاج</w:t>
      </w:r>
      <w:r>
        <w:rPr>
          <w:rStyle w:val="FootnoteAnchor"/>
          <w:rtl w:val="true"/>
        </w:rPr>
        <w:footnoteReference w:id="184"/>
      </w:r>
      <w:r>
        <w:rPr>
          <w:rFonts w:ascii="IRNazanin" w:hAnsi="IRNazanin" w:eastAsia="IRNazanin"/>
          <w:color w:val="111111"/>
          <w:sz w:val="28"/>
          <w:sz w:val="28"/>
          <w:szCs w:val="28"/>
          <w:rtl w:val="true"/>
          <w:lang w:bidi="fa-IR"/>
        </w:rPr>
        <w:t>و الفاضلان</w:t>
      </w:r>
      <w:r>
        <w:rPr>
          <w:rStyle w:val="FootnoteAnchor"/>
          <w:rtl w:val="true"/>
        </w:rPr>
        <w:footnoteReference w:id="185"/>
      </w:r>
      <w:r>
        <w:rPr>
          <w:rFonts w:ascii="IRNazanin" w:hAnsi="IRNazanin" w:eastAsia="IRNazanin"/>
          <w:color w:val="111111"/>
          <w:sz w:val="28"/>
          <w:sz w:val="28"/>
          <w:szCs w:val="28"/>
          <w:rtl w:val="true"/>
          <w:lang w:bidi="fa-IR"/>
        </w:rPr>
        <w:t>و جماعة من المتأخّرین</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کفایة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المربّیة للصبیّ إذا کان لها ثوب واحد تکتفی بغسل ثوبها فی الیوم مرّة واحدة</w:t>
      </w:r>
      <w:r>
        <w:rPr>
          <w:rFonts w:eastAsia="IRNazanin" w:cs="IRNazanin"/>
          <w:color w:val="111111"/>
          <w:sz w:val="28"/>
          <w:szCs w:val="28"/>
          <w:rtl w:val="true"/>
          <w:lang w:bidi="fa-IR"/>
        </w:rPr>
        <w:t>»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المدارک </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الحکم من أصله مشهور بین الأصحاب، لا نعرف فیه خلافاً</w:t>
      </w:r>
      <w:r>
        <w:rPr>
          <w:rFonts w:eastAsia="IRNazanin" w:cs="IRNazanin"/>
          <w:color w:val="111111"/>
          <w:sz w:val="28"/>
          <w:szCs w:val="28"/>
          <w:rtl w:val="true"/>
          <w:lang w:bidi="fa-IR"/>
        </w:rPr>
        <w:t>»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المشهور بین الأصحاب نقلاً و تحصیلاً، بل لا أعرف فیه خلافاً</w:t>
      </w:r>
      <w:r>
        <w:rPr>
          <w:rFonts w:eastAsia="IRNazanin" w:cs="IRNazanin"/>
          <w:color w:val="111111"/>
          <w:sz w:val="28"/>
          <w:szCs w:val="28"/>
          <w:rtl w:val="true"/>
          <w:lang w:bidi="fa-IR"/>
        </w:rPr>
        <w:t>»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صرّح به أیضاً کثیر من فقهاء العصر </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ثوب المربّیة للطفل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کانت أو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معفوّ عنه إن تنجّس ببوله، و الأحوط أن تغسل کلّ یوم لأوّل صلاة ابتلت بنجاسة الثوب، فتصلّی معه الصلاة بطهر، ثمّ تصلّی فیه بقیّة الصلوات من غیر لزوم التطهیر</w:t>
      </w:r>
      <w:r>
        <w:rPr>
          <w:rFonts w:eastAsia="IRNazanin" w:cs="IRNazanin"/>
          <w:color w:val="111111"/>
          <w:sz w:val="28"/>
          <w:szCs w:val="28"/>
          <w:rtl w:val="true"/>
          <w:lang w:bidi="fa-IR"/>
        </w:rPr>
        <w:t>»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تفصیل الشریعة </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bookmarkStart w:id="74" w:name="pg11755_254288"/>
    </w:p>
    <w:p>
      <w:pPr>
        <w:pStyle w:val="Heading5"/>
        <w:numPr>
          <w:ilvl w:val="4"/>
          <w:numId w:val="1"/>
        </w:numPr>
        <w:rPr/>
      </w:pPr>
      <w:bookmarkStart w:id="75" w:name="__RefHeading___Toc9587306_73709187"/>
      <w:bookmarkStart w:id="76" w:name="_Toc27"/>
      <w:bookmarkEnd w:id="74"/>
      <w:bookmarkEnd w:id="75"/>
      <w:r>
        <w:rPr>
          <w:rtl w:val="true"/>
        </w:rPr>
        <w:t>أدلّة هذا الحکم</w:t>
      </w:r>
      <w:bookmarkEnd w:id="76"/>
    </w:p>
    <w:p>
      <w:pPr>
        <w:pStyle w:val="BookText"/>
        <w:rPr/>
      </w:pPr>
      <w:r>
        <w:rPr>
          <w:rFonts w:ascii="IRNazanin" w:hAnsi="IRNazanin" w:eastAsia="IRNazanin"/>
          <w:color w:val="111111"/>
          <w:sz w:val="28"/>
          <w:sz w:val="28"/>
          <w:szCs w:val="28"/>
          <w:rtl w:val="true"/>
          <w:lang w:bidi="fa-IR"/>
        </w:rPr>
        <w:t>و یمکن أن یستدلّ لإثبات الحکم المذکور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حفص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امرأة لیس لها إلّا قمیص واحد، و لها مولود فیبول علیها، کیف تصنع؟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 القمیص فی الیوم مرّةً</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المعالم و المدارک</w:t>
      </w:r>
      <w:r>
        <w:rPr>
          <w:rStyle w:val="FootnoteAnchor"/>
          <w:rtl w:val="true"/>
        </w:rPr>
        <w:footnoteReference w:id="195"/>
      </w:r>
      <w:r>
        <w:rPr>
          <w:rFonts w:ascii="IRNazanin" w:hAnsi="IRNazanin" w:eastAsia="IRNazanin"/>
          <w:color w:val="111111"/>
          <w:sz w:val="28"/>
          <w:sz w:val="28"/>
          <w:szCs w:val="28"/>
          <w:rtl w:val="true"/>
          <w:lang w:bidi="fa-IR"/>
        </w:rPr>
        <w:t>و غیرهما</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ضعیفة السند باشتراک أبی حفص بین الثقة و الضعیف، و بأنّ من جملة رجالها محمّد بن یحیی المعاذی، و قد ضعّفه العلّامة فی الخلاصة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استشکل السیّد الخوئی قدس سره أیضاً فی سند الروایة بوجوهٍ،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فلأنّ فی سندها محمّد بن یحیی المعاذی الذی لم تثبت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فی سندها محمّد بن خالد، و هو مردّد بین الطیالسی و الأصمّ، و کلاهما لم یوثّق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فلاشتمال طریقها علی أبی حفص، و هو إمّا مشترک بین الثقة و غیره، أو أنّ المراد به أبو حفص الکلبی غیر الثقة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انجبارها بعملهم علی طبقها مندفعة بأنّ عملهم بالروایة و إن کان</w:t>
      </w:r>
    </w:p>
    <w:p>
      <w:pPr>
        <w:pStyle w:val="BookText"/>
        <w:rPr/>
      </w:pPr>
      <w:r>
        <w:rPr>
          <w:rFonts w:ascii="IRNazanin" w:hAnsi="IRNazanin" w:eastAsia="IRNazanin"/>
          <w:color w:val="111111"/>
          <w:sz w:val="28"/>
          <w:sz w:val="28"/>
          <w:szCs w:val="28"/>
          <w:rtl w:val="true"/>
          <w:lang w:bidi="fa-IR"/>
        </w:rPr>
        <w:t>غیر قابل للمناقشة فلا کلام فی صغری ذلک، إلّا أنّ المناقشة فی کبری انجبار الروایة بعملهم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تبقی مجالاً لدعوی الانجبار؛ لأنّ عملهم إنّما یجبرها فیما إذا أوجد</w:t>
      </w:r>
      <w:r>
        <w:rPr>
          <w:rStyle w:val="FootnoteAnchor"/>
          <w:rtl w:val="true"/>
        </w:rPr>
        <w:footnoteReference w:id="198"/>
      </w:r>
      <w:r>
        <w:rPr>
          <w:rFonts w:ascii="IRNazanin" w:hAnsi="IRNazanin" w:eastAsia="IRNazanin"/>
          <w:color w:val="111111"/>
          <w:sz w:val="28"/>
          <w:sz w:val="28"/>
          <w:szCs w:val="28"/>
          <w:rtl w:val="true"/>
          <w:lang w:bidi="fa-IR"/>
        </w:rPr>
        <w:t>وثوقاً شخصیّاً بالروایة، و هذا ممّا لا یحصل من عملهم بوجهٍ؛ لأنّه مختلف الوجه و الجهة، فبعضهم یعمل علی طبق الروایة لأجل دعوی القطع بصحّة الأخبار المدوّنة فی الکتب الأربعة، فهو فی الحقیقة عامل بقطعه لا بالروایة کما هو ظاهر، و بعضهم یعمل علی طبقها لحسبان أنّ العدالة عبارة عن إظهار الإسلام و عدم ظهور الفسق، فکلّ من أظهر الإسلام و لم یظهر منه فسق فهو عادل، و ثالث یفتی علی طبق الروایة؛ لأنّ مضمونها مورد لإجماعهم أو للشهرة المحقّقة؛ لعدم حجّیّة خبر الواحد عنده، و مع اختلاف الجهة لا یحصل وثوق شخصی من عملهم</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قدس سره فی المباحث الاُصولیّة بوجه آخر،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الضعیف لا یکون حجّة فی نفسه علی الفرض، و کذلک فتوی المشهور غیر حجّة أیضاً، و انضمام غیر الحجّة إلی غیر الحجّة لا یوجب الحجّیّة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وافقه علی ذلک تلمیذه السیّد الشهید الصدر قدس سره و استدلّ علیه بأنّه لا دلیل</w:t>
      </w:r>
    </w:p>
    <w:p>
      <w:pPr>
        <w:pStyle w:val="BookText"/>
        <w:rPr/>
      </w:pPr>
      <w:r>
        <w:rPr>
          <w:rFonts w:ascii="IRNazanin" w:hAnsi="IRNazanin" w:eastAsia="IRNazanin"/>
          <w:color w:val="111111"/>
          <w:sz w:val="28"/>
          <w:sz w:val="28"/>
          <w:szCs w:val="28"/>
          <w:rtl w:val="true"/>
          <w:lang w:bidi="fa-IR"/>
        </w:rPr>
        <w:t>علی حجّیّة مثل هذا الخبر؛ لأنّ المدرک الصحیح لحجّیّة خبر الواحد إنّما هو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و السنّة، و شیء منهما لا یثبت حجّیّة الخبر الموثوق به، بمعنی الاطمینان النوعی</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فی کلامه قدس سره تأمّلاً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حفص إمّا مشترک بین الثقة و غیره، أو أنّ المراد به أبو حفص الکلبی غیر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وجیهٍ؛ لأنّ أبا حفص الکلبی ثقة کما فی رجال النجاشی</w:t>
      </w:r>
      <w:r>
        <w:rPr>
          <w:rStyle w:val="FootnoteAnchor"/>
          <w:rtl w:val="true"/>
        </w:rPr>
        <w:footnoteReference w:id="202"/>
      </w:r>
      <w:r>
        <w:rPr>
          <w:rFonts w:ascii="IRNazanin" w:hAnsi="IRNazanin" w:eastAsia="IRNazanin"/>
          <w:color w:val="111111"/>
          <w:sz w:val="28"/>
          <w:sz w:val="28"/>
          <w:szCs w:val="28"/>
          <w:rtl w:val="true"/>
          <w:lang w:bidi="fa-IR"/>
        </w:rPr>
        <w:t>و غیره</w:t>
      </w:r>
      <w:r>
        <w:rPr>
          <w:rStyle w:val="FootnoteAnchor"/>
          <w:rtl w:val="true"/>
        </w:rPr>
        <w:footnoteReference w:id="203"/>
      </w:r>
      <w:r>
        <w:rPr>
          <w:rFonts w:ascii="IRNazanin" w:hAnsi="IRNazanin" w:eastAsia="IRNazanin"/>
          <w:color w:val="111111"/>
          <w:sz w:val="28"/>
          <w:sz w:val="28"/>
          <w:szCs w:val="28"/>
          <w:rtl w:val="true"/>
          <w:lang w:bidi="fa-IR"/>
        </w:rPr>
        <w:t>، و هو قدس سره نقله عنه فی معجم رجاله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فی عدم الانجبار بالشهرة و استدلاله فی الفقه و الاُصول علی ذلک و إن کان بحسب الصناعة قویّ جدّاً، و لکنّ الحقّ مع المشهور فی انجبار ضعف السند بعمل الأصحاب؛ لأنّ المستفاد من أدلّة حجّیّة خبر الثقة أنّ الوثاقة مأخوذة بعنوان الطریقیّة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قیام خبر الثقة یکشف عن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فالمجعول فی باب حجّیّة الخبر إنّما هو الطریقیّة و الکاشفیّة، بمعنی أنّ الوثاقة هی حالة نفسانیّة موجبة للتحرّج و التحرّز من الکذب، فجعلها الشارع طریقاً و حجّة فی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الطریقة بنفسها موجودة فی الخبر الضعیف الذی عمل به الأصحاب؛ لأنّه یستکشف به السنّة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الدلیل علی حجّیّة مثل هذا الخبر فهو قیام السیرة العقلائیّة</w:t>
      </w:r>
    </w:p>
    <w:p>
      <w:pPr>
        <w:pStyle w:val="BookText"/>
        <w:rPr/>
      </w:pPr>
      <w:r>
        <w:rPr>
          <w:rFonts w:ascii="IRNazanin" w:hAnsi="IRNazanin" w:eastAsia="IRNazanin"/>
          <w:color w:val="111111"/>
          <w:sz w:val="28"/>
          <w:sz w:val="28"/>
          <w:szCs w:val="28"/>
          <w:rtl w:val="true"/>
          <w:lang w:bidi="fa-IR"/>
        </w:rPr>
        <w:t>علی العمل بالخبر غیر الموثّق المحفوف بالقرائن، فإنّ العقلاء یُرتِّبون علیه الأثر؛ لکونه کاشفاً و طریقاً للمخبر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قرینیّة عمل الأصحاب فلأنّ جمعاً کثیراً من ثقاة أصحاب الأئمّة علیهم السلام صرفوا أعمارهم فی مدّة تزید علی ثلاثمائة سنة فی أخذ الأحکام عنهم علیهم السلام و تألیف ما یسمعونه منهم، و استمرّ هذا المعنی إلی زمن أئمّة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و الصدوق و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یعتمدون علی الاُصول المعتمدة و الکتب المدوّنة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نعلم علماً عادیّاً أنّهم کانوا متمکّنین من أخذ الأحکام عنهم مشافهةً، و مع ذلک یعتمدون علی الأخبار المضبوطة من زمن أمیر المؤمنین علیه السلام</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کثیراً من مصنّفی أصحابنا و أصحاب الاُصول ینتحلون المذاهب الفاسدة و إن کانت کتبهم معتمدة</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الأمین الاسترآبادی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الاُمور المعلومة عند من تتبّع کتب الأخبار و الرجال أنّ الاُصول الصحیحة و الأحادیث المعتمد علیها کانت فی زمن ثقة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ممتازة عن غیرها</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فعمل الأصحاب بالخبر الضعیف من جهة کونه مضبوطاً فی الاُصول المعتمدة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یعلم أنّه کان عند قدماء أصحابنا الذین أدرکوا صحبة الأئمّة أو زمنهم کتبٌ متداولة معروفة مشهورة بالصحّة، و کانت تلک الکتب</w:t>
      </w:r>
    </w:p>
    <w:p>
      <w:pPr>
        <w:pStyle w:val="BookText"/>
        <w:rPr/>
      </w:pPr>
      <w:r>
        <w:rPr>
          <w:rFonts w:ascii="IRNazanin" w:hAnsi="IRNazanin" w:eastAsia="IRNazanin"/>
          <w:color w:val="111111"/>
          <w:sz w:val="28"/>
          <w:sz w:val="28"/>
          <w:szCs w:val="28"/>
          <w:rtl w:val="true"/>
          <w:lang w:bidi="fa-IR"/>
        </w:rPr>
        <w:t>مرجعهم فیما یحتاجون إلیه من عقائدهم و أعمالهم مع تمکّنهم کلّهم أو جلّهم، من أخذ الأحکام مشافهة من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أجل ذلک نجد أنّ الشیخ الطوسی کثیراً ما یعتمد فی کتب الأخبار علی طرق ضعیفة مع تمکّنه من طرق اخری صحیحة، و کثیراً ما یطرح الأخبار الصحیحة باصطلاح المتأخّرین و یعمل بأخبار ضعیفة بهذا الاصطلاح، و هذا یقتضی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النقل من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 أصحابنا المتقدّمین بالأخبار الضعیفة قرینة علی أخذها و نقلها من الاُصول المعتمدة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أنّ الشیخ الطوسی صرّح فی کتاب العدّة و فی أوّل الاستبصار بأنّ کلّ حدیث عمل به فی کتبه مأخوذ من الاُصول المجمع علی صحّة نقلها و لم یعمل بغیره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 المحقّق فی المعتبر ما اختاره الشیخ،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التوسّط أصوب، فما قبله الأصحاب أو دلّت القرائن علی صحّته عمل به، و ما أعرض الأصحاب عنه أو شذّ یجب اطّراحه؛ 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أنّه مع عدم الظفر بالطاعن و المخالف لمضمونه یعمل به فلأنّ مع عدم الوقوف علی الطاعن و المخالف له یتیقّن أنّه حقّ لاستحالة تمالی الأصحاب علی القول الباطل و خفاء الحقّ بینهم</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صرّح قدس سره فی کتاب خمس المعتبر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ینبغی العمل به اتّباع ما نقله الأصحاب و أفتی به الفضلاء، و لم یعلم من باقی العلماء ردّاً لما ذکر</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الأمین الاسترآبادی عن السیّد المرتضی قدس سره أنّه قال فی جواب المسائل التبّانیّات المتعلّقة بأخبار الآحاد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أکثر أخبارنا المرویّة فی کتبنا معلومة مقطوعة علی صحّتها، إمّا بالتواتر من طریق الإشاعة و الإذاعة، أو بأمارةٍ و علامة دلّت علی صحّتها و صدق رواتها، فهی موجبة للعلم مقتضیة للقطع</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لأجل ما ذکرنا قال المحقّق النائینی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الشهرة العملیّة فهی عبارة عن اشتهار العمل بالروایة و الاستناد إلیها فی مقام الفتوی، و هذه الشهرة هی الّتی تکون جابرة لضعف الروایة و کاسرة لصحّتها إذا کانت الشهرة من قدماء الأصحاب القریبین من عهد الحضور؛ لمعرفتهم بصحّة الروایة و ضعفها</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نهایة الأفکار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الشهرة العملیّة فهی عبارة عن اشتهار العمل بالروایة و الاستناد إلیها عند الأصحاب فی مقام الفتوی، و مثل هذه هی الجابرة لضعف الروایة و مصحّحة للعمل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یکفیک</w:t>
      </w:r>
      <w:r>
        <w:rPr>
          <w:rStyle w:val="FootnoteAnchor"/>
          <w:rtl w:val="true"/>
        </w:rPr>
        <w:footnoteReference w:id="213"/>
      </w:r>
      <w:r>
        <w:rPr>
          <w:rFonts w:ascii="IRNazanin" w:hAnsi="IRNazanin" w:eastAsia="IRNazanin"/>
          <w:color w:val="111111"/>
          <w:sz w:val="28"/>
          <w:sz w:val="28"/>
          <w:szCs w:val="28"/>
          <w:rtl w:val="true"/>
          <w:lang w:bidi="fa-IR"/>
        </w:rPr>
        <w:t>فی ذلک الحدیث النبوی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بعض مشایخنا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لم یذکره أحد من رواتنا، و لا کان معروفاً من طرقنا، و لا مذکوراً فی شیء من جوامعنا، و إنّما روته العامّة فی کتبهم، و مع ذلک تری بناء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الأخذ بالحدیث المزبور فی أبواب الفقه، و الاستناد إلیه فی مقام الفتوی بلحاظ جبره بعمل القدماء</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فالحقّ ما ذهب إلیه مشهور المتأخّرین من أنّ عمل أصحابنا المتقدّمین بالأخبار الضعیفة یجبر ضعفها، و من جملتها خبر أبی حفص فی المقام، کما اختاره جماعة من فقهائنا المتأخّرین و المعاصرین</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الإشکال فی سند الحدیث باعتبار اشتماله علی محمّد بن یحیی المعاذی الذی ضعّفه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یقدح بعد کونه روایة منحصرة فی الباب، دالّة علی حکم مخالف لقاعدة المنع عن الصلاة فی النجس، و استناد المشهور إلیها فی هذا الحکم، و قد ثبت فی محلّه أنّ الاستناد المذکور جابر لضعف سند الروایة، فهی من جهة السند غیر قابلة للمناقشة</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الخوئی قدس سره قال فی مباحثه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إثبات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استناد المشهور إلی الخبر الضعیف فی مقام العمل و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أشکل من إثبات الکبری؛ لأنّ مراد القائلین بالانجبار هو الانجبار بعمل قدماء الأصحاب باعتبار قرب عصرهم بزمان المعصوم علیه السلام، و القدماء لم یتعرّضوا للاستدلال فی کتبهم لیعلم استنادهم إلی الخبر الضعیف، و إنّما المذکور فی کتبهم مجرّد الفتوی، و المتعرّض للاستدلال إنّما هو الشیخ الطوسی رحمه الله فی المبسوط و تبعه من تأخّر عنه فی ذلک، دون من تقدّمه من الأصحاب، فمن أین یُستکشف عمل قدماء الأصحاب بخبر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بانجبار الخبر الضعیف بعمل المشهور غیر تامّ صغری و کبری</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قال قدس سره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دعوی انجبارها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روایة أبی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بعملهم علی طبقها مندفعة بأنّ عملهم بالروایة و إن کان غیر قابل للمناقشة، فلا کلام فی صغری ذلک</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بأنّ کلامه هذا مناف لما ذکره فی الاُصول من أنّ القول بانجبار الخبر الضعیف غیر تامّ صغری و کبری</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فالأظهر أنّ روایة أبی حفص تامّة سنداً و دلالةً، فلا وجه لتوقّف جماعة من الأجلّة</w:t>
      </w:r>
      <w:r>
        <w:rPr>
          <w:rStyle w:val="FootnoteAnchor"/>
          <w:rtl w:val="true"/>
        </w:rPr>
        <w:footnoteReference w:id="220"/>
      </w:r>
      <w:r>
        <w:rPr>
          <w:rFonts w:ascii="IRNazanin" w:hAnsi="IRNazanin" w:eastAsia="IRNazanin"/>
          <w:color w:val="111111"/>
          <w:sz w:val="28"/>
          <w:sz w:val="28"/>
          <w:szCs w:val="28"/>
          <w:rtl w:val="true"/>
          <w:lang w:bidi="fa-IR"/>
        </w:rPr>
        <w:t>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حیث استندنا لإثبات بعض الأحکام فی هذا الکتاب بالأخبار الّتی کانت ضعیفة سنداً یلزم أن نثبت أنّ الشهرة العملیّة و فتوی القدماء تکون جابرة لضعف سندها، سیّما إذا کانت منحصرة فی إثبات الحکم کما فی المقام، و من أجل ذلک تعرّضنا لهذا الجواب بطوله، و اللّه سبحانه هو العالم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نفی العسر و الحرج، فإنّ مفادها نفی الحکم الحرجی، سواء کان تکلیفیّاً أو وضعیّاً، فکلّ حکم یکون موجباً للعسر و الحرج منفیّ من ناحیة الشرع؛ لأنّ الآیات الکریمة</w:t>
      </w:r>
      <w:r>
        <w:rPr>
          <w:rStyle w:val="FootnoteAnchor"/>
          <w:rtl w:val="true"/>
        </w:rPr>
        <w:footnoteReference w:id="221"/>
      </w:r>
      <w:r>
        <w:rPr>
          <w:rFonts w:ascii="IRNazanin" w:hAnsi="IRNazanin" w:eastAsia="IRNazanin"/>
          <w:color w:val="111111"/>
          <w:sz w:val="28"/>
          <w:sz w:val="28"/>
          <w:szCs w:val="28"/>
          <w:rtl w:val="true"/>
          <w:lang w:bidi="fa-IR"/>
        </w:rPr>
        <w:t>تدلّ علی أنّ اللّه تبارک و تعالی لم یجعل</w:t>
      </w:r>
    </w:p>
    <w:p>
      <w:pPr>
        <w:pStyle w:val="BookText"/>
        <w:rPr/>
      </w:pPr>
      <w:r>
        <w:rPr>
          <w:rFonts w:ascii="IRNazanin" w:hAnsi="IRNazanin" w:eastAsia="IRNazanin"/>
          <w:color w:val="111111"/>
          <w:sz w:val="28"/>
          <w:sz w:val="28"/>
          <w:szCs w:val="28"/>
          <w:rtl w:val="true"/>
          <w:lang w:bidi="fa-IR"/>
        </w:rPr>
        <w:t>فی دین الإسلام أحکاماً حرجیّة، و کذلک الروایات</w:t>
      </w:r>
      <w:r>
        <w:rPr>
          <w:rStyle w:val="FootnoteAnchor"/>
          <w:rtl w:val="true"/>
        </w:rPr>
        <w:footnoteReference w:id="222"/>
      </w:r>
      <w:r>
        <w:rPr>
          <w:rFonts w:ascii="IRNazanin" w:hAnsi="IRNazanin" w:eastAsia="IRNazanin"/>
          <w:color w:val="111111"/>
          <w:sz w:val="28"/>
          <w:sz w:val="28"/>
          <w:szCs w:val="28"/>
          <w:rtl w:val="true"/>
          <w:lang w:bidi="fa-IR"/>
        </w:rPr>
        <w:t>الواردة فی الأبواب المختلفة الّتی تبلغ حدّ الاستفاضة، بل أنّ قاعدة نفی العسر و الحرج من ضروریّات الفقه، و یؤیّده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بالحنیفیّة السمحة</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 أنّه لو الزمت المربّیة للصبیّ الّتی لها ثوب واحد علی تطهیر ثوبها من بول الصبیّ لکلّ صلاة تقع فی العسر و الحرج، و تلحق بذلک کلفة و مشقّة علیها، و ربّما تفوتها مع ذلک الصلاة، فأباح اللّه تعالی لها إقامة الصلاة مع نجاسة ثوبها رأفة لها، کما أشار إلیه فی التذکرة</w:t>
      </w:r>
      <w:r>
        <w:rPr>
          <w:rStyle w:val="FootnoteAnchor"/>
          <w:rtl w:val="true"/>
        </w:rPr>
        <w:footnoteReference w:id="224"/>
      </w:r>
      <w:r>
        <w:rPr>
          <w:rFonts w:ascii="IRNazanin" w:hAnsi="IRNazanin" w:eastAsia="IRNazanin"/>
          <w:color w:val="111111"/>
          <w:sz w:val="28"/>
          <w:sz w:val="28"/>
          <w:szCs w:val="28"/>
          <w:rtl w:val="true"/>
          <w:lang w:bidi="fa-IR"/>
        </w:rPr>
        <w:t>و المدارک</w:t>
      </w:r>
      <w:r>
        <w:rPr>
          <w:rStyle w:val="FootnoteAnchor"/>
          <w:rtl w:val="true"/>
        </w:rPr>
        <w:footnoteReference w:id="225"/>
      </w:r>
      <w:r>
        <w:rPr>
          <w:rFonts w:ascii="IRNazanin" w:hAnsi="IRNazanin" w:eastAsia="IRNazanin"/>
          <w:color w:val="111111"/>
          <w:sz w:val="28"/>
          <w:sz w:val="28"/>
          <w:szCs w:val="28"/>
          <w:rtl w:val="true"/>
          <w:lang w:bidi="fa-IR"/>
        </w:rPr>
        <w:t>، إلّا أنّ هذا الدلیل یثبت الحکم فی موارد الحرج الشخصی لا مطلقاً،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به الجرح أو القرح فلا یستطیع أن یربطه و لا یغسل دمه،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و لا یغسل ثوبه کلّ یوم إلّا مرّة، فإنّه لا یستطیع أن یغسل ثوبه کلّ ساعة</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w:t>
      </w:r>
      <w:r>
        <w:rPr>
          <w:rStyle w:val="FootnoteAnchor"/>
          <w:rtl w:val="true"/>
        </w:rPr>
        <w:footnoteReference w:id="227"/>
      </w:r>
      <w:r>
        <w:rPr>
          <w:rFonts w:ascii="IRNazanin" w:hAnsi="IRNazanin" w:eastAsia="IRNazanin"/>
          <w:color w:val="111111"/>
          <w:sz w:val="28"/>
          <w:sz w:val="28"/>
          <w:szCs w:val="28"/>
          <w:rtl w:val="true"/>
          <w:lang w:bidi="fa-IR"/>
        </w:rPr>
        <w:t>و إن وردت فی دم القروح و الجروح و لکن مناط الحکم واحد،</w:t>
      </w:r>
      <w:bookmarkStart w:id="77" w:name="pg11755_254308"/>
    </w:p>
    <w:p>
      <w:pPr>
        <w:pStyle w:val="BookText"/>
        <w:rPr/>
      </w:pPr>
      <w:bookmarkEnd w:id="77"/>
      <w:r>
        <w:rPr>
          <w:rFonts w:ascii="IRNazanin" w:hAnsi="IRNazanin" w:eastAsia="IRNazanin"/>
          <w:color w:val="111111"/>
          <w:sz w:val="28"/>
          <w:sz w:val="28"/>
          <w:szCs w:val="28"/>
          <w:rtl w:val="true"/>
          <w:lang w:bidi="fa-IR"/>
        </w:rPr>
        <w:t>فإنّ بول الصبیّ یکون مساویاً لدم القروح و الجروح فی عسر الإزالة و مشقّتها، فکما وجب اتّباع المضمرة هناک فکذا هنا؛ لأنّه مقتضی دوران الحکم مدار العسر و الحرج، و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یستطیع أن یغسل ثوبه کلّ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عموم التعلیل، فیشمل ثوب المربّیة للصبیّ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یستفاد من الحدائق</w:t>
      </w:r>
      <w:r>
        <w:rPr>
          <w:rStyle w:val="FootnoteAnchor"/>
          <w:rtl w:val="true"/>
        </w:rPr>
        <w:footnoteReference w:id="228"/>
      </w:r>
      <w:r>
        <w:rPr>
          <w:rFonts w:ascii="IRNazanin" w:hAnsi="IRNazanin" w:eastAsia="IRNazanin"/>
          <w:color w:val="111111"/>
          <w:sz w:val="28"/>
          <w:sz w:val="28"/>
          <w:szCs w:val="28"/>
          <w:rtl w:val="true"/>
          <w:lang w:bidi="fa-IR"/>
        </w:rPr>
        <w:t>و کذا الجواهر حیث قال بعد ذکر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المشهور بین الأصحاب نقلاً و تحصیلاً، بل لا أعرف فیه خلافاً</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معلوم المدرک؛ لأنّهم اعتمدوا فی ذلک علی الروایة المتقدّمة، و معه لا یکون الإجماع تعبّدیّاً کاشفاً عن قول المعصوم علیه السلام، کما أشار إلیه فی تفصیل الشریعة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ثبوت أصل الحکم یقع البحث فی جهات اخری ترتبط بالمقام، و نذکرها تحت عنوان فروع، و هی کما یلی</w:t>
      </w:r>
      <w:r>
        <w:rPr>
          <w:rFonts w:eastAsia="IRNazanin" w:cs="IRNazanin"/>
          <w:color w:val="111111"/>
          <w:sz w:val="28"/>
          <w:szCs w:val="28"/>
          <w:rtl w:val="true"/>
          <w:lang w:bidi="fa-IR"/>
        </w:rPr>
        <w:t>:</w:t>
      </w:r>
    </w:p>
    <w:p>
      <w:pPr>
        <w:pStyle w:val="Heading5"/>
        <w:numPr>
          <w:ilvl w:val="4"/>
          <w:numId w:val="1"/>
        </w:numPr>
        <w:rPr/>
      </w:pPr>
      <w:bookmarkStart w:id="78" w:name="__RefHeading___Toc9587308_73709187"/>
      <w:bookmarkStart w:id="79" w:name="_Toc28"/>
      <w:bookmarkEnd w:id="78"/>
      <w:r>
        <w:rPr>
          <w:rtl w:val="true"/>
        </w:rPr>
        <w:t>فروع</w:t>
      </w:r>
      <w:bookmarkEnd w:id="79"/>
    </w:p>
    <w:p>
      <w:pPr>
        <w:pStyle w:val="Heading6"/>
        <w:numPr>
          <w:ilvl w:val="5"/>
          <w:numId w:val="1"/>
        </w:numPr>
        <w:rPr/>
      </w:pPr>
      <w:bookmarkStart w:id="80" w:name="__RefHeading___Toc9587310_73709187"/>
      <w:bookmarkStart w:id="81" w:name="_Toc29"/>
      <w:bookmarkEnd w:id="80"/>
      <w:r>
        <w:rPr>
          <w:rtl w:val="true"/>
        </w:rPr>
        <w:t>الأوّل</w:t>
      </w:r>
      <w:r>
        <w:rPr>
          <w:rtl w:val="true"/>
        </w:rPr>
        <w:t xml:space="preserve">: </w:t>
      </w:r>
      <w:r>
        <w:rPr>
          <w:rtl w:val="true"/>
        </w:rPr>
        <w:t>عدم اختصاص الحکم بالمربّیة للصبیّ‌</w:t>
      </w:r>
      <w:bookmarkEnd w:id="81"/>
    </w:p>
    <w:p>
      <w:pPr>
        <w:pStyle w:val="BookText"/>
        <w:rPr/>
      </w:pPr>
      <w:r>
        <w:rPr>
          <w:rFonts w:ascii="IRNazanin" w:hAnsi="IRNazanin" w:eastAsia="IRNazanin"/>
          <w:color w:val="111111"/>
          <w:sz w:val="28"/>
          <w:sz w:val="28"/>
          <w:szCs w:val="28"/>
          <w:rtl w:val="true"/>
          <w:lang w:bidi="fa-IR"/>
        </w:rPr>
        <w:t>هل یشمل حکم العفو مربّیة الصبیّة أم یختصّ بمربّیة الصبیّ؟ فیه قولان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بالمربّیة للصبیّ و لا یشمل مربّیة الصبیّة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العلّامة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بالصبیّ هنا الذکر لا الاُنثی</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الظاهر من کلامه فی المنتهی</w:t>
      </w:r>
      <w:r>
        <w:rPr>
          <w:rStyle w:val="FootnoteAnchor"/>
          <w:rtl w:val="true"/>
        </w:rPr>
        <w:footnoteReference w:id="232"/>
      </w:r>
      <w:r>
        <w:rPr>
          <w:rFonts w:ascii="IRNazanin" w:hAnsi="IRNazanin" w:eastAsia="IRNazanin"/>
          <w:color w:val="111111"/>
          <w:sz w:val="28"/>
          <w:sz w:val="28"/>
          <w:szCs w:val="28"/>
          <w:rtl w:val="true"/>
          <w:lang w:bidi="fa-IR"/>
        </w:rPr>
        <w:t>و الإرشاد</w:t>
      </w:r>
      <w:r>
        <w:rPr>
          <w:rStyle w:val="FootnoteAnchor"/>
          <w:rtl w:val="true"/>
        </w:rPr>
        <w:footnoteReference w:id="233"/>
      </w:r>
      <w:r>
        <w:rPr>
          <w:rFonts w:ascii="IRNazanin" w:hAnsi="IRNazanin" w:eastAsia="IRNazanin"/>
          <w:color w:val="111111"/>
          <w:sz w:val="28"/>
          <w:sz w:val="28"/>
          <w:szCs w:val="28"/>
          <w:rtl w:val="true"/>
          <w:lang w:bidi="fa-IR"/>
        </w:rPr>
        <w:t>و التحریر</w:t>
      </w:r>
      <w:r>
        <w:rPr>
          <w:rStyle w:val="FootnoteAnchor"/>
          <w:rtl w:val="true"/>
        </w:rPr>
        <w:footnoteReference w:id="234"/>
      </w:r>
      <w:r>
        <w:rPr>
          <w:rFonts w:ascii="IRNazanin" w:hAnsi="IRNazanin" w:eastAsia="IRNazanin"/>
          <w:color w:val="111111"/>
          <w:sz w:val="28"/>
          <w:sz w:val="28"/>
          <w:szCs w:val="28"/>
          <w:rtl w:val="true"/>
          <w:lang w:bidi="fa-IR"/>
        </w:rPr>
        <w:t>و القواعد</w:t>
      </w:r>
      <w:r>
        <w:rPr>
          <w:rStyle w:val="FootnoteAnchor"/>
          <w:rtl w:val="true"/>
        </w:rPr>
        <w:footnoteReference w:id="235"/>
      </w:r>
      <w:r>
        <w:rPr>
          <w:rFonts w:ascii="IRNazanin" w:hAnsi="IRNazanin" w:eastAsia="IRNazanin"/>
          <w:color w:val="111111"/>
          <w:sz w:val="28"/>
          <w:sz w:val="28"/>
          <w:szCs w:val="28"/>
          <w:rtl w:val="true"/>
          <w:lang w:bidi="fa-IR"/>
        </w:rPr>
        <w:t>، و هو أیضاً ظاهر کلام المحقّق فی المعتبر</w:t>
      </w:r>
      <w:r>
        <w:rPr>
          <w:rStyle w:val="FootnoteAnchor"/>
          <w:rtl w:val="true"/>
        </w:rPr>
        <w:footnoteReference w:id="236"/>
      </w:r>
      <w:r>
        <w:rPr>
          <w:rFonts w:ascii="IRNazanin" w:hAnsi="IRNazanin" w:eastAsia="IRNazanin"/>
          <w:color w:val="111111"/>
          <w:sz w:val="28"/>
          <w:sz w:val="28"/>
          <w:szCs w:val="28"/>
          <w:rtl w:val="true"/>
          <w:lang w:bidi="fa-IR"/>
        </w:rPr>
        <w:t>و الشرائع</w:t>
      </w:r>
      <w:r>
        <w:rPr>
          <w:rStyle w:val="FootnoteAnchor"/>
          <w:rtl w:val="true"/>
        </w:rPr>
        <w:footnoteReference w:id="237"/>
      </w:r>
      <w:r>
        <w:rPr>
          <w:rFonts w:ascii="IRNazanin" w:hAnsi="IRNazanin" w:eastAsia="IRNazanin"/>
          <w:color w:val="111111"/>
          <w:sz w:val="28"/>
          <w:sz w:val="28"/>
          <w:szCs w:val="28"/>
          <w:rtl w:val="true"/>
          <w:lang w:bidi="fa-IR"/>
        </w:rPr>
        <w:t>و النافع</w:t>
      </w:r>
      <w:r>
        <w:rPr>
          <w:rStyle w:val="FootnoteAnchor"/>
          <w:rtl w:val="true"/>
        </w:rPr>
        <w:footnoteReference w:id="238"/>
      </w:r>
      <w:r>
        <w:rPr>
          <w:rFonts w:ascii="IRNazanin" w:hAnsi="IRNazanin" w:eastAsia="IRNazanin"/>
          <w:color w:val="111111"/>
          <w:sz w:val="28"/>
          <w:sz w:val="28"/>
          <w:szCs w:val="28"/>
          <w:rtl w:val="true"/>
          <w:lang w:bidi="fa-IR"/>
        </w:rPr>
        <w:t>، و الشهید فی البیان</w:t>
      </w:r>
      <w:r>
        <w:rPr>
          <w:rStyle w:val="FootnoteAnchor"/>
          <w:rtl w:val="true"/>
        </w:rPr>
        <w:footnoteReference w:id="239"/>
      </w:r>
      <w:r>
        <w:rPr>
          <w:rFonts w:ascii="IRNazanin" w:hAnsi="IRNazanin" w:eastAsia="IRNazanin"/>
          <w:color w:val="111111"/>
          <w:sz w:val="28"/>
          <w:sz w:val="28"/>
          <w:szCs w:val="28"/>
          <w:rtl w:val="true"/>
          <w:lang w:bidi="fa-IR"/>
        </w:rPr>
        <w:t>، حیث اقتصروا علی ذکر الصبیّ فقط، و نسبه فی کشف اللثام</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إلی الشیخ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تلحق الصبیّة بالصبیّ وفاقاً للمحکّی عن المعتبر و التحریر</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الریاض</w:t>
      </w:r>
      <w:r>
        <w:rPr>
          <w:rStyle w:val="FootnoteAnchor"/>
          <w:rtl w:val="true"/>
        </w:rPr>
        <w:footnoteReference w:id="242"/>
      </w:r>
      <w:r>
        <w:rPr>
          <w:rFonts w:ascii="IRNazanin" w:hAnsi="IRNazanin" w:eastAsia="IRNazanin"/>
          <w:color w:val="111111"/>
          <w:sz w:val="28"/>
          <w:sz w:val="28"/>
          <w:szCs w:val="28"/>
          <w:rtl w:val="true"/>
          <w:lang w:bidi="fa-IR"/>
        </w:rPr>
        <w:t>و المستند</w:t>
      </w:r>
      <w:r>
        <w:rPr>
          <w:rStyle w:val="FootnoteAnchor"/>
          <w:rtl w:val="true"/>
        </w:rPr>
        <w:footnoteReference w:id="243"/>
      </w:r>
      <w:r>
        <w:rPr>
          <w:rFonts w:ascii="Amiri" w:hAnsi="Amiri" w:eastAsia="Amiri" w:cs="Amiri"/>
          <w:color w:val="111111"/>
          <w:sz w:val="28"/>
          <w:sz w:val="28"/>
          <w:szCs w:val="28"/>
          <w:rtl w:val="true"/>
          <w:lang w:bidi="ar-SA"/>
        </w:rPr>
        <w:t>، و به قال جملة من الأعلام</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فی تعلیقاتهم علی العروة الوثقی، و استظهره السیّد الخوئی رحمه الله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لهذا القول باُمورٍ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بول الصبیّ و بول الصبیّة، فإنّ بول الصبیّ کالماء، و بول الصبیّة أصفر ثخین و طبعها أحرّ، فبولها ألصق بالمحلّ کما فی نهایة الإحکام</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النصّ أنّ العفو تخفیفٌ بالنسبة إلی المربّیة من دون دخالة لخصوصیّة بول الصبیّ أو الصبیّة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شرّع للتسهیل؛ إذ وجوب التطهیر مع تکرار البول یوجب الحرج و المشقّة، و لذا رخّص الشارع بکفایة الغسل مرّة فی الیوم، و إذا کان مناط الحکم ذلک فلا یوجب اختصاصه بالصبیّ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غلظة بول الصبیّة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دلیلاً علی عدم تعمیم الحکم؛ لاشتراک بول الصبیّ و الصبیّة فی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یتبادر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النصّ الصبیّ، و هکذا فهم الأصحاب کما فی جامع المقاصد</w:t>
      </w:r>
      <w:r>
        <w:rPr>
          <w:rStyle w:val="FootnoteAnchor"/>
          <w:rtl w:val="true"/>
        </w:rPr>
        <w:footnoteReference w:id="246"/>
      </w:r>
      <w:r>
        <w:rPr>
          <w:rFonts w:ascii="IRNazanin" w:hAnsi="IRNazanin" w:eastAsia="IRNazanin"/>
          <w:color w:val="111111"/>
          <w:sz w:val="28"/>
          <w:sz w:val="28"/>
          <w:szCs w:val="28"/>
          <w:rtl w:val="true"/>
          <w:lang w:bidi="fa-IR"/>
        </w:rPr>
        <w:t>و فی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قرب</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التبادر ممنوعة؛ لأنّ الظاهر منه هو طبیعی المولود، فلا محالة یشمل الصبیّ و الصبیّة، و لا دلیل علی اعتبار فهم الأصحاب 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یستفاد من المولود ما یقابل المولودة، بل ظاهره بنظر العرف هو طبیعی المولود الشامل للاُنثی أیضاً</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المربّیة للصبیّة إشکال، ینشأ من عدم التنصیص علی العلّة، فیقتصر علی مورد النصّ خصوصاً مع غلظ نجاسة بولها،</w:t>
      </w:r>
    </w:p>
    <w:p>
      <w:pPr>
        <w:pStyle w:val="BookText"/>
        <w:rPr/>
      </w:pPr>
      <w:r>
        <w:rPr>
          <w:rFonts w:ascii="IRNazanin" w:hAnsi="IRNazanin" w:eastAsia="IRNazanin"/>
          <w:color w:val="111111"/>
          <w:sz w:val="28"/>
          <w:sz w:val="28"/>
          <w:szCs w:val="28"/>
          <w:rtl w:val="true"/>
          <w:lang w:bidi="fa-IR"/>
        </w:rPr>
        <w:t>و من الاشتراک فی المشقّة</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شککنا فی شمول الروایة للاُنثی و عدمه فلا بدّ من الاقتصار علی المقدار المتیقّن منها و هو المولود الذکر؛ لأنّ العفو علی خلاف القاعدة و العمومات</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لو لم نعتمد علی هذا الظهور و وصلت النوبة إلی مقام الشکّ فلا بدّ من الاقتصار علی المقدار المتیقّن و هو الذکر؛ لأنّ أصل الحکم علی خلاف القاعدة، کما فی تفصیل الشریعة</w:t>
      </w:r>
      <w:r>
        <w:rPr>
          <w:rStyle w:val="FootnoteAnchor"/>
          <w:rtl w:val="true"/>
        </w:rPr>
        <w:footnoteReference w:id="251"/>
      </w:r>
      <w:r>
        <w:rPr>
          <w:rFonts w:ascii="Amiri" w:hAnsi="Amiri" w:eastAsia="Amiri" w:cs="Amiri"/>
          <w:color w:val="111111"/>
          <w:sz w:val="28"/>
          <w:sz w:val="28"/>
          <w:szCs w:val="28"/>
          <w:rtl w:val="true"/>
          <w:lang w:bidi="ar-SA"/>
        </w:rPr>
        <w:t>، إلّا أنّ النصّ یشمل الصبیّة أیضاً کما سیأتی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 هذا الحکم بین المربّیة للصبیّ أو الصبیّة، کما صرّح بذلک کثیر من الأصحاب، و هو الحقّ</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یلحق به الصبیّة و المربّی و الولد المتعدّد</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الذکری</w:t>
      </w:r>
      <w:r>
        <w:rPr>
          <w:rStyle w:val="FootnoteAnchor"/>
          <w:rtl w:val="true"/>
        </w:rPr>
        <w:footnoteReference w:id="253"/>
      </w:r>
      <w:r>
        <w:rPr>
          <w:rFonts w:ascii="Amiri" w:hAnsi="Amiri" w:eastAsia="Amiri" w:cs="Amiri"/>
          <w:color w:val="111111"/>
          <w:sz w:val="28"/>
          <w:sz w:val="28"/>
          <w:szCs w:val="28"/>
          <w:rtl w:val="true"/>
          <w:lang w:bidi="ar-SA"/>
        </w:rPr>
        <w:t>و الروضة</w:t>
      </w:r>
      <w:r>
        <w:rPr>
          <w:rStyle w:val="FootnoteAnchor"/>
          <w:rtl w:val="true"/>
        </w:rPr>
        <w:footnoteReference w:id="254"/>
      </w:r>
      <w:r>
        <w:rPr>
          <w:rFonts w:ascii="IRNazanin" w:hAnsi="IRNazanin" w:eastAsia="IRNazanin"/>
          <w:color w:val="111111"/>
          <w:sz w:val="28"/>
          <w:sz w:val="28"/>
          <w:szCs w:val="28"/>
          <w:rtl w:val="true"/>
          <w:lang w:bidi="fa-IR"/>
        </w:rPr>
        <w:t>و المسالک</w:t>
      </w:r>
      <w:r>
        <w:rPr>
          <w:rStyle w:val="FootnoteAnchor"/>
          <w:rtl w:val="true"/>
        </w:rPr>
        <w:footnoteReference w:id="255"/>
      </w:r>
      <w:r>
        <w:rPr>
          <w:rFonts w:ascii="IRNazanin" w:hAnsi="IRNazanin" w:eastAsia="IRNazanin"/>
          <w:color w:val="111111"/>
          <w:sz w:val="28"/>
          <w:sz w:val="28"/>
          <w:szCs w:val="28"/>
          <w:rtl w:val="true"/>
          <w:lang w:bidi="fa-IR"/>
        </w:rPr>
        <w:t>و روض الجنان</w:t>
      </w:r>
      <w:r>
        <w:rPr>
          <w:rStyle w:val="FootnoteAnchor"/>
          <w:rtl w:val="true"/>
        </w:rPr>
        <w:footnoteReference w:id="256"/>
      </w:r>
      <w:r>
        <w:rPr>
          <w:rFonts w:ascii="IRNazanin" w:hAnsi="IRNazanin" w:eastAsia="IRNazanin"/>
          <w:color w:val="111111"/>
          <w:sz w:val="28"/>
          <w:sz w:val="28"/>
          <w:szCs w:val="28"/>
          <w:rtl w:val="true"/>
          <w:lang w:bidi="fa-IR"/>
        </w:rPr>
        <w:t>و المدارک</w:t>
      </w:r>
      <w:r>
        <w:rPr>
          <w:rStyle w:val="FootnoteAnchor"/>
          <w:rtl w:val="true"/>
        </w:rPr>
        <w:footnoteReference w:id="257"/>
      </w:r>
      <w:r>
        <w:rPr>
          <w:rFonts w:ascii="IRNazanin" w:hAnsi="IRNazanin" w:eastAsia="IRNazanin"/>
          <w:color w:val="111111"/>
          <w:sz w:val="28"/>
          <w:sz w:val="28"/>
          <w:szCs w:val="28"/>
          <w:rtl w:val="true"/>
          <w:lang w:bidi="fa-IR"/>
        </w:rPr>
        <w:t>، و نسبه فی الکفایة إلی أکثر الفقهاء</w:t>
      </w:r>
      <w:r>
        <w:rPr>
          <w:rStyle w:val="FootnoteAnchor"/>
          <w:rtl w:val="true"/>
        </w:rPr>
        <w:footnoteReference w:id="258"/>
      </w:r>
      <w:r>
        <w:rPr>
          <w:rFonts w:ascii="IRNazanin" w:hAnsi="IRNazanin" w:eastAsia="IRNazanin"/>
          <w:color w:val="111111"/>
          <w:sz w:val="28"/>
          <w:sz w:val="28"/>
          <w:szCs w:val="28"/>
          <w:rtl w:val="true"/>
          <w:lang w:bidi="fa-IR"/>
        </w:rPr>
        <w:t>، و فی معالم الدین إلی أکثر المتأخّرین</w:t>
      </w:r>
      <w:r>
        <w:rPr>
          <w:rStyle w:val="FootnoteAnchor"/>
          <w:rtl w:val="true"/>
        </w:rPr>
        <w:footnoteReference w:id="259"/>
      </w:r>
      <w:r>
        <w:rPr>
          <w:rFonts w:ascii="IRNazanin" w:hAnsi="IRNazanin" w:eastAsia="IRNazanin"/>
          <w:color w:val="111111"/>
          <w:sz w:val="28"/>
          <w:sz w:val="28"/>
          <w:szCs w:val="28"/>
          <w:rtl w:val="true"/>
          <w:lang w:bidi="fa-IR"/>
        </w:rPr>
        <w:t>، و استظهره</w:t>
      </w:r>
    </w:p>
    <w:p>
      <w:pPr>
        <w:pStyle w:val="BookText"/>
        <w:rPr/>
      </w:pPr>
      <w:r>
        <w:rPr>
          <w:rFonts w:ascii="IRNazanin" w:hAnsi="IRNazanin" w:eastAsia="IRNazanin"/>
          <w:color w:val="111111"/>
          <w:sz w:val="28"/>
          <w:sz w:val="28"/>
          <w:szCs w:val="28"/>
          <w:rtl w:val="true"/>
          <w:lang w:bidi="fa-IR"/>
        </w:rPr>
        <w:t>فی الحدائق</w:t>
      </w:r>
      <w:r>
        <w:rPr>
          <w:rStyle w:val="FootnoteAnchor"/>
          <w:rtl w:val="true"/>
        </w:rPr>
        <w:footnoteReference w:id="260"/>
      </w:r>
      <w:r>
        <w:rPr>
          <w:rFonts w:ascii="IRNazanin" w:hAnsi="IRNazanin" w:eastAsia="IRNazanin"/>
          <w:color w:val="111111"/>
          <w:sz w:val="28"/>
          <w:sz w:val="28"/>
          <w:szCs w:val="28"/>
          <w:rtl w:val="true"/>
          <w:lang w:bidi="fa-IR"/>
        </w:rPr>
        <w:t>، و ذهب إلیه أیضاً جماعة من أعلام العصر</w:t>
      </w:r>
      <w:r>
        <w:rPr>
          <w:rStyle w:val="FootnoteAnchor"/>
          <w:rtl w:val="true"/>
        </w:rPr>
        <w:footnoteReference w:id="261"/>
      </w:r>
      <w:r>
        <w:rPr>
          <w:rFonts w:ascii="IRNazanin" w:hAnsi="IRNazanin" w:eastAsia="IRNazanin"/>
          <w:color w:val="111111"/>
          <w:sz w:val="28"/>
          <w:sz w:val="28"/>
          <w:szCs w:val="28"/>
          <w:rtl w:val="true"/>
          <w:lang w:bidi="fa-IR"/>
        </w:rPr>
        <w:t>و غیرهم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یستدلّ لهذا الحکم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عبّر فی الروایة بلفظ المولود و هو شامل لهما؛ إمّا لشمولها لغةً أو لکونها تابعة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روض الجنان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لأنّ المراد به طبیعی المولود، سواء کان ذکراً أو 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المتبادر من المولود هو الصبیّ ممنوعة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قلنا بأنّ الدلیل علی الحکم هو قاعدة نفی العسر و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فالصبیّ و الصبیّة مشترکان فی ذلک و لا یعقل الفرق بینهما من جهة المشقّة 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الأولی دخول الصبیّة؛ للمشقّة</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الإمام الخمینی قدس سره من أنّ المفهوم من النصّ أنّ ذلک تخفیف بالنسبة إلی المرأة من غیر دخالة</w:t>
      </w:r>
      <w:r>
        <w:rPr>
          <w:rStyle w:val="FootnoteAnchor"/>
          <w:rtl w:val="true"/>
        </w:rPr>
        <w:footnoteReference w:id="266"/>
      </w:r>
      <w:r>
        <w:rPr>
          <w:rFonts w:ascii="IRNazanin" w:hAnsi="IRNazanin" w:eastAsia="IRNazanin"/>
          <w:color w:val="111111"/>
          <w:sz w:val="28"/>
          <w:sz w:val="28"/>
          <w:szCs w:val="28"/>
          <w:rtl w:val="true"/>
          <w:lang w:bidi="fa-IR"/>
        </w:rPr>
        <w:t xml:space="preserve">لخصوصیّة الولد و لا لکونه واحداً، فتوهّم أنّ بول الصبیّ و الواحد أخفّ من الصبیّة و المتعدّد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الاختصاص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 بعد ما یتفاهم منه أنّ الحکم جعل للتخفیف عن المرأة</w:t>
      </w:r>
      <w:bookmarkStart w:id="82" w:name="pg11755_254320"/>
    </w:p>
    <w:p>
      <w:pPr>
        <w:pStyle w:val="BookText"/>
        <w:rPr/>
      </w:pPr>
      <w:bookmarkEnd w:id="82"/>
      <w:r>
        <w:rPr>
          <w:rFonts w:ascii="IRNazanin" w:hAnsi="IRNazanin" w:eastAsia="IRNazanin"/>
          <w:color w:val="111111"/>
          <w:sz w:val="28"/>
          <w:sz w:val="28"/>
          <w:szCs w:val="28"/>
          <w:rtl w:val="true"/>
          <w:lang w:bidi="fa-IR"/>
        </w:rPr>
        <w:t>لا لتخفیف البول</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 w:name="__RefHeading___Toc9587312_73709187"/>
      <w:bookmarkStart w:id="84" w:name="_Toc30"/>
      <w:bookmarkEnd w:id="83"/>
      <w:r>
        <w:rPr>
          <w:rtl w:val="true"/>
        </w:rPr>
        <w:t>الفرع الثانی</w:t>
      </w:r>
      <w:r>
        <w:rPr>
          <w:rtl w:val="true"/>
        </w:rPr>
        <w:t xml:space="preserve">: </w:t>
      </w:r>
      <w:r>
        <w:rPr>
          <w:rtl w:val="true"/>
        </w:rPr>
        <w:t>اختصاص الحکم بالثوب فقط‌</w:t>
      </w:r>
      <w:bookmarkEnd w:id="84"/>
    </w:p>
    <w:p>
      <w:pPr>
        <w:pStyle w:val="BookText"/>
        <w:rPr/>
      </w:pPr>
      <w:r>
        <w:rPr>
          <w:rFonts w:ascii="IRNazanin" w:hAnsi="IRNazanin" w:eastAsia="IRNazanin"/>
          <w:color w:val="111111"/>
          <w:sz w:val="28"/>
          <w:sz w:val="28"/>
          <w:szCs w:val="28"/>
          <w:rtl w:val="true"/>
          <w:lang w:bidi="fa-IR"/>
        </w:rPr>
        <w:t>المشهور بین الأصحاب أنّ الحکم المذکور مختصّ بالثوب، و أمّا البدن فیجب غسله مع المکنة؛ لعدم النصّ، و انتفاء المشقّة الحاصلة فی الثوب الواحد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یتعدّی من الثوب إلی البدن جموداً علی ظاهر النصّ و الفتوی، مع عدم القطع بالمساواة أو القطع بعدمها</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علّله السیّد الخوئی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إنّما دلّت علی العفو عن نجاسة القمیص، و لم تدلّ علی عدم مانعیة نجاسة البدن فی المربّیة، و مقتضی إطلاق أدلّة المنع عن الصلاة فی النجس وجوب إزالته عن بدنها، فإلحاقه بالثوب بلا وجه</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فی تفصیل الشریعة، و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المراد بالقمیص فی الروایة هو الثوب الذی تصلّی فیه المرأة، فلو کان لها بدل القمیص ملحفة و تنجّست ببوله یکون معفوّاً عنها؛ لعدم استفادة خصوصیّة للقمیص بعنوانه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تنجّس خمارها ببوله یشکل الحکم؛ لعدم کون الخمار مورداً للابتلاء بالنجاسة نوعاً</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نسب فی المعالم و کشف اللثام</w:t>
      </w:r>
      <w:r>
        <w:rPr>
          <w:rStyle w:val="FootnoteAnchor"/>
          <w:rtl w:val="true"/>
        </w:rPr>
        <w:footnoteReference w:id="272"/>
      </w:r>
      <w:r>
        <w:rPr>
          <w:rFonts w:ascii="IRNazanin" w:hAnsi="IRNazanin" w:eastAsia="IRNazanin"/>
          <w:color w:val="111111"/>
          <w:sz w:val="28"/>
          <w:sz w:val="28"/>
          <w:szCs w:val="28"/>
          <w:rtl w:val="true"/>
          <w:lang w:bidi="fa-IR"/>
        </w:rPr>
        <w:t>و مصباح الفقیه</w:t>
      </w:r>
      <w:r>
        <w:rPr>
          <w:rStyle w:val="FootnoteAnchor"/>
          <w:rtl w:val="true"/>
        </w:rPr>
        <w:footnoteReference w:id="273"/>
      </w:r>
      <w:r>
        <w:rPr>
          <w:rFonts w:ascii="IRNazanin" w:hAnsi="IRNazanin" w:eastAsia="IRNazanin"/>
          <w:color w:val="111111"/>
          <w:sz w:val="28"/>
          <w:sz w:val="28"/>
          <w:szCs w:val="28"/>
          <w:rtl w:val="true"/>
          <w:lang w:bidi="fa-IR"/>
        </w:rPr>
        <w:t>، إلی بعض المتأخّرین</w:t>
      </w:r>
      <w:r>
        <w:rPr>
          <w:rStyle w:val="FootnoteAnchor"/>
          <w:rtl w:val="true"/>
        </w:rPr>
        <w:footnoteReference w:id="274"/>
      </w:r>
      <w:r>
        <w:rPr>
          <w:rFonts w:ascii="IRNazanin" w:hAnsi="IRNazanin" w:eastAsia="IRNazanin"/>
          <w:color w:val="111111"/>
          <w:sz w:val="28"/>
          <w:sz w:val="28"/>
          <w:szCs w:val="28"/>
          <w:rtl w:val="true"/>
          <w:lang w:bidi="fa-IR"/>
        </w:rPr>
        <w:t>إلحاق بدنها بالثوب فی العفو؛ نظراً إلی عسر الاحتراز عن الثوب النجس، و مشقّة غسل البدن کلّ وقتٍ، ثمّ قال فی المعالم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بشیء</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غنائم الأیّام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التعدّی إلی البدن علی إشکال</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إلحاق بدنها بالثوب فی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إشکال و إن کان لا یخلو عن وجهٍ</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 فی توجیه هذا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کأنّه لغلبة</w:t>
      </w:r>
      <w:r>
        <w:rPr>
          <w:rStyle w:val="FootnoteAnchor"/>
          <w:rtl w:val="true"/>
        </w:rPr>
        <w:footnoteReference w:id="278"/>
      </w:r>
      <w:r>
        <w:rPr>
          <w:rFonts w:ascii="IRNazanin" w:hAnsi="IRNazanin" w:eastAsia="IRNazanin"/>
          <w:color w:val="111111"/>
          <w:sz w:val="28"/>
          <w:sz w:val="28"/>
          <w:szCs w:val="28"/>
          <w:rtl w:val="true"/>
          <w:lang w:bidi="fa-IR"/>
        </w:rPr>
        <w:t>تعدّی النجاسة من الثوب إلی البدن، بل یشقّ التحرّز عنه مع خلوّ الخبر عن الأمر بتطهیر البدن لکلّ صلاةٍ</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و إن کان لا یخلو عن وجهٍ إلّا أنّ الأقوی عدم الإلحاق؛ لأنّ مشقّة غسل البدن لیست مثل مشقّة غسل الثوب؛ لاحتیاج الثوب إلی التجفیف دون البدن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الخمینی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التعدّی إلی البدن؛ لعسر الغسل فی الثوب</w:t>
      </w:r>
      <w:bookmarkStart w:id="85" w:name="pg11755_254324"/>
    </w:p>
    <w:p>
      <w:pPr>
        <w:pStyle w:val="BookText"/>
        <w:rPr/>
      </w:pPr>
      <w:bookmarkEnd w:id="85"/>
      <w:r>
        <w:rPr>
          <w:rFonts w:ascii="IRNazanin" w:hAnsi="IRNazanin" w:eastAsia="IRNazanin"/>
          <w:color w:val="111111"/>
          <w:sz w:val="28"/>
          <w:sz w:val="28"/>
          <w:szCs w:val="28"/>
          <w:rtl w:val="true"/>
          <w:lang w:bidi="fa-IR"/>
        </w:rPr>
        <w:t>دون البدن، لاحتیاج الأوّل فی تجفیفه إلی زمان معتدّ به دون الثانی</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خلوّ النصّ عن الأمر بتطهیر البدن لکلّ صلاة فلعلّ لازمه عدم وجوب تطهیره أصلاً حتّی مرةً؛ لخلوّ النصّ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الاتّکال فیه علی الأمر بغسل الثوب لیس بأولی من الاتکال فیه علی أدلّة مانعیّة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الاحتمال لا مجال للاستدلال، فالرجوع إلی مقتضی تلک الأدلّة متعیّن کما فی المستمسک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 w:name="__RefHeading___Toc9587314_73709187"/>
      <w:bookmarkStart w:id="87" w:name="_Toc31"/>
      <w:bookmarkEnd w:id="86"/>
      <w:r>
        <w:rPr>
          <w:rtl w:val="true"/>
        </w:rPr>
        <w:t>الفرع الثالث</w:t>
      </w:r>
      <w:r>
        <w:rPr>
          <w:rtl w:val="true"/>
        </w:rPr>
        <w:t xml:space="preserve">: </w:t>
      </w:r>
      <w:r>
        <w:rPr>
          <w:rtl w:val="true"/>
        </w:rPr>
        <w:t>إلحاق المربّی بالمربّیة فی هذا الحکم</w:t>
      </w:r>
      <w:bookmarkEnd w:id="87"/>
    </w:p>
    <w:p>
      <w:pPr>
        <w:pStyle w:val="BookText"/>
        <w:rPr/>
      </w:pPr>
      <w:r>
        <w:rPr>
          <w:rFonts w:ascii="IRNazanin" w:hAnsi="IRNazanin" w:eastAsia="IRNazanin"/>
          <w:color w:val="111111"/>
          <w:sz w:val="28"/>
          <w:sz w:val="28"/>
          <w:szCs w:val="28"/>
          <w:rtl w:val="true"/>
          <w:lang w:bidi="fa-IR"/>
        </w:rPr>
        <w:t>هل یلحق المربّی بالمربّیة أم لا؟ مورد روایة أبی حفص هو المرأة کما تقدّم، و لکن ألحق جماعة من الأصحاب بها الرجل المربّی للصبیّ أیضاً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مشارکة المربّی للصبیّ للمربّیة؛ إذ لا مدخل للاُنوثة هنا</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القواعد</w:t>
      </w:r>
      <w:r>
        <w:rPr>
          <w:rStyle w:val="FootnoteAnchor"/>
          <w:rtl w:val="true"/>
        </w:rPr>
        <w:footnoteReference w:id="283"/>
      </w:r>
      <w:r>
        <w:rPr>
          <w:rFonts w:ascii="IRNazanin" w:hAnsi="IRNazanin" w:eastAsia="IRNazanin"/>
          <w:color w:val="111111"/>
          <w:sz w:val="28"/>
          <w:sz w:val="28"/>
          <w:szCs w:val="28"/>
          <w:rtl w:val="true"/>
          <w:lang w:bidi="fa-IR"/>
        </w:rPr>
        <w:t>و النهایة</w:t>
      </w:r>
      <w:r>
        <w:rPr>
          <w:rStyle w:val="FootnoteAnchor"/>
          <w:rtl w:val="true"/>
        </w:rPr>
        <w:footnoteReference w:id="284"/>
      </w:r>
      <w:r>
        <w:rPr>
          <w:rFonts w:ascii="IRNazanin" w:hAnsi="IRNazanin" w:eastAsia="IRNazanin"/>
          <w:color w:val="111111"/>
          <w:sz w:val="28"/>
          <w:sz w:val="28"/>
          <w:szCs w:val="28"/>
          <w:rtl w:val="true"/>
          <w:lang w:bidi="fa-IR"/>
        </w:rPr>
        <w:t>و اختاره الشهیدان</w:t>
      </w:r>
      <w:r>
        <w:rPr>
          <w:rStyle w:val="FootnoteAnchor"/>
          <w:rtl w:val="true"/>
        </w:rPr>
        <w:footnoteReference w:id="285"/>
      </w:r>
      <w:r>
        <w:rPr>
          <w:rFonts w:ascii="IRNazanin" w:hAnsi="IRNazanin" w:eastAsia="IRNazanin"/>
          <w:color w:val="111111"/>
          <w:sz w:val="28"/>
          <w:sz w:val="28"/>
          <w:szCs w:val="28"/>
          <w:rtl w:val="true"/>
          <w:lang w:bidi="fa-IR"/>
        </w:rPr>
        <w:t>، و الفاضل المقداد</w:t>
      </w:r>
      <w:r>
        <w:rPr>
          <w:rStyle w:val="FootnoteAnchor"/>
          <w:rtl w:val="true"/>
        </w:rPr>
        <w:footnoteReference w:id="286"/>
      </w:r>
      <w:r>
        <w:rPr>
          <w:rFonts w:ascii="Amiri" w:hAnsi="Amiri" w:eastAsia="Amiri" w:cs="Amiri"/>
          <w:color w:val="111111"/>
          <w:sz w:val="28"/>
          <w:sz w:val="28"/>
          <w:szCs w:val="28"/>
          <w:rtl w:val="true"/>
          <w:lang w:bidi="ar-SA"/>
        </w:rPr>
        <w:t>و المحقّق القمّی</w:t>
      </w:r>
      <w:r>
        <w:rPr>
          <w:rStyle w:val="FootnoteAnchor"/>
          <w:rtl w:val="true"/>
        </w:rPr>
        <w:footnoteReference w:id="287"/>
      </w:r>
      <w:r>
        <w:rPr>
          <w:rFonts w:ascii="IRNazanin" w:hAnsi="IRNazanin" w:eastAsia="IRNazanin"/>
          <w:color w:val="111111"/>
          <w:sz w:val="28"/>
          <w:sz w:val="28"/>
          <w:szCs w:val="28"/>
          <w:rtl w:val="true"/>
          <w:lang w:bidi="fa-IR"/>
        </w:rPr>
        <w:t>، و کذا فی کشف اللثام</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احتمله المحقّق الثانی</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نسبه فی مصباح الفقیه إلی قول، و زاد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یخلو عن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الاحتیاط الوقوف علی مورد النصّ</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استدلّ‌القائلون بالإلحاق بأنّ العلّة الموجبة للعفو فی المرأة المشقّة و الحرج، و هی بعینها متحقّقة فی الرجل إذا کان مربّیاً، فیصحّ إلحاق الرجل بالمرأة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یستدلّ أیضاً بقاعدة الاشتراک؛ لأنّ الحکم إذا ثبت للإناث فیثبت للرجال أیضاً بتلک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أنکر ذلک جماعة،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یتعدّی هذا الحکم من المربّیة إلی المربّی، کما هو ظاهر کلام الشیخ</w:t>
      </w:r>
      <w:r>
        <w:rPr>
          <w:rStyle w:val="FootnoteAnchor"/>
          <w:rtl w:val="true"/>
        </w:rPr>
        <w:footnoteReference w:id="291"/>
      </w:r>
      <w:r>
        <w:rPr>
          <w:rFonts w:ascii="IRNazanin" w:hAnsi="IRNazanin" w:eastAsia="IRNazanin"/>
          <w:color w:val="111111"/>
          <w:sz w:val="28"/>
          <w:sz w:val="28"/>
          <w:szCs w:val="28"/>
          <w:rtl w:val="true"/>
          <w:lang w:bidi="fa-IR"/>
        </w:rPr>
        <w:t>و القاضی ابن البرّاج</w:t>
      </w:r>
      <w:r>
        <w:rPr>
          <w:rStyle w:val="FootnoteAnchor"/>
          <w:rtl w:val="true"/>
        </w:rPr>
        <w:footnoteReference w:id="292"/>
      </w:r>
      <w:r>
        <w:rPr>
          <w:rFonts w:ascii="Amiri" w:hAnsi="Amiri" w:eastAsia="Amiri" w:cs="Amiri"/>
          <w:color w:val="111111"/>
          <w:sz w:val="28"/>
          <w:sz w:val="28"/>
          <w:szCs w:val="28"/>
          <w:rtl w:val="true"/>
          <w:lang w:bidi="ar-SA"/>
        </w:rPr>
        <w:t>و المحقّق</w:t>
      </w:r>
      <w:r>
        <w:rPr>
          <w:rStyle w:val="FootnoteAnchor"/>
          <w:rtl w:val="true"/>
        </w:rPr>
        <w:footnoteReference w:id="293"/>
      </w:r>
      <w:r>
        <w:rPr>
          <w:rFonts w:ascii="IRNazanin" w:hAnsi="IRNazanin" w:eastAsia="IRNazanin"/>
          <w:color w:val="111111"/>
          <w:sz w:val="28"/>
          <w:sz w:val="28"/>
          <w:szCs w:val="28"/>
          <w:rtl w:val="true"/>
          <w:lang w:bidi="fa-IR"/>
        </w:rPr>
        <w:t>و الفاضل الآبی</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العلّامة فی الإرشاد</w:t>
      </w:r>
      <w:r>
        <w:rPr>
          <w:rStyle w:val="FootnoteAnchor"/>
          <w:rtl w:val="true"/>
        </w:rPr>
        <w:footnoteReference w:id="295"/>
      </w:r>
      <w:r>
        <w:rPr>
          <w:rFonts w:ascii="IRNazanin" w:hAnsi="IRNazanin" w:eastAsia="IRNazanin"/>
          <w:color w:val="111111"/>
          <w:sz w:val="28"/>
          <w:sz w:val="28"/>
          <w:szCs w:val="28"/>
          <w:rtl w:val="true"/>
          <w:lang w:bidi="fa-IR"/>
        </w:rPr>
        <w:t>و التحریر</w:t>
      </w:r>
      <w:r>
        <w:rPr>
          <w:rStyle w:val="FootnoteAnchor"/>
          <w:rtl w:val="true"/>
        </w:rPr>
        <w:footnoteReference w:id="296"/>
      </w:r>
      <w:r>
        <w:rPr>
          <w:rFonts w:ascii="IRNazanin" w:hAnsi="IRNazanin" w:eastAsia="IRNazanin"/>
          <w:color w:val="111111"/>
          <w:sz w:val="28"/>
          <w:sz w:val="28"/>
          <w:szCs w:val="28"/>
          <w:rtl w:val="true"/>
          <w:lang w:bidi="fa-IR"/>
        </w:rPr>
        <w:t>و المنتهی</w:t>
      </w:r>
      <w:r>
        <w:rPr>
          <w:rStyle w:val="FootnoteAnchor"/>
          <w:rtl w:val="true"/>
        </w:rPr>
        <w:footnoteReference w:id="297"/>
      </w:r>
      <w:r>
        <w:rPr>
          <w:rFonts w:ascii="IRNazanin" w:hAnsi="IRNazanin" w:eastAsia="IRNazanin"/>
          <w:color w:val="111111"/>
          <w:sz w:val="28"/>
          <w:sz w:val="28"/>
          <w:szCs w:val="28"/>
          <w:rtl w:val="true"/>
          <w:lang w:bidi="fa-IR"/>
        </w:rPr>
        <w:t>حیث اقتصروا بذکر المربّیة و لم یتعرّضوا لذکر المربّی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 بذلک فی المدارک</w:t>
      </w:r>
      <w:r>
        <w:rPr>
          <w:rStyle w:val="FootnoteAnchor"/>
          <w:rtl w:val="true"/>
        </w:rPr>
        <w:footnoteReference w:id="298"/>
      </w:r>
      <w:r>
        <w:rPr>
          <w:rFonts w:ascii="IRNazanin" w:hAnsi="IRNazanin" w:eastAsia="IRNazanin"/>
          <w:color w:val="111111"/>
          <w:sz w:val="28"/>
          <w:sz w:val="28"/>
          <w:szCs w:val="28"/>
          <w:rtl w:val="true"/>
          <w:lang w:bidi="fa-IR"/>
        </w:rPr>
        <w:t>و مجمع البرهان</w:t>
      </w:r>
      <w:r>
        <w:rPr>
          <w:rStyle w:val="FootnoteAnchor"/>
          <w:rtl w:val="true"/>
        </w:rPr>
        <w:footnoteReference w:id="299"/>
      </w:r>
      <w:r>
        <w:rPr>
          <w:rFonts w:ascii="IRNazanin" w:hAnsi="IRNazanin" w:eastAsia="IRNazanin"/>
          <w:color w:val="111111"/>
          <w:sz w:val="28"/>
          <w:sz w:val="28"/>
          <w:szCs w:val="28"/>
          <w:rtl w:val="true"/>
          <w:lang w:bidi="fa-IR"/>
        </w:rPr>
        <w:t>و الذخیرة</w:t>
      </w:r>
      <w:r>
        <w:rPr>
          <w:rStyle w:val="FootnoteAnchor"/>
          <w:rtl w:val="true"/>
        </w:rPr>
        <w:footnoteReference w:id="300"/>
      </w:r>
      <w:r>
        <w:rPr>
          <w:rFonts w:ascii="IRNazanin" w:hAnsi="IRNazanin" w:eastAsia="IRNazanin"/>
          <w:color w:val="111111"/>
          <w:sz w:val="28"/>
          <w:sz w:val="28"/>
          <w:szCs w:val="28"/>
          <w:rtl w:val="true"/>
          <w:lang w:bidi="fa-IR"/>
        </w:rPr>
        <w:t>، و استظهره</w:t>
      </w:r>
    </w:p>
    <w:p>
      <w:pPr>
        <w:pStyle w:val="BookText"/>
        <w:rPr/>
      </w:pPr>
      <w:r>
        <w:rPr>
          <w:rFonts w:ascii="IRNazanin" w:hAnsi="IRNazanin" w:eastAsia="IRNazanin"/>
          <w:color w:val="111111"/>
          <w:sz w:val="28"/>
          <w:sz w:val="28"/>
          <w:szCs w:val="28"/>
          <w:rtl w:val="true"/>
          <w:lang w:bidi="fa-IR"/>
        </w:rPr>
        <w:t>فی المعالم</w:t>
      </w:r>
      <w:r>
        <w:rPr>
          <w:rStyle w:val="FootnoteAnchor"/>
          <w:rtl w:val="true"/>
        </w:rPr>
        <w:footnoteReference w:id="301"/>
      </w:r>
      <w:r>
        <w:rPr>
          <w:rFonts w:ascii="IRNazanin" w:hAnsi="IRNazanin" w:eastAsia="IRNazanin"/>
          <w:color w:val="111111"/>
          <w:sz w:val="28"/>
          <w:sz w:val="28"/>
          <w:szCs w:val="28"/>
          <w:rtl w:val="true"/>
          <w:lang w:bidi="fa-IR"/>
        </w:rPr>
        <w:t>و الحدائق</w:t>
      </w:r>
      <w:r>
        <w:rPr>
          <w:rStyle w:val="FootnoteAnchor"/>
          <w:rtl w:val="true"/>
        </w:rPr>
        <w:footnoteReference w:id="302"/>
      </w:r>
      <w:r>
        <w:rPr>
          <w:rFonts w:ascii="IRNazanin" w:hAnsi="IRNazanin" w:eastAsia="IRNazanin"/>
          <w:color w:val="111111"/>
          <w:sz w:val="28"/>
          <w:sz w:val="28"/>
          <w:szCs w:val="28"/>
          <w:rtl w:val="true"/>
          <w:lang w:bidi="fa-IR"/>
        </w:rPr>
        <w:t>، و صرّح بذلک أیضاً بعض الأعلام المعاصرین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المنکرون للإلحاق بأنّ الروایة مخالفة للقاعدة، فیجب الاقتصار علی موردها و هو المرأة، و التعلیل المذکور فی کلام القائلین بالإلحاق لیس منصوصاً، و إنّما هو علّة مستنبطة</w:t>
      </w:r>
      <w:r>
        <w:rPr>
          <w:rStyle w:val="FootnoteAnchor"/>
          <w:rtl w:val="true"/>
        </w:rPr>
        <w:footnoteReference w:id="304"/>
      </w:r>
      <w:r>
        <w:rPr>
          <w:rFonts w:ascii="IRNazanin" w:hAnsi="IRNazanin" w:eastAsia="IRNazanin"/>
          <w:color w:val="111111"/>
          <w:sz w:val="28"/>
          <w:sz w:val="28"/>
          <w:szCs w:val="28"/>
          <w:rtl w:val="true"/>
          <w:lang w:bidi="fa-IR"/>
        </w:rPr>
        <w:t>، و علی هذا یکون الإلحاق قیاساً کما فی المعالم</w:t>
      </w:r>
      <w:r>
        <w:rPr>
          <w:rStyle w:val="FootnoteAnchor"/>
          <w:rtl w:val="true"/>
        </w:rPr>
        <w:footnoteReference w:id="305"/>
      </w:r>
      <w:r>
        <w:rPr>
          <w:rFonts w:ascii="IRNazanin" w:hAnsi="IRNazanin" w:eastAsia="IRNazanin"/>
          <w:color w:val="111111"/>
          <w:sz w:val="28"/>
          <w:sz w:val="28"/>
          <w:szCs w:val="28"/>
          <w:rtl w:val="true"/>
          <w:lang w:bidi="fa-IR"/>
        </w:rPr>
        <w:t>و الحدائق</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غایة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یوجب الظنّ بالاشتراک فی العلّة، و لا یعتمد علی الظنّ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القدر الثابت من القاعدة ما لو کان الخطاب موجّهاً إلی مطلق الذکور، فإنّه یتعدّی منهم إلی الإناث، و أمّا لو کان موجّهاً إلی الإناث أو إلی صنف خاصّ من الذکور فلا یتعدّی الحکم منهما إلی غیرهما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الخمینی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إلحاق الرجل المربّی بالمرأة محلّ إشکال؛ لأنّ النصّ مخصوص بها و لها خصوصیّة</w:t>
      </w:r>
      <w:r>
        <w:rPr>
          <w:rStyle w:val="FootnoteAnchor"/>
          <w:rtl w:val="true"/>
        </w:rPr>
        <w:footnoteReference w:id="307"/>
      </w:r>
      <w:r>
        <w:rPr>
          <w:rFonts w:ascii="IRNazanin" w:hAnsi="IRNazanin" w:eastAsia="IRNazanin"/>
          <w:color w:val="111111"/>
          <w:sz w:val="28"/>
          <w:sz w:val="28"/>
          <w:szCs w:val="28"/>
          <w:rtl w:val="true"/>
          <w:lang w:bidi="fa-IR"/>
        </w:rPr>
        <w:t>، و هی کونها ضعیفة بحسب النوع جسماً و روحاً، فیمکن أن یکون التخفیف عنها دون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فإلغاء الخصوصیّة</w:t>
      </w:r>
      <w:bookmarkStart w:id="88" w:name="pg11755_254331"/>
    </w:p>
    <w:p>
      <w:pPr>
        <w:pStyle w:val="BookText"/>
        <w:rPr/>
      </w:pPr>
      <w:bookmarkEnd w:id="88"/>
      <w:r>
        <w:rPr>
          <w:rFonts w:ascii="IRNazanin" w:hAnsi="IRNazanin" w:eastAsia="IRNazanin"/>
          <w:color w:val="111111"/>
          <w:sz w:val="28"/>
          <w:sz w:val="28"/>
          <w:szCs w:val="28"/>
          <w:rtl w:val="true"/>
          <w:lang w:bidi="fa-IR"/>
        </w:rPr>
        <w:t>منها أو القطع بالملاک ممنوعان</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العلّة الموجبة للعفو فی المرأة هی المشقّة و الحرج، و هی متحقّقة فی الرجل، و لکن ذلک لا یوجب القطع بالاشتراک، و الظنّ به لا دلیل علی اعتباره، فالظاهر اختصاص الحکم بالمربّیة</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المستند فی هذا الحکم هی قاعدة نفی العسر و الحرج و الروایة وردت فی مورد القاعدة و لبیان أحد مصادیقها، فالحکم یکون منوطاً بالعسر و الحرج الشخصیّین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تعالیق العروة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لا فرق بین المربّیة و المربّی، و أمّا لو قلنا بأنّ المستند فی هذا الحکم إنّما هو روایة أبی حفص فإشکالات المنکرین لها وجه، و لعلّه لذلک تردّد فی العروة و أکثر التعلیقات علیها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 w:name="__RefHeading___Toc9587316_73709187"/>
      <w:bookmarkStart w:id="90" w:name="_Toc32"/>
      <w:bookmarkEnd w:id="89"/>
      <w:r>
        <w:rPr>
          <w:rtl w:val="true"/>
        </w:rPr>
        <w:t>الفرع الرابع</w:t>
      </w:r>
      <w:r>
        <w:rPr>
          <w:rtl w:val="true"/>
        </w:rPr>
        <w:t xml:space="preserve">: </w:t>
      </w:r>
      <w:r>
        <w:rPr>
          <w:rtl w:val="true"/>
        </w:rPr>
        <w:t>اختصاص الحکم بالنجاسة بالبول</w:t>
      </w:r>
      <w:bookmarkEnd w:id="90"/>
    </w:p>
    <w:p>
      <w:pPr>
        <w:pStyle w:val="BookText"/>
        <w:rPr/>
      </w:pPr>
      <w:r>
        <w:rPr>
          <w:rFonts w:ascii="IRNazanin" w:hAnsi="IRNazanin" w:eastAsia="IRNazanin"/>
          <w:color w:val="111111"/>
          <w:sz w:val="28"/>
          <w:sz w:val="28"/>
          <w:szCs w:val="28"/>
          <w:rtl w:val="true"/>
          <w:lang w:bidi="fa-IR"/>
        </w:rPr>
        <w:t>هل یختصّ حکم العفو عن النجاسة بالنجاسة بالبول أم یتعدّی إلی سائر النجاسات أیضاً؟ مورد الروایة تنجّس الثوب بالبول فلا یتعدّی إلی غیره؛ اقتصاراً فیما خالف الأصل علی مورد النصّ</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الثانی فی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نجاسته ببوله خاصّة فلا یعفی عن غیره</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یتعدّی إلی غیره من غائطه و دمه و غیرهما، و لا إلی نجاسة غیره بطریق أولی</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ظاهر کلامه فی المسالک</w:t>
      </w:r>
      <w:r>
        <w:rPr>
          <w:rStyle w:val="FootnoteAnchor"/>
          <w:rtl w:val="true"/>
        </w:rPr>
        <w:footnoteReference w:id="314"/>
      </w:r>
      <w:r>
        <w:rPr>
          <w:rFonts w:ascii="IRNazanin" w:hAnsi="IRNazanin" w:eastAsia="IRNazanin"/>
          <w:color w:val="111111"/>
          <w:sz w:val="28"/>
          <w:sz w:val="28"/>
          <w:szCs w:val="28"/>
          <w:rtl w:val="true"/>
          <w:lang w:bidi="fa-IR"/>
        </w:rPr>
        <w:t>، کما هو اختیار سبطه فی المدارک</w:t>
      </w:r>
      <w:r>
        <w:rPr>
          <w:rStyle w:val="FootnoteAnchor"/>
          <w:rtl w:val="true"/>
        </w:rPr>
        <w:footnoteReference w:id="315"/>
      </w:r>
      <w:r>
        <w:rPr>
          <w:rFonts w:ascii="IRNazanin" w:hAnsi="IRNazanin" w:eastAsia="IRNazanin"/>
          <w:color w:val="111111"/>
          <w:sz w:val="28"/>
          <w:sz w:val="28"/>
          <w:szCs w:val="28"/>
          <w:rtl w:val="true"/>
          <w:lang w:bidi="fa-IR"/>
        </w:rPr>
        <w:t>، و ابنه الشیخ حسن فی المعالم</w:t>
      </w:r>
      <w:r>
        <w:rPr>
          <w:rStyle w:val="FootnoteAnchor"/>
          <w:rtl w:val="true"/>
        </w:rPr>
        <w:footnoteReference w:id="316"/>
      </w:r>
      <w:r>
        <w:rPr>
          <w:rFonts w:ascii="IRNazanin" w:hAnsi="IRNazanin" w:eastAsia="IRNazanin"/>
          <w:color w:val="111111"/>
          <w:sz w:val="28"/>
          <w:sz w:val="28"/>
          <w:szCs w:val="28"/>
          <w:rtl w:val="true"/>
          <w:lang w:bidi="fa-IR"/>
        </w:rPr>
        <w:t>، و الأردبیلی</w:t>
      </w:r>
      <w:r>
        <w:rPr>
          <w:rStyle w:val="FootnoteAnchor"/>
          <w:rtl w:val="true"/>
        </w:rPr>
        <w:footnoteReference w:id="317"/>
      </w:r>
      <w:r>
        <w:rPr>
          <w:rFonts w:ascii="IRNazanin" w:hAnsi="IRNazanin" w:eastAsia="IRNazanin"/>
          <w:color w:val="111111"/>
          <w:sz w:val="28"/>
          <w:sz w:val="28"/>
          <w:szCs w:val="28"/>
          <w:rtl w:val="true"/>
          <w:lang w:bidi="fa-IR"/>
        </w:rPr>
        <w:t>و السیّد صاحب الریاض</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الجواهر</w:t>
      </w:r>
      <w:r>
        <w:rPr>
          <w:rStyle w:val="FootnoteAnchor"/>
          <w:rtl w:val="true"/>
        </w:rPr>
        <w:footnoteReference w:id="319"/>
      </w:r>
      <w:r>
        <w:rPr>
          <w:rFonts w:ascii="IRNazanin" w:hAnsi="IRNazanin" w:eastAsia="IRNazanin"/>
          <w:color w:val="111111"/>
          <w:sz w:val="28"/>
          <w:sz w:val="28"/>
          <w:szCs w:val="28"/>
          <w:rtl w:val="true"/>
          <w:lang w:bidi="fa-IR"/>
        </w:rPr>
        <w:t>و الفاضل الهندی</w:t>
      </w:r>
      <w:r>
        <w:rPr>
          <w:rStyle w:val="FootnoteAnchor"/>
          <w:rtl w:val="true"/>
        </w:rPr>
        <w:footnoteReference w:id="320"/>
      </w:r>
      <w:r>
        <w:rPr>
          <w:rFonts w:ascii="IRNazanin" w:hAnsi="IRNazanin" w:eastAsia="IRNazanin"/>
          <w:color w:val="111111"/>
          <w:sz w:val="28"/>
          <w:sz w:val="28"/>
          <w:szCs w:val="28"/>
          <w:rtl w:val="true"/>
          <w:lang w:bidi="fa-IR"/>
        </w:rPr>
        <w:t>و المحدّث البحرانی</w:t>
      </w:r>
      <w:r>
        <w:rPr>
          <w:rStyle w:val="FootnoteAnchor"/>
          <w:rtl w:val="true"/>
        </w:rPr>
        <w:footnoteReference w:id="321"/>
      </w:r>
      <w:r>
        <w:rPr>
          <w:rFonts w:ascii="IRNazanin" w:hAnsi="IRNazanin" w:eastAsia="IRNazanin"/>
          <w:color w:val="111111"/>
          <w:sz w:val="28"/>
          <w:sz w:val="28"/>
          <w:szCs w:val="28"/>
          <w:rtl w:val="true"/>
          <w:lang w:bidi="fa-IR"/>
        </w:rPr>
        <w:t>و الفقیه الهمدانی</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الإمام 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لذلک بأنّه فرق واضح بین البول و غیره، و هو کثرة الابتلاء به دون غیره، فلا یمکن التعدّی من ظاهر النصّ‌</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علّله فی تفصیل الشریعة بأنّ إلغاء الخصوصیّة غیر ظاهر بعد کون اختصاصه بالتکرّر محتملاً</w:t>
      </w:r>
      <w:r>
        <w:rPr>
          <w:rStyle w:val="FootnoteAnchor"/>
          <w:rtl w:val="true"/>
        </w:rPr>
        <w:footnoteReference w:id="324"/>
      </w:r>
      <w:r>
        <w:rPr>
          <w:rFonts w:ascii="IRNazanin" w:hAnsi="IRNazanin" w:eastAsia="IRNazanin"/>
          <w:color w:val="111111"/>
          <w:sz w:val="28"/>
          <w:sz w:val="28"/>
          <w:szCs w:val="28"/>
          <w:rtl w:val="true"/>
          <w:lang w:bidi="fa-IR"/>
        </w:rPr>
        <w:t>لأن یکون موجباً للعفو، فیختصّ</w:t>
      </w:r>
    </w:p>
    <w:p>
      <w:pPr>
        <w:pStyle w:val="BookText"/>
        <w:rPr/>
      </w:pPr>
      <w:r>
        <w:rPr>
          <w:rFonts w:ascii="IRNazanin" w:hAnsi="IRNazanin" w:eastAsia="IRNazanin"/>
          <w:color w:val="111111"/>
          <w:sz w:val="28"/>
          <w:sz w:val="28"/>
          <w:szCs w:val="28"/>
          <w:rtl w:val="true"/>
          <w:lang w:bidi="fa-IR"/>
        </w:rPr>
        <w:t>الحکم بالبول</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بعض العبارات</w:t>
      </w:r>
      <w:r>
        <w:rPr>
          <w:rStyle w:val="FootnoteAnchor"/>
          <w:rtl w:val="true"/>
        </w:rPr>
        <w:footnoteReference w:id="326"/>
      </w:r>
      <w:r>
        <w:rPr>
          <w:rFonts w:ascii="IRNazanin" w:hAnsi="IRNazanin" w:eastAsia="IRNazanin"/>
          <w:color w:val="111111"/>
          <w:sz w:val="28"/>
          <w:sz w:val="28"/>
          <w:szCs w:val="28"/>
          <w:rtl w:val="true"/>
          <w:lang w:bidi="fa-IR"/>
        </w:rPr>
        <w:t>توهم أنّه یلحق بالبول سائر النجاسات، بل یشعر به ما فی جامع المقاصد،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کنّی بالبول عن النجاسة الاُخری کما هو قاعدة لسان العرب فی ارتکاب الکنایة فیما یستهجن التصریح به</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ظاهر کلام الشهید فی الذکری</w:t>
      </w:r>
      <w:r>
        <w:rPr>
          <w:rStyle w:val="FootnoteAnchor"/>
          <w:rtl w:val="true"/>
        </w:rPr>
        <w:footnoteReference w:id="328"/>
      </w:r>
      <w:r>
        <w:rPr>
          <w:rFonts w:ascii="IRNazanin" w:hAnsi="IRNazanin" w:eastAsia="IRNazanin"/>
          <w:color w:val="111111"/>
          <w:sz w:val="28"/>
          <w:sz w:val="28"/>
          <w:szCs w:val="28"/>
          <w:rtl w:val="true"/>
          <w:lang w:bidi="fa-IR"/>
        </w:rPr>
        <w:t>و البیان</w:t>
      </w:r>
      <w:r>
        <w:rPr>
          <w:rStyle w:val="FootnoteAnchor"/>
          <w:rtl w:val="true"/>
        </w:rPr>
        <w:footnoteReference w:id="329"/>
      </w:r>
      <w:r>
        <w:rPr>
          <w:rFonts w:ascii="IRNazanin" w:hAnsi="IRNazanin" w:eastAsia="IRNazanin"/>
          <w:color w:val="111111"/>
          <w:sz w:val="28"/>
          <w:sz w:val="28"/>
          <w:szCs w:val="28"/>
          <w:rtl w:val="true"/>
          <w:lang w:bidi="fa-IR"/>
        </w:rPr>
        <w:t>و الدروس</w:t>
      </w:r>
      <w:r>
        <w:rPr>
          <w:rStyle w:val="FootnoteAnchor"/>
          <w:rtl w:val="true"/>
        </w:rPr>
        <w:footnoteReference w:id="330"/>
      </w:r>
      <w:r>
        <w:rPr>
          <w:rFonts w:ascii="IRNazanin" w:hAnsi="IRNazanin" w:eastAsia="IRNazanin"/>
          <w:color w:val="111111"/>
          <w:sz w:val="28"/>
          <w:sz w:val="28"/>
          <w:szCs w:val="28"/>
          <w:rtl w:val="true"/>
          <w:lang w:bidi="fa-IR"/>
        </w:rPr>
        <w:t>حیث أطلق حکم العفو عن النجاسة و لم یقیّده بالبول فقط، بل ظاهر کلام کشف اللثام نسبته إلی الأکثر،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یخصّوا الحکم بالتنجّس ببوله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البول فی الخبر یعمّ الغائط توسّعاً</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فإنّ ضمیر الجمع ظاهر فی الأکثر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التعدّی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الغائط، سیّما مع شیوع إطلاق البول علیهما للاستهجان</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bookmarkStart w:id="91" w:name="pg11755_254338"/>
    </w:p>
    <w:p>
      <w:pPr>
        <w:pStyle w:val="BookText"/>
        <w:rPr/>
      </w:pPr>
      <w:bookmarkEnd w:id="91"/>
      <w:r>
        <w:rPr>
          <w:rFonts w:ascii="IRNazanin" w:hAnsi="IRNazanin" w:eastAsia="IRNazanin"/>
          <w:color w:val="111111"/>
          <w:sz w:val="28"/>
          <w:sz w:val="28"/>
          <w:szCs w:val="28"/>
          <w:rtl w:val="true"/>
          <w:lang w:bidi="fa-IR"/>
        </w:rPr>
        <w:t>و استشکل فی التذکرة</w:t>
      </w:r>
      <w:r>
        <w:rPr>
          <w:rStyle w:val="FootnoteAnchor"/>
          <w:rtl w:val="true"/>
        </w:rPr>
        <w:footnoteReference w:id="333"/>
      </w:r>
      <w:r>
        <w:rPr>
          <w:rFonts w:ascii="IRNazanin" w:hAnsi="IRNazanin" w:eastAsia="IRNazanin"/>
          <w:color w:val="111111"/>
          <w:sz w:val="28"/>
          <w:sz w:val="28"/>
          <w:szCs w:val="28"/>
          <w:rtl w:val="true"/>
          <w:lang w:bidi="fa-IR"/>
        </w:rPr>
        <w:t>و النهایة</w:t>
      </w:r>
      <w:r>
        <w:rPr>
          <w:rStyle w:val="FootnoteAnchor"/>
          <w:rtl w:val="true"/>
        </w:rPr>
        <w:footnoteReference w:id="334"/>
      </w:r>
      <w:r>
        <w:rPr>
          <w:rFonts w:ascii="IRNazanin" w:hAnsi="IRNazanin" w:eastAsia="IRNazanin"/>
          <w:color w:val="111111"/>
          <w:sz w:val="28"/>
          <w:sz w:val="28"/>
          <w:szCs w:val="28"/>
          <w:rtl w:val="true"/>
          <w:lang w:bidi="fa-IR"/>
        </w:rPr>
        <w:t>من اختصاص النصّ بالبول، و من الاشتراک فی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 جمیع هذه الوجوه؛ إذ دعوی الکنایة مجاز لا قرینة علیه، کما أنّ دعوی الاشتراک المذکور لا تُجدی إلّا بعد القطع بالعلّیّة و المساواة فیه، و هو واضح المنع کما فی الجواهر</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 w:name="__RefHeading___Toc9587318_73709187"/>
      <w:bookmarkStart w:id="93" w:name="_Toc33"/>
      <w:bookmarkEnd w:id="92"/>
      <w:r>
        <w:rPr>
          <w:rtl w:val="true"/>
        </w:rPr>
        <w:t>الفرع الخامس</w:t>
      </w:r>
      <w:r>
        <w:rPr>
          <w:rtl w:val="true"/>
        </w:rPr>
        <w:t xml:space="preserve">: </w:t>
      </w:r>
      <w:r>
        <w:rPr>
          <w:rtl w:val="true"/>
        </w:rPr>
        <w:t>فی وقت غسل المربّیة ثوبها</w:t>
      </w:r>
      <w:bookmarkEnd w:id="93"/>
    </w:p>
    <w:p>
      <w:pPr>
        <w:pStyle w:val="BookText"/>
        <w:rPr/>
      </w:pPr>
      <w:r>
        <w:rPr>
          <w:rFonts w:ascii="IRNazanin" w:hAnsi="IRNazanin" w:eastAsia="IRNazanin"/>
          <w:color w:val="111111"/>
          <w:sz w:val="28"/>
          <w:sz w:val="28"/>
          <w:szCs w:val="28"/>
          <w:rtl w:val="true"/>
          <w:lang w:bidi="fa-IR"/>
        </w:rPr>
        <w:t>اختلف الفقهاء فی وقت غسل الثوب، فقال کثیر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یُتخیّر فی غسل ثوب المربّی أو المربّیة فی أیّ وقت من الیوم، و الأفضل تأخیره إلی آخر الیوم؛ رجاءً لوقوع صلاة الظهرین و العشاءین مع الطهارة، و لا أقلّ من خفّة النجاسة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احتمل فی التذکرة أنّه یجب التأخیر إلی آخر النهار؛ للإطلاق، و من أولویّة طهارة أربع علی طهارة واحدة</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قوّاه فی مهذّب الأحکام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اختار فی المستمسک وجوب تقدیم الغسل علی صلاة الصبح؛ لأنّ إطلاق</w:t>
      </w:r>
    </w:p>
    <w:p>
      <w:pPr>
        <w:pStyle w:val="BookText"/>
        <w:rPr/>
      </w:pPr>
      <w:r>
        <w:rPr>
          <w:rFonts w:ascii="IRNazanin" w:hAnsi="IRNazanin" w:eastAsia="IRNazanin"/>
          <w:color w:val="111111"/>
          <w:sz w:val="28"/>
          <w:sz w:val="28"/>
          <w:szCs w:val="28"/>
          <w:rtl w:val="true"/>
          <w:lang w:bidi="fa-IR"/>
        </w:rPr>
        <w:t>الشرطیّة یقتضی الحمل علی کونها بنحو الشرط المتقدّم، فیجب تقدیمه علی جمیع صلوات الیوم، و لکن صرّح بأنّه لا أعرف قائلاً بذلک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الاختلاف فی المسألة أنّ الطهارة هل هی شرط لجمیع صلواتها الیومیّة أو شرط لواحدة منها مخیّراً؟ و علی الأوّل هل یجب أنّ تغسله قبل صلاة الصبح لتکون من قبیل الشرط المتقدّم علی الجمیع، أو بعد جمیع صلواتها لتکون من الشرط المتأخّر عن الجمیع، أو أنّ لها أن تأتی به بین الصلوات لیکون شرطاً متقدّماً علی الصلوات الباقیة و من قبیل الشرط المتأخّر بالإضافة إلی الصلوات السابقة علیه؟ و بعضهم قد أطال الکلام فیها علی اختلاف مبانیهم بما لا فائدة فی البحث فیها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یستفاد من الروایة الواردة فی المقام أنّ المربّیة التی یشقّ علیها التحرّز عن بول المولود و إیقاع صلاتها فی ثوب طاهر لم یوجب الشارع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تحصیل الطهارة المعتبرة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 من غسل ثوبها فی کلّ یوم مرّة، حیث إنّ الغسل لیس واجباً نفسیّاً علی المربّیة، بل هو شرط لصحّة الصلاة؛ لأنّ الأمر الوارد فی هذا المقام إرشاد إلی شرطیّة الطهارة، و یفهم من الروایة أنّ الشارع وسّع الأمر علی المربّیة و لم یوجب علیها إلّا إیجاد هذا الشرط فی کلّ یوم مرّة، و الظاهر أنّ المقصود بالغسل فی الیوم مرّة هو وقوع الصلاة مع الطهارة و العفو عن البقیّة، فالغسل فی غیر موقع الصلاة و إتیان جمیع الصلوات مع النجس غیر مراد جزماً، کما أشار إلی ذلک بعض أعلام العصر</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bookmarkStart w:id="94" w:name="pg11755_254342"/>
    </w:p>
    <w:p>
      <w:pPr>
        <w:pStyle w:val="BookText"/>
        <w:rPr/>
      </w:pPr>
      <w:bookmarkEnd w:id="94"/>
      <w:r>
        <w:rPr>
          <w:rFonts w:ascii="IRNazanin" w:hAnsi="IRNazanin" w:eastAsia="IRNazanin"/>
          <w:color w:val="111111"/>
          <w:sz w:val="28"/>
          <w:sz w:val="28"/>
          <w:szCs w:val="28"/>
          <w:rtl w:val="true"/>
          <w:lang w:bidi="fa-IR"/>
        </w:rPr>
        <w:t>و قال الشیخ الفاضل 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الروایة ناظرة إلی أدلّة الاشتراط و حاکمة بالاعتبار، غایة الأمر لا فی جمیع صلوات المربّیة، بل فی صلاة واحدة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ما ذکر فهم العرف</w:t>
      </w:r>
      <w:r>
        <w:rPr>
          <w:rStyle w:val="FootnoteAnchor"/>
          <w:rtl w:val="true"/>
        </w:rPr>
        <w:footnoteReference w:id="341"/>
      </w:r>
      <w:r>
        <w:rPr>
          <w:rFonts w:ascii="IRNazanin" w:hAnsi="IRNazanin" w:eastAsia="IRNazanin"/>
          <w:color w:val="111111"/>
          <w:sz w:val="28"/>
          <w:sz w:val="28"/>
          <w:szCs w:val="28"/>
          <w:rtl w:val="true"/>
          <w:lang w:bidi="fa-IR"/>
        </w:rPr>
        <w:t>، و ما یستفیده من ضمّ هذه الروایة إلی أدلّة الاشتراط و ملاحظتهما معاً</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یترتّب علی هذه المسألة أنّها لو أخلّت بالغسل بأن لم تغسل ثوبها فی کلّ یوم مرّة فالصلوات الواقعة فیه مع النجاسة باطلة، کما فی العروة و التعلیقات علیها</w:t>
      </w:r>
      <w:r>
        <w:rPr>
          <w:rStyle w:val="FootnoteAnchor"/>
          <w:rtl w:val="true"/>
        </w:rPr>
        <w:footnoteReference w:id="343"/>
      </w:r>
      <w:r>
        <w:rPr>
          <w:rFonts w:ascii="IRNazanin" w:hAnsi="IRNazanin" w:eastAsia="IRNazanin"/>
          <w:color w:val="111111"/>
          <w:sz w:val="28"/>
          <w:sz w:val="28"/>
          <w:szCs w:val="28"/>
          <w:rtl w:val="true"/>
          <w:lang w:bidi="fa-IR"/>
        </w:rPr>
        <w:t>و غیرها</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 w:name="__RefHeading___Toc9587320_73709187"/>
      <w:bookmarkStart w:id="96" w:name="_Toc34"/>
      <w:bookmarkEnd w:id="95"/>
      <w:r>
        <w:rPr>
          <w:rtl w:val="true"/>
        </w:rPr>
        <w:t>الفرع السادس</w:t>
      </w:r>
      <w:r>
        <w:rPr>
          <w:rtl w:val="true"/>
        </w:rPr>
        <w:t xml:space="preserve">: </w:t>
      </w:r>
      <w:r>
        <w:rPr>
          <w:rtl w:val="true"/>
        </w:rPr>
        <w:t>کفایة الغسل فی اللیل</w:t>
      </w:r>
      <w:bookmarkEnd w:id="96"/>
    </w:p>
    <w:p>
      <w:pPr>
        <w:pStyle w:val="BookText"/>
        <w:rPr/>
      </w:pPr>
      <w:r>
        <w:rPr>
          <w:rFonts w:ascii="IRNazanin" w:hAnsi="IRNazanin" w:eastAsia="IRNazanin"/>
          <w:color w:val="111111"/>
          <w:sz w:val="28"/>
          <w:sz w:val="28"/>
          <w:szCs w:val="28"/>
          <w:rtl w:val="true"/>
          <w:lang w:bidi="fa-IR"/>
        </w:rPr>
        <w:t>هل یجب وقوع الغسل فی النهار، أم یکفی الغسل فی اللیل أیضاً؟ فیه اختلاف، و منشؤه أنّ المراد بالیوم فی الروایة هل هو خصوص النهار أو أنّه أعمّ من اللیل و النهار؟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کثیر من الأصحاب إلی أنّ المراد بالیوم فی الخبر ما یشمل اللیل أیضاً</w:t>
      </w:r>
      <w:r>
        <w:rPr>
          <w:rStyle w:val="FootnoteAnchor"/>
          <w:rtl w:val="true"/>
        </w:rPr>
        <w:footnoteReference w:id="345"/>
      </w:r>
      <w:r>
        <w:rPr>
          <w:rFonts w:ascii="IRNazanin" w:hAnsi="IRNazanin" w:eastAsia="IRNazanin"/>
          <w:color w:val="111111"/>
          <w:sz w:val="28"/>
          <w:sz w:val="28"/>
          <w:szCs w:val="28"/>
          <w:rtl w:val="true"/>
          <w:lang w:bidi="fa-IR"/>
        </w:rPr>
        <w:t>و هو الحقّ؛ إمّا لإطلاقه لغةً علی ما یشمل</w:t>
      </w:r>
    </w:p>
    <w:p>
      <w:pPr>
        <w:pStyle w:val="BookText"/>
        <w:rPr/>
      </w:pPr>
      <w:r>
        <w:rPr>
          <w:rFonts w:ascii="IRNazanin" w:hAnsi="IRNazanin" w:eastAsia="IRNazanin"/>
          <w:color w:val="111111"/>
          <w:sz w:val="28"/>
          <w:sz w:val="28"/>
          <w:szCs w:val="28"/>
          <w:rtl w:val="true"/>
          <w:lang w:bidi="fa-IR"/>
        </w:rPr>
        <w:t>اللیل</w:t>
      </w:r>
      <w:r>
        <w:rPr>
          <w:rStyle w:val="FootnoteAnchor"/>
          <w:rtl w:val="true"/>
        </w:rPr>
        <w:footnoteReference w:id="346"/>
      </w:r>
      <w:r>
        <w:rPr>
          <w:rFonts w:ascii="IRNazanin" w:hAnsi="IRNazanin" w:eastAsia="IRNazanin"/>
          <w:color w:val="111111"/>
          <w:sz w:val="28"/>
          <w:sz w:val="28"/>
          <w:szCs w:val="28"/>
          <w:rtl w:val="true"/>
          <w:lang w:bidi="fa-IR"/>
        </w:rPr>
        <w:t>و إمّا لما فی التذکرة و النهایة و المنتهی، من أنّ اسم الیوم یطلق علی النهار و اللیل</w:t>
      </w:r>
      <w:r>
        <w:rPr>
          <w:rStyle w:val="FootnoteAnchor"/>
          <w:rtl w:val="true"/>
        </w:rPr>
        <w:footnoteReference w:id="347"/>
      </w:r>
      <w:r>
        <w:rPr>
          <w:rFonts w:ascii="IRNazanin" w:hAnsi="IRNazanin" w:eastAsia="IRNazanin"/>
          <w:color w:val="111111"/>
          <w:sz w:val="28"/>
          <w:sz w:val="28"/>
          <w:szCs w:val="28"/>
          <w:rtl w:val="true"/>
          <w:lang w:bidi="fa-IR"/>
        </w:rPr>
        <w:t>، أو للتبعیّة و التغلیب المفهومین هنا، بقرینة تسالم الأصحاب ظاهراً علی الاجتزاء بالمرّة فی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سره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قلناه فی الیوم و اللیلة و إن لم یتضمّنه الخبر نطقاً؛ لأنّه إذا اجتزأت فی الیوم مرّةً فقد دخلت اللیلة فی الجملة</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ذکر بعض الأصحاب أنّ المراد بالیوم هنا ما یشمل اللیلة، و لیس ببعید؛ لدلالة فحوی الکلام علیه و إن کان لفظ الیوم لا یتناوله حقیقة</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الالتزام بأنّه أعمّ؛ نظراً إلی أنّ الغسل شرط لواحدة من الصلوات اللیلیّة و النهاریّة، فإنّ الغرض الإتیان بإحداها مع الطهارة، کان ذلک فی الیوم أو اللیل، و إنّما قیّدت الروایة بالیوم من جهة غلبة وقوع الغسل فیه، لا لأجل عدم إرادة الأعمّ منه</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بأنّ الظاهر المتفاهم من الروایة أنّ الیوم هنا فی مقابل الیومین و الثلاثة، و کذا فی مقام ردع لزومه لکلّ صلاة، و لا خصوصیة لوقوع الغسل فی الیوم، مضافاً إلی أنّ تخصیص التسهیل بالیوم و التضییق فی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أولی بالتخفیف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لفهم العرف فی الروایة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bookmarkStart w:id="97" w:name="pg11755_254347"/>
    </w:p>
    <w:p>
      <w:pPr>
        <w:pStyle w:val="BookText"/>
        <w:rPr/>
      </w:pPr>
      <w:bookmarkEnd w:id="97"/>
      <w:r>
        <w:rPr>
          <w:rFonts w:ascii="IRNazanin" w:hAnsi="IRNazanin" w:eastAsia="IRNazanin"/>
          <w:color w:val="111111"/>
          <w:sz w:val="28"/>
          <w:sz w:val="28"/>
          <w:szCs w:val="28"/>
          <w:rtl w:val="true"/>
          <w:lang w:bidi="fa-IR"/>
        </w:rPr>
        <w:t>و لکن توقّف فی ذلک جماعة من الأصحاب؛ لاحتمال اختصاص الیوم بالنهار خاصّةً، و الخروج عنه یحتاج إلی دلیل أو لإجمال الیوم الموجب لحمله علی النهار؛ لأنّه القدر المتیقّن فی جواز الخروج عن القواعد العامّة المقتضیة لتکرار الغسل</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9587322_73709187"/>
      <w:bookmarkStart w:id="99" w:name="_Toc35"/>
      <w:bookmarkEnd w:id="98"/>
      <w:r>
        <w:rPr>
          <w:rtl w:val="true"/>
        </w:rPr>
        <w:t>آراء فقهاء أهل السنّة فی تطهیر ثوب المرضعة</w:t>
      </w:r>
      <w:bookmarkEnd w:id="99"/>
    </w:p>
    <w:p>
      <w:pPr>
        <w:pStyle w:val="BookText"/>
        <w:rPr/>
      </w:pPr>
      <w:r>
        <w:rPr>
          <w:rFonts w:ascii="IRNazanin" w:hAnsi="IRNazanin" w:eastAsia="IRNazanin"/>
          <w:color w:val="111111"/>
          <w:sz w:val="28"/>
          <w:sz w:val="28"/>
          <w:szCs w:val="28"/>
          <w:rtl w:val="true"/>
          <w:lang w:bidi="fa-IR"/>
        </w:rPr>
        <w:t>لم نعثر فی الکتب التی بأیدینا منهم علی حکم خاصٍّ فی مسألتنا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إنّهم اختلفوا فی کیفیّة تطهیر الثوب الذی أصابه بول الصبیّ مطلقاً، سواء کان ثوب المرضعة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بعضهم إلی کفایة الرشّ، و بعض آخر قال بلزوم الغسل، و قد ذکرنا آراءهم فی مبحث بول الرضیع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المالکیّة إلی العفو عمّا یصیب ثوب المرضعة من بول الطفل أو غائطه إذا کانت تجتهد فی درء النجاسة عنها، فقالوا بعدم لزوم الرشّ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یختصّ هذا الحکم بالنسبة إلی ثوب المرضعة، بل یتعدّی إلی بدنها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یختصّ بالبول، بل یجری فی الغائط أیضاً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مواهب الجلیل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ثوب مرضعة تجتهد؛ أی و عفی عمّا یصیب ثوب المرضعة، یرید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و جسدها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إنّما یعفی عمّا قد یصیبها و لا تعلم</w:t>
      </w:r>
    </w:p>
    <w:p>
      <w:pPr>
        <w:pStyle w:val="BookText"/>
        <w:rPr/>
      </w:pPr>
      <w:r>
        <w:rPr>
          <w:rFonts w:ascii="IRNazanin" w:hAnsi="IRNazanin" w:eastAsia="IRNazanin"/>
          <w:color w:val="111111"/>
          <w:sz w:val="28"/>
          <w:sz w:val="28"/>
          <w:szCs w:val="28"/>
          <w:rtl w:val="true"/>
          <w:lang w:bidi="fa-IR"/>
        </w:rPr>
        <w:t>به؛ لأنّ ثوب المرضع لا تخلو من إصابة بول أو غیره</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تبیین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المرضعة فإنّها إن اجتهدت و أصاب ثوبها شیء من بول الصبیّ أو غائطه، فإنّه یعفی عنه؛ لأنّه ممّا یعسر الاحتراز منه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لها اتّخاذ ثوب خاصّ بالصلاة إن قدرت علیه</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bookmarkStart w:id="100" w:name="pg11755_254351"/>
    </w:p>
    <w:p>
      <w:pPr>
        <w:pStyle w:val="Heading4"/>
        <w:numPr>
          <w:ilvl w:val="3"/>
          <w:numId w:val="1"/>
        </w:numPr>
        <w:rPr/>
      </w:pPr>
      <w:bookmarkStart w:id="101" w:name="__RefHeading___Toc9587324_73709187"/>
      <w:bookmarkStart w:id="102" w:name="_Toc36"/>
      <w:bookmarkEnd w:id="100"/>
      <w:bookmarkEnd w:id="101"/>
      <w:r>
        <w:rPr>
          <w:rtl w:val="true"/>
        </w:rPr>
        <w:t>المبحث الثالث</w:t>
      </w:r>
      <w:r>
        <w:rPr>
          <w:rtl w:val="true"/>
        </w:rPr>
        <w:t xml:space="preserve">: </w:t>
      </w:r>
      <w:r>
        <w:rPr>
          <w:rtl w:val="true"/>
        </w:rPr>
        <w:t>إقعاد الطفل للتخلّی مستقبلاً أو مستدبراً للقبلة</w:t>
      </w:r>
      <w:bookmarkEnd w:id="102"/>
    </w:p>
    <w:p>
      <w:pPr>
        <w:pStyle w:val="Heading5"/>
        <w:numPr>
          <w:ilvl w:val="4"/>
          <w:numId w:val="1"/>
        </w:numPr>
        <w:rPr/>
      </w:pPr>
      <w:bookmarkStart w:id="103" w:name="__RefHeading___Toc9587326_73709187"/>
      <w:bookmarkStart w:id="104" w:name="_Toc37"/>
      <w:bookmarkEnd w:id="103"/>
      <w:r>
        <w:rPr>
          <w:rtl w:val="true"/>
        </w:rPr>
        <w:t>تمهید</w:t>
      </w:r>
      <w:bookmarkEnd w:id="104"/>
    </w:p>
    <w:p>
      <w:pPr>
        <w:pStyle w:val="BookText"/>
        <w:rPr/>
      </w:pPr>
      <w:r>
        <w:rPr>
          <w:rFonts w:ascii="IRNazanin" w:hAnsi="IRNazanin" w:eastAsia="IRNazanin"/>
          <w:color w:val="111111"/>
          <w:sz w:val="28"/>
          <w:sz w:val="28"/>
          <w:szCs w:val="28"/>
          <w:rtl w:val="true"/>
          <w:lang w:bidi="fa-IR"/>
        </w:rPr>
        <w:t xml:space="preserve">یحرم استقبال القبلة و استدبارها حال التخلّی، کما هو المشهور بین أصحابنا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ادّعی علیه الإجماع فی الخلاف</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 الغنیة</w:t>
      </w:r>
      <w:r>
        <w:rPr>
          <w:rStyle w:val="FootnoteAnchor"/>
          <w:rtl w:val="true"/>
        </w:rPr>
        <w:footnoteReference w:id="358"/>
      </w:r>
      <w:r>
        <w:rPr>
          <w:rFonts w:ascii="IRNazanin" w:hAnsi="IRNazanin" w:eastAsia="IRNazanin"/>
          <w:color w:val="111111"/>
          <w:sz w:val="28"/>
          <w:sz w:val="28"/>
          <w:szCs w:val="28"/>
          <w:rtl w:val="true"/>
          <w:lang w:bidi="fa-IR"/>
        </w:rPr>
        <w:t>و السرائر</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سلّار التفصیل بین الصحاری و الأبنیة، بحرمة الاُولی و کراهة الثانیة</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کلام المفید الإباحة فی الأبنیة و الکراهة فی الصحاری</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الجنید استحباب ترک الاستقبال فی الصحراء</w:t>
      </w:r>
      <w:r>
        <w:rPr>
          <w:rStyle w:val="FootnoteAnchor"/>
          <w:rtl w:val="true"/>
        </w:rPr>
        <w:footnoteReference w:id="362"/>
      </w:r>
      <w:r>
        <w:rPr>
          <w:rFonts w:ascii="Amiri" w:hAnsi="Amiri" w:eastAsia="Amiri" w:cs="Amiri"/>
          <w:color w:val="111111"/>
          <w:sz w:val="28"/>
          <w:sz w:val="28"/>
          <w:szCs w:val="28"/>
          <w:rtl w:val="true"/>
          <w:lang w:bidi="ar-SA"/>
        </w:rPr>
        <w:t>، و لم یتعرّض</w:t>
      </w:r>
      <w:bookmarkStart w:id="105" w:name="pg11755_254353"/>
    </w:p>
    <w:p>
      <w:pPr>
        <w:pStyle w:val="BookText"/>
        <w:rPr/>
      </w:pPr>
      <w:bookmarkEnd w:id="105"/>
      <w:r>
        <w:rPr>
          <w:rFonts w:ascii="IRNazanin" w:hAnsi="IRNazanin" w:eastAsia="IRNazanin"/>
          <w:color w:val="111111"/>
          <w:sz w:val="28"/>
          <w:sz w:val="28"/>
          <w:szCs w:val="28"/>
          <w:rtl w:val="true"/>
          <w:lang w:bidi="fa-IR"/>
        </w:rPr>
        <w:t>لحکم الاستدبار و لا لحکم الأبنیة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جملة من متأخِّری المتأخّرین إلی الکراهة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الأقوی ما علیه المشهور، و یدلّ علیه جملة من النصوص</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مع استفاضتها و تعاضدها و مناسبتها للتعظیم منجبرة بما سمعت من الشهرة و الإجماع، فلا یقدح ما فی أسانیدها من الضعف و الإرسال</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إشکال فی هذا المقام فی ثبوت الحکم بنحو الإجمال و أنّ الحرمة فی مقابل الکراهة محقّقة، سواء کان مدرکها الشهرة و التسالم أو الأخبار المعتضدة المنجبرة بها</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إنّما الکلام فی أنّه هل یحرم علی الولیّ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کالحاضن و الحاضنة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إقعاد الطفل للتخلّی علی وجه یکون مستقبلاً أو مستدبراً للقبلة؟ و هکذا هل یجب منع الصبیّ عن ذلک إذا استقبل أو استدبر إلی القبلة للتخلّی، أم لا؟</w:t>
      </w:r>
    </w:p>
    <w:p>
      <w:pPr>
        <w:pStyle w:val="BookText"/>
        <w:rPr/>
      </w:pPr>
      <w:r>
        <w:rPr>
          <w:rFonts w:ascii="IRNazanin" w:hAnsi="IRNazanin" w:eastAsia="IRNazanin"/>
          <w:color w:val="111111"/>
          <w:sz w:val="28"/>
          <w:sz w:val="28"/>
          <w:szCs w:val="28"/>
          <w:rtl w:val="true"/>
          <w:lang w:bidi="fa-IR"/>
        </w:rPr>
        <w:t>فیقع الکلام فی مقامین</w:t>
      </w:r>
      <w:r>
        <w:rPr>
          <w:rFonts w:eastAsia="IRNazanin" w:cs="IRNazanin"/>
          <w:color w:val="111111"/>
          <w:sz w:val="28"/>
          <w:szCs w:val="28"/>
          <w:rtl w:val="true"/>
          <w:lang w:bidi="fa-IR"/>
        </w:rPr>
        <w:t>:</w:t>
      </w:r>
    </w:p>
    <w:p>
      <w:pPr>
        <w:pStyle w:val="Heading5"/>
        <w:numPr>
          <w:ilvl w:val="4"/>
          <w:numId w:val="1"/>
        </w:numPr>
        <w:rPr/>
      </w:pPr>
      <w:bookmarkStart w:id="106" w:name="__RefHeading___Toc9587328_73709187"/>
      <w:bookmarkStart w:id="107" w:name="_Toc38"/>
      <w:bookmarkEnd w:id="106"/>
      <w:r>
        <w:rPr>
          <w:rtl w:val="true"/>
        </w:rPr>
        <w:t>المقام الأوّل</w:t>
      </w:r>
      <w:r>
        <w:rPr>
          <w:rtl w:val="true"/>
        </w:rPr>
        <w:t xml:space="preserve">: </w:t>
      </w:r>
      <w:r>
        <w:rPr>
          <w:rtl w:val="true"/>
        </w:rPr>
        <w:t>عدم حرمة إقعاد الطفل إلی القبلة للتخلّی</w:t>
      </w:r>
      <w:bookmarkEnd w:id="10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 لا یحرم إقعاد الطفل إلی القبلة عند التخلّی، کما فی الجواهر</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 مصباح الهدی</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التنقیح فی شرح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مانع من إقعاد الطفل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للتخلّی</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السیّدان الحکیم و السبزواری</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للحکم المذکور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لا تشمل الصبیّ، و لم یعلم منها و لا من الخارج أنّ الشارع یبغض ذلک حتّی بالنسبة إلی الطفل؛ لأنّ غایة ما ثبت بالإجماع و النصوص إنّما هو حرمة الاستقبال و الاستدبار من المکلّفین؛ لأنّ الخطاب مختصّ بهم، فقد ورد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المخرج</w:t>
      </w:r>
      <w:r>
        <w:rPr>
          <w:rFonts w:eastAsia="IRNazanin" w:cs="IRNazanin"/>
          <w:color w:val="111111"/>
          <w:sz w:val="28"/>
          <w:szCs w:val="28"/>
          <w:rtl w:val="true"/>
          <w:lang w:bidi="fa-IR"/>
        </w:rPr>
        <w:t>»</w:t>
      </w:r>
      <w:r>
        <w:rPr>
          <w:rStyle w:val="FootnoteAnchor"/>
          <w:rtl w:val="true"/>
        </w:rPr>
        <w:footnoteReference w:id="371"/>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تستقبل القبلة و لا تستدبرها</w:t>
      </w:r>
      <w:r>
        <w:rPr>
          <w:rFonts w:eastAsia="Amiri" w:cs="Amiri" w:ascii="Amiri" w:hAnsi="Amiri"/>
          <w:color w:val="111111"/>
          <w:sz w:val="28"/>
          <w:szCs w:val="28"/>
          <w:rtl w:val="true"/>
          <w:lang w:bidi="ar-SA"/>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دلیل علی حرمة إقعاد الطفل إلی القبلة للتخلّی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و أصل البراءة کما فی الجواهر</w:t>
      </w:r>
      <w:r>
        <w:rPr>
          <w:rStyle w:val="FootnoteAnchor"/>
          <w:rtl w:val="true"/>
        </w:rPr>
        <w:footnoteReference w:id="373"/>
      </w:r>
      <w:r>
        <w:rPr>
          <w:rFonts w:ascii="IRNazanin" w:hAnsi="IRNazanin" w:eastAsia="IRNazanin"/>
          <w:color w:val="111111"/>
          <w:sz w:val="28"/>
          <w:sz w:val="28"/>
          <w:szCs w:val="28"/>
          <w:rtl w:val="true"/>
          <w:lang w:bidi="fa-IR"/>
        </w:rPr>
        <w:t>، و لا فرق فی الطفل بین أن یکون ممیّزاً أو غیر ممیّز، مراهقاً أو غیر مراهق</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قال فی کشف الغطاء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وجوب تجنیب الأولیاء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الممیّزین عن ذلک وجه</w:t>
      </w:r>
      <w:r>
        <w:rPr>
          <w:rStyle w:val="FootnoteAnchor"/>
          <w:rtl w:val="true"/>
        </w:rPr>
        <w:footnoteReference w:id="374"/>
      </w: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bookmarkStart w:id="108" w:name="pg11755_254358"/>
    </w:p>
    <w:p>
      <w:pPr>
        <w:pStyle w:val="BookText"/>
        <w:rPr/>
      </w:pPr>
      <w:bookmarkEnd w:id="108"/>
      <w:r>
        <w:rPr>
          <w:rFonts w:ascii="IRNazanin" w:hAnsi="IRNazanin" w:eastAsia="IRNazanin"/>
          <w:color w:val="111111"/>
          <w:sz w:val="28"/>
          <w:sz w:val="28"/>
          <w:szCs w:val="28"/>
          <w:rtl w:val="true"/>
          <w:lang w:bidi="fa-IR"/>
        </w:rPr>
        <w:t>و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ترک إقعاد الطفل للتخلّی علی وجه یکون مستقبلاً أو مستدبراً</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و وافقه بعض من علّق علیها</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لأنّه خلاف الاحترام الملحوظ فی جهة القبلة، و لأنّه استقبال بالغیر و یحتمل عموم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الأدلّة هو الاستقبال ببدنه لا ببدن الغیر، و الخطاب مختصّ بالبالغین، و لا یشمل الصبیّ کما فی المستمسک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أجاد فیما أفاد السیّد الفقیه السبزواری،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لاحتمال أن یکون الاستقبال و الاستدبار حال التخلّی مبغوضاً بالمعنی الأعمّ من المباشرة و التسبیب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المتیقّن من الإجماع و المتفاهم من الأدلّة خصوص المباشرة فقط</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ذلک کلّه، لکن الاحتیاط ممّا لا ینبغی ترکه، لا سیّما مع کونه تعظیماً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وجوب التعظیم علی المکلّفین إنّما یتحقّق و لو بترک إقعاد الغیر</w:t>
      </w:r>
      <w:r>
        <w:rPr>
          <w:rFonts w:eastAsia="IRNazanin" w:cs="IRNazanin"/>
          <w:color w:val="111111"/>
          <w:sz w:val="28"/>
          <w:szCs w:val="28"/>
          <w:rtl w:val="true"/>
          <w:lang w:bidi="fa-IR"/>
        </w:rPr>
        <w:t>.</w:t>
      </w:r>
    </w:p>
    <w:p>
      <w:pPr>
        <w:pStyle w:val="Heading5"/>
        <w:numPr>
          <w:ilvl w:val="4"/>
          <w:numId w:val="1"/>
        </w:numPr>
        <w:rPr/>
      </w:pPr>
      <w:bookmarkStart w:id="109" w:name="__RefHeading___Toc9587330_73709187"/>
      <w:bookmarkStart w:id="110" w:name="_Toc39"/>
      <w:bookmarkEnd w:id="109"/>
      <w:r>
        <w:rPr>
          <w:rtl w:val="true"/>
        </w:rPr>
        <w:t>المقام الثانی</w:t>
      </w:r>
      <w:r>
        <w:rPr>
          <w:rtl w:val="true"/>
        </w:rPr>
        <w:t xml:space="preserve">: </w:t>
      </w:r>
      <w:r>
        <w:rPr>
          <w:rtl w:val="true"/>
        </w:rPr>
        <w:t>عدم وجوب منع الطفل إذا استقبل القبلة للتخلّی</w:t>
      </w:r>
      <w:bookmarkEnd w:id="11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أیضاً أنّه لا یجب علی المکلّفین منع الطفل إذا استقبل أو استدبر القبلة بنفسه؛ للأصل، و لأنّ ما یصدر عن الطفل عمل محلّل غیر منهی عنه و غیر مبغوض فی حقّه، و مع الشکّ فی وجوب المنع یکون المرجع هو البراءة، فلا یجب منعه و ردعه عن هذا العمل</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bookmarkStart w:id="111" w:name="pg11755_254361"/>
    </w:p>
    <w:p>
      <w:pPr>
        <w:pStyle w:val="Heading4"/>
        <w:numPr>
          <w:ilvl w:val="3"/>
          <w:numId w:val="1"/>
        </w:numPr>
        <w:rPr/>
      </w:pPr>
      <w:bookmarkStart w:id="112" w:name="__RefHeading___Toc9587332_73709187"/>
      <w:bookmarkStart w:id="113" w:name="_Toc40"/>
      <w:bookmarkEnd w:id="111"/>
      <w:bookmarkEnd w:id="112"/>
      <w:r>
        <w:rPr>
          <w:rtl w:val="true"/>
        </w:rPr>
        <w:t>المبحث الرابع</w:t>
      </w:r>
      <w:r>
        <w:rPr>
          <w:rtl w:val="true"/>
        </w:rPr>
        <w:t xml:space="preserve">: </w:t>
      </w:r>
      <w:r>
        <w:rPr>
          <w:rtl w:val="true"/>
        </w:rPr>
        <w:t>فی حکم السقط و العلقة</w:t>
      </w:r>
      <w:bookmarkEnd w:id="113"/>
    </w:p>
    <w:p>
      <w:pPr>
        <w:pStyle w:val="Heading5"/>
        <w:numPr>
          <w:ilvl w:val="4"/>
          <w:numId w:val="1"/>
        </w:numPr>
        <w:rPr/>
      </w:pPr>
      <w:bookmarkStart w:id="114" w:name="__RefHeading___Toc9587334_73709187"/>
      <w:bookmarkStart w:id="115" w:name="_Toc41"/>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و فیه مطلبان</w:t>
      </w:r>
      <w:r>
        <w:rPr>
          <w:rFonts w:eastAsia="IRNazanin" w:cs="IRNazanin"/>
          <w:color w:val="111111"/>
          <w:sz w:val="28"/>
          <w:szCs w:val="28"/>
          <w:rtl w:val="true"/>
          <w:lang w:bidi="fa-IR"/>
        </w:rPr>
        <w:t>:</w:t>
      </w:r>
    </w:p>
    <w:p>
      <w:pPr>
        <w:pStyle w:val="Heading5"/>
        <w:numPr>
          <w:ilvl w:val="4"/>
          <w:numId w:val="1"/>
        </w:numPr>
        <w:rPr/>
      </w:pPr>
      <w:bookmarkStart w:id="116" w:name="__RefHeading___Toc9587336_73709187"/>
      <w:bookmarkStart w:id="117" w:name="_Toc42"/>
      <w:bookmarkEnd w:id="116"/>
      <w:r>
        <w:rPr>
          <w:rtl w:val="true"/>
        </w:rPr>
        <w:t>المطلب الأوّل</w:t>
      </w:r>
      <w:r>
        <w:rPr>
          <w:rtl w:val="true"/>
        </w:rPr>
        <w:t xml:space="preserve">: </w:t>
      </w:r>
      <w:r>
        <w:rPr>
          <w:rtl w:val="true"/>
        </w:rPr>
        <w:t>فی السقط‌</w:t>
      </w:r>
      <w:bookmarkEnd w:id="117"/>
    </w:p>
    <w:p>
      <w:pPr>
        <w:pStyle w:val="Heading6"/>
        <w:numPr>
          <w:ilvl w:val="5"/>
          <w:numId w:val="1"/>
        </w:numPr>
        <w:rPr/>
      </w:pPr>
      <w:bookmarkStart w:id="118" w:name="__RefHeading___Toc9587338_73709187"/>
      <w:bookmarkStart w:id="119" w:name="_Toc43"/>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السقط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کان أو انثی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قبل تمامه، و هو مستبین الخلق،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الولد من بطن امّه سقوطاً، فهو سقط‌</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یخرج المعنی الاصطلاحی عن المعنی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أنّه إذا انفصل الجنین میّتاً بعد تمام الخلقة و کان له أربعة أشهر تترتّب علیه أحکام المیّت، و سیأتی البحث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له أربعة أشهر و لم تلجه الروح، فاختلف الأصحاب فی طهارته و نجاسته، و موضع بیان ذلک هذا المبحث، و فیه أقوال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یتّجه الحکم بطهارته، کما ذهب إلیه الإمام الخمینی قدس سره و علّله</w:t>
      </w:r>
      <w:bookmarkStart w:id="120" w:name="pg11755_254363"/>
    </w:p>
    <w:p>
      <w:pPr>
        <w:pStyle w:val="BookText"/>
        <w:rPr/>
      </w:pPr>
      <w:bookmarkEnd w:id="120"/>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لعدم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صدق المیّت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المیّت ما زال عنه الروح، لا ما لم یلج فیه و لو مع شأنیّته، و مقتضی الأصل طهارته</w:t>
      </w:r>
      <w:r>
        <w:rPr>
          <w:rFonts w:eastAsia="IRNazanin" w:cs="IRNazanin"/>
          <w:color w:val="111111"/>
          <w:sz w:val="28"/>
          <w:szCs w:val="28"/>
          <w:rtl w:val="true"/>
          <w:lang w:bidi="fa-IR"/>
        </w:rPr>
        <w:t>»</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بعض أعلام العصر فی تعلیقاتهم علی العروة</w:t>
      </w:r>
      <w:r>
        <w:rPr>
          <w:rStyle w:val="FootnoteAnchor"/>
          <w:rtl w:val="true"/>
        </w:rPr>
        <w:footnoteReference w:id="383"/>
      </w:r>
      <w:r>
        <w:rPr>
          <w:rFonts w:ascii="IRNazanin" w:hAnsi="IRNazanin" w:eastAsia="IRNazanin"/>
          <w:color w:val="111111"/>
          <w:sz w:val="28"/>
          <w:sz w:val="28"/>
          <w:szCs w:val="28"/>
          <w:rtl w:val="true"/>
          <w:lang w:bidi="fa-IR"/>
        </w:rPr>
        <w:t>، و استشکل فیه بعض آخر</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السقط قبل ولوج الروح نجس 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شرح المفاتیح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لوامع النراقی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العروة</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 المستمسک</w:t>
      </w:r>
      <w:r>
        <w:rPr>
          <w:rStyle w:val="FootnoteAnchor"/>
          <w:rtl w:val="true"/>
        </w:rPr>
        <w:footnoteReference w:id="387"/>
      </w:r>
      <w:r>
        <w:rPr>
          <w:rFonts w:ascii="IRNazanin" w:hAnsi="IRNazanin" w:eastAsia="IRNazanin"/>
          <w:color w:val="111111"/>
          <w:sz w:val="28"/>
          <w:sz w:val="28"/>
          <w:szCs w:val="28"/>
          <w:rtl w:val="true"/>
          <w:lang w:bidi="fa-IR"/>
        </w:rPr>
        <w:t>و التنقیح</w:t>
      </w:r>
      <w:r>
        <w:rPr>
          <w:rStyle w:val="FootnoteAnchor"/>
          <w:rtl w:val="true"/>
        </w:rPr>
        <w:footnoteReference w:id="388"/>
      </w:r>
      <w:r>
        <w:rPr>
          <w:rFonts w:ascii="IRNazanin" w:hAnsi="IRNazanin" w:eastAsia="IRNazanin"/>
          <w:color w:val="111111"/>
          <w:sz w:val="28"/>
          <w:sz w:val="28"/>
          <w:szCs w:val="28"/>
          <w:rtl w:val="true"/>
          <w:lang w:bidi="fa-IR"/>
        </w:rPr>
        <w:t>و غیرها</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تردّد فیه فی المهذّب</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 w:name="__RefHeading___Toc9587340_73709187"/>
      <w:bookmarkStart w:id="122" w:name="_Toc44"/>
      <w:bookmarkEnd w:id="121"/>
      <w:r>
        <w:rPr>
          <w:rtl w:val="true"/>
        </w:rPr>
        <w:t>أدلّة هذا الحکم</w:t>
      </w:r>
      <w:bookmarkEnd w:id="122"/>
    </w:p>
    <w:p>
      <w:pPr>
        <w:pStyle w:val="BookText"/>
        <w:rPr/>
      </w:pPr>
      <w:r>
        <w:rPr>
          <w:rFonts w:ascii="Amiri" w:hAnsi="Amiri" w:eastAsia="Amiri" w:cs="Amiri"/>
          <w:color w:val="111111"/>
          <w:sz w:val="28"/>
          <w:sz w:val="28"/>
          <w:szCs w:val="28"/>
          <w:rtl w:val="true"/>
          <w:lang w:bidi="ar-SA"/>
        </w:rPr>
        <w:t>ما استدلّ به لنجاسة السقط قبل ولوج الروح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السقط من قبیل القطعة المبانة من الحیّ، فیشمله دلیل نجاستها، کروایة أبی بصیر عن الصادق علیه السلام قال فی ألیات الضأن تقطع و هی أحیاء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میتة</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مرسلة أیوب بن نوح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قطع من الرجل قطعة فهی میتة</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غیر واحد من أنّ الجنین مخلوق مستقلّ نظیر البیضة فی بطن الدجاجة، فلا یعدّ قطعة من الإنسان أو الحیوان، مضافاً إلی أنّ الجنین علی تقدیر کونه جزءاً من امّه فهو من الأجزاء التی لا تحلّها الحیاة و هی 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إطلاق فیما دلّ علی نجاسة القطعة المبانة من الحیّ حتّی یتمسّک به، کما فی التنقیح</w:t>
      </w:r>
      <w:r>
        <w:rPr>
          <w:rStyle w:val="FootnoteAnchor"/>
          <w:rtl w:val="true"/>
        </w:rPr>
        <w:footnoteReference w:id="393"/>
      </w:r>
      <w:r>
        <w:rPr>
          <w:rFonts w:ascii="IRNazanin" w:hAnsi="IRNazanin" w:eastAsia="IRNazanin"/>
          <w:color w:val="111111"/>
          <w:sz w:val="28"/>
          <w:sz w:val="28"/>
          <w:szCs w:val="28"/>
          <w:rtl w:val="true"/>
          <w:lang w:bidi="fa-IR"/>
        </w:rPr>
        <w:t>و المستمسک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المحقّق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یستفاد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ذکاة الجنین ذکاة امّه</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أنّ للجنین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مذکّی و هو ما وقعت الذکاة علی امّه، و الآخر میتة و هو ما لم تقع علی امّه ذکاة، و حیث إنّ المفروض فی إسقاط الجنین عدم تذکیة امّه، فلا محالة یحکم بنجاسته شرعاً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غایة ما یمکن استفادته من الحدیث أنّ ذکاة الجنین إنّما تحصل بذکاة امّه، فمع عدم تذکیة الأمّ لا یکون الجنین مذکّی، لکن ذلک لا یکفی لإثبات کونه میتةً؛ لأنّ کون الشیء میتة یتقوّم بموته و عدم تذکیته معاً، فالروایة إنّما تعرّضت لحکم الحیوان المیّت فی بطن امّه، و أمّا الجنین الخارج عن موضوع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ولوج الروح فیه و غیر القابل للتذکیة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خارج عن مدلول الروایة رأساً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المفروض فی الروایة هو ما یمکن أن تقع علیه</w:t>
      </w:r>
    </w:p>
    <w:p>
      <w:pPr>
        <w:pStyle w:val="BookText"/>
        <w:rPr/>
      </w:pPr>
      <w:r>
        <w:rPr>
          <w:rFonts w:ascii="IRNazanin" w:hAnsi="IRNazanin" w:eastAsia="IRNazanin"/>
          <w:color w:val="111111"/>
          <w:sz w:val="28"/>
          <w:sz w:val="28"/>
          <w:szCs w:val="28"/>
          <w:rtl w:val="true"/>
          <w:lang w:bidi="fa-IR"/>
        </w:rPr>
        <w:t>التذکیة لا مطلق الجنین، و قد أشار إلی بعض ذلک فی التنقیح</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النجاسة، فإنّه حین کونه منیّاً کان نجساً و لم یتحقّق ما یوجب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قد تبدّل؛ لأنّ المنیّ صار علقة، ثمّ مضغة، ثمّ جنیناً، و لم یکن الموضوع باقیاً علی صورته الأصلیّة، کما فی مصباح الهدی</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ادّعاه فی شرح المفاتیح کما تقدّم</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الفرع غیر معنون فی کلمات القدماء فکیف یتحقّق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هذا الإجماع تعبّدیاً کاشفاً عن قول المعصوم؛ لاستنادهم إلی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الجنین من مصادیق المیتة حقیقة؛ لأنّ التقابل بین الموت و الحیاة تقابل العدم و الملکة، فلا یتوقّف صدق الموت علی سبق الحیاة، کما أنّ صدق الموات فی الأراضی لا یتوقّف علی سبق عمرانها، و صدق العمی لا یتوقّف علی سبق البصر، و إنّما یعتبر فیه قابلیّة المحلّ فحسب، و علیه فتصدق المیتة علی الجنین؛ لأنّه من شأنه أنّ یکون ذا حیاة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شیء من أدلّة نجاسة المیتة ما یشمل المقام، حیث إنّها وردت فی مثل الفأرة تقع فی ماء أو زیت أو بئر أو الدابّة المیتة</w:t>
      </w:r>
      <w:r>
        <w:rPr>
          <w:rStyle w:val="FootnoteAnchor"/>
          <w:rtl w:val="true"/>
        </w:rPr>
        <w:footnoteReference w:id="401"/>
      </w:r>
      <w:r>
        <w:rPr>
          <w:rFonts w:ascii="IRNazanin" w:hAnsi="IRNazanin" w:eastAsia="IRNazanin"/>
          <w:color w:val="111111"/>
          <w:sz w:val="28"/>
          <w:sz w:val="28"/>
          <w:szCs w:val="28"/>
          <w:rtl w:val="true"/>
          <w:lang w:bidi="fa-IR"/>
        </w:rPr>
        <w:t>، و نحوهما ممّا</w:t>
      </w:r>
    </w:p>
    <w:p>
      <w:pPr>
        <w:pStyle w:val="BookText"/>
        <w:rPr/>
      </w:pPr>
      <w:r>
        <w:rPr>
          <w:rFonts w:ascii="IRNazanin" w:hAnsi="IRNazanin" w:eastAsia="IRNazanin"/>
          <w:color w:val="111111"/>
          <w:sz w:val="28"/>
          <w:sz w:val="28"/>
          <w:szCs w:val="28"/>
          <w:rtl w:val="true"/>
          <w:lang w:bidi="fa-IR"/>
        </w:rPr>
        <w:t>کان مسبوقاً بالحیاة، فلا تشمل غیر المسبوق بها 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أشار إلی ذلک فی المستمسک</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 هذا الجواب السیّد الخوئی رحمه الله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یتمّ بالإضافة إلی بعض الأخبار الواردة فی نجاسة المیتة و لا یتمّ بالنسبة إلی الجمیع، فإنّ الجیفة فی مثل صحیحة حریز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غلب الماء علی ریح الجیفة فتوضّأ من الماء و اشرب، فإذا تغیّر الماء و تغیّر الطعم فلا توضّأ منه و لا تشرب</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مطلقة</w:t>
      </w:r>
      <w:r>
        <w:rPr>
          <w:rStyle w:val="FootnoteAnchor"/>
          <w:rtl w:val="true"/>
        </w:rPr>
        <w:footnoteReference w:id="404"/>
      </w:r>
      <w:r>
        <w:rPr>
          <w:rFonts w:ascii="IRNazanin" w:hAnsi="IRNazanin" w:eastAsia="IRNazanin"/>
          <w:color w:val="111111"/>
          <w:sz w:val="28"/>
          <w:sz w:val="28"/>
          <w:szCs w:val="28"/>
          <w:rtl w:val="true"/>
          <w:lang w:bidi="fa-IR"/>
        </w:rPr>
        <w:t>تشمل الجنین؛ لاشتماله علی النتن، بل و تشمل المذکّی أیضاً إذا أنتن، إلّا أنّا خرجنا عن إطلاقها فی المذکّی بما دلّ علی طهارته مطلقاً، و أمّا غیره فیبقی تحت إطلاقها، و منه 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ظنّی أنّ هذا أحسن استدلال علی نجاسة الجنین</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النصوص الواردة فی باب نجاسة المیتة منصرفة عن السقط قبل ولوج الروح حتّی صحیحة حریز، و لا إطلاق لها حتّی تشمل الجنین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الصحیحة تشمل الجنین؛ لاشتماله علی النتن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فیها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إنّما ذکر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المراد بها جثّة المیّت من الدوابّ و المواشی</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قد ذکرت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معتبرة سماعة عن أبی عبد اللّه علیه السلام قال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الرجل یمرّ بالماء و فیه دابّة میّتة قد أنتنت،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النتن</w:t>
      </w:r>
    </w:p>
    <w:p>
      <w:pPr>
        <w:pStyle w:val="BookText"/>
        <w:rPr/>
      </w:pPr>
      <w:r>
        <w:rPr>
          <w:rFonts w:ascii="IRNazanin" w:hAnsi="IRNazanin" w:eastAsia="IRNazanin"/>
          <w:color w:val="111111"/>
          <w:sz w:val="28"/>
          <w:sz w:val="28"/>
          <w:szCs w:val="28"/>
          <w:rtl w:val="true"/>
          <w:lang w:bidi="fa-IR"/>
        </w:rPr>
        <w:t>الغالب علی الماء فلا تتوضّأ و لا تشرب</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الإمام علیه السلام و إن کان مطلقاً لکنّه ناظر إلی ما فی سؤال سماعة،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دابّة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فلیس فی النصوص إطلاق یشمل السقط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لکنّ الأقوی أنّ السقط قبل ولوج الروح نجس؛ لأنّه یصحّ إطلاق المیتة علیه عرفاً و لو لم تلجه</w:t>
      </w:r>
      <w:r>
        <w:rPr>
          <w:rStyle w:val="FootnoteAnchor"/>
          <w:rtl w:val="true"/>
        </w:rPr>
        <w:footnoteReference w:id="408"/>
      </w:r>
      <w:r>
        <w:rPr>
          <w:rFonts w:ascii="IRNazanin" w:hAnsi="IRNazanin" w:eastAsia="IRNazanin"/>
          <w:color w:val="111111"/>
          <w:sz w:val="28"/>
          <w:sz w:val="28"/>
          <w:szCs w:val="28"/>
          <w:rtl w:val="true"/>
          <w:lang w:bidi="fa-IR"/>
        </w:rPr>
        <w:t>الروح من جهة استعداده القریب لولوجها فیه، فهذا الاستعداد التامّ و القوّة القریبة إلی الفعل هو المصحّح لإطلاق المیتة علیه بحسب العرف، کما اختاره الشیخ محمّد تقی الآملی قدس سره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 نجاسة السقط تستفاد من مذاق الأصحاب، و هو غیر بعید، و یساعده ارتکاز المتشرّعة، و بذلک یکون الخروج عن مقتضی قاعدة الطهارة، کما فی المستمسک</w:t>
      </w:r>
      <w:r>
        <w:rPr>
          <w:rStyle w:val="FootnoteAnchor"/>
          <w:rtl w:val="true"/>
        </w:rPr>
        <w:footnoteReference w:id="410"/>
      </w:r>
      <w:r>
        <w:rPr>
          <w:rFonts w:ascii="IRNazanin" w:hAnsi="IRNazanin" w:eastAsia="IRNazanin"/>
          <w:color w:val="111111"/>
          <w:sz w:val="28"/>
          <w:sz w:val="28"/>
          <w:szCs w:val="28"/>
          <w:rtl w:val="true"/>
          <w:lang w:bidi="fa-IR"/>
        </w:rPr>
        <w:t>، و مال إلیه فی المهذّب</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المشتمل علی العظم فیکون نجساً و عدمه فلا، کالقطعة المبانة من الحیّ، و هو ما أشار إلیه فی الجواهر</w:t>
      </w:r>
      <w:r>
        <w:rPr>
          <w:rStyle w:val="FootnoteAnchor"/>
          <w:rtl w:val="true"/>
        </w:rPr>
        <w:footnoteReference w:id="412"/>
      </w:r>
      <w:r>
        <w:rPr>
          <w:rFonts w:ascii="IRNazanin" w:hAnsi="IRNazanin" w:eastAsia="IRNazanin"/>
          <w:color w:val="111111"/>
          <w:sz w:val="28"/>
          <w:sz w:val="28"/>
          <w:szCs w:val="28"/>
          <w:rtl w:val="true"/>
          <w:lang w:bidi="fa-IR"/>
        </w:rPr>
        <w:t>، و قوّاه المحقّق الهمدانی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القول بالتفصیل لا یخلو عن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قدس سره احتاط فیه،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ترک الاحتیاط فیه بالغسل فضلاً عن غسل الید الذی ادّعی علیه الإجماع</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bookmarkStart w:id="123" w:name="pg11755_254375"/>
    </w:p>
    <w:p>
      <w:pPr>
        <w:pStyle w:val="Heading5"/>
        <w:numPr>
          <w:ilvl w:val="4"/>
          <w:numId w:val="1"/>
        </w:numPr>
        <w:rPr/>
      </w:pPr>
      <w:bookmarkStart w:id="124" w:name="__RefHeading___Toc9587342_73709187"/>
      <w:bookmarkStart w:id="125" w:name="_Toc45"/>
      <w:bookmarkEnd w:id="123"/>
      <w:bookmarkEnd w:id="124"/>
      <w:r>
        <w:rPr>
          <w:rtl w:val="true"/>
        </w:rPr>
        <w:t>المطلب الثانی</w:t>
      </w:r>
      <w:r>
        <w:rPr>
          <w:rtl w:val="true"/>
        </w:rPr>
        <w:t xml:space="preserve">: </w:t>
      </w:r>
      <w:r>
        <w:rPr>
          <w:rtl w:val="true"/>
        </w:rPr>
        <w:t>فی العلقة</w:t>
      </w:r>
      <w:bookmarkEnd w:id="125"/>
    </w:p>
    <w:p>
      <w:pPr>
        <w:pStyle w:val="Heading6"/>
        <w:numPr>
          <w:ilvl w:val="5"/>
          <w:numId w:val="1"/>
        </w:numPr>
        <w:rPr/>
      </w:pPr>
      <w:bookmarkStart w:id="126" w:name="__RefHeading___Toc9587344_73709187"/>
      <w:bookmarkStart w:id="127" w:name="_Toc46"/>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العلقة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النطفة الجامدة من الدم بعد أن کانت منیّاً، و بعد أربعین یوماً تصیر مضغة و جمعها علق، و العلق الدم الغلیظ‌</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المصباح المنیر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 ینتقل بعد طوره، فیصیر دماً غلیظاً متجمّداً، ثمّ ینتقل طوراً آخر، فیصیر لحماً، و هو المضغة</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 و کذا فی المعجم الوسیط‌</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لم یکن للفقهاء فیها اصطلاح خاصّ غیر ما فی اللغة، و اختلفوا فی نجاستها أو طهارتها علی أقوال</w:t>
      </w:r>
      <w:r>
        <w:rPr>
          <w:rFonts w:eastAsia="IRNazanin" w:cs="IRNazanin"/>
          <w:color w:val="111111"/>
          <w:sz w:val="28"/>
          <w:szCs w:val="28"/>
          <w:rtl w:val="true"/>
          <w:lang w:bidi="fa-IR"/>
        </w:rPr>
        <w:t>:</w:t>
      </w:r>
    </w:p>
    <w:p>
      <w:pPr>
        <w:pStyle w:val="Heading6"/>
        <w:numPr>
          <w:ilvl w:val="5"/>
          <w:numId w:val="1"/>
        </w:numPr>
        <w:rPr/>
      </w:pPr>
      <w:bookmarkStart w:id="128" w:name="__RefHeading___Toc9587346_73709187"/>
      <w:bookmarkStart w:id="129" w:name="_Toc47"/>
      <w:bookmarkEnd w:id="128"/>
      <w:r>
        <w:rPr>
          <w:rtl w:val="true"/>
        </w:rPr>
        <w:t>القول الأوّل</w:t>
      </w:r>
      <w:r>
        <w:rPr>
          <w:rtl w:val="true"/>
        </w:rPr>
        <w:t xml:space="preserve">: </w:t>
      </w:r>
      <w:r>
        <w:rPr>
          <w:rtl w:val="true"/>
        </w:rPr>
        <w:t>النجاسة</w:t>
      </w:r>
      <w:bookmarkEnd w:id="129"/>
    </w:p>
    <w:p>
      <w:pPr>
        <w:pStyle w:val="BookText"/>
        <w:rPr/>
      </w:pPr>
      <w:r>
        <w:rPr>
          <w:rFonts w:ascii="IRNazanin" w:hAnsi="IRNazanin" w:eastAsia="IRNazanin"/>
          <w:color w:val="111111"/>
          <w:sz w:val="28"/>
          <w:sz w:val="28"/>
          <w:szCs w:val="28"/>
          <w:rtl w:val="true"/>
          <w:lang w:bidi="fa-IR"/>
        </w:rPr>
        <w:t>و هو ما ذهب إلیه الأکثر، 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العلقة نجسة</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و کذا فی المبسوط‌</w:t>
      </w:r>
      <w:r>
        <w:rPr>
          <w:rStyle w:val="FootnoteAnchor"/>
          <w:rtl w:val="true"/>
        </w:rPr>
        <w:footnoteReference w:id="418"/>
      </w:r>
      <w:r>
        <w:rPr>
          <w:rFonts w:ascii="IRNazanin" w:hAnsi="IRNazanin" w:eastAsia="IRNazanin"/>
          <w:color w:val="111111"/>
          <w:sz w:val="28"/>
          <w:sz w:val="28"/>
          <w:szCs w:val="28"/>
          <w:rtl w:val="true"/>
          <w:lang w:bidi="fa-IR"/>
        </w:rPr>
        <w:t>و السرائر</w:t>
      </w:r>
      <w:r>
        <w:rPr>
          <w:rStyle w:val="FootnoteAnchor"/>
          <w:rtl w:val="true"/>
        </w:rPr>
        <w:footnoteReference w:id="419"/>
      </w:r>
      <w:r>
        <w:rPr>
          <w:rFonts w:ascii="IRNazanin" w:hAnsi="IRNazanin" w:eastAsia="IRNazanin"/>
          <w:color w:val="111111"/>
          <w:sz w:val="28"/>
          <w:sz w:val="28"/>
          <w:szCs w:val="28"/>
          <w:rtl w:val="true"/>
          <w:lang w:bidi="fa-IR"/>
        </w:rPr>
        <w:t>و الجامع للشرائع</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العلقة التی یستحیل إلیها نطفة الآدمی 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العلقة التی توجد فی بیضة الدجاج</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و به قال</w:t>
      </w:r>
    </w:p>
    <w:p>
      <w:pPr>
        <w:pStyle w:val="BookText"/>
        <w:rPr/>
      </w:pPr>
      <w:r>
        <w:rPr>
          <w:rFonts w:ascii="Amiri" w:hAnsi="Amiri" w:eastAsia="Amiri" w:cs="Amiri"/>
          <w:color w:val="111111"/>
          <w:sz w:val="28"/>
          <w:sz w:val="28"/>
          <w:szCs w:val="28"/>
          <w:rtl w:val="true"/>
          <w:lang w:bidi="ar-SA"/>
        </w:rPr>
        <w:t>العلّامة</w:t>
      </w:r>
      <w:r>
        <w:rPr>
          <w:rStyle w:val="FootnoteAnchor"/>
          <w:rtl w:val="true"/>
        </w:rPr>
        <w:footnoteReference w:id="422"/>
      </w:r>
      <w:r>
        <w:rPr>
          <w:rFonts w:ascii="IRNazanin" w:hAnsi="IRNazanin" w:eastAsia="IRNazanin"/>
          <w:color w:val="111111"/>
          <w:sz w:val="28"/>
          <w:sz w:val="28"/>
          <w:szCs w:val="28"/>
          <w:rtl w:val="true"/>
          <w:lang w:bidi="fa-IR"/>
        </w:rPr>
        <w:t>، و الشهید فی الدروس</w:t>
      </w:r>
      <w:r>
        <w:rPr>
          <w:rStyle w:val="FootnoteAnchor"/>
          <w:rtl w:val="true"/>
        </w:rPr>
        <w:footnoteReference w:id="423"/>
      </w:r>
      <w:r>
        <w:rPr>
          <w:rFonts w:ascii="IRNazanin" w:hAnsi="IRNazanin" w:eastAsia="IRNazanin"/>
          <w:color w:val="111111"/>
          <w:sz w:val="28"/>
          <w:sz w:val="28"/>
          <w:szCs w:val="28"/>
          <w:rtl w:val="true"/>
          <w:lang w:bidi="fa-IR"/>
        </w:rPr>
        <w:t>و المحقّق الکرکی</w:t>
      </w:r>
      <w:r>
        <w:rPr>
          <w:rStyle w:val="FootnoteAnchor"/>
          <w:rtl w:val="true"/>
        </w:rPr>
        <w:footnoteReference w:id="424"/>
      </w:r>
      <w:r>
        <w:rPr>
          <w:rFonts w:ascii="Amiri" w:hAnsi="Amiri" w:eastAsia="Amiri" w:cs="Amiri"/>
          <w:color w:val="111111"/>
          <w:sz w:val="28"/>
          <w:sz w:val="28"/>
          <w:szCs w:val="28"/>
          <w:rtl w:val="true"/>
          <w:lang w:bidi="ar-SA"/>
        </w:rPr>
        <w:t>و الصیْمَری</w:t>
      </w:r>
      <w:r>
        <w:rPr>
          <w:rStyle w:val="FootnoteAnchor"/>
          <w:rtl w:val="true"/>
        </w:rPr>
        <w:footnoteReference w:id="425"/>
      </w:r>
      <w:r>
        <w:rPr>
          <w:rFonts w:ascii="IRNazanin" w:hAnsi="IRNazanin" w:eastAsia="IRNazanin"/>
          <w:color w:val="111111"/>
          <w:sz w:val="28"/>
          <w:sz w:val="28"/>
          <w:szCs w:val="28"/>
          <w:rtl w:val="true"/>
          <w:lang w:bidi="fa-IR"/>
        </w:rPr>
        <w:t>، و کذا فی الجواهر</w:t>
      </w:r>
      <w:r>
        <w:rPr>
          <w:rStyle w:val="FootnoteAnchor"/>
          <w:rtl w:val="true"/>
        </w:rPr>
        <w:footnoteReference w:id="426"/>
      </w:r>
      <w:r>
        <w:rPr>
          <w:rFonts w:ascii="IRNazanin" w:hAnsi="IRNazanin" w:eastAsia="IRNazanin"/>
          <w:color w:val="111111"/>
          <w:sz w:val="28"/>
          <w:sz w:val="28"/>
          <w:szCs w:val="28"/>
          <w:rtl w:val="true"/>
          <w:lang w:bidi="fa-IR"/>
        </w:rPr>
        <w:t>، و اختاره الشیخ الأعظم</w:t>
      </w:r>
      <w:r>
        <w:rPr>
          <w:rStyle w:val="FootnoteAnchor"/>
          <w:rtl w:val="true"/>
        </w:rPr>
        <w:footnoteReference w:id="427"/>
      </w:r>
      <w:r>
        <w:rPr>
          <w:rFonts w:ascii="IRNazanin" w:hAnsi="IRNazanin" w:eastAsia="IRNazanin"/>
          <w:color w:val="111111"/>
          <w:sz w:val="28"/>
          <w:sz w:val="28"/>
          <w:szCs w:val="28"/>
          <w:rtl w:val="true"/>
          <w:lang w:bidi="fa-IR"/>
        </w:rPr>
        <w:t>و الفقیه الهمدانی</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العلقة المستحیلة من المنیّ نجسة، من إنسان کان أو من غیره، حتّی العلقة فی البیض</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و کذا فی غیرها</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ادّعاه الشیخ فی الخلاف</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نجاسة الدم یدلّ علی نجاسة العلقة؛ لأنّها دم کما فی الخلاف أیضاً</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دم حیوان له نفس، فتکون نجسة</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و کذا فی جامع المقاصد</w:t>
      </w:r>
      <w:r>
        <w:rPr>
          <w:rStyle w:val="FootnoteAnchor"/>
          <w:rtl w:val="true"/>
        </w:rPr>
        <w:footnoteReference w:id="434"/>
      </w:r>
      <w:r>
        <w:rPr>
          <w:rFonts w:ascii="IRNazanin" w:hAnsi="IRNazanin" w:eastAsia="IRNazanin"/>
          <w:color w:val="111111"/>
          <w:sz w:val="28"/>
          <w:sz w:val="28"/>
          <w:szCs w:val="28"/>
          <w:rtl w:val="true"/>
          <w:lang w:bidi="fa-IR"/>
        </w:rPr>
        <w:t>و غیرهما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علیهما فی المستمسک بأنّ الإجماع لا یبعد أن یکون مستنده عموم</w:t>
      </w:r>
      <w:bookmarkStart w:id="130" w:name="pg11755_254379"/>
    </w:p>
    <w:p>
      <w:pPr>
        <w:pStyle w:val="BookText"/>
        <w:rPr/>
      </w:pPr>
      <w:bookmarkEnd w:id="130"/>
      <w:r>
        <w:rPr>
          <w:rFonts w:ascii="IRNazanin" w:hAnsi="IRNazanin" w:eastAsia="IRNazanin"/>
          <w:color w:val="111111"/>
          <w:sz w:val="28"/>
          <w:sz w:val="28"/>
          <w:szCs w:val="28"/>
          <w:rtl w:val="true"/>
          <w:lang w:bidi="fa-IR"/>
        </w:rPr>
        <w:t>النجاسة له، کما یظهر من الاستدلال علیه به، و بأنّ تکوّن الدم فی الحیوان لا یستلزم کونه جزءاً منه</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الذکری</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ممنوعان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ما فی الخلاف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هذا نظر لا یخفی وجهه بعد الإحاطة بما حقّقناه فی دلیل نجاسة الدم</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بارتکاز المتشرّعة، 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قاصر عن إثبات الحکم ما لم یستند إلی دلیل معتبر، من إجماع محقّق أو تقریر معصوم أو نصّ معتمد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ریب فی کونه من المؤیّدات لو تمّ الدلیل</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 w:name="__RefHeading___Toc9587348_73709187"/>
      <w:bookmarkStart w:id="132" w:name="_Toc48"/>
      <w:bookmarkEnd w:id="131"/>
      <w:r>
        <w:rPr>
          <w:rtl w:val="true"/>
        </w:rPr>
        <w:t>القول الثانی</w:t>
      </w:r>
      <w:r>
        <w:rPr>
          <w:rtl w:val="true"/>
        </w:rPr>
        <w:t xml:space="preserve">: </w:t>
      </w:r>
      <w:r>
        <w:rPr>
          <w:rtl w:val="true"/>
        </w:rPr>
        <w:t>الطهارة</w:t>
      </w:r>
      <w:bookmarkEnd w:id="132"/>
    </w:p>
    <w:p>
      <w:pPr>
        <w:pStyle w:val="BookText"/>
        <w:rPr/>
      </w:pPr>
      <w:r>
        <w:rPr>
          <w:rFonts w:ascii="IRNazanin" w:hAnsi="IRNazanin" w:eastAsia="IRNazanin"/>
          <w:color w:val="111111"/>
          <w:sz w:val="28"/>
          <w:sz w:val="28"/>
          <w:szCs w:val="28"/>
          <w:rtl w:val="true"/>
          <w:lang w:bidi="fa-IR"/>
        </w:rPr>
        <w:t>جاء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الأقوی هو الطهارة و لا سیّما ما فی البیضة</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و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الأصل الطهارة</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قلنا بأنّ الأصل فی الدم النجاسة فالحکم بنجاسة العلقة لا یحتاج إلی شیء آخر؛ لصدق الدم علیه، و أمّا إذا لم نقل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فیشکل الحکم بنجاسة العلقة؛ لعدم قیام دلیل علیها لا بنحو</w:t>
      </w:r>
      <w:bookmarkStart w:id="133" w:name="pg11755_254381"/>
    </w:p>
    <w:p>
      <w:pPr>
        <w:pStyle w:val="BookText"/>
        <w:rPr/>
      </w:pPr>
      <w:bookmarkEnd w:id="133"/>
      <w:r>
        <w:rPr>
          <w:rFonts w:ascii="IRNazanin" w:hAnsi="IRNazanin" w:eastAsia="IRNazanin"/>
          <w:color w:val="111111"/>
          <w:sz w:val="28"/>
          <w:sz w:val="28"/>
          <w:szCs w:val="28"/>
          <w:rtl w:val="true"/>
          <w:lang w:bidi="fa-IR"/>
        </w:rPr>
        <w:t xml:space="preserve">العموم و لا بنحو 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من دم الحیوان غیرها، فإنّها نطفة تبدّلت بالعلقة، فلا تکون دم الاُمّ عرفاً، بل هو شیء مستقلّ، و إنّما یکون جوف الحیوان وعاءُ تکوّنه و ظرفُ وجوده، کما أنّه لیس دم الحیوان الذی تنقلب إلیه بعد حین، و علیه فلا دلیل علی نجاستها خصوصاً العلقة فی البیضة، فإنّ إطلاق العلقة علیها غیر ظاهر، فالأقوی طهارتها، کما أنّ الظاهر طهارة العلقة و إن کان الأحوط الاجتناب نظراً إلی کونها دماً</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 w:name="__RefHeading___Toc9587350_73709187"/>
      <w:bookmarkStart w:id="135" w:name="_Toc49"/>
      <w:bookmarkEnd w:id="134"/>
      <w:r>
        <w:rPr>
          <w:rtl w:val="true"/>
        </w:rPr>
        <w:t>القول الثالث</w:t>
      </w:r>
      <w:r>
        <w:rPr>
          <w:rtl w:val="true"/>
        </w:rPr>
        <w:t xml:space="preserve">: </w:t>
      </w:r>
      <w:r>
        <w:rPr>
          <w:rtl w:val="true"/>
        </w:rPr>
        <w:t>التردید فی الحکم</w:t>
      </w:r>
      <w:bookmarkEnd w:id="135"/>
    </w:p>
    <w:p>
      <w:pPr>
        <w:pStyle w:val="BookText"/>
        <w:rPr/>
      </w:pPr>
      <w:r>
        <w:rPr>
          <w:rFonts w:ascii="IRNazanin" w:hAnsi="IRNazanin" w:eastAsia="IRNazanin"/>
          <w:color w:val="111111"/>
          <w:sz w:val="28"/>
          <w:sz w:val="28"/>
          <w:szCs w:val="28"/>
          <w:rtl w:val="true"/>
          <w:lang w:bidi="fa-IR"/>
        </w:rPr>
        <w:t>و هو الظاهر من کلام الشهید الأوّل فی الذکری</w:t>
      </w:r>
      <w:r>
        <w:rPr>
          <w:rStyle w:val="FootnoteAnchor"/>
          <w:rtl w:val="true"/>
        </w:rPr>
        <w:footnoteReference w:id="444"/>
      </w:r>
      <w:r>
        <w:rPr>
          <w:rFonts w:ascii="IRNazanin" w:hAnsi="IRNazanin" w:eastAsia="IRNazanin"/>
          <w:color w:val="111111"/>
          <w:sz w:val="28"/>
          <w:sz w:val="28"/>
          <w:szCs w:val="28"/>
          <w:rtl w:val="true"/>
          <w:lang w:bidi="fa-IR"/>
        </w:rPr>
        <w:t>و الشهید الثانی فی الروض</w:t>
      </w:r>
      <w:r>
        <w:rPr>
          <w:rStyle w:val="FootnoteAnchor"/>
          <w:rtl w:val="true"/>
        </w:rPr>
        <w:footnoteReference w:id="445"/>
      </w:r>
      <w:r>
        <w:rPr>
          <w:rFonts w:ascii="IRNazanin" w:hAnsi="IRNazanin" w:eastAsia="IRNazanin"/>
          <w:color w:val="111111"/>
          <w:sz w:val="28"/>
          <w:sz w:val="28"/>
          <w:szCs w:val="28"/>
          <w:rtl w:val="true"/>
          <w:lang w:bidi="fa-IR"/>
        </w:rPr>
        <w:t>، و الفاضل الهندی</w:t>
      </w:r>
      <w:r>
        <w:rPr>
          <w:rStyle w:val="FootnoteAnchor"/>
          <w:rtl w:val="true"/>
        </w:rPr>
        <w:footnoteReference w:id="446"/>
      </w:r>
      <w:r>
        <w:rPr>
          <w:rFonts w:ascii="IRNazanin" w:hAnsi="IRNazanin" w:eastAsia="IRNazanin"/>
          <w:color w:val="111111"/>
          <w:sz w:val="28"/>
          <w:sz w:val="28"/>
          <w:szCs w:val="28"/>
          <w:rtl w:val="true"/>
          <w:lang w:bidi="fa-IR"/>
        </w:rPr>
        <w:t>و المحقّق الأردبیلی</w:t>
      </w:r>
      <w:r>
        <w:rPr>
          <w:rStyle w:val="FootnoteAnchor"/>
          <w:rtl w:val="true"/>
        </w:rPr>
        <w:footnoteReference w:id="447"/>
      </w:r>
      <w:r>
        <w:rPr>
          <w:rFonts w:ascii="Amiri" w:hAnsi="Amiri" w:eastAsia="Amiri" w:cs="Amiri"/>
          <w:color w:val="111111"/>
          <w:sz w:val="28"/>
          <w:sz w:val="28"/>
          <w:szCs w:val="28"/>
          <w:rtl w:val="true"/>
          <w:lang w:bidi="ar-SA"/>
        </w:rPr>
        <w:t>، و السادة 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الحکیم</w:t>
      </w:r>
      <w:r>
        <w:rPr>
          <w:rStyle w:val="FootnoteAnchor"/>
          <w:rtl w:val="true"/>
        </w:rPr>
        <w:footnoteReference w:id="448"/>
      </w:r>
      <w:r>
        <w:rPr>
          <w:rFonts w:ascii="IRNazanin" w:hAnsi="IRNazanin" w:eastAsia="IRNazanin"/>
          <w:color w:val="111111"/>
          <w:sz w:val="28"/>
          <w:sz w:val="28"/>
          <w:szCs w:val="28"/>
          <w:rtl w:val="true"/>
          <w:lang w:bidi="fa-IR"/>
        </w:rPr>
        <w:t>و الخوئی</w:t>
      </w:r>
      <w:r>
        <w:rPr>
          <w:rStyle w:val="FootnoteAnchor"/>
          <w:rtl w:val="true"/>
        </w:rPr>
        <w:footnoteReference w:id="449"/>
      </w:r>
      <w:r>
        <w:rPr>
          <w:rFonts w:ascii="IRNazanin" w:hAnsi="IRNazanin" w:eastAsia="IRNazanin"/>
          <w:color w:val="111111"/>
          <w:sz w:val="28"/>
          <w:sz w:val="28"/>
          <w:szCs w:val="28"/>
          <w:rtl w:val="true"/>
          <w:lang w:bidi="fa-IR"/>
        </w:rPr>
        <w:t>و السبزواری</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دلیل علی أنّ کلّ ما صدق علیه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من أجزاء الحیوان أم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من الاقتصار علی المقدار المتیقّن، و هو الدم المسفوح الذی یعدّ من أجزاء الحیوان</w:t>
      </w:r>
      <w:bookmarkStart w:id="136" w:name="pg11755_254384"/>
    </w:p>
    <w:p>
      <w:pPr>
        <w:pStyle w:val="BookText"/>
        <w:rPr/>
      </w:pPr>
      <w:bookmarkEnd w:id="136"/>
      <w:r>
        <w:rPr>
          <w:rFonts w:ascii="IRNazanin" w:hAnsi="IRNazanin" w:eastAsia="IRNazanin"/>
          <w:color w:val="111111"/>
          <w:sz w:val="28"/>
          <w:sz w:val="28"/>
          <w:szCs w:val="28"/>
          <w:rtl w:val="true"/>
          <w:lang w:bidi="fa-IR"/>
        </w:rPr>
        <w:t>أو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العلقة التی لا تعدّ من أجزائهما لاستقلالها و هما ظرف لتکوّنها فللتردّد فی الحکم بنجاستها مجال واسع، إلّا أن نقول بتمامیّة الإجماع علی أنّ المتکوّن فی الحیوان کأجزائه</w:t>
      </w:r>
      <w:r>
        <w:rPr>
          <w:rStyle w:val="FootnoteAnchor"/>
          <w:rtl w:val="true"/>
        </w:rPr>
        <w:footnoteReference w:id="451"/>
      </w:r>
      <w:r>
        <w:rPr>
          <w:rFonts w:ascii="IRNazanin" w:hAnsi="IRNazanin" w:eastAsia="IRNazanin"/>
          <w:color w:val="111111"/>
          <w:sz w:val="28"/>
          <w:sz w:val="28"/>
          <w:szCs w:val="28"/>
          <w:rtl w:val="true"/>
          <w:lang w:bidi="fa-IR"/>
        </w:rPr>
        <w:t>، و هو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حیث لم یکن لنجاسة العلقة دلیل معتبر و یطلق علیه الدم لغةً و عرفاً فاللازم الاحتیاط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یساعده ارتکاز المتشرّعة، کما أفتی به جمع من أعلام المعاصرین</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 w:name="__RefHeading___Toc9587352_73709187"/>
      <w:bookmarkStart w:id="138" w:name="_Toc50"/>
      <w:bookmarkEnd w:id="137"/>
      <w:r>
        <w:rPr>
          <w:rtl w:val="true"/>
        </w:rPr>
        <w:t>رأی بعض أهل السنّة فی المسألة</w:t>
      </w:r>
      <w:bookmarkEnd w:id="138"/>
    </w:p>
    <w:p>
      <w:pPr>
        <w:pStyle w:val="BookText"/>
        <w:rPr/>
      </w:pPr>
      <w:r>
        <w:rPr>
          <w:rFonts w:ascii="IRNazanin" w:hAnsi="IRNazanin" w:eastAsia="IRNazanin"/>
          <w:color w:val="111111"/>
          <w:sz w:val="28"/>
          <w:sz w:val="28"/>
          <w:szCs w:val="28"/>
          <w:rtl w:val="true"/>
          <w:lang w:bidi="fa-IR"/>
        </w:rPr>
        <w:t>ذکر بعض أهل السنّة فی نجاسة العلقة أو طهارتها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المهذّب فی فقه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العلقة ففیها وجهان، قال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نجسة؛ لأنّه دم خارج من الرحم، فهو کالحیض، و قال أبو بکر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طاهرة؛ لأنّه دم غیر مسفوح، فهو کالکبد و الطحال</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فی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أصحّ الوجهین فی العلقة هی الطهارة، و ادّعی أنّ هذا رأی عامّة الأصحاب</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المغنی و الشرح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روایتان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بدء خلق آدمی، و الصحیح نجاستها؛ لأنّها دم و لم یرد من الشرع فیها 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لکونها دماً خارجاً من الفرج، فأشبهت دم الحیض</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و کذا فی الکافی</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نعثر علی قولٍ فی المسألة للمالکیة و الحنفیّة، و هکذا لم نجد من المذاهب الأربعة نصّاً فی المسألة السابقة، أی طهارة السقط أو نجاسته</w:t>
      </w:r>
      <w:r>
        <w:rPr>
          <w:rFonts w:eastAsia="IRNazanin" w:cs="IRNazanin"/>
          <w:color w:val="111111"/>
          <w:sz w:val="28"/>
          <w:szCs w:val="28"/>
          <w:rtl w:val="true"/>
          <w:lang w:bidi="fa-IR"/>
        </w:rPr>
        <w:t>.</w:t>
      </w:r>
      <w:bookmarkStart w:id="139" w:name="pg11755_254388"/>
    </w:p>
    <w:p>
      <w:pPr>
        <w:pStyle w:val="Heading4"/>
        <w:numPr>
          <w:ilvl w:val="3"/>
          <w:numId w:val="1"/>
        </w:numPr>
        <w:rPr/>
      </w:pPr>
      <w:bookmarkStart w:id="140" w:name="__RefHeading___Toc9587354_73709187"/>
      <w:bookmarkStart w:id="141" w:name="_Toc51"/>
      <w:bookmarkEnd w:id="139"/>
      <w:bookmarkEnd w:id="140"/>
      <w:r>
        <w:rPr>
          <w:rtl w:val="true"/>
        </w:rPr>
        <w:t>المبحث الخامس</w:t>
      </w:r>
      <w:r>
        <w:rPr>
          <w:rtl w:val="true"/>
        </w:rPr>
        <w:t xml:space="preserve">: </w:t>
      </w:r>
      <w:r>
        <w:rPr>
          <w:rtl w:val="true"/>
        </w:rPr>
        <w:t>نجاسة أولاد الکفّار</w:t>
      </w:r>
      <w:bookmarkEnd w:id="141"/>
    </w:p>
    <w:p>
      <w:pPr>
        <w:pStyle w:val="Heading5"/>
        <w:numPr>
          <w:ilvl w:val="4"/>
          <w:numId w:val="1"/>
        </w:numPr>
        <w:rPr/>
      </w:pPr>
      <w:bookmarkStart w:id="142" w:name="__RefHeading___Toc9587356_73709187"/>
      <w:bookmarkStart w:id="143" w:name="_Toc52"/>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المشهور بین الفقهاء أنّ أطفال الکفّار یتبعون آباءهم فی أحکام الکفر، من النجاسة، و عدم قتل مسلم بولد کافر، و جواز بیعه علی الکفّار، و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بولد الکافر من انعقدت نطفته فی حال کفر أبویه مع بقائهما علی الکفر، و أمّا من انعقدت فی حال إسلامهما أو إسلام أحدهما فهو محکوم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ارتدّ أبواه بعد انعقاد نطفته و کان ارتدادهما قبل ولادته فسیأتی الکلام فیه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الطفل إذا سبی لم یخل إمّا أن یسبی مع أبویه أو أحدهما، أو یسبی منفرداً عنهما، فإن سبی مع أبویه أو مع أحدهما کان دینه علی دینهما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محکوم بکفرهما، فإن مات أبواه فإنّه لا یتغیّر عن حکم دینه، کالذمّی إذا مات و له ولد لا یتغیّر دین ولده</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قول جمیع الفقهاء</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حکم الطفل المسبیّ حکم أبویه، فإذا أسلما أو أسلم أحدهما تبعه الولد</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صرّح العلّامة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التعرّض إلی أنّ الکافر من أنواع النجاسات، سواء کان أصلیّاً أو مرتدّاً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أولاد الکفّار حکمهم حکم آبائهم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 صرّح بتبعیّة ولد الکافر لأبویه کثیرٌ من أصحابنا من المتقدّمین و المتأخّرین و متأخِّری المتأخّرین و فقهاء العصر</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الخمینی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یلحق بالکافر ما تولّد من الکافرین</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العروة، و اختاره الشیخ الفاضل اللنکرانی و غیره ممّن علَّق علیها</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فی المدارک</w:t>
      </w:r>
      <w:r>
        <w:rPr>
          <w:rStyle w:val="FootnoteAnchor"/>
          <w:rtl w:val="true"/>
        </w:rPr>
        <w:footnoteReference w:id="464"/>
      </w:r>
      <w:r>
        <w:rPr>
          <w:rFonts w:ascii="IRNazanin" w:hAnsi="IRNazanin" w:eastAsia="IRNazanin"/>
          <w:color w:val="111111"/>
          <w:sz w:val="28"/>
          <w:sz w:val="28"/>
          <w:szCs w:val="28"/>
          <w:rtl w:val="true"/>
          <w:lang w:bidi="fa-IR"/>
        </w:rPr>
        <w:t>و غنائم الأیّام</w:t>
      </w:r>
      <w:r>
        <w:rPr>
          <w:rStyle w:val="FootnoteAnchor"/>
          <w:rtl w:val="true"/>
        </w:rPr>
        <w:footnoteReference w:id="465"/>
      </w:r>
      <w:r>
        <w:rPr>
          <w:rFonts w:ascii="IRNazanin" w:hAnsi="IRNazanin" w:eastAsia="IRNazanin"/>
          <w:color w:val="111111"/>
          <w:sz w:val="28"/>
          <w:sz w:val="28"/>
          <w:szCs w:val="28"/>
          <w:rtl w:val="true"/>
          <w:lang w:bidi="fa-IR"/>
        </w:rPr>
        <w:t>، و کفایة الأحکام بأنّ فی دلیله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دلیل نجاسة أولاد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بعض آخر التوقّف فی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مستندهم فی الحکم المذکور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أی الطهارة</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تبعیّة الحیوان لأصله مطلقاً غیر مسلّم</w:t>
      </w:r>
      <w:r>
        <w:rPr>
          <w:rStyle w:val="FootnoteAnchor"/>
          <w:rtl w:val="true"/>
        </w:rPr>
        <w:footnoteReference w:id="467"/>
      </w:r>
      <w:r>
        <w:rPr>
          <w:rFonts w:ascii="IRNazanin" w:hAnsi="IRNazanin" w:eastAsia="IRNazanin"/>
          <w:color w:val="111111"/>
          <w:sz w:val="28"/>
          <w:sz w:val="28"/>
          <w:szCs w:val="28"/>
          <w:rtl w:val="true"/>
          <w:lang w:bidi="fa-IR"/>
        </w:rPr>
        <w:t>و أنّ المقتضی لثبوت الحکم فی المتولّد من الحیوانین النجسین هو صدق اسم الحیوان النجس علیه، لا مجرّد التولّد</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إنّما یدلّ علی نجاسة الکافر و المشرک و الیهودی و النصرانی، و الولد قبل بلوغه لا یصدق علیه شیء من ذلک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عمدة الوجوه للتردّد و التوقّف فی المسألة هی الوجه الثالث، و سیأتی التعرّض له إن شاء اللّه، و أمّا الأصل فلا مورد له مع وجود الأدلّة، مضافاً إلی أنّه دلیل علی الطهارة لا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یظهر ما فی الوجه الثانی أیضاً، فالمهمّ هو التعرّض لأدلّة قول المشهور</w:t>
      </w:r>
      <w:r>
        <w:rPr>
          <w:rFonts w:eastAsia="IRNazanin" w:cs="IRNazanin"/>
          <w:color w:val="111111"/>
          <w:sz w:val="28"/>
          <w:szCs w:val="28"/>
          <w:rtl w:val="true"/>
          <w:lang w:bidi="fa-IR"/>
        </w:rPr>
        <w:t>.</w:t>
      </w:r>
      <w:bookmarkStart w:id="144" w:name="pg11755_254394"/>
    </w:p>
    <w:p>
      <w:pPr>
        <w:pStyle w:val="Heading5"/>
        <w:numPr>
          <w:ilvl w:val="4"/>
          <w:numId w:val="1"/>
        </w:numPr>
        <w:rPr/>
      </w:pPr>
      <w:bookmarkStart w:id="145" w:name="__RefHeading___Toc9587358_73709187"/>
      <w:bookmarkStart w:id="146" w:name="_Toc53"/>
      <w:bookmarkEnd w:id="144"/>
      <w:bookmarkEnd w:id="145"/>
      <w:r>
        <w:rPr>
          <w:rtl w:val="true"/>
        </w:rPr>
        <w:t>أدلّة نجاسة أولاد الکفّار</w:t>
      </w:r>
      <w:bookmarkEnd w:id="146"/>
    </w:p>
    <w:p>
      <w:pPr>
        <w:pStyle w:val="BookText"/>
        <w:rPr/>
      </w:pPr>
      <w:r>
        <w:rPr>
          <w:rFonts w:ascii="IRNazanin" w:hAnsi="IRNazanin" w:eastAsia="IRNazanin"/>
          <w:color w:val="111111"/>
          <w:sz w:val="28"/>
          <w:sz w:val="28"/>
          <w:szCs w:val="28"/>
          <w:rtl w:val="true"/>
          <w:lang w:bidi="fa-IR"/>
        </w:rPr>
        <w:t>و استدلّ لتبعیّة ولد الکافر لأبویه فی النجاسة الذاتیّة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و یمکن تقریره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نجاسته حال کونه جنیناً فی بطن امّه، فهو نجس باعتبار أنّه جزء من الاُمّ، فتستصحب النجاسة بعد التولّد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نجاسته حال کونه علقةً؛ إذ هی نجسة لکونها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کلاهما ممنوعان؛ لمنع جزئیّة</w:t>
      </w:r>
      <w:r>
        <w:rPr>
          <w:rStyle w:val="FootnoteAnchor"/>
          <w:rtl w:val="true"/>
        </w:rPr>
        <w:footnoteReference w:id="470"/>
      </w:r>
      <w:r>
        <w:rPr>
          <w:rFonts w:ascii="IRNazanin" w:hAnsi="IRNazanin" w:eastAsia="IRNazanin"/>
          <w:color w:val="111111"/>
          <w:sz w:val="28"/>
          <w:sz w:val="28"/>
          <w:szCs w:val="28"/>
          <w:rtl w:val="true"/>
          <w:lang w:bidi="fa-IR"/>
        </w:rPr>
        <w:t>الجنین فی بطن امّه للاُمّ عند صیرورته مضغةً، فلا دلیل علی نجاسته فی ذلک الوقت، و هکذا استصحاب نجاسته حال کونه علقةً؛ لأنّ النجاسة حال کونه علقةً موضوعها هو الدم، و قد انقلب إنساناً، فالموضوع غیر باق</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ولد الکافر کأبویه کافر حقیقةً،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الکفر أمر عدمیّ، و هو عدم الإسلام فی محلّ قابل له، و المفروض أنّ الولد لیس بمسلم، کما أنّه محلّ قابل للإسلام، و قد مرّ أنّ مجرّد عدم الإسلام فی المحلّ القابل له عبارة عن الکفر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الکفر و إن کان أمراً عدمیّاً</w:t>
      </w:r>
      <w:r>
        <w:rPr>
          <w:rStyle w:val="FootnoteAnchor"/>
          <w:rtl w:val="true"/>
        </w:rPr>
        <w:footnoteReference w:id="472"/>
      </w:r>
      <w:r>
        <w:rPr>
          <w:rFonts w:ascii="Amiri" w:hAnsi="Amiri" w:eastAsia="Amiri" w:cs="Amiri"/>
          <w:color w:val="111111"/>
          <w:sz w:val="28"/>
          <w:sz w:val="28"/>
          <w:szCs w:val="28"/>
          <w:rtl w:val="true"/>
          <w:lang w:bidi="ar-SA"/>
        </w:rPr>
        <w:t>إلّا أنّ ظاهر</w:t>
      </w:r>
    </w:p>
    <w:p>
      <w:pPr>
        <w:pStyle w:val="BookText"/>
        <w:rPr/>
      </w:pPr>
      <w:r>
        <w:rPr>
          <w:rFonts w:ascii="IRNazanin" w:hAnsi="IRNazanin" w:eastAsia="IRNazanin"/>
          <w:color w:val="111111"/>
          <w:sz w:val="28"/>
          <w:sz w:val="28"/>
          <w:szCs w:val="28"/>
          <w:rtl w:val="true"/>
          <w:lang w:bidi="fa-IR"/>
        </w:rPr>
        <w:t xml:space="preserve">الأخبار </w:t>
      </w:r>
      <w:r>
        <w:rPr>
          <w:rStyle w:val="FootnoteAnchor"/>
          <w:rtl w:val="true"/>
        </w:rPr>
        <w:footnoteReference w:id="473"/>
      </w:r>
      <w:r>
        <w:rPr>
          <w:rFonts w:ascii="IRNazanin" w:hAnsi="IRNazanin" w:eastAsia="IRNazanin"/>
          <w:color w:val="111111"/>
          <w:sz w:val="28"/>
          <w:sz w:val="28"/>
          <w:szCs w:val="28"/>
          <w:rtl w:val="true"/>
          <w:lang w:bidi="fa-IR"/>
        </w:rPr>
        <w:t>أنّه لیس مطلق عدم الإسلام کفراً، بل الکفر عدم خاصّ، و هو العدم المبرّز فی الخارج بشیء، فما دام لم یظهر العدم من أحدٍ لم یحکم بکفره، فالإظهار معتبر فی تحقّق الکفر، کما أنّه یعتبر فی تحقّق الإسلام، و حیث إنّ الولد لم یظهر منه شیء منهما فلا یمکن الحکم بکفره و لا بإسلامه کما فی التنقیح</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فی المستمسک بأنّ هذا الوجه یختصّ بالولد الممیّز الذی لم یسلم؛ لأنّ غیر الممیّز لا شأنیّة فیه للإسلام، فلا یصدق علیه الکافر و لا المسلم</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 اللّه بن سنان فی الصحیح،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أولاد المشرکین یموتون قبل أن یبلغوا الحنث،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 و اللّه أعلم بما کانوا عاملین یدخلون مداخل آبائهم</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وهب عن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المشرکین مع آبائهم فی النار، و أولاد المسلمین مع آبائهم فی الجنّة</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روی فی الکافی مرسلاً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أطفال المؤمنین فیلحقون بآبائهم، و أولاد المشرکین یلحقون بآبائهم،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بِإِیمانٍ أَلْحَقْنا بِهِمْ ذُرِّیَّتَهُمْ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من أهل الحرب إذا أسلم فی دار الحرب، فظهر علیهم المسلمون بعد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إسلامه إسلام لنفسه و لولده الصغار و هم أحرار، و ولده و متاعه و رقیقه له، فأمّا الولد الکبار فهم فیء للمسلمین، إلّا أن یکونوا أسلموا قبل ذلک</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الثلاثة الاُولی فمع مخالفتها لاُصول العدلیّة</w:t>
      </w:r>
      <w:r>
        <w:rPr>
          <w:rStyle w:val="FootnoteAnchor"/>
          <w:rtl w:val="true"/>
        </w:rPr>
        <w:footnoteReference w:id="480"/>
      </w:r>
      <w:r>
        <w:rPr>
          <w:rFonts w:ascii="IRNazanin" w:hAnsi="IRNazanin" w:eastAsia="IRNazanin"/>
          <w:color w:val="111111"/>
          <w:sz w:val="28"/>
          <w:sz w:val="28"/>
          <w:szCs w:val="28"/>
          <w:rtl w:val="true"/>
          <w:lang w:bidi="fa-IR"/>
        </w:rPr>
        <w:t>إنّما تدلّ علی أنّ اللّه سبحانه و تعالی یعاملهم معاملة الکفر فی النشأة الآخرة، و لا تکون لها أیّة صلةٍ بالحکم بنجاستهم فی هذه النشأة، و لم تثبت أیّة ملازمة بین معاملتهم معاملة الکفر فی الآخرة و الحکم بالنجاسة فی الدنیا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هذه الأخبار معارضة لما ورد من تأجیج النار فی القیامة، و أمر الأطفال بدخولهم فیها، فالممتثل منهم یدخل الجنّة، و المتخلّف منهم یکون فی النار، کما روی فی الخصال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w:t>
      </w:r>
    </w:p>
    <w:p>
      <w:pPr>
        <w:pStyle w:val="BookText"/>
        <w:rPr/>
      </w:pPr>
      <w:r>
        <w:rPr>
          <w:rFonts w:ascii="IRNazanin" w:hAnsi="IRNazanin" w:eastAsia="IRNazanin"/>
          <w:color w:val="111111"/>
          <w:sz w:val="28"/>
          <w:sz w:val="28"/>
          <w:szCs w:val="28"/>
          <w:rtl w:val="true"/>
          <w:lang w:bidi="fa-IR"/>
        </w:rPr>
        <w:t>احتجّ اللّه عزّ و جلّ علی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الطفل، و الذی مات بین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واحد منهم یحتجّ علی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فیبعث اللّه علیهم رسولاً فیؤجّج لهم ناراً،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ربّکم یأمرکم أن تثبوا فیها فمن وثب فیها کانت علیه برداً و سلاماً، و من عصی سیق إلی النار</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غیرها</w:t>
      </w:r>
      <w:r>
        <w:rPr>
          <w:rStyle w:val="FootnoteAnchor"/>
          <w:rtl w:val="true"/>
        </w:rPr>
        <w:footnoteReference w:id="483"/>
      </w:r>
      <w:r>
        <w:rPr>
          <w:rFonts w:ascii="IRNazanin" w:hAnsi="IRNazanin" w:eastAsia="IRNazanin"/>
          <w:color w:val="111111"/>
          <w:sz w:val="28"/>
          <w:sz w:val="28"/>
          <w:szCs w:val="28"/>
          <w:rtl w:val="true"/>
          <w:lang w:bidi="fa-IR"/>
        </w:rPr>
        <w:t>؛ فإنّها تدلّ علی أنّ أولاد الکفّار لا یدخلون مداخل 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روایة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الغضّ عن سندها لا تدلّ علی المقصود؛ لأنّ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إسلامه 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آخره، لیس علی وجه الحقیقة، بل علی نحو التنزیل، و لم یتّضح التنزیل من جمیع الجهات و إن لا یبعد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 ذلک لا تدلّ علی عمومه للکفر أیضاً، کما فی کتاب الطهارة للإمام الخمینی</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یستفاد من الأخبار المتقدّمة صدق عنوان الکفر علی أولاد الکفّار</w:t>
      </w:r>
      <w:r>
        <w:rPr>
          <w:rStyle w:val="FootnoteAnchor"/>
          <w:rtl w:val="true"/>
        </w:rPr>
        <w:footnoteReference w:id="485"/>
      </w:r>
      <w:r>
        <w:rPr>
          <w:rFonts w:ascii="IRNazanin" w:hAnsi="IRNazanin" w:eastAsia="IRNazanin"/>
          <w:color w:val="111111"/>
          <w:sz w:val="28"/>
          <w:sz w:val="28"/>
          <w:szCs w:val="28"/>
          <w:rtl w:val="true"/>
          <w:lang w:bidi="fa-IR"/>
        </w:rPr>
        <w:t>، و إذا صدق علیهم هذا العنوان فلا محالة یشملهم معقد الإجماع الذی قام علی نجاسة الکفّار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خلاف بینهم فی الحکم بإیمان أولاد المؤمنین و إجراء أحکامهم علیهم من الطهارة و نحوها، و جواز الإعطاء من الزکاة التی لا یجوز دفعها إلّا إلی المؤمن، و بذلک صرّحت الأخبار، من غیر خلاف لا فی الأخبار و لا فی کلام الأصحاب، و لا وجه للحکم هنا بالإیمان إلّا مجرد الإلحاق؛ لأنّ</w:t>
      </w:r>
    </w:p>
    <w:p>
      <w:pPr>
        <w:pStyle w:val="BookText"/>
        <w:rPr/>
      </w:pPr>
      <w:r>
        <w:rPr>
          <w:rFonts w:ascii="IRNazanin" w:hAnsi="IRNazanin" w:eastAsia="IRNazanin"/>
          <w:color w:val="111111"/>
          <w:sz w:val="28"/>
          <w:sz w:val="28"/>
          <w:szCs w:val="28"/>
          <w:rtl w:val="true"/>
          <w:lang w:bidi="fa-IR"/>
        </w:rPr>
        <w:t>ترتّب ذلک علی العقائد غیر ظاهر، حیث لا تکلیف قبل البلوغ، فکذلک أولاد المشرکین و الکفّار، فإنّه یحکم بکفرهم إلحاقاً لهم بالآباء بعین ما ثبت فی أولاد المؤمنین، و الأخبار المذکورة شاهدة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ذکرنا ما فی أدلّة القائلین بالتوقّف، من أنّ عنوان الکفر لا یصدق علی ولد الکافر؛ لأنّه یستفاد ذلک من هذه الأخبار بما لا یداخله الشکّ و لا یتطرّق إلیه کما فی الحدائق</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الشیخ الأعظم من أنّ ولد الکافر نجس؛ لأجل تنقیح المناط عند أهل الشرع، حیث إنّهم یتعدّون من نجاسة الأبوین ذاتاً إلی المتولّد منهما، فهو شیء مرکوز فی أذهانهم و إن لم نعلم وجهه تفصیلاً، فکم لهم من هذا القبیل کما لا یخفی علی المتتبّع لأحوالهم، بل هذا الوجه هو العمدة</w:t>
      </w:r>
      <w:r>
        <w:rPr>
          <w:rStyle w:val="FootnoteAnchor"/>
          <w:rtl w:val="true"/>
        </w:rPr>
        <w:footnoteReference w:id="487"/>
      </w:r>
      <w:r>
        <w:rPr>
          <w:rFonts w:ascii="IRNazanin" w:hAnsi="IRNazanin" w:eastAsia="IRNazanin"/>
          <w:color w:val="111111"/>
          <w:sz w:val="28"/>
          <w:sz w:val="28"/>
          <w:szCs w:val="28"/>
          <w:rtl w:val="true"/>
          <w:lang w:bidi="fa-IR"/>
        </w:rPr>
        <w:t>، و اختاره الشیخ الأراکی</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معاملة النبیّ صلی الله علیه و آله لأولاد الکفّار کمعاملته للکفّار أنفسهم، فی سبیهم و غیر ذلک، و لا فرق فی ذلک بین أن یکونوا من أهل الکتاب أو غیرهم، و هذا یعطی أنّهم کفّار فتجری علیهم سائر أحکامهم من النجاسة و نحوها</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الفاضل النراقی من أنّ الظاهر من العرف إطلاق الیهودی و النصرانی و الناصبی علی أطفالهم، سیّما إذا کانوا ممیّزین مظهرین لملّة</w:t>
      </w:r>
    </w:p>
    <w:p>
      <w:pPr>
        <w:pStyle w:val="BookText"/>
        <w:rPr/>
      </w:pPr>
      <w:r>
        <w:rPr>
          <w:rFonts w:ascii="IRNazanin" w:hAnsi="IRNazanin" w:eastAsia="IRNazanin"/>
          <w:color w:val="111111"/>
          <w:sz w:val="28"/>
          <w:sz w:val="28"/>
          <w:szCs w:val="28"/>
          <w:rtl w:val="true"/>
          <w:lang w:bidi="fa-IR"/>
        </w:rPr>
        <w:t>آبائهم تابعین لهم، فتثبت نجاستهم بالإطلاقات و بعدم القول بالفصل، فتثبت نجاسة غیر الممیّزین أیضاً</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القطعیّة المستمرّة علی معاملة الطائفة الحقّة مع أولاد الکفّار معاملة آبائهم فی الاحتراز عنهم و إلحاقهم بآبائهم و ترتّب آثار الکفر علیهم و عدم التفریق بینهم</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Style w:val="FootnoteAnchor"/>
          <w:rtl w:val="true"/>
        </w:rPr>
        <w:footnoteReference w:id="492"/>
      </w:r>
      <w:r>
        <w:rPr>
          <w:rFonts w:ascii="IRNazanin" w:hAnsi="IRNazanin" w:eastAsia="IRNazanin"/>
          <w:color w:val="111111"/>
          <w:sz w:val="28"/>
          <w:sz w:val="28"/>
          <w:szCs w:val="28"/>
          <w:rtl w:val="true"/>
          <w:lang w:bidi="fa-IR"/>
        </w:rPr>
        <w:t xml:space="preserve">و التسالم القطعیّین بین أصحابنا علی نجاسة أولاد الکفّار، و من هذا التسالم یحصل لنا الاطمئنان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فی زمان الأئمّة علیهم السلام یعامل معهم معاملة الکفر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صرّح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تبعیّة الولد لوالدیه فی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جمیع الفقهاء</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 کلام جماعة من الأصحاب أنّ ولد الکافرین یتبعهما فی النجاسة الذاتیّة بغیر خلاف؛ لأنّهم ذکروا الحکم جازمین به غیر متعرّضین لبیان دلیله، کما هو الشأن فی المسائل التی لا مجال للاحتمال فیها</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شرح المفاتیح نسبته إلی الأصحاب مشعراً بدعوی الإجماع علیه حتّی لو بلغ مجنوناً</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التنقیح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الإجماع علی أنّ الطفل تابع لأبیه</w:t>
      </w:r>
    </w:p>
    <w:p>
      <w:pPr>
        <w:pStyle w:val="BookText"/>
        <w:rPr/>
      </w:pPr>
      <w:r>
        <w:rPr>
          <w:rFonts w:ascii="IRNazanin" w:hAnsi="IRNazanin" w:eastAsia="IRNazanin"/>
          <w:color w:val="111111"/>
          <w:sz w:val="28"/>
          <w:sz w:val="28"/>
          <w:szCs w:val="28"/>
          <w:rtl w:val="true"/>
          <w:lang w:bidi="fa-IR"/>
        </w:rPr>
        <w:t>فی الکفر</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بالإجماع الظاهر و النصّ المستفیض، بل المتواتر</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الإجماع بقسمیه علیه</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وسائل المحقّق الکاظمی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ظاهرهم الاتّفاق فی الإلحاق</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مصباح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عدّة من الکتب دعوی الإجماع علیه</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ادّعی علیه الإجماع أیضاً فی جملة من الکتب لأعلام العصر</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ظهر ممّا ذکرنا أنّ تعبیر العلّامة فی النهایة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الأقرب فی أولاد الکفّار التبعیّة لهم</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لا یضرّ بالإجماع؛ لأنّه فی مقابل الاحتمال المخالف لا القول المخالف، و هو لا ینافی تحقّق اتّفاق أهل الفتوی علیه؛ لأنّ الفروع المبنیّة علی القواعد لا تخلو عن تطرّق الاحتمال</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w:t>
      </w:r>
      <w:r>
        <w:rPr>
          <w:rStyle w:val="FootnoteAnchor"/>
          <w:rtl w:val="true"/>
        </w:rPr>
        <w:footnoteReference w:id="504"/>
      </w:r>
      <w:r>
        <w:rPr>
          <w:rFonts w:ascii="IRNazanin" w:hAnsi="IRNazanin" w:eastAsia="IRNazanin"/>
          <w:color w:val="111111"/>
          <w:sz w:val="28"/>
          <w:sz w:val="28"/>
          <w:szCs w:val="28"/>
          <w:rtl w:val="true"/>
          <w:lang w:bidi="fa-IR"/>
        </w:rPr>
        <w:t>للحکم بنجاسة ولد الکافر الإجماع و التسالم القطعیّین، و کذا السیرة المستمرّة</w:t>
      </w:r>
      <w:r>
        <w:rPr>
          <w:rFonts w:eastAsia="IRNazanin" w:cs="IRNazanin"/>
          <w:color w:val="111111"/>
          <w:sz w:val="28"/>
          <w:szCs w:val="28"/>
          <w:rtl w:val="true"/>
          <w:lang w:bidi="fa-IR"/>
        </w:rPr>
        <w:t>.</w:t>
      </w:r>
      <w:bookmarkStart w:id="147" w:name="pg11755_254408"/>
    </w:p>
    <w:p>
      <w:pPr>
        <w:pStyle w:val="BookText"/>
        <w:rPr/>
      </w:pPr>
      <w:bookmarkEnd w:id="147"/>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التبعیّة للأبوین فی الإسلام و الکفر من الضروریّات یمکن استفادته من الأخبار المتواترة معنیً المتشتّتة فی مواضع عدیدة ککتاب المیراث و الحدود و الجهاد و الوصیّة</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9587360_73709187"/>
      <w:bookmarkStart w:id="149" w:name="_Toc54"/>
      <w:bookmarkEnd w:id="148"/>
      <w:r>
        <w:rPr>
          <w:rtl w:val="true"/>
        </w:rPr>
        <w:t>فرعان</w:t>
      </w:r>
      <w:bookmarkEnd w:id="14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بنجاسة ولد الکافر ثابت مع بقاء تبعیّة الولد للوالدین أو أحدهما عرفاً بحیث یعدّونه فی عداد الکفّار، فإن انتقل الولد من بلد الکفر إلی بلد الإسلام و خالط المسلمین فالحکم بتبعیّته لأبویه الکافرین فی النجاسة مشکل، حیث إنّ عمدة أدلّة الحکم بالتبعیّة هو الإجماع و السیرة، و هما دلیلان لبّیّان، فیقتصر علی القدر المتیقّن منهما، کما فی مصباح الفقیه</w:t>
      </w:r>
      <w:r>
        <w:rPr>
          <w:rStyle w:val="FootnoteAnchor"/>
          <w:rtl w:val="true"/>
        </w:rPr>
        <w:footnoteReference w:id="506"/>
      </w:r>
      <w:r>
        <w:rPr>
          <w:rFonts w:ascii="IRNazanin" w:hAnsi="IRNazanin" w:eastAsia="IRNazanin"/>
          <w:color w:val="111111"/>
          <w:sz w:val="28"/>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ولد الکافر ینبغی أن یخرج عن محلّ الکلام فیما کان عاقلاً رشیداً معتقداً بغیر مذهب الإسلام کالتهوّد و التنصّر و نحوهما و إن کان غیر بالغ شرعاً؛ لأنّ نجاسته مسلّمة و ممّا لا إشکال فیه، و ذلک لأنّه حینئذٍ یهودی أو نصرانی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تکلیفه و کونه غیر معاقب بشیء من أفعاله لا ینافی تهوّده أو تنصّره، کیف و قد یکون غیر البالغ مشیّداً لأرکان الکفر و الضلال و مروّجاً لهما بتبلیغه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ربّما یشاهد فی بعض الأطفال غیر البالغین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 یکون هو بنفسه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فیتمحّض محلّ</w:t>
      </w:r>
      <w:bookmarkStart w:id="150" w:name="pg11755_254410"/>
    </w:p>
    <w:p>
      <w:pPr>
        <w:pStyle w:val="BookText"/>
        <w:rPr/>
      </w:pPr>
      <w:bookmarkEnd w:id="150"/>
      <w:r>
        <w:rPr>
          <w:rFonts w:ascii="IRNazanin" w:hAnsi="IRNazanin" w:eastAsia="IRNazanin"/>
          <w:color w:val="111111"/>
          <w:sz w:val="28"/>
          <w:sz w:val="28"/>
          <w:szCs w:val="28"/>
          <w:rtl w:val="true"/>
          <w:lang w:bidi="fa-IR"/>
        </w:rPr>
        <w:t>الکلام فیما إذا کان ولد الکافر رضیعاً أو بعد الفطام و قبل کونه ممیّزاً بحیث کان تکلّمه تبعاً لوالدیه متلقّیاً کلّ ما القی إلیه علی نهج تکلّم الطیور المعلّمة</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9587362_73709187"/>
      <w:bookmarkStart w:id="152" w:name="_Toc55"/>
      <w:bookmarkEnd w:id="151"/>
      <w:r>
        <w:rPr>
          <w:rtl w:val="true"/>
        </w:rPr>
        <w:t>طهارة الکافر و المشرک عند أهل السنّة</w:t>
      </w:r>
      <w:bookmarkEnd w:id="152"/>
    </w:p>
    <w:p>
      <w:pPr>
        <w:pStyle w:val="BookText"/>
        <w:rPr/>
      </w:pPr>
      <w:r>
        <w:rPr>
          <w:rFonts w:ascii="IRNazanin" w:hAnsi="IRNazanin" w:eastAsia="IRNazanin"/>
          <w:color w:val="111111"/>
          <w:sz w:val="28"/>
          <w:sz w:val="28"/>
          <w:szCs w:val="28"/>
          <w:rtl w:val="true"/>
          <w:lang w:bidi="fa-IR"/>
        </w:rPr>
        <w:t>لمّا کانت المذاهب الأربعة من أهل السنّة قائلة بطهارة الکفّار و المشرکین فلا مجال للبحث عن تبعیّة ولد الکافر لأبویه فی النجاسة عندهم، و إلیک نصّ کلماتهم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فی کتاب الفقه علی المذاهب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الأشیاء الطاهرة کثیرة، منها الإنسان، سواء کان حیّاً أو میّتاً،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کَرَّمْنا بَنِی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الْمُشْرِکُونَ 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النجاسة المعنویّة الّتی حکم بها الشارع، و لیس المراد أنّ ذات المشرک نجسة کنجاسة الخنزیر</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المغنی لابن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الآدمی فهو طاهر، و سؤره طاهر، سواء کان مسلماً أو کافراً عند عامّة أهل العلم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الحائض و الجنب و المشرک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فإنّ أجسامهم 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الکفر معنی فی قلبه، فلا یؤثّر فی نجاسة ظاهره کسائر ما فی القلب، و الأصل الطهارة</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الکاسانی فی البحث عن الآسار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السؤر الطاهر المتّفق علی طهارته فسؤر الآدمی بکلّ حالٍ، مسلماً کان أو مشرکاً، صغیراً أو کبیراً، ذکراً أو انثی، طاهراً أو نجساً، حائضاً أو جنباً</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فی غایة المرام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الشوکانی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تمسّک بمفهومه بعض أهل الظاهر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الکافر نَجِسُ عَیْنٍ، و قوّوا ذلک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الْمُشْرِکُونَ 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أجاب عن ذلک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أنّهم نجس فی الاعتقاد و الاستقذار، و حجّتهم علی صحّة هذا التأویل أنّ اللّه أباح نساء أهل الکتاب، و معلوم أنّ عرقهنّ لا یسلم منه من یضاجعهنّ، و مع ذلک فلا یجب من غسل الکتابیّة إلّا مثل ما یجب علیهم من غسل المسلمة</w:t>
      </w:r>
      <w:r>
        <w:rPr>
          <w:rFonts w:eastAsia="Amiri" w:cs="Amiri" w:ascii="Amiri" w:hAnsi="Amiri"/>
          <w:color w:val="111111"/>
          <w:sz w:val="28"/>
          <w:szCs w:val="28"/>
          <w:rtl w:val="true"/>
          <w:lang w:bidi="ar-SA"/>
        </w:rPr>
        <w:t>»</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کشّاف القناع</w:t>
      </w:r>
      <w:r>
        <w:rPr>
          <w:rStyle w:val="FootnoteAnchor"/>
          <w:rtl w:val="true"/>
        </w:rPr>
        <w:footnoteReference w:id="513"/>
      </w:r>
      <w:r>
        <w:rPr>
          <w:rFonts w:ascii="IRNazanin" w:hAnsi="IRNazanin" w:eastAsia="IRNazanin"/>
          <w:color w:val="111111"/>
          <w:sz w:val="28"/>
          <w:sz w:val="28"/>
          <w:szCs w:val="28"/>
          <w:rtl w:val="true"/>
          <w:lang w:bidi="fa-IR"/>
        </w:rPr>
        <w:t>و نیل الأوطار</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قال بعض المفسّرین من أهل السنّة بنجاسة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التفسیر الکبیر فی ذیل الآیة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اتّفاق الفقهاء علی طهارة أبدان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ظاهر القرآن یدلّ علی کونهم أنجاساً، فلا یرجع عنه إلّا بدلیل منفصل، و لا یمکن ادّعاء الإجماع فیه لما بیّنا أنّ الاختلاف فیه حاصل</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bookmarkStart w:id="153" w:name="pg11755_254415"/>
    </w:p>
    <w:p>
      <w:pPr>
        <w:pStyle w:val="Heading4"/>
        <w:numPr>
          <w:ilvl w:val="3"/>
          <w:numId w:val="1"/>
        </w:numPr>
        <w:rPr/>
      </w:pPr>
      <w:bookmarkStart w:id="154" w:name="__RefHeading___Toc9587364_73709187"/>
      <w:bookmarkStart w:id="155" w:name="_Toc56"/>
      <w:bookmarkEnd w:id="153"/>
      <w:bookmarkEnd w:id="154"/>
      <w:r>
        <w:rPr>
          <w:rtl w:val="true"/>
        </w:rPr>
        <w:t>المبحث السادس</w:t>
      </w:r>
      <w:r>
        <w:rPr>
          <w:rtl w:val="true"/>
        </w:rPr>
        <w:t xml:space="preserve">: </w:t>
      </w:r>
      <w:r>
        <w:rPr>
          <w:rtl w:val="true"/>
        </w:rPr>
        <w:t>حکم غَیبَة الصبیّ و إخباره عن النجاسة</w:t>
      </w:r>
      <w:bookmarkEnd w:id="155"/>
    </w:p>
    <w:p>
      <w:pPr>
        <w:pStyle w:val="Heading5"/>
        <w:numPr>
          <w:ilvl w:val="4"/>
          <w:numId w:val="1"/>
        </w:numPr>
        <w:rPr/>
      </w:pPr>
      <w:bookmarkStart w:id="156" w:name="__RefHeading___Toc9587366_73709187"/>
      <w:bookmarkStart w:id="157" w:name="_Toc57"/>
      <w:bookmarkEnd w:id="156"/>
      <w:r>
        <w:rPr>
          <w:rtl w:val="true"/>
        </w:rPr>
        <w:t>اشارة</w:t>
      </w:r>
      <w:bookmarkEnd w:id="157"/>
    </w:p>
    <w:p>
      <w:pPr>
        <w:pStyle w:val="BookText"/>
        <w:rPr/>
      </w:pPr>
      <w:r>
        <w:rPr>
          <w:rFonts w:ascii="IRNazanin" w:hAnsi="IRNazanin" w:eastAsia="IRNazanin"/>
          <w:color w:val="111111"/>
          <w:sz w:val="28"/>
          <w:sz w:val="28"/>
          <w:szCs w:val="28"/>
          <w:rtl w:val="true"/>
          <w:lang w:bidi="fa-IR"/>
        </w:rPr>
        <w:t>و فیه مطلبان</w:t>
      </w:r>
      <w:r>
        <w:rPr>
          <w:rFonts w:eastAsia="IRNazanin" w:cs="IRNazanin"/>
          <w:color w:val="111111"/>
          <w:sz w:val="28"/>
          <w:szCs w:val="28"/>
          <w:rtl w:val="true"/>
          <w:lang w:bidi="fa-IR"/>
        </w:rPr>
        <w:t>:</w:t>
      </w:r>
    </w:p>
    <w:p>
      <w:pPr>
        <w:pStyle w:val="Heading5"/>
        <w:numPr>
          <w:ilvl w:val="4"/>
          <w:numId w:val="1"/>
        </w:numPr>
        <w:rPr/>
      </w:pPr>
      <w:bookmarkStart w:id="158" w:name="__RefHeading___Toc9587368_73709187"/>
      <w:bookmarkStart w:id="159" w:name="_Toc58"/>
      <w:bookmarkEnd w:id="158"/>
      <w:r>
        <w:rPr>
          <w:rtl w:val="true"/>
        </w:rPr>
        <w:t>المطلب الاوّل</w:t>
      </w:r>
      <w:r>
        <w:rPr>
          <w:rtl w:val="true"/>
        </w:rPr>
        <w:t xml:space="preserve">: </w:t>
      </w:r>
      <w:r>
        <w:rPr>
          <w:rtl w:val="true"/>
        </w:rPr>
        <w:t>فی أنّ غیبة الصبیّ من المطهّرات</w:t>
      </w:r>
      <w:bookmarkEnd w:id="159"/>
    </w:p>
    <w:p>
      <w:pPr>
        <w:pStyle w:val="Heading6"/>
        <w:numPr>
          <w:ilvl w:val="5"/>
          <w:numId w:val="1"/>
        </w:numPr>
        <w:rPr/>
      </w:pPr>
      <w:bookmarkStart w:id="160" w:name="__RefHeading___Toc9587370_73709187"/>
      <w:bookmarkStart w:id="161" w:name="_Toc59"/>
      <w:bookmarkEnd w:id="160"/>
      <w:r>
        <w:rPr>
          <w:rtl w:val="true"/>
        </w:rPr>
        <w:t>تمهید</w:t>
      </w:r>
      <w:bookmarkEnd w:id="161"/>
    </w:p>
    <w:p>
      <w:pPr>
        <w:pStyle w:val="BookText"/>
        <w:rPr/>
      </w:pPr>
      <w:r>
        <w:rPr>
          <w:rFonts w:ascii="IRNazanin" w:hAnsi="IRNazanin" w:eastAsia="IRNazanin"/>
          <w:color w:val="111111"/>
          <w:sz w:val="28"/>
          <w:sz w:val="28"/>
          <w:szCs w:val="28"/>
          <w:rtl w:val="true"/>
          <w:lang w:bidi="fa-IR"/>
        </w:rPr>
        <w:t>عدّ بعض الأصحاب من جملة المطهّرات غیبة المسلم بالشروط المعیّنة، المذکورة فی المطوّلات، فإنّها مطهِّرة لبدنه و فرشه و لباسه و ظرفه و غیر ذلک ممّا فی یده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المطهّرات الغیبة فی الآدمی، بمعنی أنّه لو کان نجساً و غاب عن عینِ مَن علم بنجاسته زماناً یحتمل فیه إزالة النجاسة، ثمّ رآه بعد ذلک و قد زالت عنه عین النجاسة أو لم یکن لها جرم، فإنّه یحکم بطهارته؛ عملاً بالظّاهر من أنّ المسلم لا یبقی علی النجاسة</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المکلّف بالنجاسة، ثمّ مضی زمان یمکن فیه الإزالة حکم بالطهارة</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بطهارة بدن المسلم المکلّف مع الغیبة عنه و علمه بالنجاسة و تلبّسه بما یشترط فیه الطهارة، بلا خلاف معتدّ به أجده فیه</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الدرّة النجفیّة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للحکم المذکور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هو ظاهر تمهید القواعد</w:t>
      </w:r>
      <w:r>
        <w:rPr>
          <w:rStyle w:val="FootnoteAnchor"/>
          <w:rtl w:val="true"/>
        </w:rPr>
        <w:footnoteReference w:id="520"/>
      </w:r>
      <w:r>
        <w:rPr>
          <w:rFonts w:ascii="IRNazanin" w:hAnsi="IRNazanin" w:eastAsia="IRNazanin"/>
          <w:color w:val="111111"/>
          <w:sz w:val="28"/>
          <w:sz w:val="28"/>
          <w:szCs w:val="28"/>
          <w:rtl w:val="true"/>
          <w:lang w:bidi="fa-IR"/>
        </w:rPr>
        <w:t>، بل حکی صریحاً عن بعض شُرّاح المنظومة للسیّد الطباطبائی</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بظاهر حال المسلم یقتضی ذلک؛ لأنّه یتنزّه عن النجاسة کما فی الذکری</w:t>
      </w:r>
      <w:r>
        <w:rPr>
          <w:rStyle w:val="FootnoteAnchor"/>
          <w:rtl w:val="true"/>
        </w:rPr>
        <w:footnoteReference w:id="522"/>
      </w:r>
      <w:r>
        <w:rPr>
          <w:rFonts w:ascii="IRNazanin" w:hAnsi="IRNazanin" w:eastAsia="IRNazanin"/>
          <w:color w:val="111111"/>
          <w:sz w:val="28"/>
          <w:sz w:val="28"/>
          <w:szCs w:val="28"/>
          <w:rtl w:val="true"/>
          <w:lang w:bidi="fa-IR"/>
        </w:rPr>
        <w:t>و التمهید</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السیرة القطعیّة المتّصلة بزمان المعصومین علیهم السلام علی معاملة المسلمین و ألبستهم و ظروفهم و غیرها ممّا یتعلّق بهم معاملة الأشیاء الطاهرة عند الشکّ فی طهارتها، مع العلم العادی بتنجّسها فی زمان لا محالة، و لا سیّما فی الجلود و اللحوم و السراویل؛ للعلم بتنجّسها حین الذبح أو فی وقت ما بلا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الحرج؛ لأنّه لو اشترط تحصیل العلم بطهارة من علم نجاسته أو نجاسة شیء ممّا یتعلّق به من الثیاب و نحوها فی جواز معاملة الطهارة معه أو الصلاة خلفه أو نحوهما من الأشیاء المشروطة بالطهارة یکون ذلک موجباً للحرج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یؤیّدها إطلاق ما دلّ‌</w:t>
      </w:r>
      <w:r>
        <w:rPr>
          <w:rStyle w:val="FootnoteAnchor"/>
          <w:rtl w:val="true"/>
        </w:rPr>
        <w:footnoteReference w:id="524"/>
      </w:r>
      <w:r>
        <w:rPr>
          <w:rFonts w:ascii="IRNazanin" w:hAnsi="IRNazanin" w:eastAsia="IRNazanin"/>
          <w:color w:val="111111"/>
          <w:sz w:val="28"/>
          <w:sz w:val="28"/>
          <w:szCs w:val="28"/>
          <w:rtl w:val="true"/>
          <w:lang w:bidi="fa-IR"/>
        </w:rPr>
        <w:t>علی طهارة سؤر المسلم و إن کان هو غیر مساقٍ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أنّه من المتعارف بین المسلمین عدم السؤال عن إزالة النجاسات مع القطع بعروضها</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یخفی علیک أنّ عدّ غیبة المسلم من المطهّرات لا یخلو عن تسامح ظاهر؛ لأنّها بنفسها لیست من المطهّرات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أنّها توجب الحکم بطهارة المسلم و طهارة ما یتعلّق به من الثیاب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فالحکم بالطهارة مع الغیبة ممّا لا شبهة فیه، و إنّما الکلام فی أنّ هذا الحکم هل یشمل الصبیّ الممیّز أم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الحکم بالطهارة أن یکون المسلم الغائب بالغاً أو یکفی و لو کان صبیّاً ممیّزاً؟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الاعتماد علی ظاهر الحال کون من یحکم بطهارته بالغاً، کما یظهر من کلام الشهید فی الذکری،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المکلّف بالنجاسة ثمّ مضی زمان یمکن فیه الإزالة حکم بالطهارة</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 به الشهید الثانی فی حاشیته علی الألفیّة،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یعتبر مع ذلک</w:t>
      </w:r>
    </w:p>
    <w:p>
      <w:pPr>
        <w:pStyle w:val="BookText"/>
        <w:rPr/>
      </w:pPr>
      <w:r>
        <w:rPr>
          <w:rFonts w:ascii="IRNazanin" w:hAnsi="IRNazanin" w:eastAsia="IRNazanin"/>
          <w:color w:val="111111"/>
          <w:sz w:val="28"/>
          <w:sz w:val="28"/>
          <w:szCs w:val="28"/>
          <w:rtl w:val="true"/>
          <w:lang w:bidi="fa-IR"/>
        </w:rPr>
        <w:t>کونه مکلّفاً، و اعتقاد وجوب إزالتها أو استحبابها</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العلّامة المامقانی</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ترک الاحتیاط فی غیر المکلّف من الإنسان، سیّما من لا أهلیّة له للإزالة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اشتراط کونه بالغاً أو یکفی و لو کان صبیّاً ممیّزاً وجهان، و الأحوط ذلک</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یستدلّ لهم بأنّ المقدار المتیقّن من الأدلّة، من الإجماع و السیرة و غیرهما، هو المکلّف البالغ العاقل و لا تشمل الصبیّ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الأصل بقاء النجاسة، و عدم جریان أصالة الصحّة فی فعله، و عدم شهادة ما یصدر منه علی طهارته؛ لعدم تعلّق التکلیف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أشار إلی بعض ذلک فی مصباح الهدی</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یشترط فیه التکلیف، فیحکم بطهارة ما یتعلّق بالصبیّ الممیّز و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 فی موضع آخر من کلماته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المطهّرات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علمه بها، و أهلیّته لإزالتها بکونه ممیّزاً معتقداً</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قدس سره فسّر الأهلیّة بکونه ممیّزاً، و لم یشترط البلوغ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اشتراط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مطابقاً للأصل و غیره، منفیّ بأکثر الأدلّة المتقدّمة، إلّا أنّ السیرة و لزوم الحرج کافیان فی الحکم</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مصباح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هل یعتبر فی الاعتماد علی ظاهر الحال أو مطلق الاحتمال کون من یحکم بطهارته مکلّفاً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عاقلاً بالغاً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بعض، أم لا؟ وجهان، أظهرهما العدم</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التنقیح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أقواهما عدم اشتراط البلوغ</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جماعة من أعلام المعاصرین</w:t>
      </w:r>
      <w:r>
        <w:rPr>
          <w:rStyle w:val="FootnoteAnchor"/>
          <w:rtl w:val="true"/>
        </w:rPr>
        <w:footnoteReference w:id="536"/>
      </w:r>
      <w:r>
        <w:rPr>
          <w:rFonts w:ascii="IRNazanin" w:hAnsi="IRNazanin" w:eastAsia="IRNazanin"/>
          <w:color w:val="111111"/>
          <w:sz w:val="28"/>
          <w:sz w:val="28"/>
          <w:szCs w:val="28"/>
          <w:rtl w:val="true"/>
          <w:lang w:bidi="fa-IR"/>
        </w:rPr>
        <w:t>، و قوّاه فی مصباح الهدی</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 للحکم المذکور بأنّ الممیّز إذا کان مستقلّاً فی تصرّفاته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کالبالغین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بطهارة بدنه و ما یتعلّق به عند احتمال طروّ الطهارة علیهما؛ لجریان السیرة علی معاملتهما معاملة الطهارة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البلوغ فیما جرت علیه السیرة، بل یکفی علی الظاهر کونه ممّن من شأنه مراقبة أحواله فی التطهّر و نحوه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الشیخ الأعظم بلزوم الحرج أیضاً</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کان الطفل غیر ممیّز، و لم یکن مستقلّاً فی تصرّفاته، و لا أنّه صار تحت رعایة البالغین لم یحکم بطهارة بدنه و ثیابه و غیرهما بعد العلم بنجاستهما فی زمان ما بمجرّد تطهیرهما؛ لعدم تمکّنه من تطهیرهما بنفسه 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الفقیه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غیر الممیّز فلیس مورداً لهذا الأصل، فلو لم یجرِ علیه ید الغیر لا یحکم بطهارته، إلّا بعد العلم بارتفاع النجاسة السابقة</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الاختلاف فی الشروط المذکورة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مسألة التکلیف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أنّ الحکم بالطهارة هل هو من باب تقدیم الظاهر علی الأصل؛ لظهور حال المسلم فی التجنّب عن شرب النجس، و عن الصلاة فی غیر الطاهر، و عن بیع النجس من غیر إعلام بنجاسته و هکذا، أو أنّ الطهارة حکم تعبّدی نظیر قاعدة الطهارة من غیر ملاحظة حال المسلم و ظهوره؟</w:t>
      </w:r>
    </w:p>
    <w:p>
      <w:pPr>
        <w:pStyle w:val="BookText"/>
        <w:rPr/>
      </w:pPr>
      <w:r>
        <w:rPr>
          <w:rFonts w:ascii="IRNazanin" w:hAnsi="IRNazanin" w:eastAsia="IRNazanin"/>
          <w:color w:val="111111"/>
          <w:sz w:val="28"/>
          <w:sz w:val="28"/>
          <w:szCs w:val="28"/>
          <w:rtl w:val="true"/>
          <w:lang w:bidi="fa-IR"/>
        </w:rPr>
        <w:t>و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أمر تعبّدی کما هو الحال فی قاعدة الطهارة من غیر أن یلاحظ حال المسلم و ظهوره، و علیه فلا یعتبر فی الحکم بالطهارة شیء من الشرائط، و یبتنی استکشاف أنّه من باب التعبّد علی التأمّل فی أنّ السیرة الجاریة علی الحکم بالطهارة فی موارد الغیبة خاصّة بموارد وجود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أنّها جاریة فی جمیع الموارد حتّی فی الفاقد لتلک الشروط؟</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الأقرب أنّها عامّة لجمیع موارد الشکّ فی الطهارة و إن لم یکن واجداً للشروط؛ و ذلک لأنّ التأمّل فی سیرة الأئمّة علیهم السلام و تابعیهم فی عصرهم و غیره یعطی عدم اختصاصها بمورد دون مورد، کما أشار إلیه بعض الأعلام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bookmarkStart w:id="162" w:name="pg11755_254427"/>
    </w:p>
    <w:p>
      <w:pPr>
        <w:pStyle w:val="BookText"/>
        <w:rPr/>
      </w:pPr>
      <w:bookmarkEnd w:id="162"/>
      <w:r>
        <w:rPr>
          <w:rFonts w:ascii="IRNazanin" w:hAnsi="IRNazanin" w:eastAsia="IRNazanin"/>
          <w:color w:val="111111"/>
          <w:sz w:val="28"/>
          <w:sz w:val="28"/>
          <w:szCs w:val="28"/>
          <w:rtl w:val="true"/>
          <w:lang w:bidi="fa-IR"/>
        </w:rPr>
        <w:t>و جاء فی تفصیل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الإنصاف عموم الدلیل و عدم اختصاصه بصورة وجود الشرائط المذکورة کلّاً أو بعضاً، و منه یظهر أنّ الحکم بالطهارة حکم تعبّدی غیر مستند إلی تقدیم الظاهر علی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العمدة فی هذا الأمر هی السیرة</w:t>
      </w:r>
      <w:r>
        <w:rPr>
          <w:rStyle w:val="FootnoteAnchor"/>
          <w:rtl w:val="true"/>
        </w:rPr>
        <w:footnoteReference w:id="543"/>
      </w:r>
      <w:r>
        <w:rPr>
          <w:rFonts w:ascii="IRNazanin" w:hAnsi="IRNazanin" w:eastAsia="IRNazanin"/>
          <w:color w:val="111111"/>
          <w:sz w:val="28"/>
          <w:sz w:val="28"/>
          <w:szCs w:val="28"/>
          <w:rtl w:val="true"/>
          <w:lang w:bidi="fa-IR"/>
        </w:rPr>
        <w:t>المتّصلة بزمان الأئمّة علیهم السلام و الظاهر عدم اختصاصه بصورة وجود الشرائط‌</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9587372_73709187"/>
      <w:bookmarkStart w:id="164" w:name="_Toc60"/>
      <w:bookmarkEnd w:id="163"/>
      <w:r>
        <w:rPr>
          <w:rtl w:val="true"/>
        </w:rPr>
        <w:t>المطلب الثانی</w:t>
      </w:r>
      <w:r>
        <w:rPr>
          <w:rtl w:val="true"/>
        </w:rPr>
        <w:t xml:space="preserve">: </w:t>
      </w:r>
      <w:r>
        <w:rPr>
          <w:rtl w:val="true"/>
        </w:rPr>
        <w:t>اعتبار إخبار الصبیّ عن النجاسة أو الطهارة</w:t>
      </w:r>
      <w:bookmarkEnd w:id="164"/>
    </w:p>
    <w:p>
      <w:pPr>
        <w:pStyle w:val="Heading6"/>
        <w:numPr>
          <w:ilvl w:val="5"/>
          <w:numId w:val="1"/>
        </w:numPr>
        <w:rPr/>
      </w:pPr>
      <w:bookmarkStart w:id="165" w:name="__RefHeading___Toc9587374_73709187"/>
      <w:bookmarkStart w:id="166" w:name="_Toc61"/>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إذا أخبر الصبیّ الممیّز</w:t>
      </w:r>
      <w:r>
        <w:rPr>
          <w:rStyle w:val="FootnoteAnchor"/>
          <w:rtl w:val="true"/>
        </w:rPr>
        <w:footnoteReference w:id="545"/>
      </w:r>
      <w:r>
        <w:rPr>
          <w:rFonts w:ascii="IRNazanin" w:hAnsi="IRNazanin" w:eastAsia="IRNazanin"/>
          <w:color w:val="111111"/>
          <w:sz w:val="28"/>
          <w:sz w:val="28"/>
          <w:szCs w:val="28"/>
          <w:rtl w:val="true"/>
          <w:lang w:bidi="fa-IR"/>
        </w:rPr>
        <w:t>بنجاسة ما فی یده أو طهارته فهل یعتبر قوله أم لا؟</w:t>
      </w:r>
    </w:p>
    <w:p>
      <w:pPr>
        <w:pStyle w:val="BookText"/>
        <w:rPr/>
      </w:pPr>
      <w:r>
        <w:rPr>
          <w:rFonts w:ascii="IRNazanin" w:hAnsi="IRNazanin" w:eastAsia="IRNazanin"/>
          <w:color w:val="111111"/>
          <w:sz w:val="28"/>
          <w:sz w:val="28"/>
          <w:szCs w:val="28"/>
          <w:rtl w:val="true"/>
          <w:lang w:bidi="fa-IR"/>
        </w:rPr>
        <w:t>و لم یعنون هذا الفرع فی کلمات أصحابنا المتقدّمین، بل فی کلمات أکثر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تعرّض له جماعة من المعاصرین و بعض المتأخّرین، و فیه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المامقانی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یشترط فی اعتبار قول ذی الید</w:t>
      </w:r>
      <w:r>
        <w:rPr>
          <w:rStyle w:val="FootnoteAnchor"/>
          <w:rtl w:val="true"/>
        </w:rPr>
        <w:footnoteReference w:id="546"/>
      </w:r>
      <w:r>
        <w:rPr>
          <w:rFonts w:ascii="Amiri" w:hAnsi="Amiri" w:eastAsia="Amiri" w:cs="Amiri"/>
          <w:color w:val="111111"/>
          <w:sz w:val="28"/>
          <w:sz w:val="28"/>
          <w:szCs w:val="28"/>
          <w:rtl w:val="true"/>
          <w:lang w:bidi="ar-SA"/>
        </w:rPr>
        <w:t>العدالة</w:t>
      </w:r>
    </w:p>
    <w:p>
      <w:pPr>
        <w:pStyle w:val="BookText"/>
        <w:rPr/>
      </w:pPr>
      <w:r>
        <w:rPr>
          <w:rFonts w:ascii="IRNazanin" w:hAnsi="IRNazanin" w:eastAsia="IRNazanin"/>
          <w:color w:val="111111"/>
          <w:sz w:val="28"/>
          <w:sz w:val="28"/>
          <w:szCs w:val="28"/>
          <w:rtl w:val="true"/>
          <w:lang w:bidi="fa-IR"/>
        </w:rPr>
        <w:t>و لا الإیمان، و إنّما یعتبر العقل، بل و البلوغ علی الأظهر</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کتاب الطهارة للشیخ الأراکی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اعتبار البلوغ فلا یکون قول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مراهقاً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بنجاسة ما فی یده معتبراً</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استشکل فی العروة ثمّ نفی عنه البُعد،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اعتبار قول صاحب الید إذا کان صبیّاً إشکال، و إن کان لا یبعد إذا کان مراهقاً</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المحقّق النائینی بالمنع فی الممیّز، و استشکل فی المراهق</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مستندهم فی الحکم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القدر المتیقّن من الأدلّة الدالّة علی اعتبار قول ذی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و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البالغ و شمولها لغیره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 و هو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الثانی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أخبر بالإزالة قُبِلَ مطلقاً، سواء کان مکلّفاً أو لا مع کونه ممیّزاً</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الظاهر اعتبار قول الصبیّ إذا کان مراهقاً، بل إذا کان ممیّزاً و لو لم یکن مراهقاً؛ لجریان السیرة فی الصبیّ الممیّز مطلقاً</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bookmarkStart w:id="167" w:name="pg11755_254432"/>
    </w:p>
    <w:p>
      <w:pPr>
        <w:pStyle w:val="BookText"/>
        <w:rPr/>
      </w:pPr>
      <w:bookmarkEnd w:id="167"/>
      <w:r>
        <w:rPr>
          <w:rFonts w:ascii="IRNazanin" w:hAnsi="IRNazanin" w:eastAsia="IRNazanin"/>
          <w:color w:val="111111"/>
          <w:sz w:val="28"/>
          <w:sz w:val="28"/>
          <w:szCs w:val="28"/>
          <w:rtl w:val="true"/>
          <w:lang w:bidi="fa-IR"/>
        </w:rPr>
        <w:t>و کذا فی المستمسک</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قیّده بعض الأعلام فی صورة یمیّز الصبیّ النجس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اعتبار قول صاحب الید بین بلوغه و عدمه، بل یعتمد علیه حتّی إذا کان صبیّاً، إلّا أنّه کان بحیث یمیّز النجس عن غیره، و ذلک بمقتضی سیرة العقلاء؛ إذ رُبّ صبیّ أعقل من الرجال و أفهم من غیره، و إنّما فرّق الشارع بینهما من حیث التکالیف، و هو أمر آخر</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اشترط فی 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مراهقاً</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متوجّهاً إلی الطّهارة و النجاسة، و لم یکن متهاوناً و متسامحاً فی النجاسة</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أحتاط فی المسألة فی تحریر الوسیلة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مستندهم فی الحکم المذکور عموم السیرة و شمولها للصبیّ الممیّز کالبالغ کما فی المستمسک</w:t>
      </w:r>
      <w:r>
        <w:rPr>
          <w:rStyle w:val="FootnoteAnchor"/>
          <w:rtl w:val="true"/>
        </w:rPr>
        <w:footnoteReference w:id="558"/>
      </w:r>
      <w:r>
        <w:rPr>
          <w:rFonts w:ascii="IRNazanin" w:hAnsi="IRNazanin" w:eastAsia="IRNazanin"/>
          <w:color w:val="111111"/>
          <w:sz w:val="28"/>
          <w:sz w:val="28"/>
          <w:szCs w:val="28"/>
          <w:rtl w:val="true"/>
          <w:lang w:bidi="fa-IR"/>
        </w:rPr>
        <w:t>و غیره کما تقدّم</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8" w:name="__RefHeading___Toc9587376_73709187"/>
      <w:bookmarkStart w:id="169" w:name="_Toc62"/>
      <w:bookmarkEnd w:id="168"/>
      <w:r>
        <w:rPr>
          <w:rtl w:val="true"/>
        </w:rPr>
        <w:t>إیضاح</w:t>
      </w:r>
      <w:bookmarkEnd w:id="16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منشأ الاختلاف فی هذا الحکم هو النزاع فی أنّ أدلّة اعتبار قول</w:t>
      </w:r>
    </w:p>
    <w:p>
      <w:pPr>
        <w:pStyle w:val="BookText"/>
        <w:rPr/>
      </w:pPr>
      <w:r>
        <w:rPr>
          <w:rFonts w:ascii="IRNazanin" w:hAnsi="IRNazanin" w:eastAsia="IRNazanin"/>
          <w:color w:val="111111"/>
          <w:sz w:val="28"/>
          <w:sz w:val="28"/>
          <w:szCs w:val="28"/>
          <w:rtl w:val="true"/>
          <w:lang w:bidi="fa-IR"/>
        </w:rPr>
        <w:t>صاحب الید هل تشمل الصبیّ الممیّز أم لا؟</w:t>
      </w:r>
    </w:p>
    <w:p>
      <w:pPr>
        <w:pStyle w:val="BookText"/>
        <w:rPr/>
      </w:pPr>
      <w:r>
        <w:rPr>
          <w:rFonts w:ascii="IRNazanin" w:hAnsi="IRNazanin" w:eastAsia="IRNazanin"/>
          <w:color w:val="111111"/>
          <w:sz w:val="28"/>
          <w:sz w:val="28"/>
          <w:szCs w:val="28"/>
          <w:rtl w:val="true"/>
          <w:lang w:bidi="fa-IR"/>
        </w:rPr>
        <w:t>فمن قال بشمولها للصبیّ ذهب إلی اعتبار قوله فی المقام، و من استشکل فیه أو منعه قال بعدم اعتبار إخبار الصبیّ فی المسألة، إذاً لا بدّ من ملاحظة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المستند فی حجّیّة قول صاحب الید إذا کان هو السیرة القطعیّة العقلائیّة، و استقرار طریقتهم علی استکشاف حال الأشیاء بالرجوع إلی من کان مستولیاً علیها و متصرّفاً فیها، فلا شکّ فی عمومیّة السیرة، و أنّها شاملة للصبیّ کالبالغ، و أنّ مرتکزاتها تأبی عن دخل البلوغ علی نحو الموضوعیّة فی الحجّیّة؛ لأنّ ملاک اعتبار قول صاحب الید عند العقلاء کونه أزید اطّلاعاً من الغیر و أبصر بحال ما فی یده عن غیره و أبصریّته ناشئة عن استیلائه و کونه ذا ید علیه، و لذا لا یشترط فیه العدالة، فإذا أخبر صاحب الید عن شئون ما بیده یعتمد علی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فالظاهر أنّ السیرة و بناء العقلاء قائمتان علی الاعتماد بقول الصبیّ إذا کان متوجّهاً إلی الطّهارة و النجاسة، و یظهر من أحواله التعهّد برعایتها؛ إذ رُبّ صبیّ أعقل من الرجال و أفهم من غیره، و إنّما فرّق الشارع بینهما من حیث التکالیف، و هو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کونه مکلّفاً لا یقتضی عدم اعتبار قوله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یعتبر الوثوق بعدم کذبه، و الظاهر أنّ هذا القید یلاحظ فی صورة کون ذی الید بالغاً، کما أنّ الظاهر عدم الفرق بین الصبیّ و الصبیّة فی اعتبار قولهما و لا بین المراهق و غیره؛ لأنّ المناط هو التمییز بین الطهارة و النجاسة و معرفة کیفیّة التطهیر و التنجیس، و المراقبة فی التطهّر و التنزّه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المستند لاعتبار قول ذی الید هو الأخبار الواردة فی مختلف الأبواب</w:t>
      </w:r>
      <w:r>
        <w:rPr>
          <w:rStyle w:val="FootnoteAnchor"/>
          <w:rtl w:val="true"/>
        </w:rPr>
        <w:footnoteReference w:id="560"/>
      </w:r>
      <w:r>
        <w:rPr>
          <w:rFonts w:ascii="IRNazanin" w:hAnsi="IRNazanin" w:eastAsia="IRNazanin"/>
          <w:color w:val="111111"/>
          <w:sz w:val="28"/>
          <w:sz w:val="28"/>
          <w:szCs w:val="28"/>
          <w:rtl w:val="true"/>
          <w:lang w:bidi="fa-IR"/>
        </w:rPr>
        <w:t>فلا بدّ من ملاحظة ظهورها اللفظی و وجود عموم أو إطلاق فیها و عدمه، و الظاهر أنّ وجود الإطلاق أو العموم فی جملة من الروایات مشکل؛ لأنّ عنوان الرجل مأخوذ فیها إمّا سؤالاً و إمّا جواباً، و إمّا بحکم کون مورد الحجّیّة فرض صدور الإخبار من الراوی المخاطب و هو بالغ، فلا یمکن التعدّی إلی الصبیّ؛ لعدم صدق عنوان الرجل علیه کما ذهب إلیه السیّد الشهید الصدر قدس سره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الواردة فی حجّیّة قول صاحب الید إنّما وردت فی مورد سیرة العقلاء، بمعنی أنّ الشارع أمضی ما استقرّت علیه طریقة العقلاء من اعتبار قول صاحب الید من دون اشتراط أمر زائد علیه، فلا یبعد أن یکون اعتبار قول مخبر صاحب الید مفروغاً عنه عند الإمام علیه السلام و السائل، و إنّما وقع السؤال بعد مفروغیّة هذه الجهة فی خصوص إعارة الصلاة و جواز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خصوصیّة لباب النجاسات و باب المعاملات، بل یجوز الاعتماد علی قوله فی سائر الإخبارات المتعلِّقة بما تحت یده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ذکرنا ورود نصوص باعتبار قوله و قبول شهادته فی مورد الجروح و القصاص</w:t>
      </w:r>
      <w:r>
        <w:rPr>
          <w:rStyle w:val="FootnoteAnchor"/>
          <w:rtl w:val="true"/>
        </w:rPr>
        <w:footnoteReference w:id="562"/>
      </w:r>
      <w:r>
        <w:rPr>
          <w:rFonts w:ascii="IRNazanin" w:hAnsi="IRNazanin" w:eastAsia="IRNazanin"/>
          <w:color w:val="111111"/>
          <w:sz w:val="28"/>
          <w:sz w:val="28"/>
          <w:szCs w:val="28"/>
          <w:rtl w:val="true"/>
          <w:lang w:bidi="fa-IR"/>
        </w:rPr>
        <w:t>، فلا یبعد استفادة الأولویّة من تلک النصوص فی مورد</w:t>
      </w:r>
      <w:bookmarkStart w:id="170" w:name="pg11755_254438"/>
    </w:p>
    <w:p>
      <w:pPr>
        <w:pStyle w:val="BookText"/>
        <w:rPr/>
      </w:pPr>
      <w:bookmarkEnd w:id="170"/>
      <w:r>
        <w:rPr>
          <w:rFonts w:ascii="Amiri" w:hAnsi="Amiri" w:eastAsia="Amiri" w:cs="Amiri"/>
          <w:color w:val="111111"/>
          <w:sz w:val="28"/>
          <w:sz w:val="28"/>
          <w:szCs w:val="28"/>
          <w:rtl w:val="true"/>
          <w:lang w:bidi="ar-SA"/>
        </w:rPr>
        <w:t>الإخبار بالنجاسة و الطهارة، 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الصبیّ الممیّز خصوصاً المراهق منه یجوز أن یتعلّق به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مفصّلاً فی البحث عن مشروعیّة عبادات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یطلق علیه الرجل فی قول بعض اللغویّین، ففی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بضمّ الجیم و سکونه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إنّما هو إذا احتلم و شبّ، أو هو رجل ساعة یولد</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رجلاً فوق الغلام، و ذلک إذا احتلم و شبّ،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ساعة یلد من امّه إلی ما بعد ذلک</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فی تاج العروس</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قال فی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کتب کثیر من المحقّقین تقییده بالبالغ، و هو أقرب</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لیس ببعید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یطلق الرجل علی الصبیّ الممیّز أو المراهق، علی نحو العنایة و المجاز</w:t>
      </w:r>
      <w:r>
        <w:rPr>
          <w:rFonts w:eastAsia="IRNazanin" w:cs="IRNazanin"/>
          <w:color w:val="111111"/>
          <w:sz w:val="28"/>
          <w:szCs w:val="28"/>
          <w:rtl w:val="true"/>
          <w:lang w:bidi="fa-IR"/>
        </w:rPr>
        <w:t>.</w:t>
      </w:r>
    </w:p>
    <w:p>
      <w:pPr>
        <w:pStyle w:val="Heading6"/>
        <w:numPr>
          <w:ilvl w:val="5"/>
          <w:numId w:val="1"/>
        </w:numPr>
        <w:rPr/>
      </w:pPr>
      <w:bookmarkStart w:id="171" w:name="__RefHeading___Toc9587378_73709187"/>
      <w:bookmarkStart w:id="172" w:name="_Toc63"/>
      <w:bookmarkEnd w:id="171"/>
      <w:r>
        <w:rPr>
          <w:rtl w:val="true"/>
        </w:rPr>
        <w:t>آراء أهل السنّة فی المسألة</w:t>
      </w:r>
      <w:bookmarkEnd w:id="172"/>
    </w:p>
    <w:p>
      <w:pPr>
        <w:pStyle w:val="BookText"/>
        <w:rPr/>
      </w:pPr>
      <w:r>
        <w:rPr>
          <w:rFonts w:ascii="IRNazanin" w:hAnsi="IRNazanin" w:eastAsia="IRNazanin"/>
          <w:color w:val="111111"/>
          <w:sz w:val="28"/>
          <w:sz w:val="28"/>
          <w:szCs w:val="28"/>
          <w:rtl w:val="true"/>
          <w:lang w:bidi="fa-IR"/>
        </w:rPr>
        <w:t>ذهب الحنابلة إلی أنّه لو أخبر بتنجّس الماء أو غیره عدل أو ثقة مقبول الروایة یقبل قوله، و أمّا الصبیّ الممیّز فلا اعتبار بقوله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أخبره ثقة بنجاسة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القبول رجلاً کان</w:t>
      </w:r>
    </w:p>
    <w:p>
      <w:pPr>
        <w:pStyle w:val="BookText"/>
        <w:rPr/>
      </w:pPr>
      <w:r>
        <w:rPr>
          <w:rFonts w:ascii="IRNazanin" w:hAnsi="IRNazanin" w:eastAsia="IRNazanin"/>
          <w:color w:val="111111"/>
          <w:sz w:val="28"/>
          <w:sz w:val="28"/>
          <w:szCs w:val="28"/>
          <w:rtl w:val="true"/>
          <w:lang w:bidi="fa-IR"/>
        </w:rPr>
        <w:t>أو امرأة، بصیراً أو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یقبل خبر کافر و لا صبیّ و لا مجنون و لا فاسق؛ لأنّ روایتهم غیر مقبولة</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الإقناع</w:t>
      </w:r>
      <w:r>
        <w:rPr>
          <w:rStyle w:val="FootnoteAnchor"/>
          <w:rtl w:val="true"/>
        </w:rPr>
        <w:footnoteReference w:id="568"/>
      </w:r>
      <w:r>
        <w:rPr>
          <w:rFonts w:ascii="IRNazanin" w:hAnsi="IRNazanin" w:eastAsia="IRNazanin"/>
          <w:color w:val="111111"/>
          <w:sz w:val="28"/>
          <w:sz w:val="28"/>
          <w:szCs w:val="28"/>
          <w:rtl w:val="true"/>
          <w:lang w:bidi="fa-IR"/>
        </w:rPr>
        <w:t>و المغنی</w:t>
      </w:r>
      <w:r>
        <w:rPr>
          <w:rStyle w:val="FootnoteAnchor"/>
          <w:rtl w:val="true"/>
        </w:rPr>
        <w:footnoteReference w:id="569"/>
      </w:r>
      <w:r>
        <w:rPr>
          <w:rFonts w:ascii="IRNazanin" w:hAnsi="IRNazanin" w:eastAsia="IRNazanin"/>
          <w:color w:val="111111"/>
          <w:sz w:val="28"/>
          <w:sz w:val="28"/>
          <w:szCs w:val="28"/>
          <w:rtl w:val="true"/>
          <w:lang w:bidi="fa-IR"/>
        </w:rPr>
        <w:t>و کشّاف القناع</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الظاهر من کلمات بعض 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الخرشی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النجاسة تثبت بخبر الواحد البالغ عدل الروایة ذکراً کان أو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بیّن وجه النجاسة</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اختلفت الشافعیّة علی قولین، فقد صرّح فی مغنی المحتاج بأنّ المعتمد عدم قبول قول الصبیّ مطلقاً</w:t>
      </w:r>
      <w:r>
        <w:rPr>
          <w:rStyle w:val="FootnoteAnchor"/>
          <w:rtl w:val="true"/>
        </w:rPr>
        <w:footnoteReference w:id="572"/>
      </w:r>
      <w:r>
        <w:rPr>
          <w:rFonts w:ascii="IRNazanin" w:hAnsi="IRNazanin" w:eastAsia="IRNazanin"/>
          <w:color w:val="111111"/>
          <w:sz w:val="28"/>
          <w:sz w:val="28"/>
          <w:szCs w:val="28"/>
          <w:rtl w:val="true"/>
          <w:lang w:bidi="fa-IR"/>
        </w:rPr>
        <w:t>فی الإخبار عن النجاسة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نهایة المحتاج</w:t>
      </w:r>
      <w:r>
        <w:rPr>
          <w:rStyle w:val="FootnoteAnchor"/>
          <w:rtl w:val="true"/>
        </w:rPr>
        <w:footnoteReference w:id="573"/>
      </w:r>
      <w:r>
        <w:rPr>
          <w:rFonts w:ascii="Amiri" w:hAnsi="Amiri" w:eastAsia="Amiri" w:cs="Amiri"/>
          <w:color w:val="111111"/>
          <w:sz w:val="28"/>
          <w:sz w:val="28"/>
          <w:szCs w:val="28"/>
          <w:rtl w:val="true"/>
          <w:lang w:bidi="ar-SA"/>
        </w:rPr>
        <w:t>و تحفة المحتاج</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جاء فی البیان ما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هل یقبل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الإخبار عن نجاسة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الصبیّ المراهق؟ فیه وجهان،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قوله؛ لأنّه من أهل الإخبار،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قوله؛ لأنّه لیس من أهل الشهادة</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النووی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الصبیّ الممیّز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لا یقبل، و به قطع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لأنّه غیر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البغوی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الأصحّ</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نجد نصّاً للحنفیة فی هذا المطلب، و هکذا لم نعثر علی نصّ للمذاهب الأربعة فی المطلب الأوّل</w:t>
      </w:r>
      <w:r>
        <w:rPr>
          <w:rFonts w:eastAsia="IRNazanin" w:cs="IRNazanin"/>
          <w:color w:val="111111"/>
          <w:sz w:val="28"/>
          <w:szCs w:val="28"/>
          <w:rtl w:val="true"/>
          <w:lang w:bidi="fa-IR"/>
        </w:rPr>
        <w:t>.</w:t>
      </w:r>
      <w:bookmarkStart w:id="173" w:name="pg11755_254445"/>
    </w:p>
    <w:p>
      <w:pPr>
        <w:pStyle w:val="Heading3"/>
        <w:numPr>
          <w:ilvl w:val="2"/>
          <w:numId w:val="1"/>
        </w:numPr>
        <w:rPr/>
      </w:pPr>
      <w:bookmarkStart w:id="174" w:name="__RefHeading___Toc9587380_73709187"/>
      <w:bookmarkStart w:id="175" w:name="_Toc64"/>
      <w:bookmarkEnd w:id="173"/>
      <w:bookmarkEnd w:id="174"/>
      <w:r>
        <w:rPr>
          <w:rtl w:val="true"/>
        </w:rPr>
        <w:t>الفصل الثّانی</w:t>
      </w:r>
      <w:r>
        <w:rPr>
          <w:rtl w:val="true"/>
        </w:rPr>
        <w:t xml:space="preserve">: </w:t>
      </w:r>
      <w:r>
        <w:rPr>
          <w:rtl w:val="true"/>
        </w:rPr>
        <w:t>فی الطهارة من الحدث</w:t>
      </w:r>
      <w:bookmarkEnd w:id="175"/>
    </w:p>
    <w:p>
      <w:pPr>
        <w:pStyle w:val="Heading4"/>
        <w:numPr>
          <w:ilvl w:val="3"/>
          <w:numId w:val="1"/>
        </w:numPr>
        <w:rPr/>
      </w:pPr>
      <w:bookmarkStart w:id="176" w:name="__RefHeading___Toc9587382_73709187"/>
      <w:bookmarkStart w:id="177" w:name="_Toc65"/>
      <w:bookmarkEnd w:id="176"/>
      <w:r>
        <w:rPr>
          <w:rtl w:val="true"/>
        </w:rPr>
        <w:t>اشارة</w:t>
      </w:r>
      <w:bookmarkEnd w:id="17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مباحث</w:t>
      </w:r>
      <w:bookmarkStart w:id="178" w:name="pg11755_254449"/>
    </w:p>
    <w:p>
      <w:pPr>
        <w:pStyle w:val="Heading4"/>
        <w:numPr>
          <w:ilvl w:val="3"/>
          <w:numId w:val="1"/>
        </w:numPr>
        <w:rPr/>
      </w:pPr>
      <w:bookmarkStart w:id="179" w:name="__RefHeading___Toc9587384_73709187"/>
      <w:bookmarkStart w:id="180" w:name="_Toc66"/>
      <w:bookmarkEnd w:id="178"/>
      <w:bookmarkEnd w:id="179"/>
      <w:r>
        <w:rPr>
          <w:rtl w:val="true"/>
        </w:rPr>
        <w:t>المبحث الأوّل</w:t>
      </w:r>
      <w:r>
        <w:rPr>
          <w:rtl w:val="true"/>
        </w:rPr>
        <w:t xml:space="preserve">: </w:t>
      </w:r>
      <w:r>
        <w:rPr>
          <w:rtl w:val="true"/>
        </w:rPr>
        <w:t>حکم مسّ الصبیّ کتابة القرآن</w:t>
      </w:r>
      <w:bookmarkEnd w:id="180"/>
    </w:p>
    <w:p>
      <w:pPr>
        <w:pStyle w:val="Heading5"/>
        <w:numPr>
          <w:ilvl w:val="4"/>
          <w:numId w:val="1"/>
        </w:numPr>
        <w:rPr/>
      </w:pPr>
      <w:bookmarkStart w:id="181" w:name="__RefHeading___Toc9587386_73709187"/>
      <w:bookmarkStart w:id="182" w:name="_Toc67"/>
      <w:bookmarkEnd w:id="181"/>
      <w:r>
        <w:rPr>
          <w:rtl w:val="true"/>
        </w:rPr>
        <w:t>تمهید</w:t>
      </w:r>
      <w:bookmarkEnd w:id="182"/>
    </w:p>
    <w:p>
      <w:pPr>
        <w:pStyle w:val="BookText"/>
        <w:rPr/>
      </w:pPr>
      <w:r>
        <w:rPr>
          <w:rFonts w:ascii="IRNazanin" w:hAnsi="IRNazanin" w:eastAsia="IRNazanin"/>
          <w:color w:val="111111"/>
          <w:sz w:val="28"/>
          <w:sz w:val="28"/>
          <w:szCs w:val="28"/>
          <w:rtl w:val="true"/>
          <w:lang w:bidi="fa-IR"/>
        </w:rPr>
        <w:t xml:space="preserve">لا یجوز للمحدث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المتطهّر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کتابة القرآن کما فی الفقیه</w:t>
      </w:r>
      <w:r>
        <w:rPr>
          <w:rStyle w:val="FootnoteAnchor"/>
          <w:rtl w:val="true"/>
        </w:rPr>
        <w:footnoteReference w:id="577"/>
      </w:r>
      <w:r>
        <w:rPr>
          <w:rFonts w:ascii="IRNazanin" w:hAnsi="IRNazanin" w:eastAsia="IRNazanin"/>
          <w:color w:val="111111"/>
          <w:sz w:val="28"/>
          <w:sz w:val="28"/>
          <w:szCs w:val="28"/>
          <w:rtl w:val="true"/>
          <w:lang w:bidi="fa-IR"/>
        </w:rPr>
        <w:t>و التهذیب</w:t>
      </w:r>
      <w:r>
        <w:rPr>
          <w:rStyle w:val="FootnoteAnchor"/>
          <w:rtl w:val="true"/>
        </w:rPr>
        <w:footnoteReference w:id="578"/>
      </w:r>
      <w:r>
        <w:rPr>
          <w:rFonts w:ascii="IRNazanin" w:hAnsi="IRNazanin" w:eastAsia="IRNazanin"/>
          <w:color w:val="111111"/>
          <w:sz w:val="28"/>
          <w:sz w:val="28"/>
          <w:szCs w:val="28"/>
          <w:rtl w:val="true"/>
          <w:lang w:bidi="fa-IR"/>
        </w:rPr>
        <w:t>و الکافی لأبی الصلاح</w:t>
      </w:r>
      <w:r>
        <w:rPr>
          <w:rStyle w:val="FootnoteAnchor"/>
          <w:rtl w:val="true"/>
        </w:rPr>
        <w:footnoteReference w:id="579"/>
      </w:r>
      <w:r>
        <w:rPr>
          <w:rFonts w:ascii="IRNazanin" w:hAnsi="IRNazanin" w:eastAsia="IRNazanin"/>
          <w:color w:val="111111"/>
          <w:sz w:val="28"/>
          <w:sz w:val="28"/>
          <w:szCs w:val="28"/>
          <w:rtl w:val="true"/>
          <w:lang w:bidi="fa-IR"/>
        </w:rPr>
        <w:t>، و صرّح به الفاضلان</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 الشهیدان</w:t>
      </w:r>
      <w:r>
        <w:rPr>
          <w:rStyle w:val="FootnoteAnchor"/>
          <w:rtl w:val="true"/>
        </w:rPr>
        <w:footnoteReference w:id="581"/>
      </w:r>
      <w:r>
        <w:rPr>
          <w:rFonts w:ascii="IRNazanin" w:hAnsi="IRNazanin" w:eastAsia="IRNazanin"/>
          <w:color w:val="111111"/>
          <w:sz w:val="28"/>
          <w:sz w:val="28"/>
          <w:szCs w:val="28"/>
          <w:rtl w:val="true"/>
          <w:lang w:bidi="fa-IR"/>
        </w:rPr>
        <w:t>و غیرهم من أصحابنا المتأخّرین و متأخِّری المتأخِّرین و الفقهاء المعاصرین</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نسبه فی المعتبر و الذخیرة</w:t>
      </w:r>
      <w:r>
        <w:rPr>
          <w:rStyle w:val="FootnoteAnchor"/>
          <w:rtl w:val="true"/>
        </w:rPr>
        <w:footnoteReference w:id="583"/>
      </w:r>
      <w:r>
        <w:rPr>
          <w:rFonts w:ascii="IRNazanin" w:hAnsi="IRNazanin" w:eastAsia="IRNazanin"/>
          <w:color w:val="111111"/>
          <w:sz w:val="28"/>
          <w:sz w:val="28"/>
          <w:szCs w:val="28"/>
          <w:rtl w:val="true"/>
          <w:lang w:bidi="fa-IR"/>
        </w:rPr>
        <w:t>إلی المشهور، بل نقل الإجماع علیه</w:t>
      </w:r>
    </w:p>
    <w:p>
      <w:pPr>
        <w:pStyle w:val="BookText"/>
        <w:rPr/>
      </w:pPr>
      <w:r>
        <w:rPr>
          <w:rFonts w:ascii="IRNazanin" w:hAnsi="IRNazanin" w:eastAsia="IRNazanin"/>
          <w:color w:val="111111"/>
          <w:sz w:val="28"/>
          <w:sz w:val="28"/>
          <w:szCs w:val="28"/>
          <w:rtl w:val="true"/>
          <w:lang w:bidi="fa-IR"/>
        </w:rPr>
        <w:t>فی الخلاف</w:t>
      </w:r>
      <w:r>
        <w:rPr>
          <w:rStyle w:val="FootnoteAnchor"/>
          <w:rtl w:val="true"/>
        </w:rPr>
        <w:footnoteReference w:id="584"/>
      </w:r>
      <w:r>
        <w:rPr>
          <w:rFonts w:ascii="IRNazanin" w:hAnsi="IRNazanin" w:eastAsia="IRNazanin"/>
          <w:color w:val="111111"/>
          <w:sz w:val="28"/>
          <w:sz w:val="28"/>
          <w:szCs w:val="28"/>
          <w:rtl w:val="true"/>
          <w:lang w:bidi="fa-IR"/>
        </w:rPr>
        <w:t>، و کذا فی التبیان</w:t>
      </w:r>
      <w:r>
        <w:rPr>
          <w:rStyle w:val="FootnoteAnchor"/>
          <w:rtl w:val="true"/>
        </w:rPr>
        <w:footnoteReference w:id="585"/>
      </w:r>
      <w:r>
        <w:rPr>
          <w:rFonts w:ascii="IRNazanin" w:hAnsi="IRNazanin" w:eastAsia="IRNazanin"/>
          <w:color w:val="111111"/>
          <w:sz w:val="28"/>
          <w:sz w:val="28"/>
          <w:szCs w:val="28"/>
          <w:rtl w:val="true"/>
          <w:lang w:bidi="fa-IR"/>
        </w:rPr>
        <w:t>و مجمع البیان</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کشف الرموز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الظاهر بین الطائفة</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یدلّ علی هذا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علی رجوع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القرآن؛ لکونه المحدّث عنه فی الآیة؛ و لأنّ ما قبله و ما بعده صفة للقرآن، قال فی التبیان و مجمع البیان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عندنا أنّ الضمیر یعود إلی القرآن</w:t>
      </w:r>
      <w:r>
        <w:rPr>
          <w:rStyle w:val="FootnoteAnchor"/>
          <w:rtl w:val="true"/>
        </w:rPr>
        <w:footnoteReference w:id="588"/>
      </w:r>
      <w:r>
        <w:rPr>
          <w:rFonts w:ascii="IRNazanin" w:hAnsi="IRNazanin" w:eastAsia="IRNazanin"/>
          <w:color w:val="111111"/>
          <w:sz w:val="28"/>
          <w:sz w:val="28"/>
          <w:szCs w:val="28"/>
          <w:rtl w:val="true"/>
          <w:lang w:bidi="fa-IR"/>
        </w:rPr>
        <w:t>، فلا یجوز لغیر الطاهر مسّ کتابة القرآن</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یؤیّده استشهاد الإمام علیه السلام بالآیة فی المقام، ففی روایة إبراهیم بن عبد الحمید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المصحف لا تمسّه علی غیر طهر و لا جنباً، و لا تمسّ خطّه و لا تعلّقه، 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اشتمال الروایة علی حرمة التعلیق الذی لا یقول به أحد لا یقدح فی المطلوب؛ لأنّ اشتمال الروایة علی ما یکره بدلیل خارج لا یسقط دلالتها علی المطلوب کما ثبت فی محلّه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یمکن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یحمل علی معنی الأعمّ، بمعنی أنّه لا تدرک دقائقُه و بواطنُه إلّا بالعصمة، و هی الطهارة عن کلّ رجس، و أن لا یمسّ کتابته إلّا بالطهارة الظاهریّة عن کلّ حدث، مع أنّه حکی</w:t>
      </w:r>
    </w:p>
    <w:p>
      <w:pPr>
        <w:pStyle w:val="BookText"/>
        <w:rPr/>
      </w:pPr>
      <w:r>
        <w:rPr>
          <w:rFonts w:ascii="IRNazanin" w:hAnsi="IRNazanin" w:eastAsia="IRNazanin"/>
          <w:color w:val="111111"/>
          <w:sz w:val="28"/>
          <w:sz w:val="28"/>
          <w:szCs w:val="28"/>
          <w:rtl w:val="true"/>
          <w:lang w:bidi="fa-IR"/>
        </w:rPr>
        <w:t>عن السیّد العمل بمضمونها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علی المطلوب أیضاً مرسلة حریز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إسماعیل بن أبی عبد اللّه عنده،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اقرأ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لست علی وضوء،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 الکتابة و مسّ الورق و اقرأه</w:t>
      </w:r>
      <w:r>
        <w:rPr>
          <w:rFonts w:eastAsia="IRNazanin" w:cs="IRNazanin"/>
          <w:color w:val="111111"/>
          <w:sz w:val="28"/>
          <w:szCs w:val="28"/>
          <w:rtl w:val="true"/>
          <w:lang w:bidi="fa-IR"/>
        </w:rPr>
        <w:t>»</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صحیحة أو موثّقة أبی بصیر</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یقدح ما فی السند من الضعف لو سلّم؛ لانجباره بالشهرة و الإجماع المنقول، بل قد یدّعی بالإجماع المحصّل، لحمل لفظ الکراهة فی کلام الشیخ و ابن الجنید علی إرادة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روایة أبی بصیر إمّا أن تکون صحیحة أو موثّقة، علی الکلام فی الحسین بن المختار</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حریز و إن کان مرسلاً إلّا أنّه فی السند حمّاد، و هو ممّن أجمعت العصابة علی تصحیح ما یصحّ عنه، فلا یقدح ضعف من بعده علی أحد الوجهین فی تفسیرها</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کلامه حسن إلّا أنّ تحقّق الإجماع المحصّل بعید؛ لتصریح بعض الأصحاب بخلاف ذلک، فقد صرّح الشیخ فی المبسوط بالکراهة، و الظاهر أنّ الکراهة غیر الحرمة،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للمحدث مسّ کتابة المصحف، و علی هذا ینبغی أن یکون ذلک مکروهاً للصبیان فی الکتاتیب</w:t>
      </w:r>
      <w:r>
        <w:rPr>
          <w:rStyle w:val="FootnoteAnchor"/>
          <w:rtl w:val="true"/>
        </w:rPr>
        <w:footnoteReference w:id="595"/>
      </w:r>
      <w:r>
        <w:rPr>
          <w:rFonts w:ascii="IRNazanin" w:hAnsi="IRNazanin" w:eastAsia="IRNazanin"/>
          <w:color w:val="111111"/>
          <w:sz w:val="28"/>
          <w:sz w:val="28"/>
          <w:szCs w:val="28"/>
          <w:rtl w:val="true"/>
          <w:lang w:bidi="fa-IR"/>
        </w:rPr>
        <w:t>؛ لأنّه لا یصحّ منهم الوضوء، و ینبغی أن یمنعوا من مباشرة المکتوب من القرآن، و إن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الصبیان غیر مخاطبین</w:t>
      </w:r>
      <w:r>
        <w:rPr>
          <w:rStyle w:val="FootnoteAnchor"/>
          <w:rtl w:val="true"/>
        </w:rPr>
        <w:footnoteReference w:id="596"/>
      </w:r>
      <w:r>
        <w:rPr>
          <w:rFonts w:ascii="IRNazanin" w:hAnsi="IRNazanin" w:eastAsia="IRNazanin"/>
          <w:color w:val="111111"/>
          <w:sz w:val="28"/>
          <w:sz w:val="28"/>
          <w:szCs w:val="28"/>
          <w:rtl w:val="true"/>
          <w:lang w:bidi="fa-IR"/>
        </w:rPr>
        <w:t>ینبغی أن یقول بجواز ذلک فیخصّ العموم؛ لأنّ الأصل الإباحة</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اختاره ابن حمزة</w:t>
      </w:r>
      <w:r>
        <w:rPr>
          <w:rStyle w:val="FootnoteAnchor"/>
          <w:rtl w:val="true"/>
        </w:rPr>
        <w:footnoteReference w:id="598"/>
      </w:r>
      <w:r>
        <w:rPr>
          <w:rFonts w:ascii="IRNazanin" w:hAnsi="IRNazanin" w:eastAsia="IRNazanin"/>
          <w:color w:val="111111"/>
          <w:sz w:val="28"/>
          <w:sz w:val="28"/>
          <w:szCs w:val="28"/>
          <w:rtl w:val="true"/>
          <w:lang w:bidi="fa-IR"/>
        </w:rPr>
        <w:t>و ابن إدریس</w:t>
      </w:r>
      <w:r>
        <w:rPr>
          <w:rStyle w:val="FootnoteAnchor"/>
          <w:rtl w:val="true"/>
        </w:rPr>
        <w:footnoteReference w:id="599"/>
      </w:r>
      <w:r>
        <w:rPr>
          <w:rFonts w:ascii="IRNazanin" w:hAnsi="IRNazanin" w:eastAsia="IRNazanin"/>
          <w:color w:val="111111"/>
          <w:sz w:val="28"/>
          <w:sz w:val="28"/>
          <w:szCs w:val="28"/>
          <w:rtl w:val="true"/>
          <w:lang w:bidi="fa-IR"/>
        </w:rPr>
        <w:t>و ابن البرّاج</w:t>
      </w:r>
      <w:r>
        <w:rPr>
          <w:rStyle w:val="FootnoteAnchor"/>
          <w:rtl w:val="true"/>
        </w:rPr>
        <w:footnoteReference w:id="600"/>
      </w:r>
      <w:r>
        <w:rPr>
          <w:rFonts w:ascii="IRNazanin" w:hAnsi="IRNazanin" w:eastAsia="IRNazanin"/>
          <w:color w:val="111111"/>
          <w:sz w:val="28"/>
          <w:sz w:val="28"/>
          <w:szCs w:val="28"/>
          <w:rtl w:val="true"/>
          <w:lang w:bidi="fa-IR"/>
        </w:rPr>
        <w:t>، بل هو مقتضی ما حکی عن ابن الجنید</w:t>
      </w:r>
      <w:r>
        <w:rPr>
          <w:rStyle w:val="FootnoteAnchor"/>
          <w:rtl w:val="true"/>
        </w:rPr>
        <w:footnoteReference w:id="601"/>
      </w:r>
      <w:r>
        <w:rPr>
          <w:rFonts w:ascii="IRNazanin" w:hAnsi="IRNazanin" w:eastAsia="IRNazanin"/>
          <w:color w:val="111111"/>
          <w:sz w:val="28"/>
          <w:sz w:val="28"/>
          <w:szCs w:val="28"/>
          <w:rtl w:val="true"/>
          <w:lang w:bidi="fa-IR"/>
        </w:rPr>
        <w:t>، و مال إلیه جماعة من متأخّری المتأخّرین</w:t>
      </w:r>
      <w:r>
        <w:rPr>
          <w:rStyle w:val="FootnoteAnchor"/>
          <w:rtl w:val="true"/>
        </w:rPr>
        <w:footnoteReference w:id="602"/>
      </w:r>
      <w:r>
        <w:rPr>
          <w:rFonts w:ascii="Amiri" w:hAnsi="Amiri" w:eastAsia="Amiri" w:cs="Amiri"/>
          <w:color w:val="111111"/>
          <w:sz w:val="28"/>
          <w:sz w:val="28"/>
          <w:szCs w:val="28"/>
          <w:rtl w:val="true"/>
          <w:lang w:bidi="ar-SA"/>
        </w:rPr>
        <w:t>؛ لأنّهم استضعفوا ما استدلّ به للحرمة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الأدلّة التی تدلّ علی الحرمة تامّة، مع أنّ فی ذلک تعظیماً للقرآن الکریم، و حمل النصوص المتقدّمة علی الکراهة بعید، فالأقوی ما ذهب إلیه المشهور من القدماء و المتأخّرین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هذه المقدّمة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کون التحریم مختصّاً بالبالغین، و أمّا الصبیّ فلا یتوجّه إلیه التکلیف، و لا یتحقّق النهی فی حقّه؛ لرفع القلم عنه، فلا یحرم المسّ علی الصبیّ، کما فی المعتبر</w:t>
      </w:r>
      <w:r>
        <w:rPr>
          <w:rStyle w:val="FootnoteAnchor"/>
          <w:rtl w:val="true"/>
        </w:rPr>
        <w:footnoteReference w:id="603"/>
      </w:r>
      <w:r>
        <w:rPr>
          <w:rFonts w:ascii="IRNazanin" w:hAnsi="IRNazanin" w:eastAsia="IRNazanin"/>
          <w:color w:val="111111"/>
          <w:sz w:val="28"/>
          <w:sz w:val="28"/>
          <w:szCs w:val="28"/>
          <w:rtl w:val="true"/>
          <w:lang w:bidi="fa-IR"/>
        </w:rPr>
        <w:t>و التذکرة</w:t>
      </w:r>
      <w:r>
        <w:rPr>
          <w:rStyle w:val="FootnoteAnchor"/>
          <w:rtl w:val="true"/>
        </w:rPr>
        <w:footnoteReference w:id="604"/>
      </w:r>
      <w:r>
        <w:rPr>
          <w:rFonts w:ascii="IRNazanin" w:hAnsi="IRNazanin" w:eastAsia="IRNazanin"/>
          <w:color w:val="111111"/>
          <w:sz w:val="28"/>
          <w:sz w:val="28"/>
          <w:szCs w:val="28"/>
          <w:rtl w:val="true"/>
          <w:lang w:bidi="fa-IR"/>
        </w:rPr>
        <w:t>و المنتهی</w:t>
      </w:r>
      <w:r>
        <w:rPr>
          <w:rStyle w:val="FootnoteAnchor"/>
          <w:rtl w:val="true"/>
        </w:rPr>
        <w:footnoteReference w:id="605"/>
      </w:r>
      <w:r>
        <w:rPr>
          <w:rFonts w:ascii="IRNazanin" w:hAnsi="IRNazanin" w:eastAsia="IRNazanin"/>
          <w:color w:val="111111"/>
          <w:sz w:val="28"/>
          <w:sz w:val="28"/>
          <w:szCs w:val="28"/>
          <w:rtl w:val="true"/>
          <w:lang w:bidi="fa-IR"/>
        </w:rPr>
        <w:t>و مستند</w:t>
      </w:r>
      <w:bookmarkStart w:id="183" w:name="pg11755_254457"/>
    </w:p>
    <w:p>
      <w:pPr>
        <w:pStyle w:val="BookText"/>
        <w:rPr/>
      </w:pPr>
      <w:bookmarkEnd w:id="183"/>
      <w:r>
        <w:rPr>
          <w:rFonts w:ascii="IRNazanin" w:hAnsi="IRNazanin" w:eastAsia="IRNazanin"/>
          <w:color w:val="111111"/>
          <w:sz w:val="28"/>
          <w:sz w:val="28"/>
          <w:szCs w:val="28"/>
          <w:rtl w:val="true"/>
          <w:lang w:bidi="fa-IR"/>
        </w:rPr>
        <w:t>الشیعة</w:t>
      </w:r>
      <w:r>
        <w:rPr>
          <w:rStyle w:val="FootnoteAnchor"/>
          <w:rtl w:val="true"/>
        </w:rPr>
        <w:footnoteReference w:id="606"/>
      </w:r>
      <w:r>
        <w:rPr>
          <w:rFonts w:ascii="IRNazanin" w:hAnsi="IRNazanin" w:eastAsia="IRNazanin"/>
          <w:color w:val="111111"/>
          <w:sz w:val="28"/>
          <w:sz w:val="28"/>
          <w:szCs w:val="28"/>
          <w:rtl w:val="true"/>
          <w:lang w:bidi="fa-IR"/>
        </w:rPr>
        <w:t>و الجواهر</w:t>
      </w:r>
      <w:r>
        <w:rPr>
          <w:rStyle w:val="FootnoteAnchor"/>
          <w:rtl w:val="true"/>
        </w:rPr>
        <w:footnoteReference w:id="607"/>
      </w:r>
      <w:r>
        <w:rPr>
          <w:rFonts w:ascii="IRNazanin" w:hAnsi="IRNazanin" w:eastAsia="IRNazanin"/>
          <w:color w:val="111111"/>
          <w:sz w:val="28"/>
          <w:sz w:val="28"/>
          <w:szCs w:val="28"/>
          <w:rtl w:val="true"/>
          <w:lang w:bidi="fa-IR"/>
        </w:rPr>
        <w:t>و غیرها</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هنا وظیفة الولیّ فی ذلک</w:t>
      </w:r>
      <w:r>
        <w:rPr>
          <w:rFonts w:eastAsia="IRNazanin" w:cs="IRNazanin"/>
          <w:color w:val="111111"/>
          <w:sz w:val="28"/>
          <w:szCs w:val="28"/>
          <w:rtl w:val="true"/>
          <w:lang w:bidi="fa-IR"/>
        </w:rPr>
        <w:t>.</w:t>
      </w:r>
    </w:p>
    <w:p>
      <w:pPr>
        <w:pStyle w:val="Heading5"/>
        <w:numPr>
          <w:ilvl w:val="4"/>
          <w:numId w:val="1"/>
        </w:numPr>
        <w:rPr/>
      </w:pPr>
      <w:bookmarkStart w:id="184" w:name="__RefHeading___Toc9587388_73709187"/>
      <w:bookmarkStart w:id="185" w:name="_Toc68"/>
      <w:bookmarkEnd w:id="184"/>
      <w:r>
        <w:rPr>
          <w:rtl w:val="true"/>
        </w:rPr>
        <w:t>عدم وجوب منع الولیّ الصبیَّ من المسّ‌</w:t>
      </w:r>
      <w:bookmarkEnd w:id="185"/>
    </w:p>
    <w:p>
      <w:pPr>
        <w:pStyle w:val="Heading6"/>
        <w:numPr>
          <w:ilvl w:val="5"/>
          <w:numId w:val="1"/>
        </w:numPr>
        <w:rPr/>
      </w:pPr>
      <w:bookmarkStart w:id="186" w:name="__RefHeading___Toc9587390_73709187"/>
      <w:bookmarkStart w:id="187" w:name="_Toc69"/>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 xml:space="preserve">هل یجب علی الولیّ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الصبیّ من مسّ کتابة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یحرم علیه تمکینه من ذلک کما لو ناوله الولیّ للقراءة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فیه قولان</w:t>
      </w:r>
      <w:r>
        <w:rPr>
          <w:rFonts w:eastAsia="IRNazanin" w:cs="IRNazanin"/>
          <w:color w:val="111111"/>
          <w:sz w:val="28"/>
          <w:szCs w:val="28"/>
          <w:rtl w:val="true"/>
          <w:lang w:bidi="fa-IR"/>
        </w:rPr>
        <w:t>:</w:t>
      </w:r>
    </w:p>
    <w:p>
      <w:pPr>
        <w:pStyle w:val="Heading6"/>
        <w:numPr>
          <w:ilvl w:val="5"/>
          <w:numId w:val="1"/>
        </w:numPr>
        <w:rPr/>
      </w:pPr>
      <w:bookmarkStart w:id="188" w:name="__RefHeading___Toc9587392_73709187"/>
      <w:bookmarkStart w:id="189" w:name="_Toc70"/>
      <w:bookmarkEnd w:id="188"/>
      <w:r>
        <w:rPr>
          <w:rtl w:val="true"/>
        </w:rPr>
        <w:t>القول الأوّل</w:t>
      </w:r>
      <w:r>
        <w:rPr>
          <w:rtl w:val="true"/>
        </w:rPr>
        <w:t xml:space="preserve">: </w:t>
      </w:r>
      <w:r>
        <w:rPr>
          <w:rtl w:val="true"/>
        </w:rPr>
        <w:t>أنّه یجب</w:t>
      </w:r>
      <w:bookmarkEnd w:id="189"/>
    </w:p>
    <w:p>
      <w:pPr>
        <w:pStyle w:val="BookText"/>
        <w:rPr/>
      </w:pPr>
      <w:r>
        <w:rPr>
          <w:rFonts w:ascii="IRNazanin" w:hAnsi="IRNazanin" w:eastAsia="IRNazanin"/>
          <w:color w:val="111111"/>
          <w:sz w:val="28"/>
          <w:sz w:val="28"/>
          <w:szCs w:val="28"/>
          <w:rtl w:val="true"/>
          <w:lang w:bidi="fa-IR"/>
        </w:rPr>
        <w:t>قال المحقّق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یمنع من مسّ الکتابة، أمّا هو فلا یتوجّه إلیه التکلیف، و لا یتحقّق النهی فی حقّه</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 و اختاره فی التذکرة</w:t>
      </w:r>
      <w:r>
        <w:rPr>
          <w:rStyle w:val="FootnoteAnchor"/>
          <w:rtl w:val="true"/>
        </w:rPr>
        <w:footnoteReference w:id="610"/>
      </w:r>
      <w:r>
        <w:rPr>
          <w:rFonts w:ascii="IRNazanin" w:hAnsi="IRNazanin" w:eastAsia="IRNazanin"/>
          <w:color w:val="111111"/>
          <w:sz w:val="28"/>
          <w:sz w:val="28"/>
          <w:szCs w:val="28"/>
          <w:rtl w:val="true"/>
          <w:lang w:bidi="fa-IR"/>
        </w:rPr>
        <w:t>و المنتهی</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و التحریر</w:t>
      </w:r>
      <w:r>
        <w:rPr>
          <w:rStyle w:val="FootnoteAnchor"/>
          <w:rtl w:val="true"/>
        </w:rPr>
        <w:footnoteReference w:id="612"/>
      </w:r>
      <w:r>
        <w:rPr>
          <w:rFonts w:ascii="IRNazanin" w:hAnsi="IRNazanin" w:eastAsia="IRNazanin"/>
          <w:color w:val="111111"/>
          <w:sz w:val="28"/>
          <w:sz w:val="28"/>
          <w:szCs w:val="28"/>
          <w:rtl w:val="true"/>
          <w:lang w:bidi="fa-IR"/>
        </w:rPr>
        <w:t>و کشف الالتباس</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منع الصبیّ من مسّ القرآن و إن تطهّر وجه؛ لعدم ارتفاع حدثه، و وجه الجواز إباحة الصلاة له بطهره؛ و لعدم التکلیف فی حقّه، أمّا قبل الطهارة فالمنع أقرب</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bookmarkStart w:id="190" w:name="pg11755_254459"/>
    </w:p>
    <w:p>
      <w:pPr>
        <w:pStyle w:val="BookText"/>
        <w:rPr/>
      </w:pPr>
      <w:bookmarkEnd w:id="190"/>
      <w:r>
        <w:rPr>
          <w:rFonts w:ascii="IRNazanin" w:hAnsi="IRNazanin" w:eastAsia="IRNazanin"/>
          <w:color w:val="111111"/>
          <w:sz w:val="28"/>
          <w:sz w:val="28"/>
          <w:szCs w:val="28"/>
          <w:rtl w:val="true"/>
          <w:lang w:bidi="fa-IR"/>
        </w:rPr>
        <w:t>و هو الظاهر من کلام المحقّق القمّی</w:t>
      </w:r>
      <w:r>
        <w:rPr>
          <w:rStyle w:val="FootnoteAnchor"/>
          <w:rtl w:val="true"/>
        </w:rPr>
        <w:footnoteReference w:id="615"/>
      </w:r>
      <w:r>
        <w:rPr>
          <w:rFonts w:ascii="IRNazanin" w:hAnsi="IRNazanin" w:eastAsia="IRNazanin"/>
          <w:color w:val="111111"/>
          <w:sz w:val="28"/>
          <w:sz w:val="28"/>
          <w:szCs w:val="28"/>
          <w:rtl w:val="true"/>
          <w:lang w:bidi="fa-IR"/>
        </w:rPr>
        <w:t>، و اختاره الشیخ الأعظم</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 المحدّث البحرانی</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1" w:name="__RefHeading___Toc9587394_73709187"/>
      <w:bookmarkStart w:id="192" w:name="_Toc71"/>
      <w:bookmarkEnd w:id="191"/>
      <w:r>
        <w:rPr>
          <w:rtl w:val="true"/>
        </w:rPr>
        <w:t>أدلّة هذا الحکم</w:t>
      </w:r>
      <w:bookmarkEnd w:id="192"/>
    </w:p>
    <w:p>
      <w:pPr>
        <w:pStyle w:val="BookText"/>
        <w:rPr/>
      </w:pPr>
      <w:r>
        <w:rPr>
          <w:rFonts w:ascii="IRNazanin" w:hAnsi="IRNazanin" w:eastAsia="IRNazanin"/>
          <w:color w:val="111111"/>
          <w:sz w:val="28"/>
          <w:sz w:val="28"/>
          <w:szCs w:val="28"/>
          <w:rtl w:val="true"/>
          <w:lang w:bidi="fa-IR"/>
        </w:rPr>
        <w:t>و یمکن أنّ یستدلّ له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الظاهر من الآیة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المسوقة لبیان الاحترام خصوصاً بملاحظة استفادة النهی فیه من الجملة الخبریّة الّتی وضعت للدلالة علی أن لا یقع الفعل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أن لا یقع؛ لأنّ الفرق بین الجمل الإنشائیّة و الخبریّة أنّ فاعل الفعل هو المنهی فی الإنشائیّة، بخلاف الخبریّة، حیث إنّ المطلوب فیها عدم وقوع الفعل فی الخارج مطلقاً، سواء کان الفاعل بالغاً أو صبیّاً ممیّزاً، و حینئذٍ فطلب عدم المسّ و إن کان من المکلّفین إلّا أنّ المسّ المطلوب عدمه عامّ لغیر البالغین، مثل السرقة و غیرها من القبائح التی یجب علی الولیّ منع الأطفال و المجانین من ارتکابها، فتدلّ الآیة علی وجوب منع کلّ من یرید مسّ کتابة القرآن غیر متطهّر</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من المسّ فی الآیة خاصّ بالمکلّفین، و المسّ بما هو مسّ</w:t>
      </w:r>
    </w:p>
    <w:p>
      <w:pPr>
        <w:pStyle w:val="BookText"/>
        <w:rPr/>
      </w:pPr>
      <w:r>
        <w:rPr>
          <w:rFonts w:ascii="IRNazanin" w:hAnsi="IRNazanin" w:eastAsia="IRNazanin"/>
          <w:color w:val="111111"/>
          <w:sz w:val="28"/>
          <w:sz w:val="28"/>
          <w:szCs w:val="28"/>
          <w:rtl w:val="true"/>
          <w:lang w:bidi="fa-IR"/>
        </w:rPr>
        <w:t>لم یقم دلیل علی مبغوضیّته مع قطع النظر عن إسناده إلی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الطفل کتابة القرآن حال کونه غیر متطهّر لم یکن کقتل النفس أو شرب الخمر الذی علم عدم رضا الشارع بوجودهما فی الخارج مطلقاً، کما صرّح به غیر واحد من الأعلام</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منع الولیّ أو غیره من البالغین منافٍ لتعظیم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ظاهر، قال فی 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المنع من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منافیاً للتعظیم،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شرعاً؛ لعدم 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لا دلیل علی وجوب أکمل 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تحرم الإهانة و الاستحقار و هما غیر متلازمین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أنّ مسّ الطفل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الإهانة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القرآن کما یتحقّق بالعمل به و التدبّر فیه و فهم لطائف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بتعلیمه للأطفال، حیث إنّ عدم تعلیمهم یوجب بُعدهم من القرآن، و هو مخالف لتعظیمه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استحباب تعلیم القرآن من النصوص المستفیضة، بل المتواترة</w:t>
      </w:r>
      <w:r>
        <w:rPr>
          <w:rStyle w:val="FootnoteAnchor"/>
          <w:rtl w:val="true"/>
        </w:rPr>
        <w:footnoteReference w:id="621"/>
      </w:r>
      <w:r>
        <w:rPr>
          <w:rFonts w:ascii="IRNazanin" w:hAnsi="IRNazanin" w:eastAsia="IRNazanin"/>
          <w:color w:val="111111"/>
          <w:sz w:val="28"/>
          <w:sz w:val="28"/>
          <w:szCs w:val="28"/>
          <w:rtl w:val="true"/>
          <w:lang w:bidi="fa-IR"/>
        </w:rPr>
        <w:t>، و صرّح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کان من حقوق الأولاد علی آبائهم</w:t>
      </w:r>
      <w:r>
        <w:rPr>
          <w:rStyle w:val="FootnoteAnchor"/>
          <w:rtl w:val="true"/>
        </w:rPr>
        <w:footnoteReference w:id="622"/>
      </w:r>
      <w:r>
        <w:rPr>
          <w:rFonts w:ascii="IRNazanin" w:hAnsi="IRNazanin" w:eastAsia="IRNazanin"/>
          <w:color w:val="111111"/>
          <w:sz w:val="28"/>
          <w:sz w:val="28"/>
          <w:szCs w:val="28"/>
          <w:rtl w:val="true"/>
          <w:lang w:bidi="fa-IR"/>
        </w:rPr>
        <w:t>، و کان هذا دأب المتدیّنین فی القرون الماضیة إلی الآن، بل السیرة القطعیّة بین الشیعة و أهل</w:t>
      </w:r>
      <w:bookmarkStart w:id="193" w:name="pg11755_254464"/>
    </w:p>
    <w:p>
      <w:pPr>
        <w:pStyle w:val="BookText"/>
        <w:rPr/>
      </w:pPr>
      <w:bookmarkEnd w:id="193"/>
      <w:r>
        <w:rPr>
          <w:rFonts w:ascii="Amiri" w:hAnsi="Amiri" w:eastAsia="Amiri" w:cs="Amiri"/>
          <w:color w:val="111111"/>
          <w:sz w:val="28"/>
          <w:sz w:val="28"/>
          <w:szCs w:val="28"/>
          <w:rtl w:val="true"/>
          <w:lang w:bidi="ar-SA"/>
        </w:rPr>
        <w:t>السنّة قائمة علی ذلک، مع أنّه لا ینفکّ عرفاً</w:t>
      </w:r>
      <w:r>
        <w:rPr>
          <w:rStyle w:val="FootnoteAnchor"/>
          <w:rtl w:val="true"/>
        </w:rPr>
        <w:footnoteReference w:id="623"/>
      </w:r>
      <w:r>
        <w:rPr>
          <w:rFonts w:ascii="Amiri" w:hAnsi="Amiri" w:eastAsia="Amiri" w:cs="Amiri"/>
          <w:color w:val="111111"/>
          <w:sz w:val="28"/>
          <w:sz w:val="28"/>
          <w:szCs w:val="28"/>
          <w:rtl w:val="true"/>
          <w:lang w:bidi="ar-SA"/>
        </w:rPr>
        <w:t>و عادة عن مسّهم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استحباب تعلیم القرآن للأطفال و الحکم بوجوب منعهم عن مسّه 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قضیّة إسماعیل فی المرسلة المتقدّمة</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ظاهرة فی کون إسماعیل یومئذٍ غیر بالغ</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إلی ضعف 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قرینة علی ذلک إلّا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مصغّراً، و لکن یحتمل أن یکون التصغیر إظهاراً لحبّه علیه السلام ولده إسماعیل، و ما قد یصغّر لذلک</w:t>
      </w:r>
      <w:r>
        <w:rPr>
          <w:rStyle w:val="FootnoteAnchor"/>
          <w:rtl w:val="true"/>
        </w:rPr>
        <w:footnoteReference w:id="626"/>
      </w:r>
      <w:r>
        <w:rPr>
          <w:rFonts w:ascii="IRNazanin" w:hAnsi="IRNazanin" w:eastAsia="IRNazanin"/>
          <w:color w:val="111111"/>
          <w:sz w:val="28"/>
          <w:sz w:val="28"/>
          <w:szCs w:val="28"/>
          <w:rtl w:val="true"/>
          <w:lang w:bidi="fa-IR"/>
        </w:rPr>
        <w:t>، فالحکم بکون إسماعیل غیر بالغ فی وقت صدور الروایة مشکل</w:t>
      </w:r>
      <w:r>
        <w:rPr>
          <w:rFonts w:eastAsia="IRNazanin" w:cs="IRNazanin"/>
          <w:color w:val="111111"/>
          <w:sz w:val="28"/>
          <w:szCs w:val="28"/>
          <w:rtl w:val="true"/>
          <w:lang w:bidi="fa-IR"/>
        </w:rPr>
        <w:t>.</w:t>
      </w:r>
    </w:p>
    <w:p>
      <w:pPr>
        <w:pStyle w:val="Heading6"/>
        <w:numPr>
          <w:ilvl w:val="5"/>
          <w:numId w:val="1"/>
        </w:numPr>
        <w:rPr/>
      </w:pPr>
      <w:bookmarkStart w:id="194" w:name="__RefHeading___Toc9587396_73709187"/>
      <w:bookmarkStart w:id="195" w:name="_Toc72"/>
      <w:bookmarkEnd w:id="194"/>
      <w:r>
        <w:rPr>
          <w:rtl w:val="true"/>
        </w:rPr>
        <w:t>القول الثانی</w:t>
      </w:r>
      <w:r>
        <w:rPr>
          <w:rtl w:val="true"/>
        </w:rPr>
        <w:t xml:space="preserve">: </w:t>
      </w:r>
      <w:r>
        <w:rPr>
          <w:rtl w:val="true"/>
        </w:rPr>
        <w:t>أنّه لا یجب</w:t>
      </w:r>
      <w:bookmarkEnd w:id="195"/>
    </w:p>
    <w:p>
      <w:pPr>
        <w:pStyle w:val="BookText"/>
        <w:rPr/>
      </w:pP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فی الروض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 أنّ التحریم من باب خطاب الشرع المختصّ بالمکلّف، فلا یمنع الصبیّ منه لعدم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منعه تمریناً</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و کذا فی المدارک</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وجوب منع الصبیّ علی الولیّ قولان، الأظهر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استحباب منعه علی الولیّ تمریناً</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bookmarkStart w:id="196" w:name="pg11755_254466"/>
    </w:p>
    <w:p>
      <w:pPr>
        <w:pStyle w:val="BookText"/>
        <w:rPr/>
      </w:pPr>
      <w:bookmarkEnd w:id="196"/>
      <w:r>
        <w:rPr>
          <w:rFonts w:ascii="IRNazanin" w:hAnsi="IRNazanin" w:eastAsia="IRNazanin"/>
          <w:color w:val="111111"/>
          <w:sz w:val="28"/>
          <w:sz w:val="28"/>
          <w:szCs w:val="28"/>
          <w:rtl w:val="true"/>
          <w:lang w:bidi="fa-IR"/>
        </w:rPr>
        <w:t>و اختاره فی الجواهر</w:t>
      </w:r>
      <w:r>
        <w:rPr>
          <w:rStyle w:val="FootnoteAnchor"/>
          <w:rtl w:val="true"/>
        </w:rPr>
        <w:footnoteReference w:id="630"/>
      </w:r>
      <w:r>
        <w:rPr>
          <w:rFonts w:ascii="IRNazanin" w:hAnsi="IRNazanin" w:eastAsia="IRNazanin"/>
          <w:color w:val="111111"/>
          <w:sz w:val="28"/>
          <w:sz w:val="28"/>
          <w:szCs w:val="28"/>
          <w:rtl w:val="true"/>
          <w:lang w:bidi="fa-IR"/>
        </w:rPr>
        <w:t>، و به قال أیضاً جماعة من أعلام العصر</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و غیرهم</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7" w:name="__RefHeading___Toc9587398_73709187"/>
      <w:bookmarkStart w:id="198" w:name="_Toc73"/>
      <w:bookmarkEnd w:id="197"/>
      <w:r>
        <w:rPr>
          <w:rtl w:val="true"/>
        </w:rPr>
        <w:t>أدلّة عدم وجوب المنع</w:t>
      </w:r>
      <w:bookmarkEnd w:id="198"/>
    </w:p>
    <w:p>
      <w:pPr>
        <w:pStyle w:val="BookText"/>
        <w:rPr/>
      </w:pPr>
      <w:r>
        <w:rPr>
          <w:rFonts w:ascii="IRNazanin" w:hAnsi="IRNazanin" w:eastAsia="IRNazanin"/>
          <w:color w:val="111111"/>
          <w:sz w:val="28"/>
          <w:sz w:val="28"/>
          <w:szCs w:val="28"/>
          <w:rtl w:val="true"/>
          <w:lang w:bidi="fa-IR"/>
        </w:rPr>
        <w:t>و یدلّ علی عدم وجوب المنع علی الولیّ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المستفاد من الآیة الکریمة</w:t>
      </w:r>
      <w:r>
        <w:rPr>
          <w:rStyle w:val="FootnoteAnchor"/>
          <w:rtl w:val="true"/>
        </w:rPr>
        <w:footnoteReference w:id="634"/>
      </w:r>
      <w:r>
        <w:rPr>
          <w:rFonts w:ascii="IRNazanin" w:hAnsi="IRNazanin" w:eastAsia="IRNazanin"/>
          <w:color w:val="111111"/>
          <w:sz w:val="28"/>
          <w:sz w:val="28"/>
          <w:szCs w:val="28"/>
          <w:rtl w:val="true"/>
          <w:lang w:bidi="fa-IR"/>
        </w:rPr>
        <w:t>یختصّ بالبالغین، و لا دلیل علی وجوب منع غیر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عموم الأدلّة بهذا المعنی ممّا لا وجه له، و إلّا لجری فی غیره من التکالیف کالکذب و الغیبة و نحوهما</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بتعلیم الأطفال قراءة القرآن ممّا یشعر بجواز مسّه؛ لکونه من ضروریّاته</w:t>
      </w:r>
      <w:r>
        <w:rPr>
          <w:rStyle w:val="FootnoteAnchor"/>
          <w:rtl w:val="true"/>
        </w:rPr>
        <w:footnoteReference w:id="636"/>
      </w:r>
      <w:r>
        <w:rPr>
          <w:rFonts w:ascii="IRNazanin" w:hAnsi="IRNazanin" w:eastAsia="IRNazanin"/>
          <w:color w:val="111111"/>
          <w:sz w:val="28"/>
          <w:sz w:val="28"/>
          <w:szCs w:val="28"/>
          <w:rtl w:val="true"/>
          <w:lang w:bidi="fa-IR"/>
        </w:rPr>
        <w:t>عرفاً، کما فی الجواهر أیضاً</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قائمة علی إعطاء القرآن بأیدی الأطفال، مع أنّه لا ینفکّ</w:t>
      </w:r>
      <w:bookmarkStart w:id="199" w:name="pg11755_254468"/>
    </w:p>
    <w:p>
      <w:pPr>
        <w:pStyle w:val="BookText"/>
        <w:rPr/>
      </w:pPr>
      <w:bookmarkEnd w:id="199"/>
      <w:r>
        <w:rPr>
          <w:rFonts w:ascii="IRNazanin" w:hAnsi="IRNazanin" w:eastAsia="IRNazanin"/>
          <w:color w:val="111111"/>
          <w:sz w:val="28"/>
          <w:sz w:val="28"/>
          <w:szCs w:val="28"/>
          <w:rtl w:val="true"/>
          <w:lang w:bidi="fa-IR"/>
        </w:rPr>
        <w:t>عادة و عرفاً عن مسّهم کتابته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الفقیه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تکلیف الولیّ بالمراقبة و المحافظة فی طول مدّة تعلیم الأطفال قراءة القرآن یکون حرجیّاً</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0" w:name="__RefHeading___Toc9587400_73709187"/>
      <w:bookmarkStart w:id="201" w:name="_Toc74"/>
      <w:bookmarkEnd w:id="200"/>
      <w:r>
        <w:rPr>
          <w:rtl w:val="true"/>
        </w:rPr>
        <w:t>فرعان</w:t>
      </w:r>
      <w:bookmarkEnd w:id="20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وجوب المنع یختصّ بما إذا لم یکن مسّ الصبیّ للقرآن هتکاً و إهانةً له کما إذا ناوله الولیّ للقراءة و التعلیم، و أمّا إذا کان هتکاً و استحقاراً فلا إشکال فی حرمته و وجوب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منع الأطفال و المجانین من المسّ، إلّا إذا کان ممّا یعدّ هتکاً</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بوجوب المنع علی الولیّ یرتفع الوجوب لو توضّأ الصبیّ، بناءً علی شرعیّة وضوءه و تأثیره فی رفع الحدث، و الأقوی أنّ عباداته مشروعة کما نبّهنا علیه فی محلّه فراجع</w:t>
      </w:r>
      <w:r>
        <w:rPr>
          <w:rStyle w:val="FootnoteAnchor"/>
          <w:rtl w:val="true"/>
        </w:rPr>
        <w:footnoteReference w:id="641"/>
      </w:r>
      <w:r>
        <w:rPr>
          <w:rFonts w:ascii="IRNazanin" w:hAnsi="IRNazanin" w:eastAsia="IRNazanin"/>
          <w:color w:val="111111"/>
          <w:sz w:val="28"/>
          <w:sz w:val="28"/>
          <w:szCs w:val="28"/>
          <w:rtl w:val="true"/>
          <w:lang w:bidi="fa-IR"/>
        </w:rPr>
        <w:t>، و أمّا علی القول بعدم مشروعیّة عباداته فلا أثر لوضوئه و لا یرتفع حکم وجوب المنع</w:t>
      </w:r>
      <w:r>
        <w:rPr>
          <w:rFonts w:eastAsia="IRNazanin" w:cs="IRNazanin"/>
          <w:color w:val="111111"/>
          <w:sz w:val="28"/>
          <w:szCs w:val="28"/>
          <w:rtl w:val="true"/>
          <w:lang w:bidi="fa-IR"/>
        </w:rPr>
        <w:t>.</w:t>
      </w:r>
    </w:p>
    <w:p>
      <w:pPr>
        <w:pStyle w:val="Heading5"/>
        <w:numPr>
          <w:ilvl w:val="4"/>
          <w:numId w:val="1"/>
        </w:numPr>
        <w:rPr/>
      </w:pPr>
      <w:bookmarkStart w:id="202" w:name="__RefHeading___Toc9587402_73709187"/>
      <w:bookmarkStart w:id="203" w:name="_Toc75"/>
      <w:bookmarkEnd w:id="202"/>
      <w:r>
        <w:rPr>
          <w:rtl w:val="true"/>
        </w:rPr>
        <w:t>التسبیب لمسّ الطفل کتابة القرآن</w:t>
      </w:r>
      <w:bookmarkEnd w:id="20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یحرم تسبیب الولیّ أو غیره لمسّ الصبیّ کتابة القرآن أم لا؟ 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مطلقاً کما فی العروة،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الأحوط عدم التسبیب لمسّهم</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و اختاره بعض المعلّقین علیها</w:t>
      </w:r>
      <w:r>
        <w:rPr>
          <w:rStyle w:val="FootnoteAnchor"/>
          <w:rtl w:val="true"/>
        </w:rPr>
        <w:footnoteReference w:id="643"/>
      </w:r>
      <w:r>
        <w:rPr>
          <w:rFonts w:ascii="IRNazanin" w:hAnsi="IRNazanin" w:eastAsia="IRNazanin"/>
          <w:color w:val="111111"/>
          <w:sz w:val="28"/>
          <w:sz w:val="28"/>
          <w:szCs w:val="28"/>
          <w:rtl w:val="true"/>
          <w:lang w:bidi="fa-IR"/>
        </w:rPr>
        <w:t>، و کذا فی مهذّب الأحکام</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إذا کان التسبیب بإعطائهم له</w:t>
      </w:r>
      <w:r>
        <w:rPr>
          <w:rStyle w:val="FootnoteAnchor"/>
          <w:rtl w:val="true"/>
        </w:rPr>
        <w:footnoteReference w:id="645"/>
      </w:r>
      <w:r>
        <w:rPr>
          <w:rFonts w:ascii="IRNazanin" w:hAnsi="IRNazanin" w:eastAsia="IRNazanin"/>
          <w:color w:val="111111"/>
          <w:sz w:val="28"/>
          <w:sz w:val="28"/>
          <w:szCs w:val="28"/>
          <w:rtl w:val="true"/>
          <w:lang w:bidi="fa-IR"/>
        </w:rPr>
        <w:t>و مناولتهم إیّاه بأن کان التسبیب بإیجاد مقدّمة من مقدّمات أفعالهم، و الظاهر أنّه لا دلیل علی حرمة هذا مع قیام السیرة القطعیّة علی مناولتهم القرآن فی الأعصار الماضیّة إلی الآن بحیث یفتتح لهم بالکتاب الکریم فی أوّل تعالیمهم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بصدور نفس العمل من الغیر، کما إذا أخذ إصبع الصبیّ أو المجنون و وضعها علی الکتاب، فهذا لا یبعد حرمته؛ لأنّه مسّ من المکلّف حقیقةً، أی إیجاد مسّ الصبیّ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العصیان و المخالفة بین إیجاد العمل المحرّم بالمباشرة و بین إیجاده بالتسبیب، و کلاهما یعدّ عصیاناً للنهی بحسب الارتکاز و الفهم العرفی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إلی هذا القول السادة الفقهاء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الأصفهانی و الخمینی و الگلپایگانی</w:t>
      </w:r>
      <w:r>
        <w:rPr>
          <w:rStyle w:val="FootnoteAnchor"/>
          <w:rtl w:val="true"/>
        </w:rPr>
        <w:footnoteReference w:id="646"/>
      </w:r>
      <w:r>
        <w:rPr>
          <w:rFonts w:ascii="IRNazanin" w:hAnsi="IRNazanin" w:eastAsia="IRNazanin"/>
          <w:color w:val="111111"/>
          <w:sz w:val="28"/>
          <w:sz w:val="28"/>
          <w:szCs w:val="28"/>
          <w:rtl w:val="true"/>
          <w:lang w:bidi="fa-IR"/>
        </w:rPr>
        <w:t>و الشیخ محمّد تقی الآملی</w:t>
      </w:r>
      <w:r>
        <w:rPr>
          <w:rStyle w:val="FootnoteAnchor"/>
          <w:rtl w:val="true"/>
        </w:rPr>
        <w:footnoteReference w:id="647"/>
      </w:r>
      <w:r>
        <w:rPr>
          <w:rFonts w:ascii="IRNazanin" w:hAnsi="IRNazanin" w:eastAsia="IRNazanin"/>
          <w:color w:val="111111"/>
          <w:sz w:val="28"/>
          <w:sz w:val="28"/>
          <w:szCs w:val="28"/>
          <w:rtl w:val="true"/>
          <w:lang w:bidi="fa-IR"/>
        </w:rPr>
        <w:t>و الشیخ الفاضل اللنکرانی</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الحرمة مطلقاً، أی فی کلتا الصورتین؛ لأنّه و إن ثبت فی محلّه أنّ مقتضی الفهم العرفی و الارتکاز عدم الفرق فی العصیان و المخالفة بین إیجاد العمل المحرّم بالمباشرة و بین إیجاده بالتسبیب، إلّا أنّ ذلک یختصّ‌</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بما إذا کان العمل محرّماً فی حقّ المباشر، و أمّا إذا کان العمل مباحاً فلا مانع من إیجاد الفعل بالتسبیب إلیه، و الأمر فی المقام کذلک؛ لأنّ المسّ الصادر من غیر المکلّف إنّما یصدر علی وجه الحلال، فلا مانع من إیجاد المسّ بیده، کما ذهب إلیه السادة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الخوئی</w:t>
      </w:r>
      <w:r>
        <w:rPr>
          <w:rStyle w:val="FootnoteAnchor"/>
          <w:rtl w:val="true"/>
        </w:rPr>
        <w:footnoteReference w:id="650"/>
      </w:r>
      <w:r>
        <w:rPr>
          <w:rFonts w:ascii="IRNazanin" w:hAnsi="IRNazanin" w:eastAsia="IRNazanin"/>
          <w:color w:val="111111"/>
          <w:sz w:val="28"/>
          <w:sz w:val="28"/>
          <w:szCs w:val="28"/>
          <w:rtl w:val="true"/>
          <w:lang w:bidi="fa-IR"/>
        </w:rPr>
        <w:t>و الحکیم</w:t>
      </w:r>
      <w:r>
        <w:rPr>
          <w:rStyle w:val="FootnoteAnchor"/>
          <w:rtl w:val="true"/>
        </w:rPr>
        <w:footnoteReference w:id="651"/>
      </w:r>
      <w:r>
        <w:rPr>
          <w:rFonts w:ascii="IRNazanin" w:hAnsi="IRNazanin" w:eastAsia="IRNazanin"/>
          <w:color w:val="111111"/>
          <w:sz w:val="28"/>
          <w:sz w:val="28"/>
          <w:szCs w:val="28"/>
          <w:rtl w:val="true"/>
          <w:lang w:bidi="fa-IR"/>
        </w:rPr>
        <w:t>و عبد الهادی الشیرازی</w:t>
      </w:r>
      <w:r>
        <w:rPr>
          <w:rStyle w:val="FootnoteAnchor"/>
          <w:rtl w:val="true"/>
        </w:rPr>
        <w:footnoteReference w:id="652"/>
      </w:r>
      <w:r>
        <w:rPr>
          <w:rFonts w:ascii="IRNazanin" w:hAnsi="IRNazanin" w:eastAsia="IRNazanin"/>
          <w:color w:val="111111"/>
          <w:sz w:val="28"/>
          <w:sz w:val="28"/>
          <w:szCs w:val="28"/>
          <w:rtl w:val="true"/>
          <w:lang w:bidi="fa-IR"/>
        </w:rPr>
        <w:t>و بعض آخر</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قرّرناه فی القول بالتفصیل، حیث إنّ المباشر فی الصورة الثانیة غیر مؤثّر فی المسّ، بل صدر المسّ من المکلّف حقیقةً و هو محرّم، و لکن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الحرمة هو مسّ المکلّف المحدث لکتابة القرآن، و أمّا غیر المکلّف فلیس موضوعاً للحکم، فلا یحرم مسّه و إن کان بتسبیب المکلّف، فعلی هذا ما یکون الولیّ مسبّباً لإیجاده لیس محرّماً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یحرم أم لا؟ أو یقال بالتفصیل بین ما إذا کان التسبیب بإعطاء الولیّ القرآن للصبیّ أو بإصدار نفس العمل منه، کما إذا أخذ إصبع الصبیّ و وضعها علی الکتاب، فتأمّل</w:t>
      </w:r>
      <w:r>
        <w:rPr>
          <w:rFonts w:eastAsia="IRNazanin" w:cs="IRNazanin"/>
          <w:color w:val="111111"/>
          <w:sz w:val="28"/>
          <w:szCs w:val="28"/>
          <w:rtl w:val="true"/>
          <w:lang w:bidi="fa-IR"/>
        </w:rPr>
        <w:t>.</w:t>
      </w:r>
      <w:bookmarkStart w:id="204" w:name="pg11755_254474"/>
    </w:p>
    <w:p>
      <w:pPr>
        <w:pStyle w:val="Heading5"/>
        <w:numPr>
          <w:ilvl w:val="4"/>
          <w:numId w:val="1"/>
        </w:numPr>
        <w:rPr/>
      </w:pPr>
      <w:bookmarkStart w:id="205" w:name="__RefHeading___Toc9587404_73709187"/>
      <w:bookmarkStart w:id="206" w:name="_Toc76"/>
      <w:bookmarkEnd w:id="204"/>
      <w:bookmarkEnd w:id="205"/>
      <w:r>
        <w:rPr>
          <w:rtl w:val="true"/>
        </w:rPr>
        <w:t>آراء أهل السنّة فی مسّ الصبیّ المصحف</w:t>
      </w:r>
      <w:bookmarkEnd w:id="206"/>
    </w:p>
    <w:p>
      <w:pPr>
        <w:pStyle w:val="BookText"/>
        <w:rPr/>
      </w:pPr>
      <w:r>
        <w:rPr>
          <w:rFonts w:ascii="IRNazanin" w:hAnsi="IRNazanin" w:eastAsia="IRNazanin"/>
          <w:color w:val="111111"/>
          <w:sz w:val="28"/>
          <w:sz w:val="28"/>
          <w:szCs w:val="28"/>
          <w:rtl w:val="true"/>
          <w:lang w:bidi="fa-IR"/>
        </w:rPr>
        <w:t>ذهب الحنفیّة و المالکیّة إلی أنّه یجوز للصبیّ مسّ المصحف بغیر طهارة، و یری الحنابلة و الشافعیّة أنّ فیه وجهین، و إلیک نصّ بعض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الفتاوی الهندیّة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بدفع المصحف إلی الصبیان و إن کانوا محدثین، و هو الصحیح</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فتح القدیر</w:t>
      </w:r>
      <w:r>
        <w:rPr>
          <w:rStyle w:val="FootnoteAnchor"/>
          <w:rtl w:val="true"/>
        </w:rPr>
        <w:footnoteReference w:id="655"/>
      </w:r>
      <w:r>
        <w:rPr>
          <w:rFonts w:ascii="IRNazanin" w:hAnsi="IRNazanin" w:eastAsia="IRNazanin"/>
          <w:color w:val="111111"/>
          <w:sz w:val="28"/>
          <w:sz w:val="28"/>
          <w:szCs w:val="28"/>
          <w:rtl w:val="true"/>
          <w:lang w:bidi="fa-IR"/>
        </w:rPr>
        <w:t>و مواهب الجلیل</w:t>
      </w:r>
      <w:r>
        <w:rPr>
          <w:rStyle w:val="FootnoteAnchor"/>
          <w:rtl w:val="true"/>
        </w:rPr>
        <w:footnoteReference w:id="656"/>
      </w:r>
      <w:r>
        <w:rPr>
          <w:rFonts w:ascii="IRNazanin" w:hAnsi="IRNazanin" w:eastAsia="IRNazanin"/>
          <w:color w:val="111111"/>
          <w:sz w:val="28"/>
          <w:sz w:val="28"/>
          <w:szCs w:val="28"/>
          <w:rtl w:val="true"/>
          <w:lang w:bidi="fa-IR"/>
        </w:rPr>
        <w:t>و حاشیة الدسوقی</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مسّ الصبیان الکتاتیب ألواحهم التی فیها القرآن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لأنّه موضع حاجة، فلو اشترطنا الطهارة أدّی إلی تنفیرهم عن حفظه،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لدخولهم فی عموم الآیة</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کشّاف</w:t>
      </w:r>
      <w:r>
        <w:rPr>
          <w:rStyle w:val="FootnoteAnchor"/>
          <w:rtl w:val="true"/>
        </w:rPr>
        <w:footnoteReference w:id="659"/>
      </w:r>
      <w:r>
        <w:rPr>
          <w:rFonts w:ascii="IRNazanin" w:hAnsi="IRNazanin" w:eastAsia="IRNazanin"/>
          <w:color w:val="111111"/>
          <w:sz w:val="28"/>
          <w:sz w:val="28"/>
          <w:szCs w:val="28"/>
          <w:rtl w:val="true"/>
          <w:lang w:bidi="fa-IR"/>
        </w:rPr>
        <w:t>القناع و الفروع</w:t>
      </w:r>
      <w:r>
        <w:rPr>
          <w:rStyle w:val="FootnoteAnchor"/>
          <w:rtl w:val="true"/>
        </w:rPr>
        <w:footnoteReference w:id="660"/>
      </w:r>
      <w:r>
        <w:rPr>
          <w:rFonts w:ascii="IRNazanin" w:hAnsi="IRNazanin" w:eastAsia="IRNazanin"/>
          <w:color w:val="111111"/>
          <w:sz w:val="28"/>
          <w:sz w:val="28"/>
          <w:szCs w:val="28"/>
          <w:rtl w:val="true"/>
          <w:lang w:bidi="fa-IR"/>
        </w:rPr>
        <w:t>و الإنصاف</w:t>
      </w:r>
      <w:r>
        <w:rPr>
          <w:rStyle w:val="FootnoteAnchor"/>
          <w:rtl w:val="true"/>
        </w:rPr>
        <w:footnoteReference w:id="661"/>
      </w:r>
      <w:r>
        <w:rPr>
          <w:rFonts w:ascii="IRNazanin" w:hAnsi="IRNazanin" w:eastAsia="IRNazanin"/>
          <w:color w:val="111111"/>
          <w:sz w:val="28"/>
          <w:sz w:val="28"/>
          <w:szCs w:val="28"/>
          <w:rtl w:val="true"/>
          <w:lang w:bidi="fa-IR"/>
        </w:rPr>
        <w:t>و الکافی</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یجوز للصبیان حمل الألواح و هم محدثون؟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کما لا یجوز لغیرهم،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لأنّ طهارتهم لا تحتفظ و حاجتهم إلی ذلک ماسّة</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یجب علی ولیّ الصغیر تکلیفه الطهارة لمسّ القرآن؟ قال الشافعیّة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الصبیّ فإن کان غیر ممیّز لم یجز لولیّه تمکینه من المصحف؛ لئلا ینتهکه، و إن کان ممیّزاً فهل یجب علی الولیّ و المعلّم تکلیفه الطهارة لحمل المصحف و اللوح و مسّهما؟ فیه وجهان مشهوران، أصحّهما عند الأصحاب لا یجب للمشقّة</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یجب منعه من ذلک؛ لحاجة تعلّمه و مشقّة استمراره متطهّراً، بل یستحبّ</w:t>
      </w:r>
      <w:r>
        <w:rPr>
          <w:rFonts w:eastAsia="IRNazanin" w:cs="IRNazanin"/>
          <w:color w:val="111111"/>
          <w:sz w:val="28"/>
          <w:szCs w:val="28"/>
          <w:rtl w:val="true"/>
          <w:lang w:bidi="fa-IR"/>
        </w:rPr>
        <w:t>»</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نهایة المحتاج</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بعض الحنابلة بوجوبه، قال فی کشّاف القناع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الماسّ للمصحف صغیراً فلا یجوز لولیّه تمکینه من مسّه إلّا بطهارة کاملة کالمکلّف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تمکین الصغیر من مسّ المحلّ المکتوب فیه القرآن بلا طهارة</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نجد للحنفیّة و المالکیّة نصّاً فی هذا الفرع</w:t>
      </w:r>
      <w:r>
        <w:rPr>
          <w:rFonts w:eastAsia="Amiri" w:cs="Amiri" w:ascii="Amiri" w:hAnsi="Amiri"/>
          <w:color w:val="111111"/>
          <w:sz w:val="28"/>
          <w:szCs w:val="28"/>
          <w:rtl w:val="true"/>
          <w:lang w:bidi="ar-SA"/>
        </w:rPr>
        <w:t>.</w:t>
      </w:r>
      <w:bookmarkStart w:id="207" w:name="pg11755_254479"/>
    </w:p>
    <w:p>
      <w:pPr>
        <w:pStyle w:val="Heading4"/>
        <w:numPr>
          <w:ilvl w:val="3"/>
          <w:numId w:val="1"/>
        </w:numPr>
        <w:rPr/>
      </w:pPr>
      <w:bookmarkStart w:id="208" w:name="__RefHeading___Toc9587406_73709187"/>
      <w:bookmarkStart w:id="209" w:name="_Toc77"/>
      <w:bookmarkEnd w:id="207"/>
      <w:bookmarkEnd w:id="208"/>
      <w:r>
        <w:rPr>
          <w:rtl w:val="true"/>
        </w:rPr>
        <w:t>المبحث الثانی</w:t>
      </w:r>
      <w:r>
        <w:rPr>
          <w:rtl w:val="true"/>
        </w:rPr>
        <w:t xml:space="preserve">: </w:t>
      </w:r>
      <w:r>
        <w:rPr>
          <w:rtl w:val="true"/>
        </w:rPr>
        <w:t>جنابة الصبیّ و صحّة غسله و حکم عرقه لو أجنب من حرام</w:t>
      </w:r>
      <w:bookmarkEnd w:id="209"/>
    </w:p>
    <w:p>
      <w:pPr>
        <w:pStyle w:val="Heading5"/>
        <w:numPr>
          <w:ilvl w:val="4"/>
          <w:numId w:val="1"/>
        </w:numPr>
        <w:rPr/>
      </w:pPr>
      <w:bookmarkStart w:id="210" w:name="__RefHeading___Toc9587408_73709187"/>
      <w:bookmarkStart w:id="211" w:name="_Toc78"/>
      <w:bookmarkEnd w:id="210"/>
      <w:r>
        <w:rPr>
          <w:rtl w:val="true"/>
        </w:rPr>
        <w:t>تمهید</w:t>
      </w:r>
      <w:bookmarkEnd w:id="211"/>
    </w:p>
    <w:p>
      <w:pPr>
        <w:pStyle w:val="BookText"/>
        <w:rPr/>
      </w:pPr>
      <w:r>
        <w:rPr>
          <w:rFonts w:ascii="IRNazanin" w:hAnsi="IRNazanin" w:eastAsia="IRNazanin"/>
          <w:color w:val="111111"/>
          <w:sz w:val="28"/>
          <w:sz w:val="28"/>
          <w:szCs w:val="28"/>
          <w:rtl w:val="true"/>
          <w:lang w:bidi="fa-IR"/>
        </w:rPr>
        <w:t>الجنابة بفتح الجیم مصدر، و معناها فی اللغة ضدّ القرب و القرابة، جنّب الشیء و تجنّبه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عنه، و الجنابة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الخاصّ‌</w:t>
      </w:r>
      <w:r>
        <w:rPr>
          <w:rStyle w:val="FootnoteAnchor"/>
          <w:rtl w:val="true"/>
        </w:rPr>
        <w:footnoteReference w:id="669"/>
      </w:r>
      <w:r>
        <w:rPr>
          <w:rFonts w:ascii="IRNazanin" w:hAnsi="IRNazanin" w:eastAsia="IRNazanin"/>
          <w:color w:val="111111"/>
          <w:sz w:val="28"/>
          <w:sz w:val="28"/>
          <w:szCs w:val="28"/>
          <w:rtl w:val="true"/>
          <w:lang w:bidi="fa-IR"/>
        </w:rPr>
        <w:t>، قال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سمّی جنباً لبعده عن أحکام الطاهرین</w:t>
      </w:r>
      <w:r>
        <w:rPr>
          <w:rFonts w:eastAsia="IRNazanin" w:cs="IRNazanin"/>
          <w:color w:val="111111"/>
          <w:sz w:val="28"/>
          <w:szCs w:val="28"/>
          <w:rtl w:val="true"/>
          <w:lang w:bidi="fa-IR"/>
        </w:rPr>
        <w:t>»</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الروض</w:t>
      </w:r>
      <w:r>
        <w:rPr>
          <w:rStyle w:val="FootnoteAnchor"/>
          <w:rtl w:val="true"/>
        </w:rPr>
        <w:footnoteReference w:id="671"/>
      </w:r>
      <w:r>
        <w:rPr>
          <w:rFonts w:ascii="IRNazanin" w:hAnsi="IRNazanin" w:eastAsia="IRNazanin"/>
          <w:color w:val="111111"/>
          <w:sz w:val="28"/>
          <w:sz w:val="28"/>
          <w:szCs w:val="28"/>
          <w:rtl w:val="true"/>
          <w:lang w:bidi="fa-IR"/>
        </w:rPr>
        <w:t>و الجواهر</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جنباً لاجتنابه مواضع الصلاة</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سببها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إنزال المنی مطلقاً، من الرجل و المرأة، کیفما خرج،</w:t>
      </w:r>
      <w:bookmarkStart w:id="212" w:name="pg11755_254480"/>
    </w:p>
    <w:p>
      <w:pPr>
        <w:pStyle w:val="BookText"/>
        <w:rPr/>
      </w:pPr>
      <w:bookmarkEnd w:id="212"/>
      <w:r>
        <w:rPr>
          <w:rFonts w:ascii="IRNazanin" w:hAnsi="IRNazanin" w:eastAsia="IRNazanin"/>
          <w:color w:val="111111"/>
          <w:sz w:val="28"/>
          <w:sz w:val="28"/>
          <w:szCs w:val="28"/>
          <w:rtl w:val="true"/>
          <w:lang w:bidi="fa-IR"/>
        </w:rPr>
        <w:t>نوماً أو یقظة، و هذا ممّا لا خلاف فیه، و ادّعی علیه الإجماع فی التذکرة</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و الغنیة</w:t>
      </w:r>
      <w:r>
        <w:rPr>
          <w:rStyle w:val="FootnoteAnchor"/>
          <w:rtl w:val="true"/>
        </w:rPr>
        <w:footnoteReference w:id="675"/>
      </w:r>
      <w:r>
        <w:rPr>
          <w:rFonts w:ascii="IRNazanin" w:hAnsi="IRNazanin" w:eastAsia="IRNazanin"/>
          <w:color w:val="111111"/>
          <w:sz w:val="28"/>
          <w:sz w:val="28"/>
          <w:szCs w:val="28"/>
          <w:rtl w:val="true"/>
          <w:lang w:bidi="fa-IR"/>
        </w:rPr>
        <w:t>و کشف اللثام</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 إجماع المسلمین</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الضرورة أنّ هذا لا یتحقّق من الصبیّ و الصبیّة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و یحصل بإدخال الحشفة أو مقدارها من مقطوعها فی قُبُل أو دُبُر آدمی و إن لم یتحقّق الإنزال، و یترتّب علیه أحکام فی الفقه کوجوب الغسل و ثبوت المهر و العدّة و وجوب النفقة و الحرمة بالمصاهرة و حرمة الصلاة و الطواف و مسّ خط المصحف و غیرها، و هذا فی الجملة بالنسبة إلی البالغین ممّا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خلاف فیه فی الواطئ و الموطوء مع اجتماع شرائط التکلیف، بل علیه الإجماع محصّلاً و منقولاً نقلاً مستفیضاً کاد یکون متواتراً</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الکلام فی الصبیّ من أنّه هل تتحقّق منه الجنابة بهذا السبب أم لا؟ و هذا هو المقصود بالبحث فی هذا المقام</w:t>
      </w:r>
      <w:r>
        <w:rPr>
          <w:rFonts w:eastAsia="IRNazanin" w:cs="IRNazanin"/>
          <w:color w:val="111111"/>
          <w:sz w:val="28"/>
          <w:szCs w:val="28"/>
          <w:rtl w:val="true"/>
          <w:lang w:bidi="fa-IR"/>
        </w:rPr>
        <w:t>.</w:t>
      </w:r>
    </w:p>
    <w:p>
      <w:pPr>
        <w:pStyle w:val="Heading5"/>
        <w:numPr>
          <w:ilvl w:val="4"/>
          <w:numId w:val="1"/>
        </w:numPr>
        <w:rPr/>
      </w:pPr>
      <w:bookmarkStart w:id="213" w:name="__RefHeading___Toc9587410_73709187"/>
      <w:bookmarkStart w:id="214" w:name="_Toc79"/>
      <w:bookmarkEnd w:id="213"/>
      <w:r>
        <w:rPr>
          <w:rtl w:val="true"/>
        </w:rPr>
        <w:t>عدم تحقّق الجنابة من الصبیّ بالإیلاج</w:t>
      </w:r>
      <w:bookmarkEnd w:id="21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أولج الصبیّ بالبالغ أو بالعکس، أو أولج الصبیّ بالصبیّ أو بالصبیّة</w:t>
      </w:r>
    </w:p>
    <w:p>
      <w:pPr>
        <w:pStyle w:val="BookText"/>
        <w:rPr/>
      </w:pPr>
      <w:r>
        <w:rPr>
          <w:rFonts w:ascii="IRNazanin" w:hAnsi="IRNazanin" w:eastAsia="IRNazanin"/>
          <w:color w:val="111111"/>
          <w:sz w:val="28"/>
          <w:sz w:val="28"/>
          <w:szCs w:val="28"/>
          <w:rtl w:val="true"/>
          <w:lang w:bidi="fa-IR"/>
        </w:rPr>
        <w:t>هل تتحقّق من الصبیّ الجنابة أم لا؟ فیه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کما یظهر من کلمات 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وطئ الصبیّ أو وطئت الصبیّة احتمل عدم الجنابة؛ لعدم وجوب الصلاة فی حقّهما</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التذکرة</w:t>
      </w:r>
      <w:r>
        <w:rPr>
          <w:rStyle w:val="FootnoteAnchor"/>
          <w:rtl w:val="true"/>
        </w:rPr>
        <w:footnoteReference w:id="680"/>
      </w:r>
      <w:r>
        <w:rPr>
          <w:rFonts w:ascii="IRNazanin" w:hAnsi="IRNazanin" w:eastAsia="IRNazanin"/>
          <w:color w:val="111111"/>
          <w:sz w:val="28"/>
          <w:sz w:val="28"/>
          <w:szCs w:val="28"/>
          <w:rtl w:val="true"/>
          <w:lang w:bidi="fa-IR"/>
        </w:rPr>
        <w:t>و التحریر</w:t>
      </w:r>
      <w:r>
        <w:rPr>
          <w:rStyle w:val="FootnoteAnchor"/>
          <w:rtl w:val="true"/>
        </w:rPr>
        <w:footnoteReference w:id="681"/>
      </w:r>
      <w:r>
        <w:rPr>
          <w:rFonts w:ascii="IRNazanin" w:hAnsi="IRNazanin" w:eastAsia="IRNazanin"/>
          <w:color w:val="111111"/>
          <w:sz w:val="28"/>
          <w:sz w:val="28"/>
          <w:szCs w:val="28"/>
          <w:rtl w:val="true"/>
          <w:lang w:bidi="fa-IR"/>
        </w:rPr>
        <w:t>و الذکری</w:t>
      </w:r>
      <w:r>
        <w:rPr>
          <w:rStyle w:val="FootnoteAnchor"/>
          <w:rtl w:val="true"/>
        </w:rPr>
        <w:footnoteReference w:id="682"/>
      </w:r>
      <w:r>
        <w:rPr>
          <w:rFonts w:ascii="IRNazanin" w:hAnsi="IRNazanin" w:eastAsia="IRNazanin"/>
          <w:color w:val="111111"/>
          <w:sz w:val="28"/>
          <w:sz w:val="28"/>
          <w:szCs w:val="28"/>
          <w:rtl w:val="true"/>
          <w:lang w:bidi="fa-IR"/>
        </w:rPr>
        <w:t>و مشارق الشموس</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الذخیرة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إیلاج الصبیّ فی البالغة و بالعکس یوجب الغسل علی البالغ منهما، و فی الآخر نظر، و کذا الصبیّ فی الصبیّة</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التوقّف عندهم هو أنّ أدلّة الجنابة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التقی الختانان وجب الغسل</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 هل هی من باب الأسباب أو الأحکام؟</w:t>
      </w:r>
    </w:p>
    <w:p>
      <w:pPr>
        <w:pStyle w:val="BookText"/>
        <w:rPr/>
      </w:pPr>
      <w:r>
        <w:rPr>
          <w:rFonts w:ascii="IRNazanin" w:hAnsi="IRNazanin" w:eastAsia="IRNazanin"/>
          <w:color w:val="111111"/>
          <w:sz w:val="28"/>
          <w:sz w:val="28"/>
          <w:szCs w:val="28"/>
          <w:rtl w:val="true"/>
          <w:lang w:bidi="fa-IR"/>
        </w:rPr>
        <w:t>قال الشهید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إیلاج الصبیّ فی البالغة و بالعکس موجب للغسل علی البالغ منهما، و فی الآخر نظر، و کذا الصبیّ فی الصبیّة، من أنّه من باب الأسباب أو الأحکام؟</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وجه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النصوص مشتملة علی الأمر، و لفظ الوجوب و نحوهما، و هذه الاُمور تقتضی الوجوب و هو من أحکام المکلّفین، و لا یشمل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 الجنابة سبب لوجوب الغسل، و تخلّف مقتضی السبب لفقد شرط أو وجود مانع لا ینافی السببیّة شرعاً، فالجنابة تقتضی وجوب الغسل علی الصبیّ عند اجتماع شرائط التکلیف کسائر الأسباب الّتی لا تختصّ سببیّتها بالبالغین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لفظ الوجوب فیحمل علی معناه اللغوی، أی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صیغة الأمر و ما بمعناه فیحمل علی ما تقتضی ظاهرها من الوجوب، غایة الأمر أنّ الصبیّ غیر مخاطب به حین الصباوة، و تخلّف مقتضی السبب لفقد شرط أو وجود مانع لا ینافی السببیّة شرعاً، فعدم وجوب الغسل علی الصبیّ بالفعل لا یستلزم عدم السببیّة، بل مقتضاها وجوبه علیه عند اجتماع شرائط التکلیف کسائر الأسباب التی لا تختصّ سببیّتها بالبالغین، و قد أشار إلی بعض ذلک فی الجواهر</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 المحقّق النراقی قدس سره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 اختصاص العمومات بالمکلّفین لا مناص عن القول باختصاص السببیّة للجنابة بهم أیضاً؛ إذ لا دلیل علی تلک السببیّة إلّا تلک العمومات، فإنّه لا دلیل عامّاً أو مطلقاً علی کون الإدخال سبباً للجنابة، بل إنّما ینتزع ذلک من وجوب الغسل و سائر الأحکام الشرعیّة،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الجنابة إلّا ذلک</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أفاده قدس سره یلخّص فی ثلاثة امور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سبب للجنابة مختصّ بالبالغین حیث إنّ عمومات النصوص مختصّة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 الإدخال سبباً للجنابة ینتزع من وجوب الغسل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الغسل هو الجنابة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یرد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عمومات أو إطلاقات الباب</w:t>
      </w:r>
      <w:r>
        <w:rPr>
          <w:rStyle w:val="FootnoteAnchor"/>
          <w:rtl w:val="true"/>
        </w:rPr>
        <w:footnoteReference w:id="689"/>
      </w:r>
      <w:r>
        <w:rPr>
          <w:rFonts w:ascii="IRNazanin" w:hAnsi="IRNazanin" w:eastAsia="IRNazanin"/>
          <w:color w:val="111111"/>
          <w:sz w:val="28"/>
          <w:sz w:val="28"/>
          <w:szCs w:val="28"/>
          <w:rtl w:val="true"/>
          <w:lang w:bidi="fa-IR"/>
        </w:rPr>
        <w:t>لیست من باب التکلیف، بل إنّها ظاهرة فی أنّ الإدخال و الالتقاء سبب للجنابة؛ لأنّ لفظ الوجوب الذی ورد فی النصوص</w:t>
      </w:r>
      <w:r>
        <w:rPr>
          <w:rStyle w:val="FootnoteAnchor"/>
          <w:rtl w:val="true"/>
        </w:rPr>
        <w:footnoteReference w:id="690"/>
      </w:r>
      <w:r>
        <w:rPr>
          <w:rFonts w:ascii="IRNazanin" w:hAnsi="IRNazanin" w:eastAsia="IRNazanin"/>
          <w:color w:val="111111"/>
          <w:sz w:val="28"/>
          <w:sz w:val="28"/>
          <w:szCs w:val="28"/>
          <w:rtl w:val="true"/>
          <w:lang w:bidi="fa-IR"/>
        </w:rPr>
        <w:t>یکون بمعنی الثبوت</w:t>
      </w:r>
      <w:r>
        <w:rPr>
          <w:rStyle w:val="FootnoteAnchor"/>
          <w:rtl w:val="true"/>
        </w:rPr>
        <w:footnoteReference w:id="691"/>
      </w:r>
      <w:r>
        <w:rPr>
          <w:rFonts w:ascii="IRNazanin" w:hAnsi="IRNazanin" w:eastAsia="IRNazanin"/>
          <w:color w:val="111111"/>
          <w:sz w:val="28"/>
          <w:sz w:val="28"/>
          <w:szCs w:val="28"/>
          <w:rtl w:val="true"/>
          <w:lang w:bidi="fa-IR"/>
        </w:rPr>
        <w:t>، بمعنی أنّ الالتقاء و الإدخال سبب لتحقّق الجنابة، و هی موجبة للغسل، و ذکر المهر و الرجم فی جملة من النصوص قرینة علی ذلک، أی کما یکون الإدخال سبباً للمهر و الرجم یکون سبباً للغسل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ذیل صحیحة عبید اللّه بن علیّ الحلبی صریحة فی ذلک،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علیّ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لا یوجب الغسل و الحدّ یجب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علیه المهر و الغسل</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صحیحة زرارة</w:t>
      </w:r>
      <w:r>
        <w:rPr>
          <w:rStyle w:val="FootnoteAnchor"/>
          <w:rtl w:val="true"/>
        </w:rPr>
        <w:footnoteReference w:id="693"/>
      </w:r>
      <w:r>
        <w:rPr>
          <w:rFonts w:ascii="IRNazanin" w:hAnsi="IRNazanin" w:eastAsia="IRNazanin"/>
          <w:color w:val="111111"/>
          <w:sz w:val="28"/>
          <w:sz w:val="28"/>
          <w:szCs w:val="28"/>
          <w:rtl w:val="true"/>
          <w:lang w:bidi="fa-IR"/>
        </w:rPr>
        <w:t>و خبر البزنطی</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فهذه النصوص دلّت علی أنّ الدخول و الالتقاء سبب للجنابة، و السببیّة تعمّ البالغ و غیر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إتیان غسل الجنابة إنّما تجب للصلاة و نحوها و لا تکون واجبة لنفسها؛ لصحیحة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وجب الطهور و الصلاة، و لا صلاة إلّا بطهور</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العلماء کافّة علی أنّ الجنابة سبب</w:t>
      </w:r>
      <w:r>
        <w:rPr>
          <w:rStyle w:val="FootnoteAnchor"/>
          <w:rtl w:val="true"/>
        </w:rPr>
        <w:footnoteReference w:id="696"/>
      </w:r>
      <w:r>
        <w:rPr>
          <w:rFonts w:ascii="Amiri" w:hAnsi="Amiri" w:eastAsia="Amiri" w:cs="Amiri"/>
          <w:color w:val="111111"/>
          <w:sz w:val="28"/>
          <w:sz w:val="28"/>
          <w:szCs w:val="28"/>
          <w:rtl w:val="true"/>
          <w:lang w:bidi="ar-SA"/>
        </w:rPr>
        <w:t>فی الغسل، و القرآن الکریم ناطق بذلک،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کُنْتُمْ جُنُباً فَاطَّهَّرُوا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سیأتی فی ذلک زیادة توضیح قریباً</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یرد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الوضع منتزع من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الاُصولیّون فی ذلک، و ما هو مقتضی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الوضعیّة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منتزعة عن التکلیف أو عن الوضع، کالجزئیّة و السببیّة و الشرطیّة و المانعیّة، فإنّ هذه الاُمور کلّها انتزاعیّة مجعولة بالتبع</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مستقلّة بالجعل، کالملکیّة و الرقّیّة و الزوجیّة و الطهارة و النجاسة و غیرها، 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التراب طهوراً کما جعل الماء طهوراً</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و غیرها</w:t>
      </w:r>
      <w:r>
        <w:rPr>
          <w:rStyle w:val="FootnoteAnchor"/>
          <w:rtl w:val="true"/>
        </w:rPr>
        <w:footnoteReference w:id="699"/>
      </w:r>
      <w:r>
        <w:rPr>
          <w:rFonts w:ascii="IRNazanin" w:hAnsi="IRNazanin" w:eastAsia="IRNazanin"/>
          <w:color w:val="111111"/>
          <w:sz w:val="28"/>
          <w:sz w:val="28"/>
          <w:szCs w:val="28"/>
          <w:rtl w:val="true"/>
          <w:lang w:bidi="fa-IR"/>
        </w:rPr>
        <w:t>ظاهر فی جعل الطهارة للتراب و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الجنابة فی الاصطلاح إمّا من الاُمور المتأصّلة، أی صفة قذارة تحصل للنفس و حالة رجاسة تعرض علیها من السببین الخاصّین، و إذا أجنب الإنسان فقد تلبّس بقذارات حقیقیّة و أرجاس معنویّة کما هو ظاهر بعض الأخبار</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المعجم الوسیط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ینزل منه منیّ أو یکون منه جماع</w:t>
      </w:r>
      <w:r>
        <w:rPr>
          <w:rFonts w:eastAsia="IRNazanin" w:cs="IRNazanin"/>
          <w:color w:val="111111"/>
          <w:sz w:val="28"/>
          <w:szCs w:val="28"/>
          <w:rtl w:val="true"/>
          <w:lang w:bidi="fa-IR"/>
        </w:rPr>
        <w:t>»</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الأقوی ثبوت النقل الشرعی فیها للحالة المترتّبة علی السببین المتقدّمین</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تکون الجنابة من الاُمور المتأصّلة غیر مجعولة لا بالاستقلال و لا بالتبع</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أن تکون الجنابة وصفاً اعتباریّاً غیر متأصّل و اعتبره الشارع عند الإنزال و الالتقاء، فتکون مجعولةً و لکن تنتزع من خطاب الوضع</w:t>
      </w:r>
      <w:r>
        <w:rPr>
          <w:rStyle w:val="FootnoteAnchor"/>
          <w:rtl w:val="true"/>
        </w:rPr>
        <w:footnoteReference w:id="703"/>
      </w:r>
      <w:r>
        <w:rPr>
          <w:rFonts w:ascii="IRNazanin" w:hAnsi="IRNazanin" w:eastAsia="IRNazanin"/>
          <w:color w:val="111111"/>
          <w:sz w:val="28"/>
          <w:sz w:val="28"/>
          <w:szCs w:val="28"/>
          <w:rtl w:val="true"/>
          <w:lang w:bidi="fa-IR"/>
        </w:rPr>
        <w:t>؛ لأنّ أکثر أخبار الباب ظاهرة فی سببیّة الإدخال للغسل</w:t>
      </w:r>
      <w:r>
        <w:rPr>
          <w:rStyle w:val="FootnoteAnchor"/>
          <w:rtl w:val="true"/>
        </w:rPr>
        <w:footnoteReference w:id="704"/>
      </w:r>
      <w:r>
        <w:rPr>
          <w:rFonts w:ascii="IRNazanin" w:hAnsi="IRNazanin" w:eastAsia="IRNazanin"/>
          <w:color w:val="111111"/>
          <w:sz w:val="28"/>
          <w:sz w:val="28"/>
          <w:szCs w:val="28"/>
          <w:rtl w:val="true"/>
          <w:lang w:bidi="fa-IR"/>
        </w:rPr>
        <w:t>، و نحن ننتزع من هذه الحیثیّة</w:t>
      </w:r>
      <w:bookmarkStart w:id="215" w:name="pg11755_254493"/>
    </w:p>
    <w:p>
      <w:pPr>
        <w:pStyle w:val="BookText"/>
        <w:rPr/>
      </w:pPr>
      <w:bookmarkEnd w:id="215"/>
      <w:r>
        <w:rPr>
          <w:rFonts w:ascii="IRNazanin" w:hAnsi="IRNazanin" w:eastAsia="IRNazanin"/>
          <w:color w:val="111111"/>
          <w:sz w:val="28"/>
          <w:sz w:val="28"/>
          <w:szCs w:val="28"/>
          <w:rtl w:val="true"/>
          <w:lang w:bidi="fa-IR"/>
        </w:rPr>
        <w:t>وصف الجنابة، و لا تکلیف فی البین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الصبیّ لیس فی حقّه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یرد علی الثالث، و هو أنّ وجوب الغسل و سائر الأحکام الشرعیّة تکون نفس الجنابة، و لیست الجنابة إلّا هذه الأحکام فلا محصّل له؛ لأنّ الجنابة سواء کانت من الاُمور المتأصّلة أو من الاُمور الاعتباریّة لیست هی نفسها من الأحکام الشرعیّة، بل هی موضوعة لأحکام کثیرة تکلیفیّة أو وضعیّة کاستحباب الغسل بعروض الجنابة، أو وجوبه لغایات واجبة تتوقّف علی الغسل، کالطواف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کحرمة مسّ کتابة القرآن و دخول المسجدین و غیرها</w:t>
      </w:r>
      <w:r>
        <w:rPr>
          <w:rFonts w:eastAsia="IRNazanin" w:cs="IRNazanin"/>
          <w:color w:val="111111"/>
          <w:sz w:val="28"/>
          <w:szCs w:val="28"/>
          <w:rtl w:val="true"/>
          <w:lang w:bidi="fa-IR"/>
        </w:rPr>
        <w:t>.</w:t>
      </w:r>
    </w:p>
    <w:p>
      <w:pPr>
        <w:pStyle w:val="Heading5"/>
        <w:numPr>
          <w:ilvl w:val="4"/>
          <w:numId w:val="1"/>
        </w:numPr>
        <w:rPr/>
      </w:pPr>
      <w:bookmarkStart w:id="216" w:name="__RefHeading___Toc9587412_73709187"/>
      <w:bookmarkStart w:id="217" w:name="_Toc80"/>
      <w:bookmarkEnd w:id="216"/>
      <w:r>
        <w:rPr>
          <w:rtl w:val="true"/>
        </w:rPr>
        <w:t>تحقّق الجنابة من الصبیّ بالإیلاج</w:t>
      </w:r>
      <w:bookmarkEnd w:id="217"/>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 بین أصحابنا المتقدّمین و المتأخّرین من أنّ الصبیّ و الصبیّة یتحقّق منهما الجنابة و تتعلّق بهما حکم الحدث بالتغیّب المذکور و إن لم یتعلّق بهما الوجوب و الحرمة، فیمنعهما الولیّ من نحو الصلاة و الدخول فی المساجد و مسّ کتابة القرآن و یأمرهما بالغسل،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إذا وطئ و الصبیّة إذا وطئت هل یتعلّق بأحدهما حکم الجنابة؟ فیه تردّد، و الأشبه نعم، بمعنی أنّه یمنع من المساجد و مسّ الکتابة و الصلاة تطوّعاً إلّا مع الغسل</w:t>
      </w:r>
      <w:r>
        <w:rPr>
          <w:rFonts w:eastAsia="IRNazanin" w:cs="IRNazanin"/>
          <w:color w:val="111111"/>
          <w:sz w:val="28"/>
          <w:szCs w:val="28"/>
          <w:rtl w:val="true"/>
          <w:lang w:bidi="fa-IR"/>
        </w:rPr>
        <w:t>»</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المنتهی</w:t>
      </w:r>
      <w:r>
        <w:rPr>
          <w:rStyle w:val="FootnoteAnchor"/>
          <w:rtl w:val="true"/>
        </w:rPr>
        <w:footnoteReference w:id="706"/>
      </w:r>
      <w:r>
        <w:rPr>
          <w:rFonts w:ascii="IRNazanin" w:hAnsi="IRNazanin" w:eastAsia="IRNazanin"/>
          <w:color w:val="111111"/>
          <w:sz w:val="28"/>
          <w:sz w:val="28"/>
          <w:szCs w:val="28"/>
          <w:rtl w:val="true"/>
          <w:lang w:bidi="fa-IR"/>
        </w:rPr>
        <w:t>، و جاء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الأقرب تعلّق الأحکام بإیلاج الصبیّ و الصبیّة</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فرض من الصغیر جماع وجب علیه الغسل عند</w:t>
      </w:r>
    </w:p>
    <w:p>
      <w:pPr>
        <w:pStyle w:val="BookText"/>
        <w:rPr/>
      </w:pPr>
      <w:r>
        <w:rPr>
          <w:rFonts w:ascii="IRNazanin" w:hAnsi="IRNazanin" w:eastAsia="IRNazanin"/>
          <w:color w:val="111111"/>
          <w:sz w:val="28"/>
          <w:sz w:val="28"/>
          <w:szCs w:val="28"/>
          <w:rtl w:val="true"/>
          <w:lang w:bidi="fa-IR"/>
        </w:rPr>
        <w:t>البلوغ بسبب الجنابة الاُولی، و تخلّف الحکم عنه لفقد شرط لا یخرجه عن السببیّة</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جامع المقاصد</w:t>
      </w:r>
      <w:r>
        <w:rPr>
          <w:rStyle w:val="FootnoteAnchor"/>
          <w:rtl w:val="true"/>
        </w:rPr>
        <w:footnoteReference w:id="709"/>
      </w:r>
      <w:r>
        <w:rPr>
          <w:rFonts w:ascii="IRNazanin" w:hAnsi="IRNazanin" w:eastAsia="IRNazanin"/>
          <w:color w:val="111111"/>
          <w:sz w:val="28"/>
          <w:sz w:val="28"/>
          <w:szCs w:val="28"/>
          <w:rtl w:val="true"/>
          <w:lang w:bidi="fa-IR"/>
        </w:rPr>
        <w:t>و کشف الغطاء</w:t>
      </w:r>
      <w:r>
        <w:rPr>
          <w:rStyle w:val="FootnoteAnchor"/>
          <w:rtl w:val="true"/>
        </w:rPr>
        <w:footnoteReference w:id="710"/>
      </w:r>
      <w:r>
        <w:rPr>
          <w:rFonts w:ascii="IRNazanin" w:hAnsi="IRNazanin" w:eastAsia="IRNazanin"/>
          <w:color w:val="111111"/>
          <w:sz w:val="28"/>
          <w:sz w:val="28"/>
          <w:szCs w:val="28"/>
          <w:rtl w:val="true"/>
          <w:lang w:bidi="fa-IR"/>
        </w:rPr>
        <w:t>و الجواهر</w:t>
      </w:r>
      <w:r>
        <w:rPr>
          <w:rStyle w:val="FootnoteAnchor"/>
          <w:rtl w:val="true"/>
        </w:rPr>
        <w:footnoteReference w:id="711"/>
      </w:r>
      <w:r>
        <w:rPr>
          <w:rFonts w:ascii="IRNazanin" w:hAnsi="IRNazanin" w:eastAsia="IRNazanin"/>
          <w:color w:val="111111"/>
          <w:sz w:val="28"/>
          <w:sz w:val="28"/>
          <w:szCs w:val="28"/>
          <w:rtl w:val="true"/>
          <w:lang w:bidi="fa-IR"/>
        </w:rPr>
        <w:t>و کشف الالتباس</w:t>
      </w:r>
      <w:r>
        <w:rPr>
          <w:rStyle w:val="FootnoteAnchor"/>
          <w:rtl w:val="true"/>
        </w:rPr>
        <w:footnoteReference w:id="712"/>
      </w:r>
      <w:r>
        <w:rPr>
          <w:rFonts w:ascii="IRNazanin" w:hAnsi="IRNazanin" w:eastAsia="IRNazanin"/>
          <w:color w:val="111111"/>
          <w:sz w:val="28"/>
          <w:sz w:val="28"/>
          <w:szCs w:val="28"/>
          <w:rtl w:val="true"/>
          <w:lang w:bidi="fa-IR"/>
        </w:rPr>
        <w:t>و مناهج المتّقین</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مصباح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سببیّة الجماع لوجوب الغسل بین کونه صغیراً أو کبیراً، عاقلاً أو مجنوناً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بین الموطوءة کذلک؛ لعموم السببیّة المستفادة من نحو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 الختان علی الختان فقد وجب الغسل</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الشیخ الأعظم</w:t>
      </w:r>
      <w:r>
        <w:rPr>
          <w:rStyle w:val="FootnoteAnchor"/>
          <w:rtl w:val="true"/>
        </w:rPr>
        <w:footnoteReference w:id="716"/>
      </w:r>
      <w:r>
        <w:rPr>
          <w:rFonts w:ascii="IRNazanin" w:hAnsi="IRNazanin" w:eastAsia="IRNazanin"/>
          <w:color w:val="111111"/>
          <w:sz w:val="28"/>
          <w:sz w:val="28"/>
          <w:szCs w:val="28"/>
          <w:rtl w:val="true"/>
          <w:lang w:bidi="fa-IR"/>
        </w:rPr>
        <w:t>، و کذا فی العروة و التعلیقات علیها</w:t>
      </w:r>
      <w:r>
        <w:rPr>
          <w:rStyle w:val="FootnoteAnchor"/>
          <w:rtl w:val="true"/>
        </w:rPr>
        <w:footnoteReference w:id="717"/>
      </w:r>
      <w:r>
        <w:rPr>
          <w:rFonts w:ascii="IRNazanin" w:hAnsi="IRNazanin" w:eastAsia="IRNazanin"/>
          <w:color w:val="111111"/>
          <w:sz w:val="28"/>
          <w:sz w:val="28"/>
          <w:szCs w:val="28"/>
          <w:rtl w:val="true"/>
          <w:lang w:bidi="fa-IR"/>
        </w:rPr>
        <w:t>، و اختاره جماعة من أعلام المعاصرین</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و إن لم ینزل و یتحقّق بغیبوبة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الصغیر و المجنون و غیرهما و وجب الغسل علیهما</w:t>
      </w:r>
    </w:p>
    <w:p>
      <w:pPr>
        <w:pStyle w:val="BookText"/>
        <w:rPr/>
      </w:pPr>
      <w:r>
        <w:rPr>
          <w:rFonts w:ascii="IRNazanin" w:hAnsi="IRNazanin" w:eastAsia="IRNazanin"/>
          <w:color w:val="111111"/>
          <w:sz w:val="28"/>
          <w:sz w:val="28"/>
          <w:szCs w:val="28"/>
          <w:rtl w:val="true"/>
          <w:lang w:bidi="fa-IR"/>
        </w:rPr>
        <w:t>بعد حصول شرائط التکلیف</w:t>
      </w:r>
      <w:r>
        <w:rPr>
          <w:rFonts w:eastAsia="IRNazanin" w:cs="IRNazanin"/>
          <w:color w:val="111111"/>
          <w:sz w:val="28"/>
          <w:szCs w:val="28"/>
          <w:rtl w:val="true"/>
          <w:lang w:bidi="fa-IR"/>
        </w:rPr>
        <w:t>»</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لتحقّق الجنابة بإیلاج الصبیّ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الجنابة من خطابات الوضع کما هو ظاهر جماعة من الأصحاب</w:t>
      </w:r>
      <w:r>
        <w:rPr>
          <w:rStyle w:val="FootnoteAnchor"/>
          <w:rtl w:val="true"/>
        </w:rPr>
        <w:footnoteReference w:id="721"/>
      </w:r>
      <w:r>
        <w:rPr>
          <w:rFonts w:ascii="IRNazanin" w:hAnsi="IRNazanin" w:eastAsia="IRNazanin"/>
          <w:color w:val="111111"/>
          <w:sz w:val="28"/>
          <w:sz w:val="28"/>
          <w:szCs w:val="28"/>
          <w:rtl w:val="true"/>
          <w:lang w:bidi="fa-IR"/>
        </w:rPr>
        <w:t>، و سیأتی فی محلّه</w:t>
      </w:r>
      <w:r>
        <w:rPr>
          <w:rStyle w:val="FootnoteAnchor"/>
          <w:rtl w:val="true"/>
        </w:rPr>
        <w:footnoteReference w:id="722"/>
      </w:r>
      <w:r>
        <w:rPr>
          <w:rFonts w:ascii="IRNazanin" w:hAnsi="IRNazanin" w:eastAsia="IRNazanin"/>
          <w:color w:val="111111"/>
          <w:sz w:val="28"/>
          <w:sz w:val="28"/>
          <w:szCs w:val="28"/>
          <w:rtl w:val="true"/>
          <w:lang w:bidi="fa-IR"/>
        </w:rPr>
        <w:t>أنّ الأفعال من جهة ترتّب الآثار الشرعیّة، و تعلّق الأحکام الوضعیّة بها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الأفعال التی تترتّب علیها الآثار إذا صدرت مع القصد و العمد و الاختیار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الأفعال التی تترتّب علیها الآثار بذاتها من غیر فرق بین الالتفات و غیره، و مقتضی ظهور الأدلّة الّتی تدلّ علی کون الصبیّ مسلوب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الأفعال الّتی تترتّب علیها الآثار إذا صدرت من البالغ العاقل العامد المستیقظ، لو صدرت من الصبیّ أو النائم فلا أثر لها، و أمّا الأفعال الّتی تترتّب علیها الآثار و لو صدرت من غیر اختیار و التفات فهی خارجة عن الأدلّة المذکورة، فحینئذٍ لا إشکال فی ثبوت الأحکام الوضعیّة الّتی لم تکن متوقّفة علی القصد و الاختیار فی حقّ الصبیّ کالضمان بالإتلاف و الید و النجاسة و غیرها، و تکون الجنابة من هذا القبیل؛ لأنّ المدار فی حصول الجنابة هو إنزال المنیّ و الجماع، و هو یتحقّق بالتقاء الختانین، و المراد به غیبوبة الحشفة، سواء کان مع الاختیار أو بالإکراه، مع القصد و الالتفات أو بلا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الإنزال و الجماع بالنسبة إلی حصول الجنابة من قبیل الأسباب و المسبّبات، و إذا تحقّق السبب بأیّ نحو و من أیّ شخص تحقّق المسبب، فلا اختصاص فی سببیّة الإیلاج للجنابة بالبالغ، بل تحصل بإیلاج الصبیّ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لعلّ التأمّل فی الأدلّة یشرف الفقیه علی القطع بکونه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الأسباب</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الالتقاء سبب لوجوب رفع حدث الجنابة عند اجتماع شرائط الوجوب، و لا یستقیم هذا المعنی إلّا بکون الالتقاء سبباً للجنابة الّتی یجب رفعها عند تنجّز التکلیف المشروط بالطهارة کما لا یخفی</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النصوص یقتضی عموم السببیّة؛ لأنّ الظاهر من نحو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التقی الختانان فقد وجب الغسل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نصوص کثیرة، بل مستفیضة </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الالتقاء سبب لحصول وصف الجنابة مطلقاً، سواء کان من البالغ أو غیره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سببیّة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کونه صغیراً أو کبیراً، عاقلاً أو مجنوناً، مختاراً أو مکرهاً و لا بین الموطوءة کذلک؛ لعموم السببیّة المستفادة من الروایات، و لا ینافی ذلک عدم وجوب الغسل علی الصبیّ</w:t>
      </w:r>
      <w:bookmarkStart w:id="218" w:name="pg11755_254501"/>
    </w:p>
    <w:p>
      <w:pPr>
        <w:pStyle w:val="BookText"/>
        <w:rPr/>
      </w:pPr>
      <w:bookmarkEnd w:id="218"/>
      <w:r>
        <w:rPr>
          <w:rFonts w:ascii="IRNazanin" w:hAnsi="IRNazanin" w:eastAsia="IRNazanin"/>
          <w:color w:val="111111"/>
          <w:sz w:val="28"/>
          <w:sz w:val="28"/>
          <w:szCs w:val="28"/>
          <w:rtl w:val="true"/>
          <w:lang w:bidi="fa-IR"/>
        </w:rPr>
        <w:t>و المجنون بالفعل، بل هو واجب علیهما کغیرهما عند اجتماع شرائط التکلیف</w:t>
      </w:r>
      <w:r>
        <w:rPr>
          <w:rFonts w:eastAsia="IRNazanin" w:cs="IRNazanin"/>
          <w:color w:val="111111"/>
          <w:sz w:val="28"/>
          <w:szCs w:val="28"/>
          <w:rtl w:val="true"/>
          <w:lang w:bidi="fa-IR"/>
        </w:rPr>
        <w:t>»</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الجواهر</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أخبار الباب عبّر فیها بلفظ الرجل و المرأة فی سؤال السائل، و هما ینصرفان عن الصبیّ و الصبیّة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تقیید بالغالب؛ لندرة إیلاج الصبیّ و وطئ الصبیّة، و هو لا یضرّ بالإطلاق، و أیضاً أنّ ذکر الرجل و المرأة فی سؤال السائل، و کلام الإمام علیه السلام مطلق</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9587414_73709187"/>
      <w:bookmarkStart w:id="220" w:name="_Toc81"/>
      <w:bookmarkEnd w:id="219"/>
      <w:r>
        <w:rPr>
          <w:rtl w:val="true"/>
        </w:rPr>
        <w:t>صحّة غسل الجنابة من الصبیّ‌</w:t>
      </w:r>
      <w:bookmarkEnd w:id="220"/>
    </w:p>
    <w:p>
      <w:pPr>
        <w:pStyle w:val="Heading6"/>
        <w:numPr>
          <w:ilvl w:val="5"/>
          <w:numId w:val="1"/>
        </w:numPr>
        <w:rPr/>
      </w:pPr>
      <w:bookmarkStart w:id="221" w:name="__RefHeading___Toc9587416_73709187"/>
      <w:bookmarkStart w:id="222" w:name="_Toc82"/>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ثمّ إنّه لو قلنا بأنّ الصبیّ تتحقّق الجنابة فی حقّه، هل یصحّ منه غسل الجنابة، حتّی یرتفع به الحدث، أو أنّ الغسل منه لا یقع صحیحاً، بل یکون تمرینیّاً، و لا یرفع الحدث؟ فیه خلاف بین الفقهاء، و منشؤه اختلافهم فی المسألة المعروفة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مشروعیّة عبادات الصبیّ و عدمها، حیث إنّ هذه المسألة تکون من صغریاتها، و سیأتی تفصیل الکلام فی مشروعیّة عبادات الصبیّ، فراجع</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المقام فلهم أقوال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 من أنّه لو اغتسل الصبیّ من الجنابة قبل بلوغه صحّ</w:t>
      </w:r>
    </w:p>
    <w:p>
      <w:pPr>
        <w:pStyle w:val="BookText"/>
        <w:rPr/>
      </w:pPr>
      <w:r>
        <w:rPr>
          <w:rFonts w:ascii="IRNazanin" w:hAnsi="IRNazanin" w:eastAsia="IRNazanin"/>
          <w:color w:val="111111"/>
          <w:sz w:val="28"/>
          <w:sz w:val="28"/>
          <w:szCs w:val="28"/>
          <w:rtl w:val="true"/>
          <w:lang w:bidi="fa-IR"/>
        </w:rPr>
        <w:t>منه و لم تجب علیه الإعادة بعد البلوغ، و هو الحقّ، و استقربه العلّامة فی التذکرة،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أولج الصبیّ فی الصبیّة تعلّق بهما حکم الجنابة علی إشکال، فیمنعان من المساجد و قراءة العزائم و مسّ کتابة القرآن، و یجب علیهما الغسل بعد البلوغ، و فی الاکتفاء بالغسل الأوّل عنه إشکال أقربه ذلک</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الإشکال فی صحّة غسله و اکتفائه بعد البلوغ به بناءً علی أنّ عبادة الصبیّ شرعیّة</w:t>
      </w:r>
      <w:r>
        <w:rPr>
          <w:rFonts w:eastAsia="IRNazanin" w:cs="IRNazanin"/>
          <w:color w:val="111111"/>
          <w:sz w:val="28"/>
          <w:szCs w:val="28"/>
          <w:rtl w:val="true"/>
          <w:lang w:bidi="fa-IR"/>
        </w:rPr>
        <w:t>»</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العروة</w:t>
      </w:r>
      <w:r>
        <w:rPr>
          <w:rStyle w:val="FootnoteAnchor"/>
          <w:rtl w:val="true"/>
        </w:rPr>
        <w:footnoteReference w:id="733"/>
      </w:r>
      <w:r>
        <w:rPr>
          <w:rFonts w:ascii="IRNazanin" w:hAnsi="IRNazanin" w:eastAsia="IRNazanin"/>
          <w:color w:val="111111"/>
          <w:sz w:val="28"/>
          <w:sz w:val="28"/>
          <w:szCs w:val="28"/>
          <w:rtl w:val="true"/>
          <w:lang w:bidi="fa-IR"/>
        </w:rPr>
        <w:t>، و اختاره کثیر من أعلام المعاصرین</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صحّة الغسل من الصبیّ الممیّز تتوقّف علی القول بشرعیّة عبادات الصبیّ و صحّتها، و علیه فلو اغتسل الصبیّ الممیّز یرتفع عنه حدث الجنابة و لا تجب الإعادة بعد البلوغ</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مقتضی أدلّة التکالیف ثبوت المناطات فی فعل الصبیّ کفعل البالغ، و حدیث رفع القلم</w:t>
      </w:r>
      <w:r>
        <w:rPr>
          <w:rStyle w:val="FootnoteAnchor"/>
          <w:rtl w:val="true"/>
        </w:rPr>
        <w:footnoteReference w:id="736"/>
      </w:r>
      <w:r>
        <w:rPr>
          <w:rFonts w:ascii="IRNazanin" w:hAnsi="IRNazanin" w:eastAsia="IRNazanin"/>
          <w:color w:val="111111"/>
          <w:sz w:val="28"/>
          <w:sz w:val="28"/>
          <w:szCs w:val="28"/>
          <w:rtl w:val="true"/>
          <w:lang w:bidi="fa-IR"/>
        </w:rPr>
        <w:t>إنّما یقتضی رفع الإلزام، فیبقی المناط الموجب للمشروعیّة بحاله، فیکون المقتضی للصحّة موجوداً و المانع عنها مفقوداً، فیصحّ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لحرمان الصبیّ عن الملاک و الثواب کما فی المهذّب</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یصحّ غسل الجنابة من الصبیّ؛ لأنّ عباداته لیست بشرعیّة، بل إنّها تمرینیّة، فتجب علیه الإعادة بعد البلوغ، و لا یکتفی بالغسل فی حال الصبا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اغتسل صغیراً أو توضّأ عن الحدث فالأقرب وجوب الإعادة عند البلوغ، و فی استباحة ما یبیحه الغسل أو الوضوء إشکال</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استباحتها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ذکر من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بغسله الآن وجهان، و کذا فی اکتفائه به لو بلغ، و الأقرب تجدیده</w:t>
      </w:r>
      <w:r>
        <w:rPr>
          <w:rFonts w:eastAsia="IRNazanin" w:cs="IRNazanin"/>
          <w:color w:val="111111"/>
          <w:sz w:val="28"/>
          <w:szCs w:val="28"/>
          <w:rtl w:val="true"/>
          <w:lang w:bidi="fa-IR"/>
        </w:rPr>
        <w:t>»</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المحقّق النراقی</w:t>
      </w:r>
      <w:r>
        <w:rPr>
          <w:rStyle w:val="FootnoteAnchor"/>
          <w:rtl w:val="true"/>
        </w:rPr>
        <w:footnoteReference w:id="740"/>
      </w:r>
      <w:r>
        <w:rPr>
          <w:rFonts w:ascii="IRNazanin" w:hAnsi="IRNazanin" w:eastAsia="IRNazanin"/>
          <w:color w:val="111111"/>
          <w:sz w:val="28"/>
          <w:sz w:val="28"/>
          <w:szCs w:val="28"/>
          <w:rtl w:val="true"/>
          <w:lang w:bidi="fa-IR"/>
        </w:rPr>
        <w:t>و الصیمری</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فی المسألة، کما هو ظاهر من کلام الفاضل الخراسانی،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استباحتها بغسله الآن وجهان، و کذا فی الاکتفاء بهذا الغسل بعد البلوغ</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ذلک أیضاً من کلام المحقّق العراقی، حیث قال فی تعلیقته علی العروة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رافعیّة غسله للجنابة إشکال، حتّی علی الشرعیّة بمناط الأمر بالأمر لا بمناط حکومة حدیث رفع القلم علی الإطلاقات؛ إذ غایة الأمر کون غسله حینئذٍ واجداً لمصلحة غیر ملزمة غیر صالحة لرفع تمام جنابته و إن کان</w:t>
      </w:r>
    </w:p>
    <w:p>
      <w:pPr>
        <w:pStyle w:val="BookText"/>
        <w:rPr/>
      </w:pPr>
      <w:r>
        <w:rPr>
          <w:rFonts w:ascii="IRNazanin" w:hAnsi="IRNazanin" w:eastAsia="IRNazanin"/>
          <w:color w:val="111111"/>
          <w:sz w:val="28"/>
          <w:sz w:val="28"/>
          <w:szCs w:val="28"/>
          <w:rtl w:val="true"/>
          <w:lang w:bidi="fa-IR"/>
        </w:rPr>
        <w:t>صالحاً لتخفیفه</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جماعة من المتأخّرین من أنّه یصحّ الغسل من الصبیّ تمریناً، و یباح له ما یحرم علی الجنب من مسّ کتابة القرآن و دخول المسجدین و المکث فی سائر المساجد و غیرها، و لکن یجب علیه الإعادة بعد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الصبیّ و الصبیّة یتعلّق بهما حکم الحدث بالتغیّب المذکور بالنسبة إلی البالغ و غیره و إن لم یتعلّق بهما الوجوب و الحرمة، فیمنعهما الولیّ من نحو الصلاة و المساجد، و یأمرهما بالغسل تمریناً، فیستبیحان ما یستبیحه البالغ کالحدث الأصغر، و تجب الإعادة بعد البلوغ؛ لانتفاء الشرعیّة عن السابق</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ظاهر المعتبر،</w:t>
      </w:r>
      <w:r>
        <w:rPr>
          <w:rStyle w:val="FootnoteAnchor"/>
          <w:rtl w:val="true"/>
        </w:rPr>
        <w:footnoteReference w:id="745"/>
      </w:r>
      <w:r>
        <w:rPr>
          <w:rFonts w:ascii="IRNazanin" w:hAnsi="IRNazanin" w:eastAsia="IRNazanin"/>
          <w:color w:val="111111"/>
          <w:sz w:val="28"/>
          <w:sz w:val="28"/>
          <w:szCs w:val="28"/>
          <w:rtl w:val="true"/>
          <w:lang w:bidi="fa-IR"/>
        </w:rPr>
        <w:t>و صرّح به فی کشف الالتباس</w:t>
      </w:r>
      <w:r>
        <w:rPr>
          <w:rStyle w:val="FootnoteAnchor"/>
          <w:rtl w:val="true"/>
        </w:rPr>
        <w:footnoteReference w:id="746"/>
      </w:r>
      <w:r>
        <w:rPr>
          <w:rFonts w:ascii="IRNazanin" w:hAnsi="IRNazanin" w:eastAsia="IRNazanin"/>
          <w:color w:val="111111"/>
          <w:sz w:val="28"/>
          <w:sz w:val="28"/>
          <w:szCs w:val="28"/>
          <w:rtl w:val="true"/>
          <w:lang w:bidi="fa-IR"/>
        </w:rPr>
        <w:t>، و قال فی المهذّب البارع بلزوم الإعادة علی الأحوط</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إنّه سیأتی الکلام فی البحث عن مشروعیّة</w:t>
      </w:r>
      <w:r>
        <w:rPr>
          <w:rStyle w:val="FootnoteAnchor"/>
          <w:rtl w:val="true"/>
        </w:rPr>
        <w:footnoteReference w:id="748"/>
      </w:r>
      <w:r>
        <w:rPr>
          <w:rFonts w:ascii="IRNazanin" w:hAnsi="IRNazanin" w:eastAsia="IRNazanin"/>
          <w:color w:val="111111"/>
          <w:sz w:val="28"/>
          <w:sz w:val="28"/>
          <w:szCs w:val="28"/>
          <w:rtl w:val="true"/>
          <w:lang w:bidi="fa-IR"/>
        </w:rPr>
        <w:t>عبادات</w:t>
      </w:r>
      <w:bookmarkStart w:id="223" w:name="pg11755_254510"/>
    </w:p>
    <w:p>
      <w:pPr>
        <w:pStyle w:val="BookText"/>
        <w:rPr/>
      </w:pPr>
      <w:bookmarkEnd w:id="223"/>
      <w:r>
        <w:rPr>
          <w:rFonts w:ascii="Amiri" w:hAnsi="Amiri" w:eastAsia="Amiri" w:cs="Amiri"/>
          <w:color w:val="111111"/>
          <w:sz w:val="28"/>
          <w:sz w:val="28"/>
          <w:szCs w:val="28"/>
          <w:rtl w:val="true"/>
          <w:lang w:bidi="ar-SA"/>
        </w:rPr>
        <w:t>الصبیّ، و بیان الأقوال فیها مفصّلاً</w:t>
      </w:r>
      <w:r>
        <w:rPr>
          <w:rStyle w:val="FootnoteAnchor"/>
          <w:rtl w:val="true"/>
        </w:rPr>
        <w:footnoteReference w:id="749"/>
      </w:r>
      <w:r>
        <w:rPr>
          <w:rFonts w:ascii="IRNazanin" w:hAnsi="IRNazanin" w:eastAsia="IRNazanin"/>
          <w:color w:val="111111"/>
          <w:sz w:val="28"/>
          <w:sz w:val="28"/>
          <w:szCs w:val="28"/>
          <w:rtl w:val="true"/>
          <w:lang w:bidi="fa-IR"/>
        </w:rPr>
        <w:t>و تکون هذه المسألة أحد صغریاتها، فلم نتعرّض فی المقام لذکر أدلّة الأقوال الثلاثة الأخیرة و النقض و الإیراد فیها خوفاً من التطویل</w:t>
      </w:r>
      <w:r>
        <w:rPr>
          <w:rFonts w:eastAsia="IRNazanin" w:cs="IRNazanin"/>
          <w:color w:val="111111"/>
          <w:sz w:val="28"/>
          <w:szCs w:val="28"/>
          <w:rtl w:val="true"/>
          <w:lang w:bidi="fa-IR"/>
        </w:rPr>
        <w:t>.</w:t>
      </w:r>
    </w:p>
    <w:p>
      <w:pPr>
        <w:pStyle w:val="Heading6"/>
        <w:numPr>
          <w:ilvl w:val="5"/>
          <w:numId w:val="1"/>
        </w:numPr>
        <w:rPr/>
      </w:pPr>
      <w:bookmarkStart w:id="224" w:name="__RefHeading___Toc9587418_73709187"/>
      <w:bookmarkStart w:id="225" w:name="_Toc83"/>
      <w:bookmarkEnd w:id="224"/>
      <w:r>
        <w:rPr>
          <w:rtl w:val="true"/>
        </w:rPr>
        <w:t>فرع</w:t>
      </w:r>
      <w:bookmarkEnd w:id="225"/>
    </w:p>
    <w:p>
      <w:pPr>
        <w:pStyle w:val="BookText"/>
        <w:rPr/>
      </w:pPr>
      <w:r>
        <w:rPr>
          <w:rFonts w:ascii="IRNazanin" w:hAnsi="IRNazanin" w:eastAsia="IRNazanin"/>
          <w:color w:val="111111"/>
          <w:sz w:val="28"/>
          <w:sz w:val="28"/>
          <w:szCs w:val="28"/>
          <w:rtl w:val="true"/>
          <w:lang w:bidi="fa-IR"/>
        </w:rPr>
        <w:t>قال المحقّق الآملی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 صحّة غسل الجنابة من الصبیّ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صحّة تغسیل البالغ للصبیّ الغیر الممیّز إشکال منشؤه عدم ورود الدلیل علی رفع جنابته بتغسیل الغیر إیّاه؛ کما فی المیّت علی تقدیر صیرورته جنباً، و هکذا الکلام فی المجنون</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قدس سره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غسّل الولیّ الصبیّ الغیر الممیّز ففی ارتفاع حدثه به منع ظاهر، حیث إنّ الجنابة ترتفع بغسل الجنب نفسه لا بتغسیل الولیّ إیّاه</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9587420_73709187"/>
      <w:bookmarkStart w:id="227" w:name="_Toc84"/>
      <w:bookmarkEnd w:id="226"/>
      <w:r>
        <w:rPr>
          <w:rtl w:val="true"/>
        </w:rPr>
        <w:t>منع الصبیّ ممّا یحرم علی الجنب</w:t>
      </w:r>
      <w:bookmarkEnd w:id="227"/>
    </w:p>
    <w:p>
      <w:pPr>
        <w:pStyle w:val="Heading6"/>
        <w:numPr>
          <w:ilvl w:val="5"/>
          <w:numId w:val="1"/>
        </w:numPr>
        <w:rPr/>
      </w:pPr>
      <w:bookmarkStart w:id="228" w:name="__RefHeading___Toc9587422_73709187"/>
      <w:bookmarkStart w:id="229" w:name="_Toc85"/>
      <w:bookmarkEnd w:id="228"/>
      <w:r>
        <w:rPr>
          <w:rtl w:val="true"/>
        </w:rPr>
        <w:t>اشارة</w:t>
      </w:r>
      <w:bookmarkEnd w:id="22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غسل الجنابة من الصبیّ لا یصحّ شرعاً، أو قلنا بصحّته و لکنّه لم یغتسل إلی الآن، یقع الکلام فی أنّه هل یجب علی الولیّ أو غیره من سائر المکلّفین منعه ممّا یحرم علی الجنب أم لا؟</w:t>
      </w:r>
    </w:p>
    <w:p>
      <w:pPr>
        <w:pStyle w:val="BookText"/>
        <w:rPr/>
      </w:pPr>
      <w:r>
        <w:rPr>
          <w:rFonts w:ascii="IRNazanin" w:hAnsi="IRNazanin" w:eastAsia="IRNazanin"/>
          <w:color w:val="111111"/>
          <w:sz w:val="28"/>
          <w:sz w:val="28"/>
          <w:szCs w:val="28"/>
          <w:rtl w:val="true"/>
          <w:lang w:bidi="fa-IR"/>
        </w:rPr>
        <w:t>فیه وجهان، بل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إذا وطئ و الصبیّة إذا وطئت، هل یتعلّق بأحدهما حکم الجنابة؟ فیه تردّد، و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بمعنی أنّه یمنع من المساجد و مسّ الکتابة و الصلاة تطوّعاً إلّا مع الغسل</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فی التذکرة</w:t>
      </w:r>
      <w:r>
        <w:rPr>
          <w:rStyle w:val="FootnoteAnchor"/>
          <w:rtl w:val="true"/>
        </w:rPr>
        <w:footnoteReference w:id="753"/>
      </w:r>
      <w:r>
        <w:rPr>
          <w:rFonts w:ascii="IRNazanin" w:hAnsi="IRNazanin" w:eastAsia="IRNazanin"/>
          <w:color w:val="111111"/>
          <w:sz w:val="28"/>
          <w:sz w:val="28"/>
          <w:szCs w:val="28"/>
          <w:rtl w:val="true"/>
          <w:lang w:bidi="fa-IR"/>
        </w:rPr>
        <w:t>و جامع المقاصد</w:t>
      </w:r>
      <w:r>
        <w:rPr>
          <w:rStyle w:val="FootnoteAnchor"/>
          <w:rtl w:val="true"/>
        </w:rPr>
        <w:footnoteReference w:id="754"/>
      </w:r>
      <w:r>
        <w:rPr>
          <w:rFonts w:ascii="IRNazanin" w:hAnsi="IRNazanin" w:eastAsia="IRNazanin"/>
          <w:color w:val="111111"/>
          <w:sz w:val="28"/>
          <w:sz w:val="28"/>
          <w:szCs w:val="28"/>
          <w:rtl w:val="true"/>
          <w:lang w:bidi="fa-IR"/>
        </w:rPr>
        <w:t>و کشف الالتباس</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تجری علیه أحکام الجنب الراجعة لغیره کمنعه من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قراءة العزائم، و مسّ کتابة القرآن إن قلنا بوجوب مثل ذلک علی الولیّ أو علیه و علی غیره، و کذا یجری علیه حکم کراهة سؤره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کشف الغطاء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المجنون و من دون البلوغ یجب علی الأولیاء منعهم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قراءة العزائم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کلّ ما ینافی احترام المحترمات فی وجه قویّ</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جماعة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فی أنّ خروج المنیّ أو الإدخال اللّذین یوجبان الغسل، هل هما من باب الأسباب أو الأحکام؟ تظهر ثمرته فی وجوب منع الولیّ الصبیَّ من المساجد و قراءة العزائم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إیلاج الصبیّ فی البالغة و بالعکس موجب للغسل علی البالغ منهما، و فی الآخر نظر، و کذا الصبیّ فی الصبیّة، من أنّه من باب الأسباب أو الأحکام، و تظهر الفائدة فی منعه عن المساجد و العزائم و مسّ کتابة القرآن</w:t>
      </w:r>
      <w:r>
        <w:rPr>
          <w:rFonts w:eastAsia="IRNazanin" w:cs="IRNazanin"/>
          <w:color w:val="111111"/>
          <w:sz w:val="28"/>
          <w:szCs w:val="28"/>
          <w:rtl w:val="true"/>
          <w:lang w:bidi="fa-IR"/>
        </w:rPr>
        <w:t>»</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الذخیرة</w:t>
      </w:r>
      <w:r>
        <w:rPr>
          <w:rStyle w:val="FootnoteAnchor"/>
          <w:rtl w:val="true"/>
        </w:rPr>
        <w:footnoteReference w:id="759"/>
      </w:r>
      <w:r>
        <w:rPr>
          <w:rFonts w:ascii="IRNazanin" w:hAnsi="IRNazanin" w:eastAsia="IRNazanin"/>
          <w:color w:val="111111"/>
          <w:sz w:val="28"/>
          <w:sz w:val="28"/>
          <w:szCs w:val="28"/>
          <w:rtl w:val="true"/>
          <w:lang w:bidi="fa-IR"/>
        </w:rPr>
        <w:t>و شرح الدروس</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عدم إدخال الجنب فی المسجد و إن کان صبیّاً أو مجنوناً أو جاهلاً بجنابة نفسه</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یستدلّ للحکم المذکور بالإطلاقات و العمومات الناهیة عن جلوس الجنب فی المساجد أو عن قراءة العزائم</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أجاد السیّد الحکیم فیما أفاد فی المقام</w:t>
      </w:r>
      <w:r>
        <w:rPr>
          <w:rStyle w:val="FootnoteAnchor"/>
          <w:rtl w:val="true"/>
        </w:rPr>
        <w:footnoteReference w:id="763"/>
      </w:r>
      <w:r>
        <w:rPr>
          <w:rFonts w:ascii="Amiri" w:hAnsi="Amiri" w:eastAsia="Amiri" w:cs="Amiri"/>
          <w:color w:val="111111"/>
          <w:sz w:val="28"/>
          <w:sz w:val="28"/>
          <w:szCs w:val="28"/>
          <w:rtl w:val="true"/>
          <w:lang w:bidi="ar-SA"/>
        </w:rPr>
        <w:t>،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یقتضیه إطلاق النهی عن الجلوس فی المساجد من دون توجیهه إلی خصوص الجنب فإنّ ذلک یقتضی کراهة مکث الجنب فیه من کلّ أحدٍ، فیکون المقام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الْمُشْرِکُونَ نَجَسٌ فَلا یَقْرَبُوا الْمَسْجِدَ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حینئذٍ فکما لا یجوز إدخاله یجب إخراجه لو دخل، و منعه عن الدخول لو أراده و إن کان معذوراً فی نفسه، لکن یوهن الإطلاق المذکور تعارف التعبیر عن نهی</w:t>
      </w:r>
    </w:p>
    <w:p>
      <w:pPr>
        <w:pStyle w:val="BookText"/>
        <w:rPr/>
      </w:pPr>
      <w:r>
        <w:rPr>
          <w:rFonts w:ascii="IRNazanin" w:hAnsi="IRNazanin" w:eastAsia="IRNazanin"/>
          <w:color w:val="111111"/>
          <w:sz w:val="28"/>
          <w:sz w:val="28"/>
          <w:szCs w:val="28"/>
          <w:rtl w:val="true"/>
          <w:lang w:bidi="fa-IR"/>
        </w:rPr>
        <w:t>خصوص الفاعل بمثل ذلک، و یحتمل أن یکون الوجه فی توقّف المصنّف احتماله أن یکون الفرض من قبیل</w:t>
      </w:r>
      <w:r>
        <w:rPr>
          <w:rStyle w:val="FootnoteAnchor"/>
          <w:rtl w:val="true"/>
        </w:rPr>
        <w:footnoteReference w:id="764"/>
      </w:r>
      <w:r>
        <w:rPr>
          <w:rFonts w:ascii="IRNazanin" w:hAnsi="IRNazanin" w:eastAsia="IRNazanin"/>
          <w:color w:val="111111"/>
          <w:sz w:val="28"/>
          <w:sz w:val="28"/>
          <w:szCs w:val="28"/>
          <w:rtl w:val="true"/>
          <w:lang w:bidi="fa-IR"/>
        </w:rPr>
        <w:t>التسبیب إلی الحرام</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جماعة من الفقهاء، من أنّه لا یجب علی الولیّ منع الطفل ممّا یحرم علی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هل یجب علی الولیّ منع الطفل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ممّا یحرم علی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 أظهرهما العدم</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النراقی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لو شکّ فی عدم حرمة دخول المساجد و قراءة العزائم و نحوها علی غیر البالغ، فهل یحرم علی الولیّ تمکینه منه و یجب علی الغیر منعه؟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767"/>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فی التنقیح</w:t>
      </w:r>
      <w:r>
        <w:rPr>
          <w:rStyle w:val="FootnoteAnchor"/>
          <w:rtl w:val="true"/>
        </w:rPr>
        <w:footnoteReference w:id="769"/>
      </w:r>
      <w:r>
        <w:rPr>
          <w:rFonts w:ascii="IRNazanin" w:hAnsi="IRNazanin" w:eastAsia="IRNazanin"/>
          <w:color w:val="111111"/>
          <w:sz w:val="28"/>
          <w:sz w:val="28"/>
          <w:szCs w:val="28"/>
          <w:rtl w:val="true"/>
          <w:lang w:bidi="fa-IR"/>
        </w:rPr>
        <w:t>و المستمسک</w:t>
      </w:r>
      <w:r>
        <w:rPr>
          <w:rStyle w:val="FootnoteAnchor"/>
          <w:rtl w:val="true"/>
        </w:rPr>
        <w:footnoteReference w:id="770"/>
      </w:r>
      <w:r>
        <w:rPr>
          <w:rFonts w:ascii="Amiri" w:hAnsi="Amiri" w:eastAsia="Amiri" w:cs="Amiri"/>
          <w:color w:val="111111"/>
          <w:sz w:val="28"/>
          <w:sz w:val="28"/>
          <w:szCs w:val="28"/>
          <w:rtl w:val="true"/>
          <w:lang w:bidi="ar-SA"/>
        </w:rPr>
        <w:t>و المهذّب</w:t>
      </w:r>
      <w:r>
        <w:rPr>
          <w:rStyle w:val="FootnoteAnchor"/>
          <w:rtl w:val="true"/>
        </w:rPr>
        <w:footnoteReference w:id="771"/>
      </w:r>
      <w:r>
        <w:rPr>
          <w:rFonts w:ascii="IRNazanin" w:hAnsi="IRNazanin" w:eastAsia="IRNazanin"/>
          <w:color w:val="111111"/>
          <w:sz w:val="28"/>
          <w:sz w:val="28"/>
          <w:szCs w:val="28"/>
          <w:rtl w:val="true"/>
          <w:lang w:bidi="fa-IR"/>
        </w:rPr>
        <w:t>و غیرها</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دلیل علی أنّه یجب علی الولیّ منع الطفل عمّا یحرم علی الجنب، و توضیحه یحتاج إلی تمهید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المحرّمات الشرعیّة تنقسم</w:t>
      </w:r>
    </w:p>
    <w:p>
      <w:pPr>
        <w:pStyle w:val="BookText"/>
        <w:rPr/>
      </w:pPr>
      <w:r>
        <w:rPr>
          <w:rFonts w:ascii="IRNazanin" w:hAnsi="IRNazanin" w:eastAsia="IRNazanin"/>
          <w:color w:val="111111"/>
          <w:sz w:val="28"/>
          <w:sz w:val="28"/>
          <w:szCs w:val="28"/>
          <w:rtl w:val="true"/>
          <w:lang w:bidi="fa-IR"/>
        </w:rPr>
        <w:t>إلی قسمین</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دلیله أنّ الشارع أراد سدّ باب وجوده رأساً، بحیث لا یرضی بتحقّقه فی الخارج بأیّ نحو کان من دون دخل لمباشرة خصوص المکلّف فی ذلک، کالأُمور الخطیرة التی علمنا اهتمام الشارع بها کقتل النفوس و هتک الأعراض و شرب الخمر و نحوها</w:t>
      </w:r>
      <w:r>
        <w:rPr>
          <w:rStyle w:val="FootnoteAnchor"/>
          <w:rtl w:val="true"/>
        </w:rPr>
        <w:footnoteReference w:id="774"/>
      </w:r>
      <w:r>
        <w:rPr>
          <w:rFonts w:ascii="IRNazanin" w:hAnsi="IRNazanin" w:eastAsia="IRNazanin"/>
          <w:color w:val="111111"/>
          <w:sz w:val="28"/>
          <w:sz w:val="28"/>
          <w:szCs w:val="28"/>
          <w:rtl w:val="true"/>
          <w:lang w:bidi="fa-IR"/>
        </w:rPr>
        <w:t>، ففی هذا القسم یجب علی الولیّ منع الطفل عن ارتکابها، بل قد ثبت التعزیر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دلیله المنع من صدوره من المکلّفین بالمباشرة، کأکل الأعیان النجسة و المتنجّسة و شربها، و لبس الحریر و الذهب، و الغناء و نحو ذلک، حیث إنّه لم یظهر من أدلّة حرمتها المنع من وجودها مطلقاً، و لم یکن العمل ممّا اهتمّ الشارع بعدم تحقّقه فی الخارج و لو من غیر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بیان هذه المقدّمة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یحرم علی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کقراءة العزائم و مسّ کتابة المصحف و الدخول فی المساجد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المحرّمات الشرعیّة التی علمنا من الشارع الاهتمام بها بحیث لا یرضی بحصولها فی الخارج مطلقاً؛ و ذلک لأنّ الشارع کما حرّم هذه المحرّمات فی حقّ المکلّفین کذلک أباحها فی حقّ الصبیان و المجانین، فصدورها من غیر البالغ علی وجه مباح، و من الواضح أنّ المنع من فعل المباح لم یقم دلیل علی وجوبه، بل الأصل عدمه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لزم من ذلک هتک الحرمة فلا شکّ فی وجوب المنع</w:t>
      </w:r>
      <w:r>
        <w:rPr>
          <w:rFonts w:eastAsia="IRNazanin" w:cs="IRNazanin"/>
          <w:color w:val="111111"/>
          <w:sz w:val="28"/>
          <w:szCs w:val="28"/>
          <w:rtl w:val="true"/>
          <w:lang w:bidi="fa-IR"/>
        </w:rPr>
        <w:t>.</w:t>
      </w:r>
      <w:bookmarkStart w:id="230" w:name="pg11755_254520"/>
    </w:p>
    <w:p>
      <w:pPr>
        <w:pStyle w:val="Heading6"/>
        <w:numPr>
          <w:ilvl w:val="5"/>
          <w:numId w:val="1"/>
        </w:numPr>
        <w:rPr/>
      </w:pPr>
      <w:bookmarkStart w:id="231" w:name="__RefHeading___Toc9587424_73709187"/>
      <w:bookmarkStart w:id="232" w:name="_Toc86"/>
      <w:bookmarkEnd w:id="230"/>
      <w:bookmarkEnd w:id="231"/>
      <w:r>
        <w:rPr>
          <w:rtl w:val="true"/>
        </w:rPr>
        <w:t>فرع</w:t>
      </w:r>
      <w:bookmarkEnd w:id="232"/>
    </w:p>
    <w:p>
      <w:pPr>
        <w:pStyle w:val="BookText"/>
        <w:rPr/>
      </w:pPr>
      <w:r>
        <w:rPr>
          <w:rFonts w:ascii="IRNazanin" w:hAnsi="IRNazanin" w:eastAsia="IRNazanin"/>
          <w:color w:val="111111"/>
          <w:sz w:val="28"/>
          <w:sz w:val="28"/>
          <w:szCs w:val="28"/>
          <w:rtl w:val="true"/>
          <w:lang w:bidi="fa-IR"/>
        </w:rPr>
        <w:t>قال فی مصباح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إدخال الجنب فی المسجد تارةً یکون ببعثه علی الدخول فیه و أمره به، فیدخل المبعوث بإرادته، و تکون إرادته من ناحیة بعث الباعث، و اخری یکون بحمله إلیه من غیر إرادة منه للدخول، کما إذا رفعه علی عاتقه و وضعه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 لا ینبغی الإشکال فی جوازه؛ لأنّ فعل الدخول لا یکون ممّن یحرم علیه بالحرمة المنجّزة، بل إمّا لا یکون حراماً علیه کالصبیّ و المجنون، أو لا یکون منجّزاً علیه کالجاهل بجنابته، و إنّما الصادر من المکلّف بعث المبعوث إلی ما لا یکون حراماً علیه بالحرمة المنجّزة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یقال بحرمته؛ لشمول النصّ الدالّ علی حرمة الدخول و لو ببدن الغیر؛ إذ یصدق علی الدخول فی حال حمل الجنب أنّه دخول الجنب، و المفروض أنّه فعل للحامل بلا مدخلیّة إرادة المحمول فیه أصلاً، فیکون حراماً بنفس النصّ الدالّ علی حرمة دخول الجنب، 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لا شاهد علیها؛ لعدم صدق دخول الجنب علی دخوله قطعاً، و حرمة الإدخال یحتاج إثباتها إلی دلیل آخر غیر ما یدلّ علی حرمة الدخول، و هو مفقود فی المقام</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9587426_73709187"/>
      <w:bookmarkStart w:id="234" w:name="_Toc87"/>
      <w:bookmarkEnd w:id="233"/>
      <w:r>
        <w:rPr>
          <w:rtl w:val="true"/>
        </w:rPr>
        <w:t>حکم عرق الصبیّ المجنب من الحرام</w:t>
      </w:r>
      <w:bookmarkEnd w:id="234"/>
    </w:p>
    <w:p>
      <w:pPr>
        <w:pStyle w:val="Heading6"/>
        <w:numPr>
          <w:ilvl w:val="5"/>
          <w:numId w:val="1"/>
        </w:numPr>
        <w:rPr/>
      </w:pPr>
      <w:bookmarkStart w:id="235" w:name="__RefHeading___Toc9587428_73709187"/>
      <w:bookmarkStart w:id="236" w:name="_Toc88"/>
      <w:bookmarkEnd w:id="235"/>
      <w:r>
        <w:rPr>
          <w:rtl w:val="true"/>
        </w:rPr>
        <w:t>تمهید</w:t>
      </w:r>
      <w:bookmarkEnd w:id="23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الفقهاء فی نجاسة عرق المکلّف إذا أجنب من الحرام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الشیخان فی المقنعة</w:t>
      </w:r>
      <w:r>
        <w:rPr>
          <w:rStyle w:val="FootnoteAnchor"/>
          <w:rtl w:val="true"/>
        </w:rPr>
        <w:footnoteReference w:id="776"/>
      </w:r>
      <w:r>
        <w:rPr>
          <w:rFonts w:ascii="IRNazanin" w:hAnsi="IRNazanin" w:eastAsia="IRNazanin"/>
          <w:color w:val="111111"/>
          <w:sz w:val="28"/>
          <w:sz w:val="28"/>
          <w:szCs w:val="28"/>
          <w:rtl w:val="true"/>
          <w:lang w:bidi="fa-IR"/>
        </w:rPr>
        <w:t>و النهایة</w:t>
      </w:r>
      <w:r>
        <w:rPr>
          <w:rStyle w:val="FootnoteAnchor"/>
          <w:rtl w:val="true"/>
        </w:rPr>
        <w:footnoteReference w:id="777"/>
      </w:r>
      <w:r>
        <w:rPr>
          <w:rFonts w:ascii="IRNazanin" w:hAnsi="IRNazanin" w:eastAsia="IRNazanin"/>
          <w:color w:val="111111"/>
          <w:sz w:val="28"/>
          <w:sz w:val="28"/>
          <w:szCs w:val="28"/>
          <w:rtl w:val="true"/>
          <w:lang w:bidi="fa-IR"/>
        </w:rPr>
        <w:t>و المبسوط‌</w:t>
      </w:r>
      <w:r>
        <w:rPr>
          <w:rStyle w:val="FootnoteAnchor"/>
          <w:rtl w:val="true"/>
        </w:rPr>
        <w:footnoteReference w:id="778"/>
      </w:r>
      <w:r>
        <w:rPr>
          <w:rFonts w:ascii="IRNazanin" w:hAnsi="IRNazanin" w:eastAsia="IRNazanin"/>
          <w:color w:val="111111"/>
          <w:sz w:val="28"/>
          <w:sz w:val="28"/>
          <w:szCs w:val="28"/>
          <w:rtl w:val="true"/>
          <w:lang w:bidi="fa-IR"/>
        </w:rPr>
        <w:t>بنجاسته، و کذا الصدوق فی الفقیه</w:t>
      </w:r>
      <w:r>
        <w:rPr>
          <w:rStyle w:val="FootnoteAnchor"/>
          <w:rtl w:val="true"/>
        </w:rPr>
        <w:footnoteReference w:id="779"/>
      </w:r>
      <w:r>
        <w:rPr>
          <w:rFonts w:ascii="IRNazanin" w:hAnsi="IRNazanin" w:eastAsia="IRNazanin"/>
          <w:color w:val="111111"/>
          <w:sz w:val="28"/>
          <w:sz w:val="28"/>
          <w:szCs w:val="28"/>
          <w:rtl w:val="true"/>
          <w:lang w:bidi="fa-IR"/>
        </w:rPr>
        <w:t>، و اختاره ابن الجنید</w:t>
      </w:r>
      <w:r>
        <w:rPr>
          <w:rStyle w:val="FootnoteAnchor"/>
          <w:rtl w:val="true"/>
        </w:rPr>
        <w:footnoteReference w:id="780"/>
      </w:r>
      <w:r>
        <w:rPr>
          <w:rFonts w:ascii="IRNazanin" w:hAnsi="IRNazanin" w:eastAsia="IRNazanin"/>
          <w:color w:val="111111"/>
          <w:sz w:val="28"/>
          <w:sz w:val="28"/>
          <w:szCs w:val="28"/>
          <w:rtl w:val="true"/>
          <w:lang w:bidi="fa-IR"/>
        </w:rPr>
        <w:t>و القاضی</w:t>
      </w:r>
      <w:r>
        <w:rPr>
          <w:rStyle w:val="FootnoteAnchor"/>
          <w:rtl w:val="true"/>
        </w:rPr>
        <w:footnoteReference w:id="781"/>
      </w:r>
      <w:r>
        <w:rPr>
          <w:rFonts w:ascii="IRNazanin" w:hAnsi="IRNazanin" w:eastAsia="IRNazanin"/>
          <w:color w:val="111111"/>
          <w:sz w:val="28"/>
          <w:sz w:val="28"/>
          <w:szCs w:val="28"/>
          <w:rtl w:val="true"/>
          <w:lang w:bidi="fa-IR"/>
        </w:rPr>
        <w:t>و المحدّث البحرانی</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و کاشف الغطاء</w:t>
      </w:r>
      <w:r>
        <w:rPr>
          <w:rStyle w:val="FootnoteAnchor"/>
          <w:rtl w:val="true"/>
        </w:rPr>
        <w:footnoteReference w:id="783"/>
      </w:r>
      <w:r>
        <w:rPr>
          <w:rFonts w:ascii="IRNazanin" w:hAnsi="IRNazanin" w:eastAsia="IRNazanin"/>
          <w:color w:val="111111"/>
          <w:sz w:val="28"/>
          <w:sz w:val="28"/>
          <w:szCs w:val="28"/>
          <w:rtl w:val="true"/>
          <w:lang w:bidi="fa-IR"/>
        </w:rPr>
        <w:t>، و نسبه فی الریاض</w:t>
      </w:r>
      <w:r>
        <w:rPr>
          <w:rStyle w:val="FootnoteAnchor"/>
          <w:rtl w:val="true"/>
        </w:rPr>
        <w:footnoteReference w:id="784"/>
      </w:r>
      <w:r>
        <w:rPr>
          <w:rFonts w:ascii="IRNazanin" w:hAnsi="IRNazanin" w:eastAsia="IRNazanin"/>
          <w:color w:val="111111"/>
          <w:sz w:val="28"/>
          <w:sz w:val="28"/>
          <w:szCs w:val="28"/>
          <w:rtl w:val="true"/>
          <w:lang w:bidi="fa-IR"/>
        </w:rPr>
        <w:t>إلی الأشهر بین المتقدّمین تارةً، و إلی الشهرة العظیمة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فی الغنیة</w:t>
      </w:r>
      <w:r>
        <w:rPr>
          <w:rStyle w:val="FootnoteAnchor"/>
          <w:rtl w:val="true"/>
        </w:rPr>
        <w:footnoteReference w:id="785"/>
      </w:r>
      <w:r>
        <w:rPr>
          <w:rFonts w:ascii="IRNazanin" w:hAnsi="IRNazanin" w:eastAsia="IRNazanin"/>
          <w:color w:val="111111"/>
          <w:sz w:val="28"/>
          <w:sz w:val="28"/>
          <w:szCs w:val="28"/>
          <w:rtl w:val="true"/>
          <w:lang w:bidi="fa-IR"/>
        </w:rPr>
        <w:t>و المراسم</w:t>
      </w:r>
      <w:r>
        <w:rPr>
          <w:rStyle w:val="FootnoteAnchor"/>
          <w:rtl w:val="true"/>
        </w:rPr>
        <w:footnoteReference w:id="786"/>
      </w:r>
      <w:r>
        <w:rPr>
          <w:rFonts w:ascii="IRNazanin" w:hAnsi="IRNazanin" w:eastAsia="IRNazanin"/>
          <w:color w:val="111111"/>
          <w:sz w:val="28"/>
          <w:sz w:val="28"/>
          <w:szCs w:val="28"/>
          <w:rtl w:val="true"/>
          <w:lang w:bidi="fa-IR"/>
        </w:rPr>
        <w:t>إلی أصحابنا، و فی الخلاف</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بل عن الأمالی</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دین الإمامیّة الإقرار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النجاسات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عرق الجنب من الحرام، سواء خرج حین الجماع أو بعده من الرجل أو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الأقوی ذلک فی وط‌ء الحائض، و الجماع فی یوم الصوم الواجب المعیّن</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سلّار</w:t>
      </w:r>
      <w:r>
        <w:rPr>
          <w:rStyle w:val="FootnoteAnchor"/>
          <w:rtl w:val="true"/>
        </w:rPr>
        <w:footnoteReference w:id="790"/>
      </w:r>
      <w:r>
        <w:rPr>
          <w:rFonts w:ascii="IRNazanin" w:hAnsi="IRNazanin" w:eastAsia="IRNazanin"/>
          <w:color w:val="111111"/>
          <w:sz w:val="28"/>
          <w:sz w:val="28"/>
          <w:szCs w:val="28"/>
          <w:rtl w:val="true"/>
          <w:lang w:bidi="fa-IR"/>
        </w:rPr>
        <w:t>و ابن إدریس</w:t>
      </w:r>
      <w:r>
        <w:rPr>
          <w:rStyle w:val="FootnoteAnchor"/>
          <w:rtl w:val="true"/>
        </w:rPr>
        <w:footnoteReference w:id="791"/>
      </w:r>
      <w:r>
        <w:rPr>
          <w:rFonts w:ascii="IRNazanin" w:hAnsi="IRNazanin" w:eastAsia="IRNazanin"/>
          <w:color w:val="111111"/>
          <w:sz w:val="28"/>
          <w:sz w:val="28"/>
          <w:szCs w:val="28"/>
          <w:rtl w:val="true"/>
          <w:lang w:bidi="fa-IR"/>
        </w:rPr>
        <w:t>إلی الطهارة، و اختاره الفاضلان</w:t>
      </w:r>
      <w:r>
        <w:rPr>
          <w:rStyle w:val="FootnoteAnchor"/>
          <w:rtl w:val="true"/>
        </w:rPr>
        <w:footnoteReference w:id="792"/>
      </w:r>
      <w:r>
        <w:rPr>
          <w:rFonts w:ascii="IRNazanin" w:hAnsi="IRNazanin" w:eastAsia="IRNazanin"/>
          <w:color w:val="111111"/>
          <w:sz w:val="28"/>
          <w:sz w:val="28"/>
          <w:szCs w:val="28"/>
          <w:rtl w:val="true"/>
          <w:lang w:bidi="fa-IR"/>
        </w:rPr>
        <w:t>، و هو المشهور بین المتأخِّرین، بل اختاره جمهورهم</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نجاسة عرق الجنب من الحرام إشکالاً، بل منعاً؛ لأنّ الأخبار لا تدلّ إلّا علی المنع من الصلاة فی الثوب الذی أصابه العرق کما فی عدّة من تعلیقات العروة</w:t>
      </w:r>
      <w:r>
        <w:rPr>
          <w:rStyle w:val="FootnoteAnchor"/>
          <w:rtl w:val="true"/>
        </w:rPr>
        <w:footnoteReference w:id="794"/>
      </w:r>
      <w:r>
        <w:rPr>
          <w:rFonts w:ascii="IRNazanin" w:hAnsi="IRNazanin" w:eastAsia="IRNazanin"/>
          <w:color w:val="111111"/>
          <w:sz w:val="28"/>
          <w:sz w:val="28"/>
          <w:szCs w:val="28"/>
          <w:rtl w:val="true"/>
          <w:lang w:bidi="fa-IR"/>
        </w:rPr>
        <w:t>و غیرها</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 طهارة عرق الجنب من الحرام، و الأحوط التجنّب عنه فی الصلاة، و ینبغی الاحتیاط منه مطلقاً</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عدم قیام الدلیل علی نجاسة عرق الجنب من الحرام لا بدّ من الالتزام بالطّهارة علی ما هو مقتضی الأصل و القاعدة</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هذه المقدّمة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افتراض کبری النجاسة فی عرق الجنب من الحرام، هل عرق الصبیّ إذا أجنب من الحرام نجس کالبالغین أم لا؟ فیه إشکال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فی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وطئ الصغیر أجنبیّة و ألحقنا به حکم الجنابة</w:t>
      </w:r>
    </w:p>
    <w:p>
      <w:pPr>
        <w:pStyle w:val="BookText"/>
        <w:rPr/>
      </w:pPr>
      <w:r>
        <w:rPr>
          <w:rFonts w:ascii="IRNazanin" w:hAnsi="IRNazanin" w:eastAsia="IRNazanin"/>
          <w:color w:val="111111"/>
          <w:sz w:val="28"/>
          <w:sz w:val="28"/>
          <w:szCs w:val="28"/>
          <w:rtl w:val="true"/>
          <w:lang w:bidi="fa-IR"/>
        </w:rPr>
        <w:t>بالوط‌ء، ففی نجاسة عرقه إشکال ینشأ من عدم التحریم فی حقّه</w:t>
      </w:r>
      <w:r>
        <w:rPr>
          <w:rFonts w:eastAsia="IRNazanin" w:cs="IRNazanin"/>
          <w:color w:val="111111"/>
          <w:sz w:val="28"/>
          <w:szCs w:val="28"/>
          <w:rtl w:val="true"/>
          <w:lang w:bidi="fa-IR"/>
        </w:rPr>
        <w:t>»</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النهایة</w:t>
      </w:r>
      <w:r>
        <w:rPr>
          <w:rStyle w:val="FootnoteAnchor"/>
          <w:rtl w:val="true"/>
        </w:rPr>
        <w:footnoteReference w:id="799"/>
      </w:r>
      <w:r>
        <w:rPr>
          <w:rFonts w:ascii="IRNazanin" w:hAnsi="IRNazanin" w:eastAsia="IRNazanin"/>
          <w:color w:val="111111"/>
          <w:sz w:val="28"/>
          <w:sz w:val="28"/>
          <w:szCs w:val="28"/>
          <w:rtl w:val="true"/>
          <w:lang w:bidi="fa-IR"/>
        </w:rPr>
        <w:t>و الجواهر</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المستمسک</w:t>
      </w:r>
      <w:r>
        <w:rPr>
          <w:rStyle w:val="FootnoteAnchor"/>
          <w:rtl w:val="true"/>
        </w:rPr>
        <w:footnoteReference w:id="8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اختاره فی مصباح الهدی‌</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 المهذّب</w:t>
      </w:r>
      <w:r>
        <w:rPr>
          <w:rStyle w:val="FootnoteAnchor"/>
          <w:rtl w:val="true"/>
        </w:rPr>
        <w:footnoteReference w:id="803"/>
      </w:r>
      <w:r>
        <w:rPr>
          <w:rFonts w:ascii="IRNazanin" w:hAnsi="IRNazanin" w:eastAsia="IRNazanin"/>
          <w:color w:val="111111"/>
          <w:sz w:val="28"/>
          <w:sz w:val="28"/>
          <w:szCs w:val="28"/>
          <w:rtl w:val="true"/>
          <w:lang w:bidi="fa-IR"/>
        </w:rPr>
        <w:t>، و به قال الشیخ الفقیه الأراکی</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الحکم بالطهارة أو النجاسة یبتنیان علی أنّ المراد من لفظة الحرام الواردة فی الأخبار</w:t>
      </w:r>
      <w:r>
        <w:rPr>
          <w:rStyle w:val="FootnoteAnchor"/>
          <w:rtl w:val="true"/>
        </w:rPr>
        <w:footnoteReference w:id="805"/>
      </w:r>
      <w:r>
        <w:rPr>
          <w:rFonts w:ascii="IRNazanin" w:hAnsi="IRNazanin" w:eastAsia="IRNazanin"/>
          <w:color w:val="111111"/>
          <w:sz w:val="28"/>
          <w:sz w:val="28"/>
          <w:szCs w:val="28"/>
          <w:rtl w:val="true"/>
          <w:lang w:bidi="fa-IR"/>
        </w:rPr>
        <w:t>الدالّة علی النجاسة، هل هو الحرام الفعلی الذی یستحقّ فاعله العقاب، بحیث یکون لعنوان الحرام دخالة فی ترتّب الحکم؟ أو أنّ الحرام المأخوذ فیها قد اخذ مشیراً إلی العناوین المحرّمة مثل الزنی و اللواط و الاستمناء، فکأنّه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الزانی أو اللاطئ أو المستمنی نجس؟</w:t>
      </w:r>
    </w:p>
    <w:p>
      <w:pPr>
        <w:pStyle w:val="BookText"/>
        <w:rPr/>
      </w:pPr>
      <w:r>
        <w:rPr>
          <w:rFonts w:ascii="IRNazanin" w:hAnsi="IRNazanin" w:eastAsia="IRNazanin"/>
          <w:color w:val="111111"/>
          <w:sz w:val="28"/>
          <w:sz w:val="28"/>
          <w:szCs w:val="28"/>
          <w:rtl w:val="true"/>
          <w:lang w:bidi="fa-IR"/>
        </w:rPr>
        <w:t>فعلی الأوّل لا یحکم بنجاسة عرق الصبیّ إذا أجنب من الحرام؛ لعدم اتّصاف الفعل الصادر منه بالحرمة، و عدم استحقاق فاعله للعقوبة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لا بدّ من الحکم بنجاسته؛ لتحقّق السبب منه و إن لم یتّصف بالحرمة الفعلیّة بالإضافة إلیه</w:t>
      </w:r>
      <w:r>
        <w:rPr>
          <w:rFonts w:eastAsia="IRNazanin" w:cs="IRNazanin"/>
          <w:color w:val="111111"/>
          <w:sz w:val="28"/>
          <w:szCs w:val="28"/>
          <w:rtl w:val="true"/>
          <w:lang w:bidi="fa-IR"/>
        </w:rPr>
        <w:t>.</w:t>
      </w:r>
      <w:bookmarkStart w:id="237" w:name="pg11755_254528"/>
    </w:p>
    <w:p>
      <w:pPr>
        <w:pStyle w:val="BookText"/>
        <w:rPr/>
      </w:pPr>
      <w:bookmarkEnd w:id="237"/>
      <w:r>
        <w:rPr>
          <w:rFonts w:ascii="IRNazanin" w:hAnsi="IRNazanin" w:eastAsia="IRNazanin"/>
          <w:color w:val="111111"/>
          <w:sz w:val="28"/>
          <w:sz w:val="28"/>
          <w:szCs w:val="28"/>
          <w:rtl w:val="true"/>
          <w:lang w:bidi="fa-IR"/>
        </w:rPr>
        <w:t>و الظاهر</w:t>
      </w:r>
      <w:r>
        <w:rPr>
          <w:rStyle w:val="FootnoteAnchor"/>
          <w:rtl w:val="true"/>
        </w:rPr>
        <w:footnoteReference w:id="806"/>
      </w:r>
      <w:r>
        <w:rPr>
          <w:rFonts w:ascii="IRNazanin" w:hAnsi="IRNazanin" w:eastAsia="IRNazanin"/>
          <w:color w:val="111111"/>
          <w:sz w:val="28"/>
          <w:sz w:val="28"/>
          <w:szCs w:val="28"/>
          <w:rtl w:val="true"/>
          <w:lang w:bidi="fa-IR"/>
        </w:rPr>
        <w:t>هو الوجه الأوّل؛ لأنّ ظاهر أخذ الحرام موضوعاً أنّ لعنوانه مدخلیّة فی ترتّب الحکم، فحمله علی کون أخذه للإشارة إلی أمر آخر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الوط‌ء بالشبهة مع أنّه عمل مبغوض ذاتاً لم یلتزموا فیه بنجاسة عرق الواطئ، و لیس هو إلّا لعدم کونه محرّماً فعلیّاً، کما فی تفصیل الشریعة</w:t>
      </w:r>
      <w:r>
        <w:rPr>
          <w:rStyle w:val="FootnoteAnchor"/>
          <w:rtl w:val="true"/>
        </w:rPr>
        <w:footnoteReference w:id="807"/>
      </w:r>
      <w:r>
        <w:rPr>
          <w:rFonts w:ascii="IRNazanin" w:hAnsi="IRNazanin" w:eastAsia="IRNazanin"/>
          <w:color w:val="111111"/>
          <w:sz w:val="28"/>
          <w:sz w:val="28"/>
          <w:szCs w:val="28"/>
          <w:rtl w:val="true"/>
          <w:lang w:bidi="fa-IR"/>
        </w:rPr>
        <w:t>و التنقیح</w:t>
      </w:r>
      <w:r>
        <w:rPr>
          <w:rStyle w:val="FootnoteAnchor"/>
          <w:rtl w:val="true"/>
        </w:rPr>
        <w:footnoteReference w:id="808"/>
      </w:r>
      <w:r>
        <w:rPr>
          <w:rFonts w:ascii="IRNazanin" w:hAnsi="IRNazanin" w:eastAsia="IRNazanin"/>
          <w:color w:val="111111"/>
          <w:sz w:val="28"/>
          <w:sz w:val="28"/>
          <w:szCs w:val="28"/>
          <w:rtl w:val="true"/>
          <w:lang w:bidi="fa-IR"/>
        </w:rPr>
        <w:t>، و علیه فالأظهر طهارة عرق الصبیّ إذا أجنب من الحرام</w:t>
      </w:r>
      <w:r>
        <w:rPr>
          <w:rFonts w:eastAsia="IRNazanin" w:cs="IRNazanin"/>
          <w:color w:val="111111"/>
          <w:sz w:val="28"/>
          <w:szCs w:val="28"/>
          <w:rtl w:val="true"/>
          <w:lang w:bidi="fa-IR"/>
        </w:rPr>
        <w:t>.</w:t>
      </w:r>
    </w:p>
    <w:p>
      <w:pPr>
        <w:pStyle w:val="Heading6"/>
        <w:numPr>
          <w:ilvl w:val="5"/>
          <w:numId w:val="1"/>
        </w:numPr>
        <w:rPr/>
      </w:pPr>
      <w:bookmarkStart w:id="238" w:name="__RefHeading___Toc9587430_73709187"/>
      <w:bookmarkStart w:id="239" w:name="_Toc89"/>
      <w:bookmarkEnd w:id="238"/>
      <w:r>
        <w:rPr>
          <w:rtl w:val="true"/>
        </w:rPr>
        <w:t>آراء أهل السنّة فی هذا المبحث</w:t>
      </w:r>
      <w:bookmarkEnd w:id="23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جمهور أهل السنّة علی أنّ التقاء الختانین و غیبوبة الحشفة موجب للجنابة فی البالغین، و اختلفوا فی غیر البالغ، فذهب الشافعیّة و الحنابلة إلی أنّه إذا أولج الصبیّ فی امرأةٍ أو فی صبیّ مثله صار جنباً، و إن اغتسل صحّ غسله و علی الولیّ أن یأمره بالغسل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الحنفیّة و المالکیّة فاشترطوا فی تحقّق الجنابة البلوغ، و لذا صرّحوا بأنّه لا غسل علی الصبیّ فی الحال و لا عند البلوغ، إلّا أنّ الحنفیّة قالوا بوجوب الغسل علی الکبیرة إن جامعها صغیر، و قال المالکیّة بأنّه لا غسل علی الکبیرة أیضاً، فلنذکر شطراً من کلماتهم علی الترتیب التالی</w:t>
      </w:r>
      <w:r>
        <w:rPr>
          <w:rFonts w:eastAsia="IRNazanin" w:cs="IRNazanin"/>
          <w:color w:val="111111"/>
          <w:sz w:val="28"/>
          <w:szCs w:val="28"/>
          <w:rtl w:val="true"/>
          <w:lang w:bidi="fa-IR"/>
        </w:rPr>
        <w:t>:</w:t>
      </w:r>
      <w:bookmarkStart w:id="240" w:name="pg11755_254530"/>
    </w:p>
    <w:p>
      <w:pPr>
        <w:pStyle w:val="Heading6"/>
        <w:numPr>
          <w:ilvl w:val="5"/>
          <w:numId w:val="1"/>
        </w:numPr>
        <w:rPr/>
      </w:pPr>
      <w:bookmarkStart w:id="241" w:name="__RefHeading___Toc9587432_73709187"/>
      <w:bookmarkStart w:id="242" w:name="_Toc90"/>
      <w:bookmarkEnd w:id="240"/>
      <w:bookmarkEnd w:id="241"/>
      <w:r>
        <w:rPr>
          <w:rtl w:val="true"/>
        </w:rPr>
        <w:t>الشافعیّة</w:t>
      </w:r>
      <w:bookmarkEnd w:id="242"/>
    </w:p>
    <w:p>
      <w:pPr>
        <w:pStyle w:val="BookText"/>
        <w:rPr/>
      </w:pPr>
      <w:r>
        <w:rPr>
          <w:rFonts w:ascii="IRNazanin" w:hAnsi="IRNazanin" w:eastAsia="IRNazanin"/>
          <w:color w:val="111111"/>
          <w:sz w:val="28"/>
          <w:sz w:val="28"/>
          <w:szCs w:val="28"/>
          <w:rtl w:val="true"/>
          <w:lang w:bidi="fa-IR"/>
        </w:rPr>
        <w:t>جاء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الصبیّ إذا أولج فی امرأة أو دبر رجل، أو أولج رجل فی دبره، فیجب الغسل علی المرأة 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یصیر الصبیّ فی کلّ هذه الصور جنباً، و کذا الصبیّة إذا أولج فیها رجل أو صبیّ، و کذا لو أولج صبیّ فی صبیّ، و سواء فی هذا الصبیّ الممیّز و غیره، و إذا صار جنباً لا تصحّ صلاته ما لم 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محدثاً، و یجب علی الولیّ أن یأمره بالغسل إن کان ممیّزاً کما یأمره بالوضوء، فإن لم یغتسل حتّی بلغ لزمه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اغتسل و هو ممیّز صحّ غسله، فإذا بلغ لا تلزمه إعادته</w:t>
      </w:r>
      <w:r>
        <w:rPr>
          <w:rFonts w:eastAsia="IRNazanin" w:cs="IRNazanin"/>
          <w:color w:val="111111"/>
          <w:sz w:val="28"/>
          <w:szCs w:val="28"/>
          <w:rtl w:val="true"/>
          <w:lang w:bidi="fa-IR"/>
        </w:rPr>
        <w:t>»</w:t>
      </w: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روضة الطالبین</w:t>
      </w:r>
      <w:r>
        <w:rPr>
          <w:rStyle w:val="FootnoteAnchor"/>
          <w:rtl w:val="true"/>
        </w:rPr>
        <w:footnoteReference w:id="810"/>
      </w:r>
      <w:r>
        <w:rPr>
          <w:rFonts w:ascii="IRNazanin" w:hAnsi="IRNazanin" w:eastAsia="IRNazanin"/>
          <w:color w:val="111111"/>
          <w:sz w:val="28"/>
          <w:sz w:val="28"/>
          <w:szCs w:val="28"/>
          <w:rtl w:val="true"/>
          <w:lang w:bidi="fa-IR"/>
        </w:rPr>
        <w:t>و مغنی المحتاج</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البیان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أولج صبیّ ذکره فی فرج امرأة، فلا أعرف فیه نصّاً، و الذی یقتضیه المذهب أنّه یصیر جنباً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جُنُباً إِلاّ عابِرِی سَبِیلٍ حَتَّی تَغْتَسِلُوا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الجنابة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 هذا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لا یجب علی الصبیّ الغسل إلّا 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اغتسل فی حال صِغَره و هو ممیّز صحّ غسله</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3" w:name="__RefHeading___Toc9587434_73709187"/>
      <w:bookmarkStart w:id="244" w:name="_Toc91"/>
      <w:bookmarkEnd w:id="243"/>
      <w:r>
        <w:rPr>
          <w:rtl w:val="true"/>
        </w:rPr>
        <w:t>الحنابلة</w:t>
      </w:r>
      <w:bookmarkEnd w:id="24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الواطئ أو الموطوء صغیراً فقال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علیهما</w:t>
      </w:r>
      <w:bookmarkStart w:id="245" w:name="pg11755_254532"/>
    </w:p>
    <w:p>
      <w:pPr>
        <w:pStyle w:val="BookText"/>
        <w:rPr/>
      </w:pPr>
      <w:bookmarkEnd w:id="245"/>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أو لم ینزل؟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القاضی کلام أحمد علی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الصغیرة لا یتعلّق بها المأثم و لا هی من أهل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لیس معنی وجوب الغسل فی الصغیر التأثیم بترکه، بل معناه أنّه شرط لصحّة الصلاة و الطواف و إباحة 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یأثم البالغ بتأخیره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الصبیّ لا صلاة علیه، فلم یأثم بالتاخیر، و بقی فی حقّه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بلغ کان حکم الحدث فی حقّه باقیاً</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کشّاف القناع،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یرتفع 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بغسله قبل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إعادته بعد بلوغه لصحّة غسله، فیترتّب علیه أثرها</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الإنصاف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یشترط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تحقّق الجنابة من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الذکر ابن عشر سنین و الاُنثی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کلام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المذهب المنصوص أیضاً یلزمه الغسل علی الصحیح عند إرادة ما یتوقّف علیه الغسل أو الوضوء</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6" w:name="__RefHeading___Toc9587436_73709187"/>
      <w:bookmarkStart w:id="247" w:name="_Toc92"/>
      <w:bookmarkEnd w:id="246"/>
      <w:r>
        <w:rPr>
          <w:rtl w:val="true"/>
        </w:rPr>
        <w:t>الحنفیّة</w:t>
      </w:r>
      <w:bookmarkEnd w:id="24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مراهق له امرأة بالغة جامعها فعلیها الغسل؛ لأنّها مخاطبة، و لا غسل علیه؛ لعدم الخطاب، و فی العکس الحکم بالعکس، لانعکاس العلّة</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و قریب من هذا فی البحر الرائق</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bookmarkStart w:id="248" w:name="pg11755_254534"/>
    </w:p>
    <w:p>
      <w:pPr>
        <w:pStyle w:val="BookText"/>
        <w:rPr/>
      </w:pPr>
      <w:bookmarkEnd w:id="248"/>
      <w:r>
        <w:rPr>
          <w:rFonts w:ascii="IRNazanin" w:hAnsi="IRNazanin" w:eastAsia="IRNazanin"/>
          <w:color w:val="111111"/>
          <w:sz w:val="28"/>
          <w:sz w:val="28"/>
          <w:szCs w:val="28"/>
          <w:rtl w:val="true"/>
          <w:lang w:bidi="fa-IR"/>
        </w:rPr>
        <w:t>و فی الفتاوی الهندیّة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غسل علی الغلام، إلّا أنّه یؤمر بالغسل تخلّقاً و اعتیاداً کما یؤمر بالصلاة تخلّقاً و اعتیاداً</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9" w:name="__RefHeading___Toc9587438_73709187"/>
      <w:bookmarkStart w:id="250" w:name="_Toc93"/>
      <w:bookmarkEnd w:id="249"/>
      <w:r>
        <w:rPr>
          <w:rtl w:val="true"/>
        </w:rPr>
        <w:t>المالکیّة</w:t>
      </w:r>
      <w:bookmarkEnd w:id="250"/>
    </w:p>
    <w:p>
      <w:pPr>
        <w:pStyle w:val="BookText"/>
        <w:rPr/>
      </w:pPr>
      <w:r>
        <w:rPr>
          <w:rFonts w:ascii="IRNazanin" w:hAnsi="IRNazanin" w:eastAsia="IRNazanin"/>
          <w:color w:val="111111"/>
          <w:sz w:val="28"/>
          <w:sz w:val="28"/>
          <w:szCs w:val="28"/>
          <w:rtl w:val="true"/>
          <w:lang w:bidi="fa-IR"/>
        </w:rPr>
        <w:t>جاء فی عقد الجواهر الثمینة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عدم البلوغ فی الواطئ و الموطوءة أو فی أحدهما، فإن کانا غیر بالغین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المذهب أن لا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یؤمر به علی جهة التدرّب، و أمّا وط‌ء الصغیر کبیرة فلا یجب علیها الغسل إلّا أن تنزل</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تبیین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علی الصبیّ الغسل بل یندب له</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مواهب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یؤمر الصبیّ بالغسل علی وجه الندب</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حاشیة الخرشی</w:t>
      </w:r>
      <w:r>
        <w:rPr>
          <w:rStyle w:val="FootnoteAnchor"/>
          <w:rtl w:val="true"/>
        </w:rPr>
        <w:footnoteReference w:id="822"/>
      </w:r>
      <w:r>
        <w:rPr>
          <w:rFonts w:ascii="IRNazanin" w:hAnsi="IRNazanin" w:eastAsia="IRNazanin"/>
          <w:color w:val="111111"/>
          <w:sz w:val="28"/>
          <w:sz w:val="28"/>
          <w:szCs w:val="28"/>
          <w:rtl w:val="true"/>
          <w:lang w:bidi="fa-IR"/>
        </w:rPr>
        <w:t>و غیرها</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bookmarkStart w:id="251" w:name="pg11755_254536"/>
    </w:p>
    <w:p>
      <w:pPr>
        <w:pStyle w:val="Heading4"/>
        <w:numPr>
          <w:ilvl w:val="3"/>
          <w:numId w:val="1"/>
        </w:numPr>
        <w:rPr/>
      </w:pPr>
      <w:bookmarkStart w:id="252" w:name="__RefHeading___Toc9587440_73709187"/>
      <w:bookmarkStart w:id="253" w:name="_Toc94"/>
      <w:bookmarkEnd w:id="251"/>
      <w:bookmarkEnd w:id="252"/>
      <w:r>
        <w:rPr>
          <w:rtl w:val="true"/>
        </w:rPr>
        <w:t>المبحث الثالث</w:t>
      </w:r>
      <w:r>
        <w:rPr>
          <w:rtl w:val="true"/>
        </w:rPr>
        <w:t xml:space="preserve">: </w:t>
      </w:r>
      <w:r>
        <w:rPr>
          <w:rtl w:val="true"/>
        </w:rPr>
        <w:t>حکم رؤیة الصغیرة الدم</w:t>
      </w:r>
      <w:bookmarkEnd w:id="253"/>
    </w:p>
    <w:p>
      <w:pPr>
        <w:pStyle w:val="Heading5"/>
        <w:numPr>
          <w:ilvl w:val="4"/>
          <w:numId w:val="1"/>
        </w:numPr>
        <w:rPr/>
      </w:pPr>
      <w:bookmarkStart w:id="254" w:name="__RefHeading___Toc9587442_73709187"/>
      <w:bookmarkStart w:id="255" w:name="_Toc95"/>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من جملة أسباب الغسل للنساء الحیض و الاستحاضة، فهل یمکن أن یتحقّق هذان السببان للصغیرة قبل بلوغها أم لا؟ عقدنا هذا المبحث للتحقیق فی هذه المسألة، و یقع الکلام فیها فی مقامین</w:t>
      </w:r>
      <w:r>
        <w:rPr>
          <w:rFonts w:eastAsia="IRNazanin" w:cs="IRNazanin"/>
          <w:color w:val="111111"/>
          <w:sz w:val="28"/>
          <w:szCs w:val="28"/>
          <w:rtl w:val="true"/>
          <w:lang w:bidi="fa-IR"/>
        </w:rPr>
        <w:t>:</w:t>
      </w:r>
    </w:p>
    <w:p>
      <w:pPr>
        <w:pStyle w:val="Heading5"/>
        <w:numPr>
          <w:ilvl w:val="4"/>
          <w:numId w:val="1"/>
        </w:numPr>
        <w:rPr/>
      </w:pPr>
      <w:bookmarkStart w:id="256" w:name="__RefHeading___Toc9587444_73709187"/>
      <w:bookmarkStart w:id="257" w:name="_Toc96"/>
      <w:bookmarkEnd w:id="256"/>
      <w:r>
        <w:rPr>
          <w:rtl w:val="true"/>
        </w:rPr>
        <w:t>المقام الأوّل</w:t>
      </w:r>
      <w:r>
        <w:rPr>
          <w:rtl w:val="true"/>
        </w:rPr>
        <w:t xml:space="preserve">: </w:t>
      </w:r>
      <w:r>
        <w:rPr>
          <w:rtl w:val="true"/>
        </w:rPr>
        <w:t>عدم إمکان تحقّق الحیض قبل البلوغ</w:t>
      </w:r>
      <w:bookmarkEnd w:id="257"/>
    </w:p>
    <w:p>
      <w:pPr>
        <w:pStyle w:val="Heading6"/>
        <w:numPr>
          <w:ilvl w:val="5"/>
          <w:numId w:val="1"/>
        </w:numPr>
        <w:rPr/>
      </w:pPr>
      <w:bookmarkStart w:id="258" w:name="__RefHeading___Toc9587446_73709187"/>
      <w:bookmarkStart w:id="259" w:name="_Toc97"/>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الحیض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السیل بقوّة،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 الوادی، إذا سال بقوّة، و حاض السیل و فاض، إذا سال، و حاضت السمرةُ حیضاً و هی شجرة یسیل منها شیء کالدّم</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یقذفه الرحم إذا بلغت المرأة، ثمّ یعتادها غالباً فی أوقات معلومة، کما فی الروض</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بتعریفات اخری فی بعض الکلمات</w:t>
      </w:r>
      <w:r>
        <w:rPr>
          <w:rStyle w:val="FootnoteAnchor"/>
          <w:rtl w:val="true"/>
        </w:rPr>
        <w:footnoteReference w:id="8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للحیض أحکام ذکرها الفقهاء فی باب الطهارة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الأصحاب فی أنّ ما تراه الصبیّة قبل إکمال التسع لیس بحیض، بل ثبت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أن تری المرأة دم الحیض قبل أن تبلغ تسع سنین، فإن رأت قبله لم یکن دم حیض</w:t>
      </w:r>
      <w:r>
        <w:rPr>
          <w:rFonts w:eastAsia="IRNazanin" w:cs="IRNazanin"/>
          <w:color w:val="111111"/>
          <w:sz w:val="28"/>
          <w:szCs w:val="28"/>
          <w:rtl w:val="true"/>
          <w:lang w:bidi="fa-IR"/>
        </w:rPr>
        <w:t>»</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الوسیلة</w:t>
      </w:r>
      <w:r>
        <w:rPr>
          <w:rStyle w:val="FootnoteAnchor"/>
          <w:rtl w:val="true"/>
        </w:rPr>
        <w:footnoteReference w:id="828"/>
      </w:r>
      <w:r>
        <w:rPr>
          <w:rFonts w:ascii="IRNazanin" w:hAnsi="IRNazanin" w:eastAsia="IRNazanin"/>
          <w:color w:val="111111"/>
          <w:sz w:val="28"/>
          <w:sz w:val="28"/>
          <w:szCs w:val="28"/>
          <w:rtl w:val="true"/>
          <w:lang w:bidi="fa-IR"/>
        </w:rPr>
        <w:t>و السرائر</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 و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تراه الصبیّة قبل بلوغها تسعاً فلیس بحیض</w:t>
      </w:r>
      <w:r>
        <w:rPr>
          <w:rFonts w:eastAsia="IRNazanin" w:cs="IRNazanin"/>
          <w:color w:val="111111"/>
          <w:sz w:val="28"/>
          <w:szCs w:val="28"/>
          <w:rtl w:val="true"/>
          <w:lang w:bidi="fa-IR"/>
        </w:rPr>
        <w:t>»</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العلّامة</w:t>
      </w:r>
      <w:r>
        <w:rPr>
          <w:rStyle w:val="FootnoteAnchor"/>
          <w:rtl w:val="true"/>
        </w:rPr>
        <w:footnoteReference w:id="831"/>
      </w:r>
      <w:r>
        <w:rPr>
          <w:rFonts w:ascii="IRNazanin" w:hAnsi="IRNazanin" w:eastAsia="IRNazanin"/>
          <w:color w:val="111111"/>
          <w:sz w:val="28"/>
          <w:sz w:val="28"/>
          <w:szCs w:val="28"/>
          <w:rtl w:val="true"/>
          <w:lang w:bidi="fa-IR"/>
        </w:rPr>
        <w:t>و الشهید</w:t>
      </w:r>
      <w:r>
        <w:rPr>
          <w:rStyle w:val="FootnoteAnchor"/>
          <w:rtl w:val="true"/>
        </w:rPr>
        <w:footnoteReference w:id="832"/>
      </w:r>
      <w:r>
        <w:rPr>
          <w:rFonts w:ascii="IRNazanin" w:hAnsi="IRNazanin" w:eastAsia="IRNazanin"/>
          <w:color w:val="111111"/>
          <w:sz w:val="28"/>
          <w:sz w:val="28"/>
          <w:szCs w:val="28"/>
          <w:rtl w:val="true"/>
          <w:lang w:bidi="fa-IR"/>
        </w:rPr>
        <w:t>، و کذا فی شرح المفاتیح</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العروة مع التعلیقات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أن یکون بعد البلوغ و قبل الیأس، فما کان قبل البلوغ أو بعد الیأس لیس بحیض و إن کان بصفاته، و البلوغ یحصل بإکمال تسع سنین</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منهاج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دم تراه الصبیّة قبل بلوغها تسع سنین و لو بلحظة لا تکون له أحکام الحیض و إن علمت أنّه حیض واقعاً</w:t>
      </w:r>
      <w:r>
        <w:rPr>
          <w:rFonts w:eastAsia="IRNazanin" w:cs="IRNazanin"/>
          <w:color w:val="111111"/>
          <w:sz w:val="28"/>
          <w:szCs w:val="28"/>
          <w:rtl w:val="true"/>
          <w:lang w:bidi="fa-IR"/>
        </w:rPr>
        <w:t>»</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قالت</w:t>
      </w:r>
      <w:bookmarkStart w:id="260" w:name="pg11755_254540"/>
    </w:p>
    <w:p>
      <w:pPr>
        <w:pStyle w:val="BookText"/>
        <w:rPr/>
      </w:pPr>
      <w:bookmarkEnd w:id="260"/>
      <w:r>
        <w:rPr>
          <w:rFonts w:ascii="IRNazanin" w:hAnsi="IRNazanin" w:eastAsia="IRNazanin"/>
          <w:color w:val="111111"/>
          <w:sz w:val="28"/>
          <w:sz w:val="28"/>
          <w:szCs w:val="28"/>
          <w:rtl w:val="true"/>
          <w:lang w:bidi="fa-IR"/>
        </w:rPr>
        <w:t>جماعة اخری من فقهائنا المتأخّرین و متأخِّریهم و فقهاء العصر</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1" w:name="__RefHeading___Toc9587448_73709187"/>
      <w:bookmarkStart w:id="262" w:name="_Toc98"/>
      <w:bookmarkEnd w:id="261"/>
      <w:r>
        <w:rPr>
          <w:rtl w:val="true"/>
        </w:rPr>
        <w:t>أدلّة عدم إمکان تحقّق الحیض قبل التسع</w:t>
      </w:r>
      <w:bookmarkEnd w:id="262"/>
    </w:p>
    <w:p>
      <w:pPr>
        <w:pStyle w:val="BookText"/>
        <w:rPr/>
      </w:pPr>
      <w:r>
        <w:rPr>
          <w:rFonts w:ascii="IRNazanin" w:hAnsi="IRNazanin" w:eastAsia="IRNazanin"/>
          <w:color w:val="111111"/>
          <w:sz w:val="28"/>
          <w:sz w:val="28"/>
          <w:szCs w:val="28"/>
          <w:rtl w:val="true"/>
          <w:lang w:bidi="fa-IR"/>
        </w:rPr>
        <w:t>و استدلّ للحکم المذکور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قال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متّفق علیه، و هو مذهب أهل العلم</w:t>
      </w:r>
      <w:r>
        <w:rPr>
          <w:rFonts w:eastAsia="IRNazanin" w:cs="IRNazanin"/>
          <w:color w:val="111111"/>
          <w:sz w:val="28"/>
          <w:szCs w:val="28"/>
          <w:rtl w:val="true"/>
          <w:lang w:bidi="fa-IR"/>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بانتفاء الحیض عمّا تراه الصبیّة قبل إکمال التسع مذهب العلماء کافّة</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ثمّ لا تحیض الناقصة عن تسع إجماعاً</w:t>
      </w:r>
      <w:r>
        <w:rPr>
          <w:rFonts w:eastAsia="IRNazanin" w:cs="IRNazanin"/>
          <w:color w:val="111111"/>
          <w:sz w:val="28"/>
          <w:szCs w:val="28"/>
          <w:rtl w:val="true"/>
          <w:lang w:bidi="fa-IR"/>
        </w:rPr>
        <w:t>»</w:t>
      </w: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مجمع البرهان</w:t>
      </w:r>
      <w:r>
        <w:rPr>
          <w:rStyle w:val="FootnoteAnchor"/>
          <w:rtl w:val="true"/>
        </w:rPr>
        <w:footnoteReference w:id="840"/>
      </w:r>
      <w:r>
        <w:rPr>
          <w:rFonts w:ascii="IRNazanin" w:hAnsi="IRNazanin" w:eastAsia="IRNazanin"/>
          <w:color w:val="111111"/>
          <w:sz w:val="28"/>
          <w:sz w:val="28"/>
          <w:szCs w:val="28"/>
          <w:rtl w:val="true"/>
          <w:lang w:bidi="fa-IR"/>
        </w:rPr>
        <w:t>و جامع المقاصد</w:t>
      </w:r>
      <w:r>
        <w:rPr>
          <w:rStyle w:val="FootnoteAnchor"/>
          <w:rtl w:val="true"/>
        </w:rPr>
        <w:footnoteReference w:id="841"/>
      </w:r>
      <w:r>
        <w:rPr>
          <w:rFonts w:ascii="IRNazanin" w:hAnsi="IRNazanin" w:eastAsia="IRNazanin"/>
          <w:color w:val="111111"/>
          <w:sz w:val="28"/>
          <w:sz w:val="28"/>
          <w:szCs w:val="28"/>
          <w:rtl w:val="true"/>
          <w:lang w:bidi="fa-IR"/>
        </w:rPr>
        <w:t>و کشف اللثام</w:t>
      </w:r>
      <w:r>
        <w:rPr>
          <w:rStyle w:val="FootnoteAnchor"/>
          <w:rtl w:val="true"/>
        </w:rPr>
        <w:footnoteReference w:id="842"/>
      </w:r>
      <w:r>
        <w:rPr>
          <w:rFonts w:ascii="IRNazanin" w:hAnsi="IRNazanin" w:eastAsia="IRNazanin"/>
          <w:color w:val="111111"/>
          <w:sz w:val="28"/>
          <w:sz w:val="28"/>
          <w:szCs w:val="28"/>
          <w:rtl w:val="true"/>
          <w:lang w:bidi="fa-IR"/>
        </w:rPr>
        <w:t>و الجواهر</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و غیرها</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العلّامة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المرجع فیه إلی الوجود و لم یوجد</w:t>
      </w:r>
    </w:p>
    <w:p>
      <w:pPr>
        <w:pStyle w:val="BookText"/>
        <w:rPr/>
      </w:pPr>
      <w:r>
        <w:rPr>
          <w:rFonts w:ascii="IRNazanin" w:hAnsi="IRNazanin" w:eastAsia="IRNazanin"/>
          <w:color w:val="111111"/>
          <w:sz w:val="28"/>
          <w:sz w:val="28"/>
          <w:szCs w:val="28"/>
          <w:rtl w:val="true"/>
          <w:lang w:bidi="fa-IR"/>
        </w:rPr>
        <w:t>من النساء من تحیض فیما دون هذا السنّ‌</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خلق دم الحیض لحکمة إعداد الرحم للحمل و تربیة الولد ثمّ اغتذائه به جنیناً، ثمّ رضیعاً باستحالته لبناً، و ذلک کلّه مفقود فی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أیّده العلّامة فی المنتهی بروایة سلیمان بن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الولد فی بطن امّه غذاءه الدم</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 xml:space="preserve">، و أوضحه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فی خلقه تربیة الولد، فمن لا یصلح للحمل لا یوجد فیها؛ لانتفاء حکمته کالمنیّ لتقاربهما معنی، فإنّ أحدهما یخلق منه الولد و الآخر یغذّیه و یربّیه، و کلّ منهما لا یوجد مع الصغر، و وجود کلّ واحد منهما دالّ علی البلوغ</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الحکم نفیاً و إثباتاً دائراً مدار الحکمة</w:t>
      </w:r>
      <w:r>
        <w:rPr>
          <w:rStyle w:val="FootnoteAnchor"/>
          <w:rtl w:val="true"/>
        </w:rPr>
        <w:footnoteReference w:id="848"/>
      </w:r>
      <w:r>
        <w:rPr>
          <w:rFonts w:ascii="IRNazanin" w:hAnsi="IRNazanin" w:eastAsia="IRNazanin"/>
          <w:color w:val="111111"/>
          <w:sz w:val="28"/>
          <w:sz w:val="28"/>
          <w:szCs w:val="28"/>
          <w:rtl w:val="true"/>
          <w:lang w:bidi="fa-IR"/>
        </w:rPr>
        <w:t>، و یمکن أن تتخلّف کما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حکمة وجوب العدّة فی الطلاق عدم اختلاط المیاه مع أنّه قد تتخلّف کما فی النساء العقیمات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هذا الوجه بالاستحسان أشبه، فیکون مؤیّداً لا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کما فی الجواهر</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التهذیب بطریق صحیح عن ابن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یتزوّجن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لم تحض و مثلها</w:t>
      </w:r>
    </w:p>
    <w:p>
      <w:pPr>
        <w:pStyle w:val="BookText"/>
        <w:rPr/>
      </w:pPr>
      <w:r>
        <w:rPr>
          <w:rFonts w:ascii="IRNazanin" w:hAnsi="IRNazanin" w:eastAsia="IRNazanin"/>
          <w:color w:val="111111"/>
          <w:sz w:val="28"/>
          <w:sz w:val="28"/>
          <w:szCs w:val="28"/>
          <w:rtl w:val="true"/>
          <w:lang w:bidi="fa-IR"/>
        </w:rPr>
        <w:t>لا تحیض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یکون کذلک؟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تبلغ تسع سنین، فإنّها لا تحیض و مثلها لا تحیض، و الّتی لم یدخل بها</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ثانیة له رواها الکلینی فی الفروع،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تتزوّجن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تحض و مثلها لا تحیض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لها أقلّ من تسع سنین، و الّتی لم یدخل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تعدّد الروایتین</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مصباح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إشکال فی صحّة هذا الخبر و کونه معمولاً به عند الأصحاب و قد أطبقوا علی العمل به و الفتوی بمضمونه، و إنّما الکلام فی دلالته؛ لأنّ فیها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صدوره لبیان عدم حیضیّة ما یخرج قبل إکمال التسع أو بعد الیأس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صدوره لبیان عدم حیضیّة ما یخرج قبل التسع أو بعد الیأس شرعاً، فیکون سلب الحیضیّة عنهما بلحاظ رفع ما یترتّب علی الحیض من الأحکام الشرعیّة عنهما، ثمّ ذکر الاحتمال الثالث و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هو تعیّن الأوّل منهما کما هو المستظهر من طبع الکلام، حیث إنّه لا یفهم منه إلّا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الأخذ به هو المتعیّن و إن کان لا ثمرة مهمّة بینه و بین الاحتمال الثانی</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bookmarkStart w:id="263" w:name="pg11755_254546"/>
    </w:p>
    <w:p>
      <w:pPr>
        <w:pStyle w:val="BookText"/>
        <w:rPr/>
      </w:pPr>
      <w:bookmarkEnd w:id="263"/>
      <w:r>
        <w:rPr>
          <w:rFonts w:ascii="IRNazanin" w:hAnsi="IRNazanin" w:eastAsia="IRNazanin"/>
          <w:color w:val="111111"/>
          <w:sz w:val="28"/>
          <w:sz w:val="28"/>
          <w:szCs w:val="28"/>
          <w:rtl w:val="true"/>
          <w:lang w:bidi="fa-IR"/>
        </w:rPr>
        <w:t>و قال بعض الأعلام بعد ذکر الأخبار الواردة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فالمتعیّن إذاً حمل النصوص علی ظاهرها من نفی المصداق حقیقةً إن أمکن و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علم بتحقّق المصداق بدون التحدید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حملها علی نفی الأحکام بلسان الحکومة</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الغلام ثلاث عشرة سنة کتبت له الحسنة و کتبت علیه السیّئة و عوقب، و إذا بلغت الجاریة تسع سنین فکذلک، و ذلک أنّها تحیض لتسع سنین</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فیستفاد من التعلیل أنّه لو رأت المرأة الدم قبل تسع سنین لم یکن حیضاً</w:t>
      </w:r>
      <w:r>
        <w:rPr>
          <w:rFonts w:eastAsia="IRNazanin" w:cs="IRNazanin"/>
          <w:color w:val="111111"/>
          <w:sz w:val="28"/>
          <w:szCs w:val="28"/>
          <w:rtl w:val="true"/>
          <w:lang w:bidi="fa-IR"/>
        </w:rPr>
        <w:t>.</w:t>
      </w:r>
    </w:p>
    <w:p>
      <w:pPr>
        <w:pStyle w:val="Heading6"/>
        <w:numPr>
          <w:ilvl w:val="5"/>
          <w:numId w:val="1"/>
        </w:numPr>
        <w:rPr/>
      </w:pPr>
      <w:bookmarkStart w:id="264" w:name="__RefHeading___Toc9587450_73709187"/>
      <w:bookmarkStart w:id="265" w:name="_Toc99"/>
      <w:bookmarkEnd w:id="264"/>
      <w:r>
        <w:rPr>
          <w:rtl w:val="true"/>
        </w:rPr>
        <w:t>إزاحة شبهة</w:t>
      </w:r>
      <w:bookmarkEnd w:id="265"/>
    </w:p>
    <w:p>
      <w:pPr>
        <w:pStyle w:val="BookText"/>
        <w:rPr/>
      </w:pPr>
      <w:r>
        <w:rPr>
          <w:rFonts w:ascii="IRNazanin" w:hAnsi="IRNazanin" w:eastAsia="IRNazanin"/>
          <w:color w:val="111111"/>
          <w:sz w:val="28"/>
          <w:sz w:val="28"/>
          <w:szCs w:val="28"/>
          <w:rtl w:val="true"/>
          <w:lang w:bidi="fa-IR"/>
        </w:rPr>
        <w:t>هنا إشکال مشهور نبّه علیه جماعة من الأصحاب،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قد ذکروا أنّ الحیض للمرأة دلیل بلوغها، و حکموا هنا بأنّ الدم المرئی قبل التسع لیس بحیض، فما الّذی یبقی من الدم المحکوم بأنّه حیض حتّی یستدلّ به علی البلوغ قبل التسع</w:t>
      </w:r>
      <w:r>
        <w:rPr>
          <w:rStyle w:val="FootnoteAnchor"/>
          <w:rtl w:val="true"/>
        </w:rPr>
        <w:footnoteReference w:id="856"/>
      </w:r>
      <w:r>
        <w:rPr>
          <w:rFonts w:ascii="IRNazanin" w:hAnsi="IRNazanin" w:eastAsia="IRNazanin"/>
          <w:color w:val="111111"/>
          <w:sz w:val="28"/>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الخمینی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القوم جعلوا الحیض و الحمل دلیلین علی البلوغ، و قالوا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دم تراه المرأة قبل التسع لیس بحیض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فإحراز الحیضیّة یتوقّف علی إحراز التسع، و لو کان إحراز التسع متوقّفاً علی إحراز الحیضیّة لدار الأمر علی نفسه</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bookmarkStart w:id="266" w:name="pg11755_254548"/>
    </w:p>
    <w:p>
      <w:pPr>
        <w:pStyle w:val="BookText"/>
        <w:rPr/>
      </w:pPr>
      <w:bookmarkEnd w:id="266"/>
      <w:r>
        <w:rPr>
          <w:rFonts w:ascii="IRNazanin" w:hAnsi="IRNazanin" w:eastAsia="IRNazanin"/>
          <w:color w:val="111111"/>
          <w:sz w:val="28"/>
          <w:sz w:val="28"/>
          <w:szCs w:val="28"/>
          <w:rtl w:val="true"/>
          <w:lang w:bidi="fa-IR"/>
        </w:rPr>
        <w:t>و یمکن حلّه بأنّه مع العلم</w:t>
      </w:r>
      <w:r>
        <w:rPr>
          <w:rStyle w:val="FootnoteAnchor"/>
          <w:rtl w:val="true"/>
        </w:rPr>
        <w:footnoteReference w:id="858"/>
      </w:r>
      <w:r>
        <w:rPr>
          <w:rFonts w:ascii="IRNazanin" w:hAnsi="IRNazanin" w:eastAsia="IRNazanin"/>
          <w:color w:val="111111"/>
          <w:sz w:val="28"/>
          <w:sz w:val="28"/>
          <w:szCs w:val="28"/>
          <w:rtl w:val="true"/>
          <w:lang w:bidi="fa-IR"/>
        </w:rPr>
        <w:t>بالسنّ لا اعتبار بالدم السابق علی إکمال التسع و إن جمع صفات الحیض، فمن علم سنّها لا یحکم علی الدم السابق علی البلوغ بالحیض؛ لأنّ للحیض أوصافاً و أمارات لا یتخلّف عنها غالباً، و من المعلوم أنّه إنّما یعقل الاعتماد علی الأمارة ما لم یعلم مخالفتها للواقع، و إذا تخلّفت الأمارة عن الواقع فلا یجوز الاعتناء بها حینئذٍ، و هذا بخلاف من جهل سنّها، فإنّه یعمل بمؤدّی الأمارة من الحکم بالحیضیّة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إن وجد الدم جامعاً لأوصاف الحیض و أماراته فی وقت إمکان البلوغ فإنّه یحکم بکونه حیضاً و یعلم به البلوغ؛ لأنّه من لوازم الحیضیّة، کما یستفاد ذلک من کلمات الأصحاب مع اختلاف عباراتهم، فراجع</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7" w:name="__RefHeading___Toc9587452_73709187"/>
      <w:bookmarkStart w:id="268" w:name="_Toc100"/>
      <w:bookmarkEnd w:id="267"/>
      <w:r>
        <w:rPr>
          <w:rtl w:val="true"/>
        </w:rPr>
        <w:t>کون تحدید سنّ الحیض تحقیقاً لا تقریباً</w:t>
      </w:r>
      <w:bookmarkEnd w:id="268"/>
    </w:p>
    <w:p>
      <w:pPr>
        <w:pStyle w:val="BookText"/>
        <w:rPr/>
      </w:pPr>
      <w:r>
        <w:rPr>
          <w:rFonts w:ascii="IRNazanin" w:hAnsi="IRNazanin" w:eastAsia="IRNazanin"/>
          <w:color w:val="111111"/>
          <w:sz w:val="28"/>
          <w:sz w:val="28"/>
          <w:szCs w:val="28"/>
          <w:rtl w:val="true"/>
          <w:lang w:bidi="fa-IR"/>
        </w:rPr>
        <w:t>الظاهر أنّ المعتبر فی السنین هی السنین القمریّة؛ لأنّها المتعارفة و المستعملة شرعاً کما فی المسالک</w:t>
      </w:r>
      <w:r>
        <w:rPr>
          <w:rStyle w:val="FootnoteAnchor"/>
          <w:rtl w:val="true"/>
        </w:rPr>
        <w:footnoteReference w:id="860"/>
      </w:r>
      <w:r>
        <w:rPr>
          <w:rFonts w:ascii="IRNazanin" w:hAnsi="IRNazanin" w:eastAsia="IRNazanin"/>
          <w:color w:val="111111"/>
          <w:sz w:val="28"/>
          <w:sz w:val="28"/>
          <w:szCs w:val="28"/>
          <w:rtl w:val="true"/>
          <w:lang w:bidi="fa-IR"/>
        </w:rPr>
        <w:t>و الروض</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المشهور بین فقهاء الإمامیّة، بل لا خلاف بینهم فی أنّ التحدید بالسنّ</w:t>
      </w:r>
    </w:p>
    <w:p>
      <w:pPr>
        <w:pStyle w:val="BookText"/>
        <w:rPr/>
      </w:pPr>
      <w:r>
        <w:rPr>
          <w:rFonts w:ascii="IRNazanin" w:hAnsi="IRNazanin" w:eastAsia="IRNazanin"/>
          <w:color w:val="111111"/>
          <w:sz w:val="28"/>
          <w:sz w:val="28"/>
          <w:szCs w:val="28"/>
          <w:rtl w:val="true"/>
          <w:lang w:bidi="fa-IR"/>
        </w:rPr>
        <w:t>المذکور یکون علی سبیل التحقیق لا علی سبیل التقریب، فلو کان المراد من تسع سنین هو حدّ تقریب لا یضرّ به نقصان أیّام قلیلة، کأسبوع أو أسبوعین؛ إذ مناط التقریب هو العرف، و نقصان هذا المقدار بنظره لا ینافی التقریب، بخلاف ما إذا کان الحدّ تحقیقاً، فنقصان یوم أو یومین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الأقرب أنّه تحقیق لا تقریب مع احتماله، فإن قلنا به فلو کان بین رؤیة الدم و استکمال التسع ما لا یسع لحیض و طهر یکون ذلک الدم حیضاً، و إلّا فلا</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تحدید تحقیق لا تقریب</w:t>
      </w:r>
      <w:r>
        <w:rPr>
          <w:rFonts w:eastAsia="IRNazanin" w:cs="IRNazanin"/>
          <w:color w:val="111111"/>
          <w:sz w:val="28"/>
          <w:szCs w:val="28"/>
          <w:rtl w:val="true"/>
          <w:lang w:bidi="fa-IR"/>
        </w:rPr>
        <w:t>»</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به جملة من المتأخّرین و متأخِّریهم</w:t>
      </w:r>
      <w:r>
        <w:rPr>
          <w:rStyle w:val="FootnoteAnchor"/>
          <w:rtl w:val="true"/>
        </w:rPr>
        <w:footnoteReference w:id="864"/>
      </w:r>
      <w:r>
        <w:rPr>
          <w:rFonts w:ascii="IRNazanin" w:hAnsi="IRNazanin" w:eastAsia="IRNazanin"/>
          <w:color w:val="111111"/>
          <w:sz w:val="28"/>
          <w:sz w:val="28"/>
          <w:szCs w:val="28"/>
          <w:rtl w:val="true"/>
          <w:lang w:bidi="fa-IR"/>
        </w:rPr>
        <w:t>و المعاصرین</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مستندهم فی ذلک الحکم أصالة الحقیقة، کما فی الجواهر</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الألفاظ و العناوین التی ذکرت فی الأخبار و جعلت موضوعات للأحکام أو متعلّقات لها، فإنّها بمفاهیمها العرفیّة تحکی عن معانیها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الظاهر من قوله علیه السلام فی صحیحة ابن الحجّاج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تبلغ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إکمال تسع سنین حقیقة لا تقریباً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التحدید بالسنّ المذکور تحقیق لا تقریب کما هو مقتضی الأصل اللفظی و العملی فی جمیع الحدود الشرعیّة المعرّفة</w:t>
      </w:r>
      <w:bookmarkStart w:id="269" w:name="pg11755_254552"/>
    </w:p>
    <w:p>
      <w:pPr>
        <w:pStyle w:val="BookText"/>
        <w:rPr/>
      </w:pPr>
      <w:bookmarkEnd w:id="269"/>
      <w:r>
        <w:rPr>
          <w:rFonts w:ascii="IRNazanin" w:hAnsi="IRNazanin" w:eastAsia="IRNazanin"/>
          <w:color w:val="111111"/>
          <w:sz w:val="28"/>
          <w:sz w:val="28"/>
          <w:szCs w:val="28"/>
          <w:rtl w:val="true"/>
          <w:lang w:bidi="fa-IR"/>
        </w:rPr>
        <w:t>لأحکام شرعیّة، فاحتمال التقریب کما عن نهایة المصنّف ضعیف جدّاً</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الخمینی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المیزان فی تشخیص المفاهیم و المصادیق نظر العرف بحسب فهمه و دقّته، لا مع التسامح العرفی</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0" w:name="__RefHeading___Toc9587454_73709187"/>
      <w:bookmarkStart w:id="271" w:name="_Toc101"/>
      <w:bookmarkEnd w:id="270"/>
      <w:r>
        <w:rPr>
          <w:rtl w:val="true"/>
        </w:rPr>
        <w:t>فرع</w:t>
      </w:r>
      <w:bookmarkEnd w:id="271"/>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أنّ المراد بالسنة حصول الدور إلی ذلک الوقت من الیوم التی ولدت فیه من الشهر المعیّن، کأن ولدت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الظهر من الیوم الخامس من رجب، فإذا دار الدور إلی خصوص ذلک الوقت من ذلک الیوم فتلک سنة،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یقدح فی ذلک التلفیق، کما لا یقدح نقیصة الأشهر و زیادتها، و المحکّم فی ذلک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احتمال جعل هذا المنکسر شهراً عددیّاً دون باقی الأشهر کاحتمال جعل السنة کلّها عددیّة</w:t>
      </w:r>
      <w:r>
        <w:rPr>
          <w:rStyle w:val="FootnoteAnchor"/>
          <w:rtl w:val="true"/>
        </w:rPr>
        <w:footnoteReference w:id="869"/>
      </w:r>
      <w:r>
        <w:rPr>
          <w:rFonts w:ascii="IRNazanin" w:hAnsi="IRNazanin" w:eastAsia="IRNazanin"/>
          <w:color w:val="111111"/>
          <w:sz w:val="28"/>
          <w:sz w:val="28"/>
          <w:szCs w:val="28"/>
          <w:rtl w:val="true"/>
          <w:lang w:bidi="fa-IR"/>
        </w:rPr>
        <w:t>بسبب ذلک فضعیفان</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2" w:name="__RefHeading___Toc9587456_73709187"/>
      <w:bookmarkStart w:id="273" w:name="_Toc102"/>
      <w:bookmarkEnd w:id="272"/>
      <w:r>
        <w:rPr>
          <w:rtl w:val="true"/>
        </w:rPr>
        <w:t>رؤیة الدم من مشکوکة البلوغ</w:t>
      </w:r>
      <w:bookmarkEnd w:id="27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عُلِمَ سنّ الصبیّة، و تری الدم قبل إکمال تسع سنین لم یکن حیضاً</w:t>
      </w:r>
    </w:p>
    <w:p>
      <w:pPr>
        <w:pStyle w:val="BookText"/>
        <w:rPr/>
      </w:pPr>
      <w:r>
        <w:rPr>
          <w:rFonts w:ascii="IRNazanin" w:hAnsi="IRNazanin" w:eastAsia="IRNazanin"/>
          <w:color w:val="111111"/>
          <w:sz w:val="28"/>
          <w:sz w:val="28"/>
          <w:szCs w:val="28"/>
          <w:rtl w:val="true"/>
          <w:lang w:bidi="fa-IR"/>
        </w:rPr>
        <w:t>کما تقدّم، أمّا لو جُهِل سنّها و لم یعلم تاریخ ولادتها، و خرج منها الدم و کان بصفات الحیض، فالظاهر أنّه یحکم بکونه حیضاً و یعلم به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الحیض فی وقت الإمکان دلیل البلوغ، و لا نعلم فیه خلافاً</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مجهولة ذلک فلعلّ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جماعة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بحیضیّتها، مع خروج الدم فی الصفات أو مطلقاً بناءً علی قاعدة الإمکان</w:t>
      </w:r>
      <w:r>
        <w:rPr>
          <w:rFonts w:eastAsia="IRNazanin" w:cs="IRNazanin"/>
          <w:color w:val="111111"/>
          <w:sz w:val="28"/>
          <w:szCs w:val="28"/>
          <w:rtl w:val="true"/>
          <w:lang w:bidi="fa-IR"/>
        </w:rPr>
        <w:t>»</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صرّح به فی العروة</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ادّعی فی المدارک</w:t>
      </w:r>
      <w:r>
        <w:rPr>
          <w:rStyle w:val="FootnoteAnchor"/>
          <w:rtl w:val="true"/>
        </w:rPr>
        <w:footnoteReference w:id="874"/>
      </w:r>
      <w:r>
        <w:rPr>
          <w:rFonts w:ascii="IRNazanin" w:hAnsi="IRNazanin" w:eastAsia="IRNazanin"/>
          <w:color w:val="111111"/>
          <w:sz w:val="28"/>
          <w:sz w:val="28"/>
          <w:szCs w:val="28"/>
          <w:rtl w:val="true"/>
          <w:lang w:bidi="fa-IR"/>
        </w:rPr>
        <w:t>و الحدائق</w:t>
      </w:r>
      <w:r>
        <w:rPr>
          <w:rStyle w:val="FootnoteAnchor"/>
          <w:rtl w:val="true"/>
        </w:rPr>
        <w:footnoteReference w:id="875"/>
      </w:r>
      <w:r>
        <w:rPr>
          <w:rFonts w:ascii="IRNazanin" w:hAnsi="IRNazanin" w:eastAsia="IRNazanin"/>
          <w:color w:val="111111"/>
          <w:sz w:val="28"/>
          <w:sz w:val="28"/>
          <w:szCs w:val="28"/>
          <w:rtl w:val="true"/>
          <w:lang w:bidi="fa-IR"/>
        </w:rPr>
        <w:t>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یکون رؤیة الدم مع صفات الحیض أمارة علی البلوغ، أو تکون بنفسها بلوغاً علی اختلاف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الفصل الذی نبحث فیه عمّا یثبت به البلوغ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الإجماع و قاعدة الإمکان کما تقدّم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البجنوردی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المراد بهذا 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یستظهر من معاقد إجماعاتهم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کلّ دم یمکن أن یکون حیضاً، أی یحتمل أن یکون بحسب الواقع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یدلّ دلیل علی أنّه لیس بحیض لا عقلاً و لا شرعاً فهو فی عالم الإثبات حیض، و یجب ترتیب آثار</w:t>
      </w:r>
    </w:p>
    <w:p>
      <w:pPr>
        <w:pStyle w:val="BookText"/>
        <w:rPr/>
      </w:pPr>
      <w:r>
        <w:rPr>
          <w:rFonts w:ascii="IRNazanin" w:hAnsi="IRNazanin" w:eastAsia="IRNazanin"/>
          <w:color w:val="111111"/>
          <w:sz w:val="28"/>
          <w:sz w:val="28"/>
          <w:szCs w:val="28"/>
          <w:rtl w:val="true"/>
          <w:lang w:bidi="fa-IR"/>
        </w:rPr>
        <w:t>الحیض علی ذلک الدم ما لم ینکشف الخلاف، فتکون هذه قاعدة ظاهریّة مجعولة للشاکّ، سواء کانت الشبهة حکمیّة أو موضوعیّة</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قال فیه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مقتضی اشتراط الحیض بإکمال التسع هو عدم الحکم بالمشروط إلّا بعد تحقّق الشرط، فمع الشکّ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نفیه بحکم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الرجوع إلی أصالة عدم المشروط</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تبعه فی ذلک السیّد الحکیم، حیث قال فی 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الحیض علی البلوغ لا تکون إلّا بعد اجتماع الحدود فیه، و من جملة تلک الحدود</w:t>
      </w:r>
      <w:r>
        <w:rPr>
          <w:rStyle w:val="FootnoteAnchor"/>
          <w:rtl w:val="true"/>
        </w:rPr>
        <w:footnoteReference w:id="878"/>
      </w:r>
      <w:r>
        <w:rPr>
          <w:rFonts w:ascii="IRNazanin" w:hAnsi="IRNazanin" w:eastAsia="IRNazanin"/>
          <w:color w:val="111111"/>
          <w:sz w:val="28"/>
          <w:sz w:val="28"/>
          <w:szCs w:val="28"/>
          <w:rtl w:val="true"/>
          <w:lang w:bidi="fa-IR"/>
        </w:rPr>
        <w:t>کونه بعد إکمال التسع، فیمتنع أن یستفاد البلوغ من الحیض</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بالحیضیّة و البلوغ بالأمارة إمّا أن یکون مع الشکّ فی حیضیّة الدم، و إمّا أن یکون مع العلم بکونه حیضاً، أمّا إذا شکّ فی أنّه حیض أو لیس بحیض، فلا یمکن الحکم بکونه حیضاً لاشتراطه بالبلوغ تسعاً، و مع الشکّ فی تحقّق شرطه، بل التعبّد بعدم تحقّقه؛ لاستصحاب عدم البلوغ، کیف یمکن الحکم بحیضیّته و بالبلوغ؟</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مع العلم بکونه حیضاً فأیضاً لا معنی للأمارة و التعبّد بها بالبلوغ؛ إذ العلم بالحیضیّة یساوق العلم ببلوغ الصبیّة تسعاً؛ لأنّه لازم اشتراط الحیض بالبلوغ تسعاً، و مع عدم العلم بتحقّقه کیف یعلم أنّ الدم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العلم</w:t>
      </w:r>
    </w:p>
    <w:p>
      <w:pPr>
        <w:pStyle w:val="BookText"/>
        <w:rPr/>
      </w:pPr>
      <w:r>
        <w:rPr>
          <w:rFonts w:ascii="IRNazanin" w:hAnsi="IRNazanin" w:eastAsia="IRNazanin"/>
          <w:color w:val="111111"/>
          <w:sz w:val="28"/>
          <w:sz w:val="28"/>
          <w:szCs w:val="28"/>
          <w:rtl w:val="true"/>
          <w:lang w:bidi="fa-IR"/>
        </w:rPr>
        <w:t>بهما لا معنی للأماریّة أبداً</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أشکل علی ما ذهب إلیه المشهور جملة من فقهاء العصر فی تعالیقهم علی العروة</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مناقشة ما ذهبوا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قاعدة الإمکان، حیث إنّ القاعدة لا تجری فی صورة العلم بعدم البلوغ، بل موردها الشکّ فی البلوغ کما تقدّم،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مجمع 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بالحیض و الحمل فالظاهر أنّه إجماعیّ</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 و الحمل، و لم نقف فی کونهما علامة للبلوغ علی خلاف، و لکنّ الإشکال فی أنّهما نفس البلوغ أو علامة لسبقه؟ فالظاهر أنّ المشهور هو الثانی، بل ادّعی فی المسالک</w:t>
      </w:r>
      <w:r>
        <w:rPr>
          <w:rStyle w:val="FootnoteAnchor"/>
          <w:rtl w:val="true"/>
        </w:rPr>
        <w:footnoteReference w:id="883"/>
      </w:r>
      <w:r>
        <w:rPr>
          <w:rFonts w:ascii="IRNazanin" w:hAnsi="IRNazanin" w:eastAsia="IRNazanin"/>
          <w:color w:val="111111"/>
          <w:sz w:val="28"/>
          <w:sz w:val="28"/>
          <w:szCs w:val="28"/>
          <w:rtl w:val="true"/>
          <w:lang w:bidi="fa-IR"/>
        </w:rPr>
        <w:t>علیه الإجماع</w:t>
      </w:r>
      <w:r>
        <w:rPr>
          <w:rFonts w:eastAsia="IRNazanin" w:cs="IRNazanin"/>
          <w:color w:val="111111"/>
          <w:sz w:val="28"/>
          <w:szCs w:val="28"/>
          <w:rtl w:val="true"/>
          <w:lang w:bidi="fa-IR"/>
        </w:rPr>
        <w:t>»</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التحریر</w:t>
      </w:r>
      <w:r>
        <w:rPr>
          <w:rStyle w:val="FootnoteAnchor"/>
          <w:rtl w:val="true"/>
        </w:rPr>
        <w:footnoteReference w:id="885"/>
      </w:r>
      <w:r>
        <w:rPr>
          <w:rFonts w:ascii="IRNazanin" w:hAnsi="IRNazanin" w:eastAsia="IRNazanin"/>
          <w:color w:val="111111"/>
          <w:sz w:val="28"/>
          <w:sz w:val="28"/>
          <w:szCs w:val="28"/>
          <w:rtl w:val="true"/>
          <w:lang w:bidi="fa-IR"/>
        </w:rPr>
        <w:t>و الحدائق</w:t>
      </w:r>
      <w:r>
        <w:rPr>
          <w:rStyle w:val="FootnoteAnchor"/>
          <w:rtl w:val="true"/>
        </w:rPr>
        <w:footnoteReference w:id="886"/>
      </w:r>
      <w:r>
        <w:rPr>
          <w:rFonts w:ascii="IRNazanin" w:hAnsi="IRNazanin" w:eastAsia="IRNazanin"/>
          <w:color w:val="111111"/>
          <w:sz w:val="28"/>
          <w:sz w:val="28"/>
          <w:szCs w:val="28"/>
          <w:rtl w:val="true"/>
          <w:lang w:bidi="fa-IR"/>
        </w:rPr>
        <w:t>و غیرها</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خلاف فی أنّه یثبت البلوغ بالحیض، و إنّما الاختلاف فی أنّه</w:t>
      </w:r>
    </w:p>
    <w:p>
      <w:pPr>
        <w:pStyle w:val="BookText"/>
        <w:rPr/>
      </w:pPr>
      <w:r>
        <w:rPr>
          <w:rFonts w:ascii="IRNazanin" w:hAnsi="IRNazanin" w:eastAsia="IRNazanin"/>
          <w:color w:val="111111"/>
          <w:sz w:val="28"/>
          <w:sz w:val="28"/>
          <w:szCs w:val="28"/>
          <w:rtl w:val="true"/>
          <w:lang w:bidi="fa-IR"/>
        </w:rPr>
        <w:t xml:space="preserve">بنفسه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جماعة </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دلیل و علامة علی سبق البلوغ، کما عن ظاهر جماعة اخری‌</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مخالف للأخبار الکثیرة الدالّة علی أنّ الحیض علامة للبلوغ، و أنّ وجوب الصوم و الصلاة و وجوب الخمار مترتّب علی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عمّار، حیث جاء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حاضت قبل ذلک، فقد وجبت علیها الصلاة، و جری علیها القلم</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بلغت الجاریة تسع سنین فکذلک، و ذلک أنّها تحیض لتسع سنین</w:t>
      </w:r>
      <w:r>
        <w:rPr>
          <w:rFonts w:eastAsia="IRNazanin" w:cs="IRNazanin"/>
          <w:color w:val="111111"/>
          <w:sz w:val="28"/>
          <w:szCs w:val="28"/>
          <w:rtl w:val="true"/>
          <w:lang w:bidi="fa-IR"/>
        </w:rPr>
        <w:t>»</w:t>
      </w:r>
      <w:r>
        <w:rPr>
          <w:rStyle w:val="FootnoteAnchor"/>
          <w:rtl w:val="true"/>
        </w:rPr>
        <w:footnoteReference w:id="891"/>
      </w:r>
      <w:r>
        <w:rPr>
          <w:rFonts w:ascii="Amiri" w:hAnsi="Amiri" w:eastAsia="Amiri" w:cs="Amiri"/>
          <w:color w:val="111111"/>
          <w:sz w:val="28"/>
          <w:sz w:val="28"/>
          <w:szCs w:val="28"/>
          <w:rtl w:val="true"/>
          <w:lang w:bidi="ar-SA"/>
        </w:rPr>
        <w:t>، و مثلها مرسلة الصدوق</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أبی بصیر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الصبیّ إذا احتلم الصیام، و علی الجاریة إذا حاضت الصیام و الخمار</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یونس بن یعقوب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یصلح للحرّة إذا حاضت إلّا الخمار، إلّا أن لا تجده</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 و مثلها خبر أبی البختری</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أجل ذلک قال فی المستمسک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تقریر الإشکال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یشکل ذلک بأنّه خلاف إطلاق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علم عدم البلوغ فقد علم أنّ الدم لیس موضوعاً للأثر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کلّه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الأخذ بإطلاق</w:t>
      </w:r>
    </w:p>
    <w:p>
      <w:pPr>
        <w:pStyle w:val="BookText"/>
        <w:rPr/>
      </w:pP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فإن أمکن الأخذ بظاهرها من السببیّة حکم بسببیّته للبلوغ مطلقاً و لو کان قبل التسع، و إلّا فلا بدّ من حملها علی الطریقیّة للبلوغ تعبّداً عند الشکّ فیه</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تحقّق الحیضیّة لا یتوقّف علی العلم بإکمال التسع، بل لو خرج الدم من الصبیّة و کان جامعاً لأوصاف الحیض، و علمنا من القرائن أنّه حیض، فذلک علامة للبلوغ و تحقّق التسع</w:t>
      </w:r>
      <w:r>
        <w:rPr>
          <w:rStyle w:val="FootnoteAnchor"/>
          <w:rtl w:val="true"/>
        </w:rPr>
        <w:footnoteReference w:id="897"/>
      </w:r>
      <w:r>
        <w:rPr>
          <w:rFonts w:ascii="IRNazanin" w:hAnsi="IRNazanin" w:eastAsia="IRNazanin"/>
          <w:color w:val="111111"/>
          <w:sz w:val="28"/>
          <w:sz w:val="28"/>
          <w:szCs w:val="28"/>
          <w:rtl w:val="true"/>
          <w:lang w:bidi="fa-IR"/>
        </w:rPr>
        <w:t>؛ لقیام الأخبار</w:t>
      </w:r>
      <w:r>
        <w:rPr>
          <w:rStyle w:val="FootnoteAnchor"/>
          <w:rtl w:val="true"/>
        </w:rPr>
        <w:footnoteReference w:id="898"/>
      </w:r>
      <w:r>
        <w:rPr>
          <w:rFonts w:ascii="IRNazanin" w:hAnsi="IRNazanin" w:eastAsia="IRNazanin"/>
          <w:color w:val="111111"/>
          <w:sz w:val="28"/>
          <w:sz w:val="28"/>
          <w:szCs w:val="28"/>
          <w:rtl w:val="true"/>
          <w:lang w:bidi="fa-IR"/>
        </w:rPr>
        <w:t xml:space="preserve">و الإجماعات علی أنّ الصبیّة لا تحیض قبل التسع، فرؤیة الدم فی زمانٍ یشکّ فی بلوغها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الحاصل بسبب القرائن بأنّه دم 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دلیلاً علی تحقّق التسع و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دم الحیض دم معروف فیما بین النساء، و هنّ یعرفنه بسهولة و یمیّزنه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له ما رواه حفص بن 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امرأة فسألته عن المرأة یستمرّ بها الدم، فلا تدری أحیض هو أو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دم الحیض حارٌّ عبیط‌</w:t>
      </w:r>
      <w:r>
        <w:rPr>
          <w:rStyle w:val="FootnoteAnchor"/>
          <w:rtl w:val="true"/>
        </w:rPr>
        <w:footnoteReference w:id="89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أسود، له دفع و حرارة، و دم الاستحاضة أصفر بارد، فإذا کان للدّم حرارة و دفع و سواد فلتدع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أن لو کان امرأة ما زاد</w:t>
      </w:r>
    </w:p>
    <w:p>
      <w:pPr>
        <w:pStyle w:val="BookText"/>
        <w:rPr/>
      </w:pPr>
      <w:r>
        <w:rPr>
          <w:rFonts w:ascii="IRNazanin" w:hAnsi="IRNazanin" w:eastAsia="IRNazanin"/>
          <w:color w:val="111111"/>
          <w:sz w:val="28"/>
          <w:sz w:val="28"/>
          <w:szCs w:val="28"/>
          <w:rtl w:val="true"/>
          <w:lang w:bidi="fa-IR"/>
        </w:rPr>
        <w:t>علی هذا</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فی روایة إسحاق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لامرأة سألته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الحیض لیس به خفاء، هو دم حارّ تجد له حرقة، و دم الاستحاضة دم فاسد 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فالتفتت إلی مولاتها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تراه کان امرأة مرّة؟</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أجاد الشیخ الأعظم فیما أفاد فی المقام،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الاقتصار فی علامة البلوغ علی ما علم حیضیّته عادة بالأوصاف و القرائن</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جامع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حصول الوثوق و الاطمینان بملاحظة الأوصاف، فمع عدم العلم بالبلوغ یستکشف الحیضیّة، و یستکشف بها البلوغ</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حصل الوثوق بحیضیّته لا یبعد</w:t>
      </w:r>
      <w:r>
        <w:rPr>
          <w:rStyle w:val="FootnoteAnchor"/>
          <w:rtl w:val="true"/>
        </w:rPr>
        <w:footnoteReference w:id="904"/>
      </w:r>
      <w:r>
        <w:rPr>
          <w:rFonts w:ascii="IRNazanin" w:hAnsi="IRNazanin" w:eastAsia="IRNazanin"/>
          <w:color w:val="111111"/>
          <w:sz w:val="28"/>
          <w:sz w:val="28"/>
          <w:szCs w:val="28"/>
          <w:rtl w:val="true"/>
          <w:lang w:bidi="fa-IR"/>
        </w:rPr>
        <w:t>الحکم بها و بالبلوغ</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العراقی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إرجاع الشارع إلی الصفات لکونها من الطرق العقلائیّة الموجبة للاطمئنان به علی وجه لا یبقی لهم خفاء فیه، و کان من المعروف عندهم، و حینئذٍ المدار التامّ علی حصول الاطمئنان به منها مجتمعاً أم متفرّقاً، و مع عدم الاطمئنان و لو للمعارضة یرجع إلی سائر القواعد</w:t>
      </w:r>
      <w:bookmarkStart w:id="274" w:name="pg11755_254567"/>
    </w:p>
    <w:p>
      <w:pPr>
        <w:pStyle w:val="BookText"/>
        <w:rPr/>
      </w:pPr>
      <w:bookmarkEnd w:id="274"/>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5" w:name="__RefHeading___Toc9587458_73709187"/>
      <w:bookmarkStart w:id="276" w:name="_Toc103"/>
      <w:bookmarkEnd w:id="275"/>
      <w:r>
        <w:rPr>
          <w:rtl w:val="true"/>
        </w:rPr>
        <w:t>مذهب أهل السنّة فیما تراه الصغیرة من الدم</w:t>
      </w:r>
      <w:bookmarkEnd w:id="276"/>
    </w:p>
    <w:p>
      <w:pPr>
        <w:pStyle w:val="BookText"/>
        <w:rPr/>
      </w:pPr>
      <w:r>
        <w:rPr>
          <w:rFonts w:ascii="IRNazanin" w:hAnsi="IRNazanin" w:eastAsia="IRNazanin"/>
          <w:color w:val="111111"/>
          <w:sz w:val="28"/>
          <w:sz w:val="28"/>
          <w:szCs w:val="28"/>
          <w:rtl w:val="true"/>
          <w:lang w:bidi="fa-IR"/>
        </w:rPr>
        <w:t>ذهب جمهور فقهاء أهل السنّة إلی أنّ الدم الذی تراه الصبیّة قبل بلوغها تسع سنین لم یکن حیضاً، و لنذکر فیما یلی نصّ کلماتهم</w:t>
      </w:r>
      <w:r>
        <w:rPr>
          <w:rFonts w:eastAsia="IRNazanin" w:cs="IRNazanin"/>
          <w:color w:val="111111"/>
          <w:sz w:val="28"/>
          <w:szCs w:val="28"/>
          <w:rtl w:val="true"/>
          <w:lang w:bidi="fa-IR"/>
        </w:rPr>
        <w:t>.</w:t>
      </w:r>
    </w:p>
    <w:p>
      <w:pPr>
        <w:pStyle w:val="Heading6"/>
        <w:numPr>
          <w:ilvl w:val="5"/>
          <w:numId w:val="1"/>
        </w:numPr>
        <w:rPr/>
      </w:pPr>
      <w:bookmarkStart w:id="277" w:name="__RefHeading___Toc9587460_73709187"/>
      <w:bookmarkStart w:id="278" w:name="_Toc104"/>
      <w:bookmarkEnd w:id="277"/>
      <w:r>
        <w:rPr>
          <w:rtl w:val="true"/>
        </w:rPr>
        <w:t>الحنابلة</w:t>
      </w:r>
      <w:bookmarkEnd w:id="278"/>
    </w:p>
    <w:p>
      <w:pPr>
        <w:pStyle w:val="BookText"/>
        <w:rPr/>
      </w:pPr>
      <w:r>
        <w:rPr>
          <w:rFonts w:ascii="IRNazanin" w:hAnsi="IRNazanin" w:eastAsia="IRNazanin"/>
          <w:color w:val="111111"/>
          <w:sz w:val="28"/>
          <w:sz w:val="28"/>
          <w:szCs w:val="28"/>
          <w:rtl w:val="true"/>
          <w:lang w:bidi="fa-IR"/>
        </w:rPr>
        <w:t>جاء فی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أقلّ سنّ تحیض له المرأة تمام تسع سنین فی المشهور من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بلغت الجاریة تسع سنین فهی امرأة</w:t>
      </w:r>
      <w:r>
        <w:rPr>
          <w:rFonts w:eastAsia="IRNazanin" w:cs="IRNazanin"/>
          <w:color w:val="111111"/>
          <w:sz w:val="28"/>
          <w:szCs w:val="28"/>
          <w:rtl w:val="true"/>
          <w:lang w:bidi="fa-IR"/>
        </w:rPr>
        <w:t>...»</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حکمها حکم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ابن عقیل أنّ نساء تهامة یحضن لتسع سنین، و ظاهره أنّها إذا رأت الدم لدون تسع سنین فلیس بحیض، و هو کذلک بغیر خلاف؛ لأنّه لم یثبت فی الوجود و العادة لاُنثی حیض قبل استکمالها</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أقلّ سنّ تحیض له المرأة تسع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الصغیرة لا تحیض؛ بدلیل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اللاّئِی لَمْ یَحِضْنَ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لأنّ المرجع فیه إلی الوجود، و لم یوجد من النساء من یحضن عادة فیما دون هذا السنّ؛ و لأنّ دم الحیض إنّما خلقه اللّه لحکمة تربیة الحمل به، فمن لا تصلح للحمل لا توجد</w:t>
      </w:r>
      <w:bookmarkStart w:id="279" w:name="pg11755_254569"/>
    </w:p>
    <w:p>
      <w:pPr>
        <w:pStyle w:val="BookText"/>
        <w:rPr/>
      </w:pPr>
      <w:bookmarkEnd w:id="279"/>
      <w:r>
        <w:rPr>
          <w:rFonts w:ascii="IRNazanin" w:hAnsi="IRNazanin" w:eastAsia="IRNazanin"/>
          <w:color w:val="111111"/>
          <w:sz w:val="28"/>
          <w:sz w:val="28"/>
          <w:szCs w:val="28"/>
          <w:rtl w:val="true"/>
          <w:lang w:bidi="fa-IR"/>
        </w:rPr>
        <w:t>فیها حکمته، فینتفی لانتفاء حکمته، کالمنیّ، فإنّهما متقاربان فی المعنی، فإنّ أحدهما یخلق منه الولد، و الآخر یربّیه و یغذّیه، و کلّ واحد منهما لا یوجد من صغیر، و وجوده عَلَمٌ علی البلوغ، و أقلّ سنّ تبلغ له الجاریة تسع سنین، فکان ذلک أقلّ سنّ تحیض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الشرح الکبیر،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الصغیرة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رأت دماً یصلح أن یکون حیضاً و لها تسع سنین حکم بکونه حیضاً، و حکم ببلوغها، و ثبت فی حقّها أحکام الحیض</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کشّاف القناع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سنّ تحیض له المرأة تسع سنین</w:t>
      </w:r>
      <w:r>
        <w:rPr>
          <w:rFonts w:eastAsia="IRNazanin" w:cs="IRNazanin"/>
          <w:color w:val="111111"/>
          <w:sz w:val="28"/>
          <w:szCs w:val="28"/>
          <w:rtl w:val="true"/>
          <w:lang w:bidi="fa-IR"/>
        </w:rPr>
        <w:t>»</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الکافی</w:t>
      </w:r>
      <w:r>
        <w:rPr>
          <w:rStyle w:val="FootnoteAnchor"/>
          <w:rtl w:val="true"/>
        </w:rPr>
        <w:footnoteReference w:id="911"/>
      </w:r>
      <w:r>
        <w:rPr>
          <w:rFonts w:ascii="IRNazanin" w:hAnsi="IRNazanin" w:eastAsia="IRNazanin"/>
          <w:color w:val="111111"/>
          <w:sz w:val="28"/>
          <w:sz w:val="28"/>
          <w:szCs w:val="28"/>
          <w:rtl w:val="true"/>
          <w:lang w:bidi="fa-IR"/>
        </w:rPr>
        <w:t>و منتهی الإرادات</w:t>
      </w:r>
      <w:r>
        <w:rPr>
          <w:rStyle w:val="FootnoteAnchor"/>
          <w:rtl w:val="true"/>
        </w:rPr>
        <w:footnoteReference w:id="912"/>
      </w:r>
      <w:r>
        <w:rPr>
          <w:rFonts w:ascii="IRNazanin" w:hAnsi="IRNazanin" w:eastAsia="IRNazanin"/>
          <w:color w:val="111111"/>
          <w:sz w:val="28"/>
          <w:sz w:val="28"/>
          <w:szCs w:val="28"/>
          <w:rtl w:val="true"/>
          <w:lang w:bidi="fa-IR"/>
        </w:rPr>
        <w:t>و الإقناع</w:t>
      </w:r>
      <w:r>
        <w:rPr>
          <w:rStyle w:val="FootnoteAnchor"/>
          <w:rtl w:val="true"/>
        </w:rPr>
        <w:footnoteReference w:id="913"/>
      </w:r>
      <w:r>
        <w:rPr>
          <w:rFonts w:ascii="IRNazanin" w:hAnsi="IRNazanin" w:eastAsia="IRNazanin"/>
          <w:color w:val="111111"/>
          <w:sz w:val="28"/>
          <w:sz w:val="28"/>
          <w:szCs w:val="28"/>
          <w:rtl w:val="true"/>
          <w:lang w:bidi="fa-IR"/>
        </w:rPr>
        <w:t>و الإنصاف</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0" w:name="__RefHeading___Toc9587462_73709187"/>
      <w:bookmarkStart w:id="281" w:name="_Toc105"/>
      <w:bookmarkEnd w:id="280"/>
      <w:r>
        <w:rPr>
          <w:rtl w:val="true"/>
        </w:rPr>
        <w:t>الحنفیّة</w:t>
      </w:r>
      <w:bookmarkEnd w:id="281"/>
    </w:p>
    <w:p>
      <w:pPr>
        <w:pStyle w:val="BookText"/>
        <w:rPr/>
      </w:pPr>
      <w:r>
        <w:rPr>
          <w:rFonts w:ascii="IRNazanin" w:hAnsi="IRNazanin" w:eastAsia="IRNazanin"/>
          <w:color w:val="111111"/>
          <w:sz w:val="28"/>
          <w:sz w:val="28"/>
          <w:szCs w:val="28"/>
          <w:rtl w:val="true"/>
          <w:lang w:bidi="fa-IR"/>
        </w:rPr>
        <w:t>جاء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تبلغ المرأة تسع سنین فصاعداً، علیه أکثر المشایخ، فلا یکون المرئی فیما دونه حیضاً</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تبیین الحقائق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صغر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فی تعریف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دم تراه الصغیرة قبل أن تبلغ تسع سنین، فإنّه لیس بمعتبر</w:t>
      </w:r>
      <w:bookmarkStart w:id="282" w:name="pg11755_254572"/>
    </w:p>
    <w:p>
      <w:pPr>
        <w:pStyle w:val="BookText"/>
        <w:rPr/>
      </w:pPr>
      <w:bookmarkEnd w:id="282"/>
      <w:r>
        <w:rPr>
          <w:rFonts w:ascii="IRNazanin" w:hAnsi="IRNazanin" w:eastAsia="IRNazanin"/>
          <w:color w:val="111111"/>
          <w:sz w:val="28"/>
          <w:sz w:val="28"/>
          <w:szCs w:val="28"/>
          <w:rtl w:val="true"/>
          <w:lang w:bidi="fa-IR"/>
        </w:rPr>
        <w:t>فی الشرع</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مجمع الأنهر</w:t>
      </w:r>
      <w:r>
        <w:rPr>
          <w:rStyle w:val="FootnoteAnchor"/>
          <w:rtl w:val="true"/>
        </w:rPr>
        <w:footnoteReference w:id="917"/>
      </w:r>
      <w:r>
        <w:rPr>
          <w:rFonts w:ascii="IRNazanin" w:hAnsi="IRNazanin" w:eastAsia="IRNazanin"/>
          <w:color w:val="111111"/>
          <w:sz w:val="28"/>
          <w:sz w:val="28"/>
          <w:szCs w:val="28"/>
          <w:rtl w:val="true"/>
          <w:lang w:bidi="fa-IR"/>
        </w:rPr>
        <w:t>و البنایة</w:t>
      </w:r>
      <w:r>
        <w:rPr>
          <w:rStyle w:val="FootnoteAnchor"/>
          <w:rtl w:val="true"/>
        </w:rPr>
        <w:footnoteReference w:id="918"/>
      </w:r>
      <w:r>
        <w:rPr>
          <w:rFonts w:ascii="IRNazanin" w:hAnsi="IRNazanin" w:eastAsia="IRNazanin"/>
          <w:color w:val="111111"/>
          <w:sz w:val="28"/>
          <w:sz w:val="28"/>
          <w:szCs w:val="28"/>
          <w:rtl w:val="true"/>
          <w:lang w:bidi="fa-IR"/>
        </w:rPr>
        <w:t>و البحر الرائق</w:t>
      </w:r>
      <w:r>
        <w:rPr>
          <w:rStyle w:val="FootnoteAnchor"/>
          <w:rtl w:val="true"/>
        </w:rPr>
        <w:footnoteReference w:id="919"/>
      </w:r>
      <w:r>
        <w:rPr>
          <w:rFonts w:ascii="IRNazanin" w:hAnsi="IRNazanin" w:eastAsia="IRNazanin"/>
          <w:color w:val="111111"/>
          <w:sz w:val="28"/>
          <w:sz w:val="28"/>
          <w:szCs w:val="28"/>
          <w:rtl w:val="true"/>
          <w:lang w:bidi="fa-IR"/>
        </w:rPr>
        <w:t>و ردّ المحتار</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3" w:name="__RefHeading___Toc9587464_73709187"/>
      <w:bookmarkStart w:id="284" w:name="_Toc106"/>
      <w:bookmarkEnd w:id="283"/>
      <w:r>
        <w:rPr>
          <w:rtl w:val="true"/>
        </w:rPr>
        <w:t>الشافعیّة</w:t>
      </w:r>
      <w:bookmarkEnd w:id="284"/>
    </w:p>
    <w:p>
      <w:pPr>
        <w:pStyle w:val="BookText"/>
        <w:rPr/>
      </w:pPr>
      <w:r>
        <w:rPr>
          <w:rFonts w:ascii="IRNazanin" w:hAnsi="IRNazanin" w:eastAsia="IRNazanin"/>
          <w:color w:val="111111"/>
          <w:sz w:val="28"/>
          <w:sz w:val="28"/>
          <w:szCs w:val="28"/>
          <w:rtl w:val="true"/>
          <w:lang w:bidi="fa-IR"/>
        </w:rPr>
        <w:t>قال الماوردی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فأقلّ زمان تحیض فیه النساء تسع سنین</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روضة الطالبین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سنّ الحیض فأقلّه استکمال تسع سنین علی الصحیح، و ما رأته قبله دم فساد</w:t>
      </w:r>
      <w:r>
        <w:rPr>
          <w:rFonts w:eastAsia="IRNazanin" w:cs="IRNazanin"/>
          <w:color w:val="111111"/>
          <w:sz w:val="28"/>
          <w:szCs w:val="28"/>
          <w:rtl w:val="true"/>
          <w:lang w:bidi="fa-IR"/>
        </w:rPr>
        <w:t>»</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المهذّب،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دم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الحیض</w:t>
      </w:r>
      <w:r>
        <w:rPr>
          <w:rStyle w:val="FootnoteAnchor"/>
          <w:rtl w:val="true"/>
        </w:rPr>
        <w:footnoteReference w:id="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التهذیب</w:t>
      </w:r>
      <w:r>
        <w:rPr>
          <w:rStyle w:val="FootnoteAnchor"/>
          <w:rtl w:val="true"/>
        </w:rPr>
        <w:footnoteReference w:id="924"/>
      </w:r>
      <w:r>
        <w:rPr>
          <w:rFonts w:ascii="IRNazanin" w:hAnsi="IRNazanin" w:eastAsia="IRNazanin"/>
          <w:color w:val="111111"/>
          <w:sz w:val="28"/>
          <w:sz w:val="28"/>
          <w:szCs w:val="28"/>
          <w:rtl w:val="true"/>
          <w:lang w:bidi="fa-IR"/>
        </w:rPr>
        <w:t>و غیرها</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نهایة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المعتبر فی التسع التقریب لا التحدید کلبن الرضاع، فیغتفر نقص زمن دون أقلّ حیض و طهر، فیکون دم المرئی فیه حیضاً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رأت الدم أیّاماً بعضها قبل زمن إمکانه، و بعضها فیه، جعل المرئی فی زمن الإمکان حیضاً إن توفّرت شروطه</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bookmarkStart w:id="285" w:name="pg11755_254573"/>
    </w:p>
    <w:p>
      <w:pPr>
        <w:pStyle w:val="Heading6"/>
        <w:numPr>
          <w:ilvl w:val="5"/>
          <w:numId w:val="1"/>
        </w:numPr>
        <w:rPr/>
      </w:pPr>
      <w:bookmarkStart w:id="286" w:name="__RefHeading___Toc9587466_73709187"/>
      <w:bookmarkStart w:id="287" w:name="_Toc107"/>
      <w:bookmarkEnd w:id="285"/>
      <w:bookmarkEnd w:id="286"/>
      <w:r>
        <w:rPr>
          <w:rtl w:val="true"/>
        </w:rPr>
        <w:t>المالکیّة</w:t>
      </w:r>
      <w:bookmarkEnd w:id="287"/>
    </w:p>
    <w:p>
      <w:pPr>
        <w:pStyle w:val="BookText"/>
        <w:rPr/>
      </w:pPr>
      <w:r>
        <w:rPr>
          <w:rFonts w:ascii="IRNazanin" w:hAnsi="IRNazanin" w:eastAsia="IRNazanin"/>
          <w:color w:val="111111"/>
          <w:sz w:val="28"/>
          <w:sz w:val="28"/>
          <w:szCs w:val="28"/>
          <w:rtl w:val="true"/>
          <w:lang w:bidi="fa-IR"/>
        </w:rPr>
        <w:t>قال ابن 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الطفلة الصغیرة فما رأت من الدم حکم له بأنّه دم علّة و فساد؛ لانتفاء الحیض مع الصغر، و لیس لها حدّ من السنّ، إلّا ما یقطع النساء أنّ مثلها لا تحیض</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و قال الخرشی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بنت أقلّ من تسع لیس بحیض قطعاً</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 و کذا فی بلغة السالک</w:t>
      </w:r>
      <w:r>
        <w:rPr>
          <w:rStyle w:val="FootnoteAnchor"/>
          <w:rtl w:val="true"/>
        </w:rPr>
        <w:footnoteReference w:id="929"/>
      </w:r>
      <w:r>
        <w:rPr>
          <w:rFonts w:ascii="IRNazanin" w:hAnsi="IRNazanin" w:eastAsia="IRNazanin"/>
          <w:color w:val="111111"/>
          <w:sz w:val="28"/>
          <w:sz w:val="28"/>
          <w:szCs w:val="28"/>
          <w:rtl w:val="true"/>
          <w:lang w:bidi="fa-IR"/>
        </w:rPr>
        <w:t>و الشرح الکبیر</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مواهب الجلیل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کلامه فی المدوّنة یقتضی أنّه لا یحکم للدم بأنّه حیض إلّا إذا کان فی أوان البلوغ بمقدّمات و 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بنت خمس و شبهها إذا رأت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بحیض، و سنّ النساء قد یختلف فی 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ابن الحاجب یعنی فی الصغیرة و الآیسة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علیه فی الصغیرة</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 و کذا فی شرح الزرقانی</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9587468_73709187"/>
      <w:bookmarkStart w:id="289" w:name="_Toc108"/>
      <w:bookmarkEnd w:id="288"/>
      <w:r>
        <w:rPr>
          <w:rtl w:val="true"/>
        </w:rPr>
        <w:t>المقام الثانی</w:t>
      </w:r>
      <w:r>
        <w:rPr>
          <w:rtl w:val="true"/>
        </w:rPr>
        <w:t xml:space="preserve">: </w:t>
      </w:r>
      <w:r>
        <w:rPr>
          <w:rtl w:val="true"/>
        </w:rPr>
        <w:t>استحاضة الصبیّة</w:t>
      </w:r>
      <w:bookmarkEnd w:id="28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90" w:name="__RefHeading___Toc9587470_73709187"/>
      <w:bookmarkStart w:id="291" w:name="_Toc109"/>
      <w:bookmarkEnd w:id="290"/>
      <w:r>
        <w:rPr>
          <w:rtl w:val="true"/>
        </w:rPr>
        <w:t>الاستحاضة لغةً و اصطلاحاً</w:t>
      </w:r>
      <w:bookmarkEnd w:id="291"/>
    </w:p>
    <w:p>
      <w:pPr>
        <w:pStyle w:val="BookText"/>
        <w:rPr/>
      </w:pPr>
      <w:r>
        <w:rPr>
          <w:rFonts w:ascii="IRNazanin" w:hAnsi="IRNazanin" w:eastAsia="IRNazanin"/>
          <w:color w:val="111111"/>
          <w:sz w:val="28"/>
          <w:sz w:val="28"/>
          <w:szCs w:val="28"/>
          <w:rtl w:val="true"/>
          <w:lang w:bidi="fa-IR"/>
        </w:rPr>
        <w:t>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استفعال من الحیض، و هی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یستمرّ بالمرأة خروج الدم بعد أیّام حیضها المعتادة،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استُحیضت، فهی مستحاضة، مبنیّاً للمفعول</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المستحاضة من یسیل دمها لا من الحیض، بل من عرق العاذل</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سال الدم من غیر عرق الحیض فهی مستحاضة</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أنّه لیس للاستحاضة حقیقة شرعیّة، بل لم تستعمل فی الأخبار بظاهرها إلّا فی معناها اللّغوی، و لکنّ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اصطلحوا علی أنّ کلّ دم تراه المرأة بمقتضی طبعها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حیث کونها فی مقابل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دَمَی الحیض و النفاس، و غیر دم القرحة أو الجرح، استحاضة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الأغلب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أصفر بارد رقیق، یخرج بفتور</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 الصبیّة الاستحاضة قبل البلوغ، أم لا؟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استحاضتها، بمعنی أنّه إذا خرج الدم من الصبیّة قبل التسع فهو لیس بحیض و لا استحاضة، و لا یترتّب شیء من أحکام الاستحاضة علی صاحبته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الفاضل النراقی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المتحصّل ممّا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کلّ دم کان متّصفاً بأوصاف</w:t>
      </w:r>
    </w:p>
    <w:p>
      <w:pPr>
        <w:pStyle w:val="BookText"/>
        <w:rPr/>
      </w:pPr>
      <w:r>
        <w:rPr>
          <w:rFonts w:ascii="IRNazanin" w:hAnsi="IRNazanin" w:eastAsia="IRNazanin"/>
          <w:color w:val="111111"/>
          <w:sz w:val="28"/>
          <w:sz w:val="28"/>
          <w:szCs w:val="28"/>
          <w:rtl w:val="true"/>
          <w:lang w:bidi="fa-IR"/>
        </w:rPr>
        <w:t>الاستحاضة تثبت لصاحبته أحکام المستحاضة، إلّا ما خرج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لم یکن کذلک فیبقی تحت أصالة عدم تعلّق تلک الأحکام به، کالدّم الذی تراه المرأة أقلّ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 البلوغ أو بعد الیأس، إذا لم تکن تلک الدماء بصفة الاستحاضة فلا یحکم بتعلّق أحکام المستحاضة بصاحبتها</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فیما یجری من الصغیرة قبل البلوغ إشکال</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الصغیرة فلا دلیل علی أنّ ما تراه من الدم استحاضة</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ما ذکره قدس سره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مدرک حکمهم بأنّ الدم الذی لا یکون حیضاً فهو استحاضة حتّی فی حقّ الصغیرة و الیائسة هو السیرة، و جریان عادتهم علی معاملة الدم غیر المتّصف بالحیضیّة معاملة الاستحاضة، و لا یمکن إحرازها فی المسائل التی یقلّ الابتلاء بها، و من الظاهر أنّ رؤیة الصغیرة و الیائسة الدم غیر المتّصف بالحیضیّة إنّما یتحقّق فی واحدة من عشرة آلاف أو أقلّ أو أکثر، و لا مجال للسیرة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اعتمدوا علی الإجماع المنقول فی ذلک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عدم حجّیّته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یقتصر فیه علی المقدار المتیقّن، و هو المرأة التی فی سنّ مَن تحیض</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الأخبار فهی بأجمعها واردة فی المرأة القابلة لأن تحیض تارةً، و یمکن أن تکون مستحاضة اخری، و دار أمر الدم بین الحیض و الاستحاضة و لم یکن واجداً لأوصاف الحیض و أماراته، فتدلّ علی أنّ الدم استحاضة، و الصغیرة</w:t>
      </w:r>
    </w:p>
    <w:p>
      <w:pPr>
        <w:pStyle w:val="BookText"/>
        <w:rPr/>
      </w:pPr>
      <w:r>
        <w:rPr>
          <w:rFonts w:ascii="IRNazanin" w:hAnsi="IRNazanin" w:eastAsia="IRNazanin"/>
          <w:color w:val="111111"/>
          <w:sz w:val="28"/>
          <w:sz w:val="28"/>
          <w:szCs w:val="28"/>
          <w:rtl w:val="true"/>
          <w:lang w:bidi="fa-IR"/>
        </w:rPr>
        <w:t>لیست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بعض الروایات مشتملة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w:t>
      </w:r>
      <w:r>
        <w:rPr>
          <w:rStyle w:val="FootnoteAnchor"/>
          <w:rtl w:val="true"/>
        </w:rPr>
        <w:footnoteReference w:id="940"/>
      </w:r>
      <w:r>
        <w:rPr>
          <w:rFonts w:ascii="IRNazanin" w:hAnsi="IRNazanin" w:eastAsia="IRNazanin"/>
          <w:color w:val="111111"/>
          <w:sz w:val="28"/>
          <w:sz w:val="28"/>
          <w:szCs w:val="28"/>
          <w:rtl w:val="true"/>
          <w:lang w:bidi="fa-IR"/>
        </w:rPr>
        <w:t>، و الصغیرة لیست بمرأة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آخر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یقوم إجماع قطعیّ علی أنّ ما تراه الصغیرة من الدم استحاضة، و إلّا فیما یظهر من کلماتهم من التسالم علی استحاضتها قابل للمناقشة</w:t>
      </w:r>
      <w:r>
        <w:rPr>
          <w:rFonts w:eastAsia="IRNazanin" w:cs="IRNazanin"/>
          <w:color w:val="111111"/>
          <w:sz w:val="28"/>
          <w:szCs w:val="28"/>
          <w:rtl w:val="true"/>
          <w:lang w:bidi="fa-IR"/>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الفاضل النراقی بالأصل و عدم الدلیل</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الأخبار فسیأتی أنّ العموم و الإطلاق فی بعضها یشمل الصغیرة، و أمّا السیرة فإن کان المقصود منها السیرة العقلائیّة بضمیمة عدم الردع من الشرع، فلم نعثر علی أحدٍ من الأصحاب استند بها فی المقام، و أمّا سیرة المتشرّعة فالظاهر أنّه لا محذور للاستناد بها فی مثل هذا الفرع العامّ البلوی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یدّعی أنّ 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 ما تراه المرأة من الدم و لیس بحیض و لا قرح و لا جرح فهو استحاضة و إن کان مع الیأس أو الصغر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متلقًّی من الشرع و ثابت عند الفقهاء</w:t>
      </w:r>
      <w:r>
        <w:rPr>
          <w:rStyle w:val="FootnoteAnchor"/>
          <w:rtl w:val="true"/>
        </w:rPr>
        <w:footnoteReference w:id="943"/>
      </w:r>
      <w:r>
        <w:rPr>
          <w:rFonts w:ascii="IRNazanin" w:hAnsi="IRNazanin" w:eastAsia="IRNazanin"/>
          <w:color w:val="111111"/>
          <w:sz w:val="28"/>
          <w:sz w:val="28"/>
          <w:szCs w:val="28"/>
          <w:rtl w:val="true"/>
          <w:lang w:bidi="fa-IR"/>
        </w:rPr>
        <w:t>، و استقرّت علیه سیرة المتشرّعة من صدر الإسلام؛ لأنّه لا یخرج من المرأة دم إلّا أن یکون دم حیض أو نفاس أو دم قرح أو جرح، أو من العرق العاذل، و لا یوجد دم غیر ما ذکر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 یظهر بالتصفّح فی کلمات الأصحاب بحیث لا یشوبه</w:t>
      </w:r>
    </w:p>
    <w:p>
      <w:pPr>
        <w:pStyle w:val="BookText"/>
        <w:rPr/>
      </w:pPr>
      <w:r>
        <w:rPr>
          <w:rFonts w:ascii="IRNazanin" w:hAnsi="IRNazanin" w:eastAsia="IRNazanin"/>
          <w:color w:val="111111"/>
          <w:sz w:val="28"/>
          <w:sz w:val="28"/>
          <w:szCs w:val="28"/>
          <w:rtl w:val="true"/>
          <w:lang w:bidi="fa-IR"/>
        </w:rPr>
        <w:t>شائبة الارتیاب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الدم تختصّ برؤیته المرأة من حیث کونها امرأةً، لا من حیث کونها مقروحة أو مجروحة إذا رأته أقلّ من ثلاثة أیّام و لم یکن من دم النفاس أو رأته بعد الیأس، بل و کذا فی حال الصغر، کونه بحکم دم الاستحاضة فی الجملة من المسلّمات، بل من ضروریّات الفقه بحیث لم یخالف فیه علی إجماله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بذلک دلیلاً علی استکشاف رأی المعصوم، خصوصاً فی مثل هذا الفرع العامّ البلوی، الذی یمکن دعوی الجزم بأنّ کونه مسلّماً لدیهم یکشف عن استقرار السیرة علیه و معهودیّته من صدر الإسلام و وصوله إلیهم یداً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بکون کلّ ما لیس بحیض و لا نفاس استحاضة من دون تفصیل</w:t>
      </w:r>
      <w:r>
        <w:rPr>
          <w:rFonts w:eastAsia="IRNazanin" w:cs="IRNazanin"/>
          <w:color w:val="111111"/>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 أی من دون تفصیل بین من کانت بسنّ من تحیض و الیائسة و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کلّه إثبات سیرة المتشرّعة مطلقاً حتّی بالنسبة إلی الصغیرة مشکل؛ لأنّ القدر المتیقّن منها علی فرض ثبوتها هی المرأة الّتی کانت فی سنّ من تحیض، فلا تشمل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استحاضة الصبیّة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أکثر الأصحاب قدیماً و حدیثاً إلی أنّ الصبیّة إذا رأت الدم قبل بلوغ التّسع فهو استحاضة، و هو الأظهر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دم تراه المرأة أقلّ من ثلاثة أیّام و لم یکن دَمَ قَرْح و لا جرح فهو استحاضة، و کذا کلّ ما یزید عن العادة و یتجاوز العشرة، أو یزید عن أکثر أیّام النفاس، أو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الیأس أو قبل</w:t>
      </w:r>
    </w:p>
    <w:p>
      <w:pPr>
        <w:pStyle w:val="BookText"/>
        <w:rPr/>
      </w:pP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 و کذا فی النافع و المعتبر</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دم تراه المرأة بعد عادتها فی الحیض إذا تجاوز العشرة أو بعد أکثر أیّام النفاس أو لدون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دم جرح و لا قرح فهو استحاضة</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 و کذا فی النهایة</w:t>
      </w:r>
      <w:r>
        <w:rPr>
          <w:rStyle w:val="FootnoteAnchor"/>
          <w:rtl w:val="true"/>
        </w:rPr>
        <w:footnoteReference w:id="948"/>
      </w:r>
      <w:r>
        <w:rPr>
          <w:rFonts w:ascii="IRNazanin" w:hAnsi="IRNazanin" w:eastAsia="IRNazanin"/>
          <w:color w:val="111111"/>
          <w:sz w:val="28"/>
          <w:sz w:val="28"/>
          <w:szCs w:val="28"/>
          <w:rtl w:val="true"/>
          <w:lang w:bidi="fa-IR"/>
        </w:rPr>
        <w:t>و کشف الرموز</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ما تراه الصبیّة أو الیائسة أو دون الثلاثة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استحاضة ما لم تعلم أنّه لعذرة أو قرح و شبهه</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علّق فی جامع المقاصد علی قول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مع الیأس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عطف الجملة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للتنبیه علی أنّ سنّ الیأس یجامع الاستحاضة، و لا حاجة إلیه؛ لأنّه إنّما یحسن العطف بها للتنبیه علی حکم الفرد الخفیّ، و سنّ الیأس و الصغر فی ذلک سواء بالنسبة إلی نظر الفقیه، بل حکم الصغری خفیّ، فکان ینبغی التنبیه علیه، فإنّ الدم قبل التسع لغیر القرح و الجرح استحاضة</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اختاره جماعة من المتأخّرین و متأخّریهم</w:t>
      </w:r>
      <w:r>
        <w:rPr>
          <w:rStyle w:val="FootnoteAnchor"/>
          <w:rtl w:val="true"/>
        </w:rPr>
        <w:footnoteReference w:id="952"/>
      </w:r>
      <w:r>
        <w:rPr>
          <w:rFonts w:ascii="IRNazanin" w:hAnsi="IRNazanin" w:eastAsia="IRNazanin"/>
          <w:color w:val="111111"/>
          <w:sz w:val="28"/>
          <w:sz w:val="28"/>
          <w:szCs w:val="28"/>
          <w:rtl w:val="true"/>
          <w:lang w:bidi="fa-IR"/>
        </w:rPr>
        <w:t>و بعض أعلام العصر</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bookmarkStart w:id="292" w:name="pg11755_254586"/>
    </w:p>
    <w:p>
      <w:pPr>
        <w:pStyle w:val="BookText"/>
        <w:rPr/>
      </w:pPr>
      <w:bookmarkEnd w:id="292"/>
      <w:r>
        <w:rPr>
          <w:rFonts w:ascii="IRNazanin" w:hAnsi="IRNazanin" w:eastAsia="IRNazanin"/>
          <w:color w:val="111111"/>
          <w:sz w:val="28"/>
          <w:sz w:val="28"/>
          <w:szCs w:val="28"/>
          <w:rtl w:val="true"/>
          <w:lang w:bidi="fa-IR"/>
        </w:rPr>
        <w:t>و 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دم تراه المرأة قبل بلوغها أو بعد یأسها أو أقلّ من ثلاثة و لم یکن دم قرح و لا جرح و لا نفاس فهو استحاضة</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 الاستحاضة دائرة مدار إمکان رؤیة دم الحیض شرعاً؛ للاتّفاق علی إمکان الاستحاضة بالنسبة إلی الیائسة و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الجملة من ضروریّات الفقه</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 الفقهاء و إن لم یصرّح فی کلماتهم بإمکان رؤیة الصغیرة دم الاستحاضة، لکن یستفاد ذلک من إطلاق کلامهم، کقول العلّامة فی 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لیس بحیض و لا قرح و لا جرح فهو استحاضة</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الإرشاد</w:t>
      </w:r>
      <w:r>
        <w:rPr>
          <w:rStyle w:val="FootnoteAnchor"/>
          <w:rtl w:val="true"/>
        </w:rPr>
        <w:footnoteReference w:id="957"/>
      </w:r>
      <w:r>
        <w:rPr>
          <w:rFonts w:ascii="IRNazanin" w:hAnsi="IRNazanin" w:eastAsia="IRNazanin"/>
          <w:color w:val="111111"/>
          <w:sz w:val="28"/>
          <w:sz w:val="28"/>
          <w:szCs w:val="28"/>
          <w:rtl w:val="true"/>
          <w:lang w:bidi="fa-IR"/>
        </w:rPr>
        <w:t>و الکفایة</w:t>
      </w:r>
      <w:r>
        <w:rPr>
          <w:rStyle w:val="FootnoteAnchor"/>
          <w:rtl w:val="true"/>
        </w:rPr>
        <w:footnoteReference w:id="958"/>
      </w:r>
      <w:r>
        <w:rPr>
          <w:rFonts w:ascii="IRNazanin" w:hAnsi="IRNazanin" w:eastAsia="IRNazanin"/>
          <w:color w:val="111111"/>
          <w:sz w:val="28"/>
          <w:sz w:val="28"/>
          <w:szCs w:val="28"/>
          <w:rtl w:val="true"/>
          <w:lang w:bidi="fa-IR"/>
        </w:rPr>
        <w:t>و غیرها</w:t>
      </w:r>
      <w:r>
        <w:rPr>
          <w:rStyle w:val="FootnoteAnchor"/>
          <w:rtl w:val="true"/>
        </w:rPr>
        <w:footnoteReference w:id="959"/>
      </w:r>
      <w:r>
        <w:rPr>
          <w:rFonts w:ascii="IRNazanin" w:hAnsi="IRNazanin" w:eastAsia="IRNazanin"/>
          <w:color w:val="111111"/>
          <w:sz w:val="28"/>
          <w:sz w:val="28"/>
          <w:szCs w:val="28"/>
          <w:rtl w:val="true"/>
          <w:lang w:bidi="fa-IR"/>
        </w:rPr>
        <w:t>و فی شرح المفاتیح نسبة هذه الکلّیّة إلی الفقهاء</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3" w:name="__RefHeading___Toc9587472_73709187"/>
      <w:bookmarkStart w:id="294" w:name="_Toc110"/>
      <w:bookmarkEnd w:id="293"/>
      <w:r>
        <w:rPr>
          <w:rtl w:val="true"/>
        </w:rPr>
        <w:t>أدلّة جواز استحاضة الصبیّة</w:t>
      </w:r>
      <w:bookmarkEnd w:id="294"/>
    </w:p>
    <w:p>
      <w:pPr>
        <w:pStyle w:val="BookText"/>
        <w:rPr/>
      </w:pPr>
      <w:r>
        <w:rPr>
          <w:rFonts w:ascii="IRNazanin" w:hAnsi="IRNazanin" w:eastAsia="IRNazanin"/>
          <w:color w:val="111111"/>
          <w:sz w:val="28"/>
          <w:sz w:val="28"/>
          <w:szCs w:val="28"/>
          <w:rtl w:val="true"/>
          <w:lang w:bidi="fa-IR"/>
        </w:rPr>
        <w:t>یمکن أن یستدلّ للحکم المذکور باُمورٍ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و التسالم بین الفقهاء، بل الضرورة من الدِّین کما تقدّم</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إطلاق و عموم بعض النصوص للصغیرة، و إن شئت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استقراء الموارد الّتی وقع السؤال فی الأخبار عن حکم ما تراه المرأة من الدم یدلّ علی أنّ ما تراه الصبیّة قبل التسع استحاضة، و هی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الحسین الصحّاف،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 ولدی تری الدم و هی حامل، کیف تصنع بالصلاة؟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رأت الحامل الدم بعد ما یمضی عشرون یوماً من الوقت الذی کانت تری فیه الدم من الشهر الذی کانت تقعد فیه، فإنّ ذلک لیس من الرّحم و لا من الطمث، فلتتوضّأ و تحتشی بکرسف و تصلّی</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تدلّ بتعلیلها علی أنّ کلّ دم لم یکن بحیض فهو استحاضة، و عموم التعلیل یشمل الیائسة و الصغیرة، فعلم من ذلک أنّ الخارج من المرأة إن لم یکن من الرحم و لا من الطمث فحکمه الوضوء و الاحتشاء علی التفصیل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ظهوره فی أنّ کلّ ما لیس بحیض فهو استحاضة ممّا لا ینکر</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المغراء،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الحبلی قد استبان ذلک منها، تری کما تری الحائض من الدم،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الهراقة، إن کان دماً کثیراً فلا تصلّین، و إن کان قلیلاً فلتغتسل عند کلّ صلاتین</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مثلها مرسلة إبراهیم بن هاشم، فإنّ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الهراقة من الدم، إن کان</w:t>
      </w:r>
    </w:p>
    <w:p>
      <w:pPr>
        <w:pStyle w:val="BookText"/>
        <w:rPr/>
      </w:pPr>
      <w:r>
        <w:rPr>
          <w:rFonts w:ascii="IRNazanin" w:hAnsi="IRNazanin" w:eastAsia="IRNazanin"/>
          <w:color w:val="111111"/>
          <w:sz w:val="28"/>
          <w:sz w:val="28"/>
          <w:szCs w:val="28"/>
          <w:rtl w:val="true"/>
          <w:lang w:bidi="fa-IR"/>
        </w:rPr>
        <w:t>دماً أحمر کثیراً فلا تصلّی، و إن کان قلیلاً أصفر فلیس علیها إلّا الوضوء</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من الدم القلیل هو الدم الذی لیس بحیض، کما أنّ المراد من الدم الکثیر هو الدم المستمرّ الذی یمکن أن یکون حیضاً، و توصیفها بالقلّة و الکثرة علی الظاهر للجری مجری العادة</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یونس القصیرة،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انقطع الدم بعد ما رأته یوماً أو یومین اغتسلت و صلّت، و انتظرت من یوم رأت الدم إلی عشرة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مرّ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یوم رأت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أیّام و لم ترَ الدم فذلک الیوم و الیومان الذی رأته لم یکن من الحیض، إنّما کان من علّة، إمّا قرحة فی جوفها، و إمّا من الجوف، فعلیها أن تعید الصلاة تلک الیومین الّتی ترکتها؛ لأنّها لم تکن حائضاً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 و ظهورها فی ترتّب الاستحاضة علی مجرّد عدم الحیضیّة ممّا لا یخفی</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المرأة الحبلی تری الدم الیوم و الیومین؟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دماً عبیطاً فلا تصلّی ذینک الیومین، و إن کان صفرة فلتغتسل عند کلّ صلاتین</w:t>
      </w:r>
      <w:r>
        <w:rPr>
          <w:rFonts w:eastAsia="IRNazanin" w:cs="IRNazanin"/>
          <w:color w:val="111111"/>
          <w:sz w:val="28"/>
          <w:szCs w:val="28"/>
          <w:rtl w:val="true"/>
          <w:lang w:bidi="fa-IR"/>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فرتّب علیه السلام الاستحاضة علی مجرّد عدم الحیضیّة، و مثلها موثّقة سماعة</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الأخبار الّتی یقف علیها المتتبّع، الواردة فی دم المرأة الّتی</w:t>
      </w:r>
    </w:p>
    <w:p>
      <w:pPr>
        <w:pStyle w:val="BookText"/>
        <w:rPr/>
      </w:pPr>
      <w:r>
        <w:rPr>
          <w:rFonts w:ascii="IRNazanin" w:hAnsi="IRNazanin" w:eastAsia="IRNazanin"/>
          <w:color w:val="111111"/>
          <w:sz w:val="28"/>
          <w:sz w:val="28"/>
          <w:szCs w:val="28"/>
          <w:rtl w:val="true"/>
          <w:lang w:bidi="fa-IR"/>
        </w:rPr>
        <w:t xml:space="preserve">رتّب فیها الشارع علیه آثار الاستحاضة عند انتفاء احتمال کونه حیضاً، فإنّه لا یبعد أن یدّعی أنّه یستفاد من تتبّع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باعتضاده بالفتاوی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الدم الذی تراه المرأة ما لم یکن من قرح أو جرح أو نحوهما مطلقاً، حدث، فهو إمّا حیض أو نفاس أو استحاضة، فمتی انتفی الأوّلان یتعیّن الثالث، کما فی مصباح الفقیه</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الکلّیّة المذکورة فی کلام المحقّق</w:t>
      </w:r>
      <w:r>
        <w:rPr>
          <w:rStyle w:val="FootnoteAnchor"/>
          <w:rtl w:val="true"/>
        </w:rPr>
        <w:footnoteReference w:id="973"/>
      </w:r>
      <w:r>
        <w:rPr>
          <w:rFonts w:ascii="Amiri" w:hAnsi="Amiri" w:eastAsia="Amiri" w:cs="Amiri"/>
          <w:color w:val="111111"/>
          <w:sz w:val="28"/>
          <w:sz w:val="28"/>
          <w:szCs w:val="28"/>
          <w:rtl w:val="true"/>
          <w:lang w:bidi="ar-SA"/>
        </w:rPr>
        <w:t>و مَن بعده</w:t>
      </w:r>
      <w:r>
        <w:rPr>
          <w:rStyle w:val="FootnoteAnchor"/>
          <w:rtl w:val="true"/>
        </w:rPr>
        <w:footnoteReference w:id="974"/>
      </w:r>
      <w:r>
        <w:rPr>
          <w:rFonts w:ascii="IRNazanin" w:hAnsi="IRNazanin" w:eastAsia="IRNazanin"/>
          <w:color w:val="111111"/>
          <w:sz w:val="28"/>
          <w:sz w:val="28"/>
          <w:szCs w:val="28"/>
          <w:rtl w:val="true"/>
          <w:lang w:bidi="fa-IR"/>
        </w:rPr>
        <w:t>،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دمٍ تراه المرأة أقلّ من ثلاثة أیّام و لم یکن دم قرح و لا جرح فهو استحاضة، و کذا کلّ ما یزید عن العادة و یتجاوز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مع الیأس أو قبل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القاعدة تستفاد من مطاوی الأخبار الواردة فی أبواب الحیض و الاستحاضة المتقدّم بعضها؛ لأنّ المستفاد من موارد الدماء الممتنع کونها حیضاً الّتی تعرّض لها الشارع ابتداءً أو فی جواب السؤال، و حکم بکونها استحاضةً حقیقةً أو حکمیّةً أو کون صاحبتها مستحاضةً مع احتمال وجود دم آخر فی الجوف غیر الحیض و الاستحاضة؛ عدم الاعتناء بهذا الاحتمال فی کلّ ما امتنع کونه حیضاً و إن لم یتعرّض له فی الأخبار</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الحکم واضح جدّاً بناءً علی انحصار دم المرأة</w:t>
      </w:r>
    </w:p>
    <w:p>
      <w:pPr>
        <w:pStyle w:val="BookText"/>
        <w:rPr/>
      </w:pPr>
      <w:r>
        <w:rPr>
          <w:rFonts w:ascii="IRNazanin" w:hAnsi="IRNazanin" w:eastAsia="IRNazanin"/>
          <w:color w:val="111111"/>
          <w:sz w:val="28"/>
          <w:sz w:val="28"/>
          <w:szCs w:val="28"/>
          <w:rtl w:val="true"/>
          <w:lang w:bidi="fa-IR"/>
        </w:rPr>
        <w:t>فی الدماء المذکورة؛ لأنّ انتفاء ما عدا الاستحاضة یلازم کونه استحاضةً، و حینئذٍ تکون القاعدة المذکورة قاعدة واقعیّةً</w:t>
      </w:r>
      <w:r>
        <w:rPr>
          <w:rFonts w:eastAsia="IRNazanin" w:cs="IRNazanin"/>
          <w:color w:val="111111"/>
          <w:sz w:val="28"/>
          <w:szCs w:val="28"/>
          <w:rtl w:val="true"/>
          <w:lang w:bidi="fa-IR"/>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الخوانساری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ادّعی مسلّمیّة هذه القاعدة عند الفقهاء</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کون الدم استحاضة بعد انتفاء الحیض، قال السیّد السبزواری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نعهد أحداً منهم عارض أصالة عدم الحیض بأصالة عدم الاستحاضة فی المقام و لا فی غیره، و من هنا یعرف أنّ الاستحاضة أصل بعد انتفاء الحیض</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مضافاً إلی أصالة عدم وجود سبب غیرها و أغلبیّته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دم 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النساء بعد الحیض</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 فی ثبوت الاستحاضة جریان أصالة عدم کون الدم حیضاً أو من جرح أو من قرح؛ لأنّ ذلک العدم بمنزلة الموضوع للاستحاضة، فالأصل الجاری فیه یکفی فی ثبوت حکمه، و لا یعارضه أصالة عدم کونه استحاضة؛ لأنّه أصل مسبّبی لا یصلح لمعارضة الأصل السببی</w:t>
      </w:r>
      <w:r>
        <w:rPr>
          <w:rFonts w:eastAsia="IRNazanin" w:cs="IRNazanin"/>
          <w:color w:val="111111"/>
          <w:sz w:val="28"/>
          <w:szCs w:val="28"/>
          <w:rtl w:val="true"/>
          <w:lang w:bidi="fa-IR"/>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دم 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کالطبیعی لهنّ، و بذلک ینقطع الأصل و القاعدة</w:t>
      </w:r>
      <w:r>
        <w:rPr>
          <w:rFonts w:eastAsia="IRNazanin" w:cs="IRNazanin"/>
          <w:color w:val="111111"/>
          <w:sz w:val="28"/>
          <w:szCs w:val="28"/>
          <w:rtl w:val="true"/>
          <w:lang w:bidi="fa-IR"/>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bookmarkStart w:id="295" w:name="pg11755_254596"/>
    </w:p>
    <w:p>
      <w:pPr>
        <w:pStyle w:val="Heading6"/>
        <w:numPr>
          <w:ilvl w:val="5"/>
          <w:numId w:val="1"/>
        </w:numPr>
        <w:rPr/>
      </w:pPr>
      <w:bookmarkStart w:id="296" w:name="__RefHeading___Toc9587474_73709187"/>
      <w:bookmarkStart w:id="297" w:name="_Toc111"/>
      <w:bookmarkEnd w:id="295"/>
      <w:bookmarkEnd w:id="296"/>
      <w:r>
        <w:rPr>
          <w:rtl w:val="true"/>
        </w:rPr>
        <w:t>المناقشات و دفعها</w:t>
      </w:r>
      <w:bookmarkEnd w:id="297"/>
    </w:p>
    <w:p>
      <w:pPr>
        <w:pStyle w:val="BookText"/>
        <w:rPr/>
      </w:pPr>
      <w:r>
        <w:rPr>
          <w:rFonts w:ascii="IRNazanin" w:hAnsi="IRNazanin" w:eastAsia="IRNazanin"/>
          <w:color w:val="111111"/>
          <w:sz w:val="28"/>
          <w:sz w:val="28"/>
          <w:szCs w:val="28"/>
          <w:rtl w:val="true"/>
          <w:lang w:bidi="fa-IR"/>
        </w:rPr>
        <w:t>ثمّ إنّه اورد فی بعض الکلمات علی الحکم بجواز استحاضة الصبیّة مناقشات، و لتتمیم التحقیق فی المسألة یلزم أن نذکرها، و هی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یرد علی الإجماع و التسالم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المفید</w:t>
      </w:r>
      <w:r>
        <w:rPr>
          <w:rStyle w:val="FootnoteAnchor"/>
          <w:rtl w:val="true"/>
        </w:rPr>
        <w:footnoteReference w:id="982"/>
      </w:r>
      <w:r>
        <w:rPr>
          <w:rFonts w:ascii="Amiri" w:hAnsi="Amiri" w:eastAsia="Amiri" w:cs="Amiri"/>
          <w:color w:val="111111"/>
          <w:sz w:val="28"/>
          <w:sz w:val="28"/>
          <w:szCs w:val="28"/>
          <w:rtl w:val="true"/>
          <w:lang w:bidi="ar-SA"/>
        </w:rPr>
        <w:t>و ابن حمزة</w:t>
      </w:r>
      <w:r>
        <w:rPr>
          <w:rStyle w:val="FootnoteAnchor"/>
          <w:rtl w:val="true"/>
        </w:rPr>
        <w:footnoteReference w:id="983"/>
      </w:r>
      <w:r>
        <w:rPr>
          <w:rFonts w:ascii="IRNazanin" w:hAnsi="IRNazanin" w:eastAsia="IRNazanin"/>
          <w:color w:val="111111"/>
          <w:sz w:val="28"/>
          <w:sz w:val="28"/>
          <w:szCs w:val="28"/>
          <w:rtl w:val="true"/>
          <w:lang w:bidi="fa-IR"/>
        </w:rPr>
        <w:t>أخذا فی تعریف الاستحاضة بکونها بعد أیّام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الإرشاد و کذا القواعد نفی الاستحاضة من الصغیرة</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أخذ القید غالبی لا احترازی، و أمّا الاستظهار من کلام العلّامة فقد خالفه فی التحریر و النهایة و صرّح بأنّ الذی تراه الصغیرة من الدم فهو استحاضة</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یتوهّم عدم تحقّق الاستحاضة للصبیّة، قال فی کشف اللثام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الأصحاب تقسیم المستحاضة إلی المبتدأة و المعتادة و المضطربة و أحکام کلّ منها، انحصارها فیمن بسنّ الحیض</w:t>
      </w:r>
      <w:r>
        <w:rPr>
          <w:rFonts w:eastAsia="IRNazanin" w:cs="IRNazanin"/>
          <w:color w:val="111111"/>
          <w:sz w:val="28"/>
          <w:szCs w:val="28"/>
          <w:rtl w:val="true"/>
          <w:lang w:bidi="fa-IR"/>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التوهّم مدفوع بما صرّح به العلّامة فی بیان ماهیّة الاستحاضة،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الاستحاضة قد یعبّر بها عن کلّ دم تراه المرأة غیر دمی الحیض</w:t>
      </w:r>
    </w:p>
    <w:p>
      <w:pPr>
        <w:pStyle w:val="BookText"/>
        <w:rPr/>
      </w:pPr>
      <w:r>
        <w:rPr>
          <w:rFonts w:ascii="IRNazanin" w:hAnsi="IRNazanin" w:eastAsia="IRNazanin"/>
          <w:color w:val="111111"/>
          <w:sz w:val="28"/>
          <w:sz w:val="28"/>
          <w:szCs w:val="28"/>
          <w:rtl w:val="true"/>
          <w:lang w:bidi="fa-IR"/>
        </w:rPr>
        <w:t xml:space="preserve">و النفاس خارجاً عن الفرج ممّا لیس بعذرةٍ و لا قرح، سواء اتّصل بالحیض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کالمتجاوز لأکثر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یکن کالّذی تراه المرأة قبل التسع، فإنّه و إن لم یوجب الأحکام علیها فی الحال، لکنّ فیما بعد یجب الغسل أو الوضوء علی التفصیل، و یوجب الأحکام علی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یعبّر بها عن الدم المتّصل بدم الحیض وحده، و بهذا المعنی ینقسم المستحاضة إلی معتادة و مبتدئة، أیضاً إلی ممیّزة و غیرها، و یسمّی ما عدا ذلک دم فساد، لکنّ الأحکام المذکورة فی جمیع ذلک لا تختلف</w:t>
      </w:r>
      <w:r>
        <w:rPr>
          <w:rFonts w:eastAsia="IRNazanin" w:cs="IRNazanin"/>
          <w:color w:val="111111"/>
          <w:sz w:val="28"/>
          <w:szCs w:val="28"/>
          <w:rtl w:val="true"/>
          <w:lang w:bidi="fa-IR"/>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لیس بجرح و لا قرح و لا نفاس، منه ما یکون استحاضةً حقیقةً، و منه ما یکون صاحبه فی حکم 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ما لم یدلّ دلیل علی الحکم علیه بشیء من ذلک، کدم الصغیرة و الیائسة و الناقص عن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الإشکال فی ما لم یتّصف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بصفات 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امتنع کونه حیضاً، فإنّ بعض أفراده ممّا لم یثبت له من النصّ أحکام الاستحاضة کالخارج من الیائسة أو الصغیرة</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الإمام 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الروایات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غایة ما یستفاد من مجموع الروایات أماریّة الصفات للاستحاضة فیما دار الأمر بینها و بین الحیض و لو فی غیر مستمرّة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استفادة حکم دم الصغیرة و الیائسة فلا؛ لعدم عموم أو إطلاق یرجع إلیهما، و لعدم إمکان تنقیح المناط و إلغاء الخصوصیّة عرفاً</w:t>
      </w:r>
      <w:r>
        <w:rPr>
          <w:rFonts w:eastAsia="IRNazanin" w:cs="IRNazanin"/>
          <w:color w:val="111111"/>
          <w:sz w:val="28"/>
          <w:szCs w:val="28"/>
          <w:rtl w:val="true"/>
          <w:lang w:bidi="fa-IR"/>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ما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النصوص جمیعها واردة فی مورد البالغة غیر</w:t>
      </w:r>
    </w:p>
    <w:p>
      <w:pPr>
        <w:pStyle w:val="BookText"/>
        <w:rPr/>
      </w:pPr>
      <w:r>
        <w:rPr>
          <w:rFonts w:ascii="IRNazanin" w:hAnsi="IRNazanin" w:eastAsia="IRNazanin"/>
          <w:color w:val="111111"/>
          <w:sz w:val="28"/>
          <w:sz w:val="28"/>
          <w:szCs w:val="28"/>
          <w:rtl w:val="true"/>
          <w:lang w:bidi="fa-IR"/>
        </w:rPr>
        <w:t>الیائسة، فلا تشمل الصغیرة و الیائسة؛ لأنّهما غیر قابلتین للاتّصاف بالتحیّض لاشتراطه بالبلوغ و عدم الیأس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ثبوت أحکام المستحاضة لما بعد الیأس أو قبل البلوغ إمّا لأجل عدم تحقّق الموضوع، أو من جهة عدم الدلیل علی ترتّب أحکام المستحاضة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الاُولی فیمکن أن یدّعی أنّ الدم الخارج بعد الیأس أو قبل البلوغ یحتمل أن یکون له ماهیّة غیر ماهیّة دم الاستحاضة الذی یکون للمرأة البالغة غیر الیائسة، و یکون مجراه غیر مجراه، و لا یکون حقیقته هی الدم الطبیعی المقذوف من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باطل قطعاً؛ لأنّ الدم الذی تختصّ برؤیته المرأة من حیث کونها امرأة لا من حیث کونها مقروحة أو مجروحة ینحصر بالدماء الثلاثة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الحیض و النفاس و الاستحاضة، فالدم الخارج من المرأة بحسب طبعها منحصر فیها</w:t>
      </w:r>
      <w:r>
        <w:rPr>
          <w:rStyle w:val="FootnoteAnchor"/>
          <w:rtl w:val="true"/>
        </w:rPr>
        <w:footnoteReference w:id="990"/>
      </w:r>
      <w:r>
        <w:rPr>
          <w:rFonts w:ascii="IRNazanin" w:hAnsi="IRNazanin" w:eastAsia="IRNazanin"/>
          <w:color w:val="111111"/>
          <w:sz w:val="28"/>
          <w:sz w:val="28"/>
          <w:szCs w:val="28"/>
          <w:rtl w:val="true"/>
          <w:lang w:bidi="fa-IR"/>
        </w:rPr>
        <w:t>، و إذا انتفی الحیض و النفاس فیتعیّن أنّه استحاضة، و أنّ الاحتمال المذکور مخالف للوجدان فی بعض مصادیقه، کما لو استمرّ دم المرأة من قبل یأسها إلی ما بعده، فهل یحتمل کونه إلی آن ما قبل الیأس من مجری مستقلّ</w:t>
      </w:r>
    </w:p>
    <w:p>
      <w:pPr>
        <w:pStyle w:val="BookText"/>
        <w:rPr/>
      </w:pPr>
      <w:r>
        <w:rPr>
          <w:rFonts w:ascii="IRNazanin" w:hAnsi="IRNazanin" w:eastAsia="IRNazanin"/>
          <w:color w:val="111111"/>
          <w:sz w:val="28"/>
          <w:sz w:val="28"/>
          <w:szCs w:val="28"/>
          <w:rtl w:val="true"/>
          <w:lang w:bidi="fa-IR"/>
        </w:rPr>
        <w:t>مقذوفاً من الرحم معهوداً من النساء، فلمّا انقضی ذلک الآن تغیّر المجری، و خرج من مجری آخر غیر السابق، و لا یکون الدم المقذوف المعهود؟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فیما قبل البلوغ، فإذا فرض رؤیة الدم علی النهج المألوف فی سنة قبل بلوغها و استمرّ فی شهر قبل البلوغ حتّی بلغت، فهل یجوز احتمال اختلاف طبیعته و مجراه ساعة ما قبل البلوغ و 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إلی بعض ذلک الإمام الخمینی قدس سره</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لا وجه للقول بأنّ مورد الحکم بالاستحاضة لیس هو مطلق المرأة، بل هو مختصّ بالمرأة الّتی تکون بسنّ من تحیض و قابلة لأن تحیض تارةً، و تستحاض اخری، و دار أمر الدم بینهما، فلا تشمل الصغیرة و الیائسة اللتین لا یحتمل فیهما الحیض بوجه، کما فی التنقیح</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خروج دم الاستحاضة لا یتوقّف علی قابلیّة المرأة للتحیّض؛ لأنّ مخرج الحیض غیر مجری الاستحاضة، و سبب الحیض غیر سبب الاستحاضة، لما توصّل إلیه العلم الحدیث فی هذه المسألة من أنّ سبب الحیض نشاط المبیض و استعداده لإطلاق إحدی البویضات و یصاحب هذا الاستعداد ارتفاع فی نسبة هرمونی الاُنوثة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الاستروجین و البروجسترون الّذین یهیّئان الرحم للحمل؛ إذ ینشّطان الغشاء المبطّن للرحم، و یسبّبان احتقان عروقه الدمویّة، فإن انطلقت البویضة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تلقّح بنطفة الرجل فإنّها تتحلّل و تموت فی غضون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تتراجع نسبة الهرمونات إلی معدّلها الطبیعی</w:t>
      </w:r>
    </w:p>
    <w:p>
      <w:pPr>
        <w:pStyle w:val="BookText"/>
        <w:rPr/>
      </w:pPr>
      <w:r>
        <w:rPr>
          <w:rFonts w:ascii="IRNazanin" w:hAnsi="IRNazanin" w:eastAsia="IRNazanin"/>
          <w:color w:val="111111"/>
          <w:sz w:val="28"/>
          <w:sz w:val="28"/>
          <w:szCs w:val="28"/>
          <w:rtl w:val="true"/>
          <w:lang w:bidi="fa-IR"/>
        </w:rPr>
        <w:t>و تتوسف</w:t>
      </w:r>
      <w:r>
        <w:rPr>
          <w:rStyle w:val="FootnoteAnchor"/>
          <w:rtl w:val="true"/>
        </w:rPr>
        <w:footnoteReference w:id="993"/>
      </w:r>
      <w:r>
        <w:rPr>
          <w:rFonts w:ascii="IRNazanin" w:hAnsi="IRNazanin" w:eastAsia="IRNazanin"/>
          <w:color w:val="111111"/>
          <w:sz w:val="28"/>
          <w:sz w:val="28"/>
          <w:szCs w:val="28"/>
          <w:rtl w:val="true"/>
          <w:lang w:bidi="fa-IR"/>
        </w:rPr>
        <w:t>بطانة الرحم و تتساقط مع ما فیها من دم عبر عنق الرحم إلی المهبل، و منه إلی خارج الفرج، و هذا هو الحیض، أی أنّ دم الحیض لا یأتی مباشرةً من العروق الدمویّة، بل من بطانة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دم الاستحاضة فهو ینتج غالباً من علّة مرضیّة کاضطراب الهرمونات أو الأورام أو غیرهما من الآفات، فدم 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نزف غیر طبیعی یصدر مباشرة من العروق، و قد یکون من أدنی الرحم، و قد یکون من الفرج، و قد یکون من الرحم نفسه، و ذلک لأنّ الرحم قد یصیبه مرض، و بذلک یسیل الدم منه باستمرار</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صدق رسول اللّه صلی الله علیه و آله الذی بیّن هذه الحقیقة العلمیّة قبل أربعة عشر قرناً حین سألته فاطمة بنت أبی حبیش،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لا أطهر، أ فأدع الصلاة؟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ذلک عرق و لیس بالحیضة، فإذا أقبلت الحیضة فاترکی الصلاة</w:t>
      </w:r>
      <w:r>
        <w:rPr>
          <w:rFonts w:eastAsia="IRNazanin" w:cs="IRNazanin"/>
          <w:color w:val="111111"/>
          <w:sz w:val="28"/>
          <w:szCs w:val="28"/>
          <w:rtl w:val="true"/>
          <w:lang w:bidi="fa-IR"/>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معتبرة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دم الاستحاضة و الحیض لیس یخرجان من مکان واحد، إنّ دم الاستحاضة بارد، و إنّ دم الحیض 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فی غیرها</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فالأقرب أنّ الشکّ من جهة الموضوع فی مثل ما ذکر فی غایة الوهن، و یعدّ من الوسوسة و مخالفاً للعلم و العرف و اللّغة، فالدم الخارج من الیائسة و الصغیرة یصدق علیه أنّه دم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رفع الشکّ من جهة تحقّق الموضوع یقع الکلام فی الجهة الثانیة، و هی احتمال أن یکون الدم المحکوم بکونه استحاضة شرعاً هو ما ینزل من المرأة بعد البلوغ إلی حدّ الیأس، و النصوص الواردة فی هذا الباب مختصّة بالمرأة البالغة غیر الیائسة، و أنّه لم یأت دلیل صحیح یدلّ علی ثبوت أحکام المستحاضة للیائسة و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بعد فرض تحقّق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الدم الذی تراه الصغیرة استحاضة عرفاً و لغة و تؤیّده العلوم الحدیثة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استفادة حکمها من بعض الأخبار، کالنصوص المتقدّمة</w:t>
      </w:r>
      <w:r>
        <w:rPr>
          <w:rStyle w:val="FootnoteAnchor"/>
          <w:rtl w:val="true"/>
        </w:rPr>
        <w:footnoteReference w:id="997"/>
      </w:r>
      <w:r>
        <w:rPr>
          <w:rFonts w:ascii="IRNazanin" w:hAnsi="IRNazanin" w:eastAsia="IRNazanin"/>
          <w:color w:val="111111"/>
          <w:sz w:val="28"/>
          <w:sz w:val="28"/>
          <w:szCs w:val="28"/>
          <w:rtl w:val="true"/>
          <w:lang w:bidi="fa-IR"/>
        </w:rPr>
        <w:t xml:space="preserve">الّتی ذکرناها دلیلاً للقول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جواز استحاضة الصبیّة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غیرها، و هی عدّة روایات</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العیون عن الرضا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المستحاضة تغتسل و تحتشی و تصلّی، و الحائض تترک الصلاة</w:t>
      </w:r>
      <w:r>
        <w:rPr>
          <w:rFonts w:eastAsia="IRNazanin" w:cs="IRNazanin"/>
          <w:color w:val="111111"/>
          <w:sz w:val="28"/>
          <w:szCs w:val="28"/>
          <w:rtl w:val="true"/>
          <w:lang w:bidi="fa-IR"/>
        </w:rPr>
        <w:t>»</w:t>
      </w:r>
      <w:r>
        <w:rPr>
          <w:rStyle w:val="FootnoteAnchor"/>
          <w:rtl w:val="true"/>
        </w:rPr>
        <w:footnoteReference w:id="99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فإنّ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رأت الصفرة فی غیر أیّامها</w:t>
      </w:r>
    </w:p>
    <w:p>
      <w:pPr>
        <w:pStyle w:val="BookText"/>
        <w:rPr/>
      </w:pPr>
      <w:r>
        <w:rPr>
          <w:rFonts w:ascii="Amiri" w:hAnsi="Amiri" w:eastAsia="Amiri" w:cs="Amiri"/>
          <w:color w:val="111111"/>
          <w:sz w:val="28"/>
          <w:sz w:val="28"/>
          <w:szCs w:val="28"/>
          <w:rtl w:val="true"/>
          <w:lang w:bidi="ar-SA"/>
        </w:rPr>
        <w:t>توضّأت و صلّت</w:t>
      </w:r>
      <w:r>
        <w:rPr>
          <w:rFonts w:eastAsia="Amiri" w:cs="Amiri" w:ascii="Amiri" w:hAnsi="Amiri"/>
          <w:color w:val="111111"/>
          <w:sz w:val="28"/>
          <w:szCs w:val="28"/>
          <w:rtl w:val="true"/>
          <w:lang w:bidi="ar-SA"/>
        </w:rPr>
        <w:t>»</w:t>
      </w:r>
      <w:r>
        <w:rPr>
          <w:rStyle w:val="FootnoteAnchor"/>
          <w:rtl w:val="true"/>
        </w:rPr>
        <w:footnoteReference w:id="1000"/>
      </w:r>
      <w:r>
        <w:rPr>
          <w:rFonts w:ascii="IRNazanin" w:hAnsi="IRNazanin" w:eastAsia="IRNazanin"/>
          <w:color w:val="111111"/>
          <w:sz w:val="28"/>
          <w:sz w:val="28"/>
          <w:szCs w:val="28"/>
          <w:rtl w:val="true"/>
          <w:lang w:bidi="fa-IR"/>
        </w:rPr>
        <w:t>، و مثلها روایة قرب الإسناد،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دامت تری الصفرة فلتتوضّأ من الصفرة و تصلّی</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غسل الجنابة واجب، و غسل الحائض إذا طهرت واجب، و غسل المستحاضة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الاستحاضة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مطلق یشمل الصغیرة إذا استحیضت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مضمرة سماعة، فإنّ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 إذا ثقب الدم الکرسف اغتسلت لکلّ صلاتین</w:t>
      </w:r>
      <w:r>
        <w:rPr>
          <w:rFonts w:eastAsia="IRNazanin" w:cs="IRNazanin"/>
          <w:color w:val="111111"/>
          <w:sz w:val="28"/>
          <w:szCs w:val="28"/>
          <w:rtl w:val="true"/>
          <w:lang w:bidi="fa-IR"/>
        </w:rPr>
        <w:t>»</w:t>
      </w:r>
      <w:r>
        <w:rPr>
          <w:rStyle w:val="FootnoteAnchor"/>
          <w:rtl w:val="true"/>
        </w:rPr>
        <w:footnoteReference w:id="1003"/>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المرأة المستحاضة تغتسل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تطهر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صلاة الظهر، و تصلّی الظهر و العصر</w:t>
      </w:r>
      <w:r>
        <w:rPr>
          <w:rFonts w:eastAsia="IRNazanin" w:cs="IRNazanin"/>
          <w:color w:val="111111"/>
          <w:sz w:val="28"/>
          <w:szCs w:val="28"/>
          <w:rtl w:val="true"/>
          <w:lang w:bidi="fa-IR"/>
        </w:rPr>
        <w:t>»</w:t>
      </w:r>
      <w:r>
        <w:rPr>
          <w:rStyle w:val="FootnoteAnchor"/>
          <w:rtl w:val="true"/>
        </w:rPr>
        <w:footnoteReference w:id="1004"/>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منها أنّ للاستحاضة سببیّة للوضوء و أنّ دم الاستحاضة حدث یوجب الوضوء وضعاً، فیکون المقام نظیر</w:t>
      </w:r>
      <w:r>
        <w:rPr>
          <w:rStyle w:val="FootnoteAnchor"/>
          <w:rtl w:val="true"/>
        </w:rPr>
        <w:footnoteReference w:id="1005"/>
      </w:r>
      <w:r>
        <w:rPr>
          <w:rFonts w:ascii="IRNazanin" w:hAnsi="IRNazanin" w:eastAsia="IRNazanin"/>
          <w:color w:val="111111"/>
          <w:sz w:val="28"/>
          <w:sz w:val="28"/>
          <w:szCs w:val="28"/>
          <w:rtl w:val="true"/>
          <w:lang w:bidi="fa-IR"/>
        </w:rPr>
        <w:t>ما ورد فی سببیّة النوم و البول للوضوء، ممّا یعلم منه کونهما سببین، من غیر فرق بین صدورهما من الصغیرة و الکبیرة و المجنون و غیرهم،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فلتتوضّأ من الصفرة</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ظاهر فی سببیّة طبیعتها للوضوء، و یکون إیجاب الوضوء إرشاداً إلی السببیّة، فیفهم العرف</w:t>
      </w:r>
    </w:p>
    <w:p>
      <w:pPr>
        <w:pStyle w:val="BookText"/>
        <w:rPr/>
      </w:pPr>
      <w:r>
        <w:rPr>
          <w:rFonts w:ascii="IRNazanin" w:hAnsi="IRNazanin" w:eastAsia="IRNazanin"/>
          <w:color w:val="111111"/>
          <w:sz w:val="28"/>
          <w:sz w:val="28"/>
          <w:szCs w:val="28"/>
          <w:rtl w:val="true"/>
          <w:lang w:bidi="fa-IR"/>
        </w:rPr>
        <w:t>أنّ نفس الطبیعة سبب وضعاً للوضوء و إن کان التکلیف لا یتعلّق بالصغیرة فی حال صغرها</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الأخبار الواردة فی بابی الحیض و الاستحاضة و إن کانت فی مورد المرأة التی تکون بسنّ من تحیض، و لکن لا تدلّ علی اختصاص أحکام الاستحاضة بالبالغة غیر الیائسة؛ لوجود روایات تدلّ بإطلاقها أو عموم تعلیلها علی ثبوت أحکام الاستحاضة للصغیرة و الیائسة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المناقشات المتقدّمة لعلّها فی غیر محلّها، بعد فرض تحقّق الموضوع عرفاً و لغة و علماً، و أنّ إطلاق الأخبار و عموم تعلیل بعضها یشمل الصبیّة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فبعض الأدلّة المتقدّمة و إن أمکن الخدشة فیها</w:t>
      </w:r>
      <w:r>
        <w:rPr>
          <w:rStyle w:val="FootnoteAnchor"/>
          <w:rtl w:val="true"/>
        </w:rPr>
        <w:footnoteReference w:id="1008"/>
      </w:r>
      <w:r>
        <w:rPr>
          <w:rFonts w:ascii="IRNazanin" w:hAnsi="IRNazanin" w:eastAsia="IRNazanin"/>
          <w:color w:val="111111"/>
          <w:sz w:val="28"/>
          <w:sz w:val="28"/>
          <w:szCs w:val="28"/>
          <w:rtl w:val="true"/>
          <w:lang w:bidi="fa-IR"/>
        </w:rPr>
        <w:t>، إلّا أنّه لا شبهة فی دلالة بعض النصوص علی ثبوت أحکام الاستحاضة للصبیّة و الیائسة، مضافاً إلی ما تقدّم من التسالم بین الأصحاب و القاعدة الکلّیّة المتقدّمتین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ینبغی الإشکال باستحاضة ما ثبت أنّه لیس بحیض،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یکون 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دم لیس بحیض و لا نفاس فهو استحاضة حتّی یعلم أنّه من قرح أو جرح</w:t>
      </w:r>
      <w:r>
        <w:rPr>
          <w:rFonts w:eastAsia="IRNazanin" w:cs="IRNazanin"/>
          <w:color w:val="111111"/>
          <w:sz w:val="28"/>
          <w:szCs w:val="28"/>
          <w:rtl w:val="true"/>
          <w:lang w:bidi="fa-IR"/>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صرّح فی جامع المدارک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قد ادّعی مسلّمیّة هذه القاعدة عند</w:t>
      </w:r>
      <w:bookmarkStart w:id="298" w:name="pg11755_254612"/>
    </w:p>
    <w:p>
      <w:pPr>
        <w:pStyle w:val="BookText"/>
        <w:rPr/>
      </w:pPr>
      <w:bookmarkEnd w:id="298"/>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نسبه فی شرح المفاتیح إلی الفقهاء،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دم یکون أقلّ من ثلاثة أیّام و لم یکن من قرح أو جرح فهو استحاضة عند الفقهاء لانحصاره فیما ذکر؛ إذ لا یخرج من المرأة دم إلّا أن یکون من قرح أو جرح أو العرق العاذل، و لا یوجد دم غیر ما ذکر؛ إذ الحیض لا یکون أقلّ من ثلاثة أیّام، و لا دم غیر ما ذکر بالاستقراء و قول أهل الخبرة و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ظهر حال ما زاد عن العشرة، و کذا ما رأته فی سنّ الیأس و قبل التسع</w:t>
      </w:r>
      <w:r>
        <w:rPr>
          <w:rFonts w:eastAsia="IRNazanin" w:cs="IRNazanin"/>
          <w:color w:val="111111"/>
          <w:sz w:val="28"/>
          <w:szCs w:val="28"/>
          <w:rtl w:val="true"/>
          <w:lang w:bidi="fa-IR"/>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9" w:name="__RefHeading___Toc9587476_73709187"/>
      <w:bookmarkStart w:id="300" w:name="_Toc112"/>
      <w:bookmarkEnd w:id="299"/>
      <w:r>
        <w:rPr>
          <w:rtl w:val="true"/>
        </w:rPr>
        <w:t>تنبیه</w:t>
      </w:r>
      <w:bookmarkEnd w:id="300"/>
    </w:p>
    <w:p>
      <w:pPr>
        <w:pStyle w:val="BookText"/>
        <w:rPr/>
      </w:pPr>
      <w:r>
        <w:rPr>
          <w:rFonts w:ascii="IRNazanin" w:hAnsi="IRNazanin" w:eastAsia="IRNazanin"/>
          <w:color w:val="111111"/>
          <w:sz w:val="28"/>
          <w:sz w:val="28"/>
          <w:szCs w:val="28"/>
          <w:rtl w:val="true"/>
          <w:lang w:bidi="fa-IR"/>
        </w:rPr>
        <w:t>و فی الختام یلزم أن نذکر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الأقرب ما ذهب إلیه المشهور من جواز استحاضة الصبیّة قبل بلوغها، و لکن یشکل فی أنّ الدم الخارج منها مطلقاً محکوم بالاستحاضة حتّی لو خرج و هی قریبة العهد من الرضاع، بل الظاهر أنّ لها حدّاً خاصّاً موکول إلی العرف أو غیره، کما أشار إلیه الشیخ الأعظم</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الإمام الخمینی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مع الشکّ فی 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رأت الصغیرة الدم فی أوائل سنّ ولادتها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إثبات الحکم، و الظاهر أنّ مثلها خارج عن نظر الفقهاء رضوان اللّه علیهم</w:t>
      </w:r>
      <w:r>
        <w:rPr>
          <w:rFonts w:eastAsia="IRNazanin" w:cs="IRNazanin"/>
          <w:color w:val="111111"/>
          <w:sz w:val="28"/>
          <w:szCs w:val="28"/>
          <w:rtl w:val="true"/>
          <w:lang w:bidi="fa-IR"/>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bookmarkStart w:id="301" w:name="pg11755_254614"/>
    </w:p>
    <w:p>
      <w:pPr>
        <w:pStyle w:val="Heading6"/>
        <w:numPr>
          <w:ilvl w:val="5"/>
          <w:numId w:val="1"/>
        </w:numPr>
        <w:rPr/>
      </w:pPr>
      <w:bookmarkStart w:id="302" w:name="__RefHeading___Toc9587478_73709187"/>
      <w:bookmarkStart w:id="303" w:name="_Toc113"/>
      <w:bookmarkEnd w:id="301"/>
      <w:bookmarkEnd w:id="302"/>
      <w:r>
        <w:rPr>
          <w:rtl w:val="true"/>
        </w:rPr>
        <w:t>ثمرة الحکم بجواز استحاضة الصبیّة</w:t>
      </w:r>
      <w:bookmarkEnd w:id="303"/>
    </w:p>
    <w:p>
      <w:pPr>
        <w:pStyle w:val="BookText"/>
        <w:rPr/>
      </w:pPr>
      <w:r>
        <w:rPr>
          <w:rFonts w:ascii="IRNazanin" w:hAnsi="IRNazanin" w:eastAsia="IRNazanin"/>
          <w:color w:val="111111"/>
          <w:sz w:val="28"/>
          <w:sz w:val="28"/>
          <w:szCs w:val="28"/>
          <w:rtl w:val="true"/>
          <w:lang w:bidi="fa-IR"/>
        </w:rPr>
        <w:t>إنّ الصبیّة لا تکلیف علیها حتّی تترتّب علیها أحکام الاستحاضة فی الحال، و لکن یجب علیها بعد البلوغ الغسل أو الوضوء علی التفصیل؛ لأنّه قد یتخلّف المسبّب عن السبب لفقد شرطه، و کذلک یوجب الأحکام علی الغیر، کما فی نهایة الأحکام</w:t>
      </w:r>
      <w:r>
        <w:rPr>
          <w:rStyle w:val="FootnoteAnchor"/>
          <w:rtl w:val="true"/>
        </w:rPr>
        <w:footnoteReference w:id="1014"/>
      </w:r>
      <w:r>
        <w:rPr>
          <w:rFonts w:ascii="IRNazanin" w:hAnsi="IRNazanin" w:eastAsia="IRNazanin"/>
          <w:color w:val="111111"/>
          <w:sz w:val="28"/>
          <w:sz w:val="28"/>
          <w:szCs w:val="28"/>
          <w:rtl w:val="true"/>
          <w:lang w:bidi="fa-IR"/>
        </w:rPr>
        <w:t>و الحدائق</w:t>
      </w:r>
      <w:r>
        <w:rPr>
          <w:rStyle w:val="FootnoteAnchor"/>
          <w:rtl w:val="true"/>
        </w:rPr>
        <w:footnoteReference w:id="1015"/>
      </w:r>
      <w:r>
        <w:rPr>
          <w:rFonts w:ascii="IRNazanin" w:hAnsi="IRNazanin" w:eastAsia="IRNazanin"/>
          <w:color w:val="111111"/>
          <w:sz w:val="28"/>
          <w:sz w:val="28"/>
          <w:szCs w:val="28"/>
          <w:rtl w:val="true"/>
          <w:lang w:bidi="fa-IR"/>
        </w:rPr>
        <w:t>و غیرهما</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الفائدة معرفته لتجری علیها الأحکام تمریناً، و تمنع من المساجد و العزائم و غیر ذلک من الأفعال المشروطة بالطهارة</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4" w:name="__RefHeading___Toc9587480_73709187"/>
      <w:bookmarkStart w:id="305" w:name="_Toc114"/>
      <w:bookmarkEnd w:id="304"/>
      <w:r>
        <w:rPr>
          <w:rtl w:val="true"/>
        </w:rPr>
        <w:t>آراء فقهاء أهل السنّة فی استحاضة الصغیرة</w:t>
      </w:r>
      <w:bookmarkEnd w:id="305"/>
    </w:p>
    <w:p>
      <w:pPr>
        <w:pStyle w:val="BookText"/>
        <w:rPr/>
      </w:pPr>
      <w:r>
        <w:rPr>
          <w:rFonts w:ascii="IRNazanin" w:hAnsi="IRNazanin" w:eastAsia="IRNazanin"/>
          <w:color w:val="111111"/>
          <w:sz w:val="28"/>
          <w:sz w:val="28"/>
          <w:szCs w:val="28"/>
          <w:rtl w:val="true"/>
          <w:lang w:bidi="fa-IR"/>
        </w:rPr>
        <w:t>ذهب أکثر الفقهاء من المذاهب الأربعة إلی أنّ الدم الذی تراه الصغیرة قبل التسع جاز أن یکون دم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الشربینی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اختلف فی الدم الذی تراه الصغیرة و الآیسة، و الأصحّ أنّه یقال له استحاضة و دم فساد،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تطلق الاستحاضة إلّا علی دم وقع بعد حیض</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نصّ الأنصاری الشهیر بالشافعی الصغیر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تراه المرأة غیر دم الحیض و النفاس، سواء اتّصل بهما أم لا، کالدم الذی تراه المرأة</w:t>
      </w:r>
    </w:p>
    <w:p>
      <w:pPr>
        <w:pStyle w:val="BookText"/>
        <w:rPr/>
      </w:pPr>
      <w:r>
        <w:rPr>
          <w:rFonts w:ascii="IRNazanin" w:hAnsi="IRNazanin" w:eastAsia="IRNazanin"/>
          <w:color w:val="111111"/>
          <w:sz w:val="28"/>
          <w:sz w:val="28"/>
          <w:szCs w:val="28"/>
          <w:rtl w:val="true"/>
          <w:lang w:bidi="fa-IR"/>
        </w:rPr>
        <w:t>قبل تسع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9"/>
      </w:r>
      <w:r>
        <w:rPr>
          <w:rFonts w:ascii="IRNazanin" w:hAnsi="IRNazanin" w:eastAsia="IRNazanin"/>
          <w:color w:val="111111"/>
          <w:sz w:val="28"/>
          <w:sz w:val="28"/>
          <w:szCs w:val="28"/>
          <w:rtl w:val="true"/>
          <w:lang w:bidi="fa-IR"/>
        </w:rPr>
        <w:t>و به قال الرافعی و البغوی و النووی</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ردّ المحتار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تراه الصغیرة دون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استحاضة</w:t>
      </w:r>
      <w:r>
        <w:rPr>
          <w:rFonts w:eastAsia="IRNazanin" w:cs="IRNazanin"/>
          <w:color w:val="111111"/>
          <w:sz w:val="28"/>
          <w:szCs w:val="28"/>
          <w:rtl w:val="true"/>
          <w:lang w:bidi="fa-IR"/>
        </w:rPr>
        <w:t>»</w:t>
      </w:r>
      <w:r>
        <w:rPr>
          <w:rStyle w:val="FootnoteAnchor"/>
          <w:rtl w:val="true"/>
        </w:rPr>
        <w:footnoteReference w:id="1021"/>
      </w:r>
      <w:r>
        <w:rPr>
          <w:rFonts w:ascii="IRNazanin" w:hAnsi="IRNazanin" w:eastAsia="IRNazanin"/>
          <w:color w:val="111111"/>
          <w:sz w:val="28"/>
          <w:sz w:val="28"/>
          <w:szCs w:val="28"/>
          <w:rtl w:val="true"/>
          <w:lang w:bidi="fa-IR"/>
        </w:rPr>
        <w:t>، و کذا فی البحر الرائق</w:t>
      </w:r>
      <w:r>
        <w:rPr>
          <w:rStyle w:val="FootnoteAnchor"/>
          <w:rtl w:val="true"/>
        </w:rPr>
        <w:footnoteReference w:id="1022"/>
      </w:r>
      <w:r>
        <w:rPr>
          <w:rFonts w:ascii="IRNazanin" w:hAnsi="IRNazanin" w:eastAsia="IRNazanin"/>
          <w:color w:val="111111"/>
          <w:sz w:val="28"/>
          <w:sz w:val="28"/>
          <w:szCs w:val="28"/>
          <w:rtl w:val="true"/>
          <w:lang w:bidi="fa-IR"/>
        </w:rPr>
        <w:t>و تبیین الحقائق</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عرق لا یتعلّق به شیء من أحکام الحیض، و قد یکون منفصلاً عن دم الحیض کالصغیرة قبل بلوغها</w:t>
      </w:r>
      <w:r>
        <w:rPr>
          <w:rFonts w:eastAsia="IRNazanin" w:cs="IRNazanin"/>
          <w:color w:val="111111"/>
          <w:sz w:val="28"/>
          <w:szCs w:val="28"/>
          <w:rtl w:val="true"/>
          <w:lang w:bidi="fa-IR"/>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منتهی الإرادات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 الإقناع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تری دماً لا یصلح أن یکون حیضاً و لا نفاساً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تراه قبل تمام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کلام الإقناع و صاحبی الشرح، و المبدع یکون ذلک داخلاً فی الاستحاضة، فثبت له أحکامها</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 و یظهر هذا أیضاً من کلام ابن قدامة فی المغنی</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فقه المالکی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خرج الدم ممّن لم تبلغ تسع سنین أو ممّن بلغت السبعین، لم یکن حیضاً قطعاً، بل هو دم استحاضة</w:t>
      </w:r>
      <w:r>
        <w:rPr>
          <w:rFonts w:eastAsia="IRNazanin" w:cs="IRNazanin"/>
          <w:color w:val="111111"/>
          <w:sz w:val="28"/>
          <w:szCs w:val="28"/>
          <w:rtl w:val="true"/>
          <w:lang w:bidi="fa-IR"/>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خالف فی ذلک جمع آخر منهم، 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تطلق الاستحاضة إلّا علی دم وقع بعد حیض</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المستحاضة فهی الّتی تری الدم فی أثر الحیض علی صفة لا تکون حیضاً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رأت الدم قبل استکمال تسع سنین فهو دم فاسد لا یقال له حیض و لا استحاضة؛ لأنّ الاستحاضة لا تکون إلّا علی أثر حیض</w:t>
      </w:r>
      <w:r>
        <w:rPr>
          <w:rFonts w:eastAsia="IRNazanin" w:cs="IRNazanin"/>
          <w:color w:val="111111"/>
          <w:sz w:val="28"/>
          <w:szCs w:val="28"/>
          <w:rtl w:val="true"/>
          <w:lang w:bidi="fa-IR"/>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البنایة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تراه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له استحاضة؛ لأنّها لا تکون إلّا علی أثر حیض، علی صفة لا یکون حیضاً، فلذلک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دم فاسد</w:t>
      </w:r>
      <w:r>
        <w:rPr>
          <w:rFonts w:eastAsia="IRNazanin" w:cs="IRNazanin"/>
          <w:color w:val="111111"/>
          <w:sz w:val="28"/>
          <w:szCs w:val="28"/>
          <w:rtl w:val="true"/>
          <w:lang w:bidi="fa-IR"/>
        </w:rPr>
        <w:t>»</w:t>
      </w:r>
      <w:r>
        <w:rPr>
          <w:rStyle w:val="FootnoteAnchor"/>
          <w:rtl w:val="true"/>
        </w:rPr>
        <w:footnoteReference w:id="1030"/>
      </w:r>
      <w:r>
        <w:rPr>
          <w:rFonts w:ascii="IRNazanin" w:hAnsi="IRNazanin" w:eastAsia="IRNazanin"/>
          <w:color w:val="111111"/>
          <w:sz w:val="28"/>
          <w:sz w:val="28"/>
          <w:szCs w:val="28"/>
          <w:rtl w:val="true"/>
          <w:lang w:bidi="fa-IR"/>
        </w:rPr>
        <w:t>، و أشار إلی ذلک أیضاً الزیلعی</w:t>
      </w:r>
      <w:r>
        <w:rPr>
          <w:rStyle w:val="FootnoteAnchor"/>
          <w:rtl w:val="true"/>
        </w:rPr>
        <w:footnoteReference w:id="1031"/>
      </w:r>
      <w:r>
        <w:rPr>
          <w:rFonts w:ascii="IRNazanin" w:hAnsi="IRNazanin" w:eastAsia="IRNazanin"/>
          <w:color w:val="111111"/>
          <w:sz w:val="28"/>
          <w:sz w:val="28"/>
          <w:szCs w:val="28"/>
          <w:rtl w:val="true"/>
          <w:lang w:bidi="fa-IR"/>
        </w:rPr>
        <w:t>و ابن نجیم</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کشّاف القناع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تمام تسع سنین دم فاسد لا تثبت له أحکام الاستحاضة</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bookmarkStart w:id="306" w:name="pg11755_254621"/>
    </w:p>
    <w:p>
      <w:pPr>
        <w:pStyle w:val="Heading4"/>
        <w:numPr>
          <w:ilvl w:val="3"/>
          <w:numId w:val="1"/>
        </w:numPr>
        <w:rPr/>
      </w:pPr>
      <w:bookmarkStart w:id="307" w:name="__RefHeading___Toc9587482_73709187"/>
      <w:bookmarkStart w:id="308" w:name="_Toc115"/>
      <w:bookmarkEnd w:id="306"/>
      <w:bookmarkEnd w:id="307"/>
      <w:r>
        <w:rPr>
          <w:rtl w:val="true"/>
        </w:rPr>
        <w:t>المبحث الرابع</w:t>
      </w:r>
      <w:r>
        <w:rPr>
          <w:rtl w:val="true"/>
        </w:rPr>
        <w:t xml:space="preserve">: </w:t>
      </w:r>
      <w:r>
        <w:rPr>
          <w:rtl w:val="true"/>
        </w:rPr>
        <w:t>طهارة ولد الکافر بالتبعیّة</w:t>
      </w:r>
      <w:bookmarkEnd w:id="308"/>
    </w:p>
    <w:p>
      <w:pPr>
        <w:pStyle w:val="Heading5"/>
        <w:numPr>
          <w:ilvl w:val="4"/>
          <w:numId w:val="1"/>
        </w:numPr>
        <w:rPr/>
      </w:pPr>
      <w:bookmarkStart w:id="309" w:name="__RefHeading___Toc9587484_73709187"/>
      <w:bookmarkStart w:id="310" w:name="_Toc116"/>
      <w:bookmarkEnd w:id="309"/>
      <w:r>
        <w:rPr>
          <w:rtl w:val="true"/>
        </w:rPr>
        <w:t>اشارة</w:t>
      </w:r>
      <w:bookmarkEnd w:id="310"/>
    </w:p>
    <w:p>
      <w:pPr>
        <w:pStyle w:val="BookText"/>
        <w:rPr/>
      </w:pPr>
      <w:r>
        <w:rPr>
          <w:rFonts w:ascii="IRNazanin" w:hAnsi="IRNazanin" w:eastAsia="IRNazanin"/>
          <w:color w:val="111111"/>
          <w:sz w:val="28"/>
          <w:sz w:val="28"/>
          <w:szCs w:val="28"/>
          <w:rtl w:val="true"/>
          <w:lang w:bidi="fa-IR"/>
        </w:rPr>
        <w:t>و فیه ثلاث مطالب</w:t>
      </w:r>
      <w:r>
        <w:rPr>
          <w:rFonts w:eastAsia="IRNazanin" w:cs="IRNazanin"/>
          <w:color w:val="111111"/>
          <w:sz w:val="28"/>
          <w:szCs w:val="28"/>
          <w:rtl w:val="true"/>
          <w:lang w:bidi="fa-IR"/>
        </w:rPr>
        <w:t>:</w:t>
      </w:r>
    </w:p>
    <w:p>
      <w:pPr>
        <w:pStyle w:val="Heading5"/>
        <w:numPr>
          <w:ilvl w:val="4"/>
          <w:numId w:val="1"/>
        </w:numPr>
        <w:rPr/>
      </w:pPr>
      <w:bookmarkStart w:id="311" w:name="__RefHeading___Toc9587486_73709187"/>
      <w:bookmarkStart w:id="312" w:name="_Toc117"/>
      <w:bookmarkEnd w:id="311"/>
      <w:r>
        <w:rPr>
          <w:rtl w:val="true"/>
        </w:rPr>
        <w:t>المطلب الأوّل</w:t>
      </w:r>
      <w:r>
        <w:rPr>
          <w:rtl w:val="true"/>
        </w:rPr>
        <w:t xml:space="preserve">: </w:t>
      </w:r>
      <w:r>
        <w:rPr>
          <w:rtl w:val="true"/>
        </w:rPr>
        <w:t>تبعیّة الطفل لأبویه</w:t>
      </w:r>
      <w:bookmarkEnd w:id="312"/>
    </w:p>
    <w:p>
      <w:pPr>
        <w:pStyle w:val="Heading6"/>
        <w:numPr>
          <w:ilvl w:val="5"/>
          <w:numId w:val="1"/>
        </w:numPr>
        <w:rPr/>
      </w:pPr>
      <w:bookmarkStart w:id="313" w:name="__RefHeading___Toc9587488_73709187"/>
      <w:bookmarkStart w:id="314" w:name="_Toc118"/>
      <w:bookmarkEnd w:id="313"/>
      <w:r>
        <w:rPr>
          <w:rtl w:val="true"/>
        </w:rPr>
        <w:t>اشارة</w:t>
      </w:r>
      <w:bookmarkEnd w:id="314"/>
    </w:p>
    <w:p>
      <w:pPr>
        <w:pStyle w:val="BookText"/>
        <w:rPr/>
      </w:pPr>
      <w:r>
        <w:rPr>
          <w:rFonts w:ascii="IRNazanin" w:hAnsi="IRNazanin" w:eastAsia="IRNazanin"/>
          <w:color w:val="111111"/>
          <w:sz w:val="28"/>
          <w:sz w:val="28"/>
          <w:szCs w:val="28"/>
          <w:rtl w:val="true"/>
          <w:lang w:bidi="fa-IR"/>
        </w:rPr>
        <w:t xml:space="preserve">لا شکّ فی أنّ الإسلام مطهّر لبدن الکافر و موجب لارتفاع نجاسته، و هو إمّا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یتحقّق من البالغ أو الممیّز العاقل، و سیأتی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تبعاً، و التبعیّة تتصوّر من ثلاث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تبعیّة الولد لأبویه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تبعیّة دار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تبعیّة السابی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الاُولی فظاهرة؛ لأنّه لا خلاف بین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تحقّق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یحکم بإسلام الطفل و طهارته بتبعیّة إسلام الأبوین أو أحدهما، سواء کانا مسلمین حین انعقاد نطفته و بقیا علی الإسلام إلی أن یبلغ الطفل، أو یکون أحدهما مسلماً کذلک، أو ارتدّ أحدهما أو کلاهما بعد</w:t>
      </w:r>
    </w:p>
    <w:p>
      <w:pPr>
        <w:pStyle w:val="BookText"/>
        <w:rPr/>
      </w:pPr>
      <w:r>
        <w:rPr>
          <w:rFonts w:ascii="Amiri" w:hAnsi="Amiri" w:eastAsia="Amiri" w:cs="Amiri"/>
          <w:color w:val="111111"/>
          <w:sz w:val="28"/>
          <w:sz w:val="28"/>
          <w:szCs w:val="28"/>
          <w:rtl w:val="true"/>
          <w:lang w:bidi="ar-SA"/>
        </w:rPr>
        <w:t>انعقاد النطفة</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الحکم کذلک إن کانا کافرین حین انعقاد النطفة، ثمّ اختار أحدهما أو کلاهما الإسلام بعد التولّد، و هکذا لا فرق بین هذا الحکم بین أن یکون الطفل ممیّزاً أو غیر ممیّز، ففی کلتا الصورتین تجری علیه أحکام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فاعتباره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إسلام الطفل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بالوالدین إذا کان أبواه مسلمین، فإنّه یحکم بإسلامه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مسلم الأب فإنّ إسلامه یکون بشیئین،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مسلماً فی الأصل فیتزوّج بکتابیّة،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مشرکین فأسلم الأب، فإذا أسلم الأب فإن کان حملاً أو ولداً منفصلاً فإنّه یتبع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أسلمت الاُمّ فإنّ إسلامها بشیء واحد، و هو إذا کانا مشرکین فأسلمت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أسلمت فإنّ الحمل و الولد تبع لإسلامها؛ للآیة و إجماع الفرقة</w:t>
      </w:r>
      <w:r>
        <w:rPr>
          <w:rFonts w:eastAsia="IRNazanin" w:cs="IRNazanin"/>
          <w:color w:val="111111"/>
          <w:sz w:val="28"/>
          <w:szCs w:val="28"/>
          <w:rtl w:val="true"/>
          <w:lang w:bidi="fa-IR"/>
        </w:rPr>
        <w:t>»</w:t>
      </w:r>
      <w:r>
        <w:rPr>
          <w:rStyle w:val="FootnoteAnchor"/>
          <w:rtl w:val="true"/>
        </w:rPr>
        <w:footnoteReference w:id="1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الشرائع</w:t>
      </w:r>
      <w:r>
        <w:rPr>
          <w:rStyle w:val="FootnoteAnchor"/>
          <w:rtl w:val="true"/>
        </w:rPr>
        <w:footnoteReference w:id="1036"/>
      </w:r>
      <w:r>
        <w:rPr>
          <w:rFonts w:ascii="Amiri" w:hAnsi="Amiri" w:eastAsia="Amiri" w:cs="Amiri"/>
          <w:color w:val="111111"/>
          <w:sz w:val="28"/>
          <w:sz w:val="28"/>
          <w:szCs w:val="28"/>
          <w:rtl w:val="true"/>
          <w:lang w:bidi="ar-SA"/>
        </w:rPr>
        <w:t>و المهذّب</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الجامع للشرائع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یحکم بإسلام الصبیّ بأبویه، فإن لم یکونا فبالسابی، فإن لم یکن فبالدار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الحکم بإسلامه و هو طفل دفنه فی مقابر المسلمین، و توریثه من المسلم، و قتل قاتله، و الصلاة علیه</w:t>
      </w:r>
      <w:r>
        <w:rPr>
          <w:rFonts w:eastAsia="IRNazanin" w:cs="IRNazanin"/>
          <w:color w:val="111111"/>
          <w:sz w:val="28"/>
          <w:szCs w:val="28"/>
          <w:rtl w:val="true"/>
          <w:lang w:bidi="fa-IR"/>
        </w:rPr>
        <w:t>»</w:t>
      </w:r>
      <w:r>
        <w:rPr>
          <w:rStyle w:val="FootnoteAnchor"/>
          <w:rtl w:val="true"/>
        </w:rPr>
        <w:footnoteReference w:id="1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فی التحریر</w:t>
      </w:r>
      <w:r>
        <w:rPr>
          <w:rStyle w:val="FootnoteAnchor"/>
          <w:rtl w:val="true"/>
        </w:rPr>
        <w:footnoteReference w:id="1039"/>
      </w:r>
      <w:r>
        <w:rPr>
          <w:rFonts w:ascii="IRNazanin" w:hAnsi="IRNazanin" w:eastAsia="IRNazanin"/>
          <w:color w:val="111111"/>
          <w:sz w:val="28"/>
          <w:sz w:val="28"/>
          <w:szCs w:val="28"/>
          <w:rtl w:val="true"/>
          <w:lang w:bidi="fa-IR"/>
        </w:rPr>
        <w:t>و القواعد</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تبعیّة الطفل فی الإسلام،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 الأبوین أو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یقع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الأبوان أو أحدهما مسلماً حال علوق الولد، فیحکم بإسلام الولد؛ لأنّه جزء من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أبواه کافرین حالة العلوق، ثمّ یسلما أو أحدهما قبل الولادة أو بعدها إلی قبل البلوغ بلحظة، فنحکم بإسلام الولد من حین إسلام أحد الأبوین، و یجری علیه أحکام المسلمین، فیقتصّ له من مسلم لو قتله، و یحکم له بدیة المسلم بقتله، و یورث قریبه المسلم، و یجزی عتقه عن الظهار لو کان 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عندنا بین أن یسلم الأب أو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أسلم تبعه الولد و کان مسلماً بإسلامه فی الحال إذا لم یکن بالغاً</w:t>
      </w:r>
      <w:r>
        <w:rPr>
          <w:rFonts w:eastAsia="IRNazanin" w:cs="IRNazanin"/>
          <w:color w:val="111111"/>
          <w:sz w:val="28"/>
          <w:szCs w:val="28"/>
          <w:rtl w:val="true"/>
          <w:lang w:bidi="fa-IR"/>
        </w:rPr>
        <w:t>»</w:t>
      </w:r>
      <w:r>
        <w:rPr>
          <w:rStyle w:val="FootnoteAnchor"/>
          <w:rtl w:val="true"/>
        </w:rPr>
        <w:footnoteReference w:id="1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جملة من المتأخّرین</w:t>
      </w:r>
      <w:r>
        <w:rPr>
          <w:rStyle w:val="FootnoteAnchor"/>
          <w:rtl w:val="true"/>
        </w:rPr>
        <w:footnoteReference w:id="1042"/>
      </w:r>
      <w:r>
        <w:rPr>
          <w:rFonts w:ascii="IRNazanin" w:hAnsi="IRNazanin" w:eastAsia="IRNazanin"/>
          <w:color w:val="111111"/>
          <w:sz w:val="28"/>
          <w:sz w:val="28"/>
          <w:szCs w:val="28"/>
          <w:rtl w:val="true"/>
          <w:lang w:bidi="fa-IR"/>
        </w:rPr>
        <w:t>و المعاصرین</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حکم الطفل ذکراً أو انثی تابع لأبویه فی الإسلام و الکفر و ما یتبعهما من الأحکام کالطهارة و النجاسة و غیرهما</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bookmarkStart w:id="315" w:name="pg11755_254627"/>
    </w:p>
    <w:p>
      <w:pPr>
        <w:pStyle w:val="BookText"/>
        <w:rPr/>
      </w:pPr>
      <w:bookmarkEnd w:id="315"/>
      <w:r>
        <w:rPr>
          <w:rFonts w:ascii="IRNazanin" w:hAnsi="IRNazanin" w:eastAsia="IRNazanin"/>
          <w:color w:val="111111"/>
          <w:sz w:val="28"/>
          <w:sz w:val="28"/>
          <w:szCs w:val="28"/>
          <w:rtl w:val="true"/>
          <w:lang w:bidi="fa-IR"/>
        </w:rPr>
        <w:t>و قال الإمام الخمینی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أسلم أحد الأبوین الحق به ولده</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6" w:name="__RefHeading___Toc9587490_73709187"/>
      <w:bookmarkStart w:id="317" w:name="_Toc119"/>
      <w:bookmarkEnd w:id="316"/>
      <w:r>
        <w:rPr>
          <w:rtl w:val="true"/>
        </w:rPr>
        <w:t>أدلّة طهارة ولد الکافر بتبعیّته لأبویه</w:t>
      </w:r>
      <w:bookmarkEnd w:id="317"/>
    </w:p>
    <w:p>
      <w:pPr>
        <w:pStyle w:val="BookText"/>
        <w:rPr/>
      </w:pPr>
      <w:r>
        <w:rPr>
          <w:rFonts w:ascii="IRNazanin" w:hAnsi="IRNazanin" w:eastAsia="IRNazanin"/>
          <w:color w:val="111111"/>
          <w:sz w:val="28"/>
          <w:sz w:val="28"/>
          <w:szCs w:val="28"/>
          <w:rtl w:val="true"/>
          <w:lang w:bidi="fa-IR"/>
        </w:rPr>
        <w:t>و استدلّوا لهذا الحکم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الشیخ فی المبسوط و الخلاف بالآیة الکریمة،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یحکم بإسلامه،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اتَّبَعَتْهُمْ ذُرِّیَّتُهُمْ بِإِیمانٍ أَلْحَقْنا بِهِمْ ذُرِّیَّتَهُمْ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w:t>
      </w:r>
      <w:r>
        <w:rPr>
          <w:rStyle w:val="FootnoteAnchor"/>
          <w:rtl w:val="true"/>
        </w:rPr>
        <w:footnoteReference w:id="1046"/>
      </w:r>
      <w:r>
        <w:rPr>
          <w:rFonts w:ascii="IRNazanin" w:hAnsi="IRNazanin" w:eastAsia="IRNazanin"/>
          <w:color w:val="111111"/>
          <w:sz w:val="28"/>
          <w:sz w:val="28"/>
          <w:szCs w:val="28"/>
          <w:rtl w:val="true"/>
          <w:lang w:bidi="fa-IR"/>
        </w:rPr>
        <w:t>تعالی أنّ إیمان الذرّیّة یلحق بإیمان أبویه، و الولد ذریّة مثل الحمل</w:t>
      </w:r>
      <w:r>
        <w:rPr>
          <w:rFonts w:eastAsia="IRNazanin" w:cs="IRNazanin"/>
          <w:color w:val="111111"/>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مجمع البیان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الذرّیّة تقع علی الصغیر و الکبیر، فالأوّل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طَیِّبَةً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الثانی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ذُرِّیَّتِهِ داوُدَ وَ سُلَیْمانَ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حملت الذرّیّة فی الآیة علی الصغار کان قوله بإیمان فی موضع نصب الحال من المفعولین، أی اتّبعتهم بإیمان من الآباء ذرّیّتهم ألحقنا الذرّیّة بهم فی أحکام الإسلام، فجعلناهم فی حکمهم فی أنّهم یرثون و یورثون و یدفنون فی مقابر المسلمین، و حکمهم حکم الآباء فی أحکامهم</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و 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w:t>
      </w:r>
      <w:r>
        <w:rPr>
          <w:rStyle w:val="FootnoteAnchor"/>
          <w:rtl w:val="true"/>
        </w:rPr>
        <w:footnoteReference w:id="1049"/>
      </w:r>
      <w:r>
        <w:rPr>
          <w:rFonts w:ascii="IRNazanin" w:hAnsi="IRNazanin" w:eastAsia="IRNazanin"/>
          <w:color w:val="111111"/>
          <w:sz w:val="28"/>
          <w:sz w:val="28"/>
          <w:szCs w:val="28"/>
          <w:rtl w:val="true"/>
          <w:lang w:bidi="fa-IR"/>
        </w:rPr>
        <w:t>، و إرسالها منجبر بعمل الأصحاب، و لذا صار مفادها قاعدة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إرسال قاعدة الإسلام یعلو و لا یعلی علیه إرسال المسلّمات فی نظائر المقام</w:t>
      </w:r>
      <w:r>
        <w:rPr>
          <w:rFonts w:eastAsia="IRNazanin" w:cs="IRNazanin"/>
          <w:color w:val="111111"/>
          <w:sz w:val="28"/>
          <w:szCs w:val="28"/>
          <w:rtl w:val="true"/>
          <w:lang w:bidi="fa-IR"/>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البجنوردی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الخبر مشهور معروف</w:t>
      </w:r>
      <w:r>
        <w:rPr>
          <w:rFonts w:eastAsia="IRNazanin" w:cs="IRNazanin"/>
          <w:color w:val="111111"/>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یحتمل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العلوّ العلوّ بجمیع معنی الکلمة، و کلّ ما یحتمل فیه من المعانی</w:t>
      </w:r>
      <w:r>
        <w:rPr>
          <w:rStyle w:val="FootnoteAnchor"/>
          <w:rtl w:val="true"/>
        </w:rPr>
        <w:footnoteReference w:id="1052"/>
      </w:r>
      <w:r>
        <w:rPr>
          <w:rFonts w:ascii="IRNazanin" w:hAnsi="IRNazanin" w:eastAsia="IRNazanin"/>
          <w:color w:val="111111"/>
          <w:sz w:val="28"/>
          <w:sz w:val="28"/>
          <w:szCs w:val="28"/>
          <w:rtl w:val="true"/>
          <w:lang w:bidi="fa-IR"/>
        </w:rPr>
        <w:t>، و هو الموافق لما نحن بصدد إثباته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من هذا الحدیث الشریف بقرینة ظاهر الحال أنّه فی مقام التشریع، و أنّ الإسلام یکون موجباً لعلوّ المسلم علی غیره فی مقام تشریع أحکامه و بالنسبة إلی تلک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الحکم الإسلامی و تشریعه سبباً و موجباً لعلوّ الکافر علی المسلم</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فالطفل یتّبع أباه المسلم أو امّه المسلمة، و إلّا فلا بدّ أن یتّبع أحدهما الکافر، و هو منافٍ لعلوّ الإسلام علی الکفر الذی یستفاد من هذا الحدیث</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المعنی لا یستفاد من ظاهر الحدیث، و لا أقلّ من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یحتمل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 اخری، مثل أن یکون المراد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الإسلام ببراهینه و إتقان أحکامه اصولاً و فروعاً و غلبة حجّته علی سائر الحجج یعلو و لا یعلی علیه، فلا یصحّ التمسّک به لإثبات تبعیّة الطفل لأبویه فی الدین و الطهارة، و لا أقلّ من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عنه صلی الله علیه و آله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الفطرة، فأبواه یهوّدانه و ینصّرانه و یمجّسانه</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ورد بهذا المضمون عن أبی عبد اللّه علیه السلام إلّا فی الصحیح مع اختلاف و زیادة،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مولود یولد علی الفطرة فأبواه اللّذان یهوّدانه و ینصّرانه و یمجّسانه، و إنّما أعطی رسول اللّه صلی الله علیه و آله الذمّة و قبل الجزیة عن رءوس اولئک بأعیانهم علی أن لا یهوّدوا أولادهم و لا ینصّروا</w:t>
      </w:r>
      <w:r>
        <w:rPr>
          <w:rFonts w:eastAsia="IRNazanin" w:cs="IRNazanin"/>
          <w:color w:val="111111"/>
          <w:sz w:val="28"/>
          <w:szCs w:val="28"/>
          <w:rtl w:val="true"/>
          <w:lang w:bidi="fa-IR"/>
        </w:rPr>
        <w:t>»</w:t>
      </w:r>
      <w:r>
        <w:rPr>
          <w:rStyle w:val="FootnoteAnchor"/>
          <w:rtl w:val="true"/>
        </w:rPr>
        <w:footnoteReference w:id="1055"/>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استدلّ به الشیخ فی الخلاف،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أسلمت الاُمّ و هی حبلی من مشرک أو کان لها منه ولد غیر بالغ، فإنّه یحکم للولد و الحمل بالإسلام، و یتبعانها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 صلی الله علیه و آله و سلم</w:t>
      </w:r>
      <w:r>
        <w:rPr>
          <w:rFonts w:eastAsia="IRNazanin" w:cs="IRNazanin"/>
          <w:color w:val="111111"/>
          <w:sz w:val="28"/>
          <w:szCs w:val="28"/>
          <w:rtl w:val="true"/>
          <w:lang w:bidi="fa-IR"/>
        </w:rPr>
        <w:t>...»</w:t>
      </w:r>
      <w:r>
        <w:rPr>
          <w:rStyle w:val="FootnoteAnchor"/>
          <w:rtl w:val="true"/>
        </w:rPr>
        <w:footnoteReference w:id="1056"/>
      </w:r>
      <w:r>
        <w:rPr>
          <w:rFonts w:ascii="IRNazanin" w:hAnsi="IRNazanin" w:eastAsia="IRNazanin"/>
          <w:color w:val="111111"/>
          <w:sz w:val="28"/>
          <w:sz w:val="28"/>
          <w:szCs w:val="28"/>
          <w:rtl w:val="true"/>
          <w:lang w:bidi="fa-IR"/>
        </w:rPr>
        <w:t>، ثمّ ذکر الحدیث</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الإمام الخمینی قدس سره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عدم کون المراد من فطرة التوحید أو الإسلام هو کونهم موحّدین مسلمین، بل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مولودون علی وجه لو لا إضلال الأبوین و تلقیناتهما لاهتدوا بنور فطرتهم إلی تصدیق الحقّ‌</w:t>
      </w:r>
      <w:r>
        <w:rPr>
          <w:rStyle w:val="FootnoteAnchor"/>
          <w:rtl w:val="true"/>
        </w:rPr>
        <w:footnoteReference w:id="1057"/>
      </w:r>
      <w:r>
        <w:rPr>
          <w:rFonts w:ascii="IRNazanin" w:hAnsi="IRNazanin" w:eastAsia="IRNazanin"/>
          <w:color w:val="111111"/>
          <w:sz w:val="28"/>
          <w:sz w:val="28"/>
          <w:szCs w:val="28"/>
          <w:rtl w:val="true"/>
          <w:lang w:bidi="fa-IR"/>
        </w:rPr>
        <w:t>، و رفض الباطل عند التنبّه علی آثار التوحید و أدلّة</w:t>
      </w:r>
    </w:p>
    <w:p>
      <w:pPr>
        <w:pStyle w:val="BookText"/>
        <w:rPr/>
      </w:pPr>
      <w:r>
        <w:rPr>
          <w:rFonts w:ascii="IRNazanin" w:hAnsi="IRNazanin" w:eastAsia="IRNazanin"/>
          <w:color w:val="111111"/>
          <w:sz w:val="28"/>
          <w:sz w:val="28"/>
          <w:szCs w:val="28"/>
          <w:rtl w:val="true"/>
          <w:lang w:bidi="fa-IR"/>
        </w:rPr>
        <w:t>المذهب الحقّ</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الفقیه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أسلم الأب جرّ الولد إلی الإسلام، فمن أدرک من ولده دعی إلی الإسلام، فإن أبی قتل</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إسناد الصدوق بتّاً إلیه علیه السلام یدلّ علی حجّیّته عنده، مضافاً إلی أنّه منجبر بعمل الأصحاب</w:t>
      </w:r>
      <w:r>
        <w:rPr>
          <w:rStyle w:val="FootnoteAnchor"/>
          <w:rtl w:val="true"/>
        </w:rPr>
        <w:footnoteReference w:id="1060"/>
      </w:r>
      <w:r>
        <w:rPr>
          <w:rFonts w:ascii="IRNazanin" w:hAnsi="IRNazanin" w:eastAsia="IRNazanin"/>
          <w:color w:val="111111"/>
          <w:sz w:val="28"/>
          <w:sz w:val="28"/>
          <w:szCs w:val="28"/>
          <w:rtl w:val="true"/>
          <w:lang w:bidi="fa-IR"/>
        </w:rPr>
        <w:t>، قال الشهید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نصّ فی الباب</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من أهل الحرب إذا أسلم فی دار الحرب، فظهر علیهم المسلمون بعد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إسلامه إسلام لنفسه و لوُلدِه الصغار، و هم أحرار، و ولده و متاعه و رقیقه له، فأمّا الولد الکبار فهم فیء المسلمین، إلّا أن یکونوا أسلموا قبل ذلک</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 به بعض الأعلام</w:t>
      </w:r>
      <w:r>
        <w:rPr>
          <w:rStyle w:val="FootnoteAnchor"/>
          <w:rtl w:val="true"/>
        </w:rPr>
        <w:footnoteReference w:id="1063"/>
      </w:r>
      <w:r>
        <w:rPr>
          <w:rFonts w:ascii="Amiri" w:hAnsi="Amiri" w:eastAsia="Amiri" w:cs="Amiri"/>
          <w:color w:val="111111"/>
          <w:sz w:val="28"/>
          <w:sz w:val="28"/>
          <w:szCs w:val="28"/>
          <w:rtl w:val="true"/>
          <w:lang w:bidi="ar-SA"/>
        </w:rPr>
        <w:t>و دلالته واضحة، إلّا أنّه ضعیف سنداً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أنّ أولاد المسلمین یُلحَقون بآبائهم فی الجنّة، کما أنّ أولاد المشرکین یلحقون بآبائهم فی النار، کصحیحة عبد اللّه بن سنان، قال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أبا عبد اللّه علیه السلام عن أولاد المشرکین یموتون قبل أن یبلغوا الحنث</w:t>
      </w:r>
      <w:r>
        <w:rPr>
          <w:rStyle w:val="FootnoteAnchor"/>
          <w:rtl w:val="true"/>
        </w:rPr>
        <w:footnoteReference w:id="106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اللّه أعلم بما کانوا عاملین، یدخلون مداخل آبائهم</w:t>
      </w:r>
      <w:r>
        <w:rPr>
          <w:rFonts w:eastAsia="IRNazanin" w:cs="IRNazanin"/>
          <w:color w:val="111111"/>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وهب بن وهب، عن جعفر بن محمّد، عن أبیه، قال، قال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المشرکین مع آبائهم فی النار، و أولاد المسلمین مع آبائهم فی الجنّة</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 بها فی الریاض</w:t>
      </w:r>
      <w:r>
        <w:rPr>
          <w:rStyle w:val="FootnoteAnchor"/>
          <w:rtl w:val="true"/>
        </w:rPr>
        <w:footnoteReference w:id="1067"/>
      </w:r>
      <w:r>
        <w:rPr>
          <w:rFonts w:ascii="IRNazanin" w:hAnsi="IRNazanin" w:eastAsia="IRNazanin"/>
          <w:color w:val="111111"/>
          <w:sz w:val="28"/>
          <w:sz w:val="28"/>
          <w:szCs w:val="28"/>
          <w:rtl w:val="true"/>
          <w:lang w:bidi="fa-IR"/>
        </w:rPr>
        <w:t>و الجواهر</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قال الإمام الخمینی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الروایات المشار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مخالفتها لاُصول العدلیّة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مربوطة بعالم التکلیف</w:t>
      </w:r>
      <w:r>
        <w:rPr>
          <w:rStyle w:val="FootnoteAnchor"/>
          <w:rtl w:val="true"/>
        </w:rPr>
        <w:footnoteReference w:id="1069"/>
      </w:r>
      <w:r>
        <w:rPr>
          <w:rFonts w:ascii="IRNazanin" w:hAnsi="IRNazanin" w:eastAsia="IRNazanin"/>
          <w:color w:val="111111"/>
          <w:sz w:val="28"/>
          <w:sz w:val="28"/>
          <w:szCs w:val="28"/>
          <w:rtl w:val="true"/>
          <w:lang w:bidi="fa-IR"/>
        </w:rPr>
        <w:t>، مضافاً إلی معارضتها لجملة اخری من الروایات الدالّة علی امتحانهم فی الآخرة</w:t>
      </w:r>
      <w:r>
        <w:rPr>
          <w:rStyle w:val="FootnoteAnchor"/>
          <w:rtl w:val="true"/>
        </w:rPr>
        <w:footnoteReference w:id="1070"/>
      </w:r>
      <w:r>
        <w:rPr>
          <w:rFonts w:ascii="IRNazanin" w:hAnsi="IRNazanin" w:eastAsia="IRNazanin"/>
          <w:color w:val="111111"/>
          <w:sz w:val="28"/>
          <w:sz w:val="28"/>
          <w:szCs w:val="28"/>
          <w:rtl w:val="true"/>
          <w:lang w:bidi="fa-IR"/>
        </w:rPr>
        <w:t>بتأجیج النار و أمرهم بالدخول فیها</w:t>
      </w:r>
      <w:r>
        <w:rPr>
          <w:rFonts w:eastAsia="IRNazanin" w:cs="IRNazanin"/>
          <w:color w:val="111111"/>
          <w:sz w:val="28"/>
          <w:szCs w:val="28"/>
          <w:rtl w:val="true"/>
          <w:lang w:bidi="fa-IR"/>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أجاد الفقیه الهمدانی فیما أفاد،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دلالة مثل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بذکرها فی مقام التأیید</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مواضع متفرّقة کجواز إعطاء أطفال المؤمنین من الزکاة و الکفّارات</w:t>
      </w:r>
      <w:r>
        <w:rPr>
          <w:rStyle w:val="FootnoteAnchor"/>
          <w:rtl w:val="true"/>
        </w:rPr>
        <w:footnoteReference w:id="1073"/>
      </w:r>
      <w:r>
        <w:rPr>
          <w:rFonts w:ascii="IRNazanin" w:hAnsi="IRNazanin" w:eastAsia="IRNazanin"/>
          <w:color w:val="111111"/>
          <w:sz w:val="28"/>
          <w:sz w:val="28"/>
          <w:szCs w:val="28"/>
          <w:rtl w:val="true"/>
          <w:lang w:bidi="fa-IR"/>
        </w:rPr>
        <w:t>و جواز العقد علیهم مطلقاً</w:t>
      </w:r>
      <w:r>
        <w:rPr>
          <w:rStyle w:val="FootnoteAnchor"/>
          <w:rtl w:val="true"/>
        </w:rPr>
        <w:footnoteReference w:id="1074"/>
      </w:r>
      <w:r>
        <w:rPr>
          <w:rFonts w:ascii="IRNazanin" w:hAnsi="IRNazanin" w:eastAsia="IRNazanin"/>
          <w:color w:val="111111"/>
          <w:sz w:val="28"/>
          <w:sz w:val="28"/>
          <w:szCs w:val="28"/>
          <w:rtl w:val="true"/>
          <w:lang w:bidi="fa-IR"/>
        </w:rPr>
        <w:t>مع اشتراط الإسلام فی جمیع</w:t>
      </w:r>
    </w:p>
    <w:p>
      <w:pPr>
        <w:pStyle w:val="BookText"/>
        <w:rPr/>
      </w:pPr>
      <w:r>
        <w:rPr>
          <w:rFonts w:ascii="IRNazanin" w:hAnsi="IRNazanin" w:eastAsia="IRNazanin"/>
          <w:color w:val="111111"/>
          <w:sz w:val="28"/>
          <w:sz w:val="28"/>
          <w:szCs w:val="28"/>
          <w:rtl w:val="true"/>
          <w:lang w:bidi="fa-IR"/>
        </w:rPr>
        <w:t>ذلک، و إلی تغسیلهم و الصلاة علیهم و غیرهما</w:t>
      </w:r>
      <w:r>
        <w:rPr>
          <w:rStyle w:val="FootnoteAnchor"/>
          <w:rtl w:val="true"/>
        </w:rPr>
        <w:footnoteReference w:id="1075"/>
      </w:r>
      <w:r>
        <w:rPr>
          <w:rFonts w:ascii="IRNazanin" w:hAnsi="IRNazanin" w:eastAsia="IRNazanin"/>
          <w:color w:val="111111"/>
          <w:sz w:val="28"/>
          <w:sz w:val="28"/>
          <w:szCs w:val="28"/>
          <w:rtl w:val="true"/>
          <w:lang w:bidi="fa-IR"/>
        </w:rPr>
        <w:t>ممّا لا یحتاج إلی بیان، کما فی الجواهر</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دلالة هذه الأخبار أیضاً تأمّل، بل منع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خلاف فی المسألة بین المسلمین</w:t>
      </w:r>
      <w:r>
        <w:rPr>
          <w:rStyle w:val="FootnoteAnchor"/>
          <w:rtl w:val="true"/>
        </w:rPr>
        <w:footnoteReference w:id="1077"/>
      </w:r>
      <w:r>
        <w:rPr>
          <w:rFonts w:ascii="IRNazanin" w:hAnsi="IRNazanin" w:eastAsia="IRNazanin"/>
          <w:color w:val="111111"/>
          <w:sz w:val="28"/>
          <w:sz w:val="28"/>
          <w:szCs w:val="28"/>
          <w:rtl w:val="true"/>
          <w:lang w:bidi="fa-IR"/>
        </w:rPr>
        <w:t>، بل قام الإجماع علیها، کما ادّعاه الشیخ فی المبسوط‌</w:t>
      </w:r>
      <w:r>
        <w:rPr>
          <w:rStyle w:val="FootnoteAnchor"/>
          <w:rtl w:val="true"/>
        </w:rPr>
        <w:footnoteReference w:id="1078"/>
      </w:r>
      <w:r>
        <w:rPr>
          <w:rFonts w:ascii="IRNazanin" w:hAnsi="IRNazanin" w:eastAsia="IRNazanin"/>
          <w:color w:val="111111"/>
          <w:sz w:val="28"/>
          <w:sz w:val="28"/>
          <w:szCs w:val="28"/>
          <w:rtl w:val="true"/>
          <w:lang w:bidi="fa-IR"/>
        </w:rPr>
        <w:t>و الخلاف</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فی ذلک موضع وفاق</w:t>
      </w:r>
      <w:r>
        <w:rPr>
          <w:rFonts w:eastAsia="IRNazanin" w:cs="IRNazanin"/>
          <w:color w:val="111111"/>
          <w:sz w:val="28"/>
          <w:szCs w:val="28"/>
          <w:rtl w:val="true"/>
          <w:lang w:bidi="fa-IR"/>
        </w:rPr>
        <w:t>»</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الإجماع بقسمیه علیه</w:t>
      </w:r>
      <w:r>
        <w:rPr>
          <w:rFonts w:eastAsia="IRNazanin" w:cs="IRNazanin"/>
          <w:color w:val="111111"/>
          <w:sz w:val="28"/>
          <w:szCs w:val="28"/>
          <w:rtl w:val="true"/>
          <w:lang w:bidi="fa-IR"/>
        </w:rPr>
        <w:t>»</w:t>
      </w:r>
      <w:r>
        <w:rPr>
          <w:rStyle w:val="FootnoteAnchor"/>
          <w:rtl w:val="true"/>
        </w:rPr>
        <w:footnoteReference w:id="1081"/>
      </w:r>
      <w:r>
        <w:rPr>
          <w:rFonts w:ascii="IRNazanin" w:hAnsi="IRNazanin" w:eastAsia="IRNazanin"/>
          <w:color w:val="111111"/>
          <w:sz w:val="28"/>
          <w:sz w:val="28"/>
          <w:szCs w:val="28"/>
          <w:rtl w:val="true"/>
          <w:lang w:bidi="fa-IR"/>
        </w:rPr>
        <w:t>، و کذا فی الکفایة</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التبعیّة للأبوین فی الإسلام و الکفر من الضروریّات یمکن استفادته من الأخبار المتواترة معنی، المتشتّتة فی مواضع عدیدة ککتاب المیراث و الحدود و الجهاد و الوصیّة</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bookmarkStart w:id="318" w:name="pg11755_254640"/>
    </w:p>
    <w:p>
      <w:pPr>
        <w:pStyle w:val="BookText"/>
        <w:rPr/>
      </w:pPr>
      <w:bookmarkEnd w:id="318"/>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حکم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والدیه فی الإسلام و الکفر و ما یتبعهما من الأحکام کالطهارة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ادّعاه أیضاً الهمدانی</w:t>
      </w:r>
      <w:r>
        <w:rPr>
          <w:rStyle w:val="FootnoteAnchor"/>
          <w:rtl w:val="true"/>
        </w:rPr>
        <w:footnoteReference w:id="1085"/>
      </w:r>
      <w:r>
        <w:rPr>
          <w:rFonts w:ascii="IRNazanin" w:hAnsi="IRNazanin" w:eastAsia="IRNazanin"/>
          <w:color w:val="111111"/>
          <w:sz w:val="28"/>
          <w:sz w:val="28"/>
          <w:szCs w:val="28"/>
          <w:rtl w:val="true"/>
          <w:lang w:bidi="fa-IR"/>
        </w:rPr>
        <w:t>و السیّد الحکیم</w:t>
      </w:r>
      <w:r>
        <w:rPr>
          <w:rStyle w:val="FootnoteAnchor"/>
          <w:rtl w:val="true"/>
        </w:rPr>
        <w:footnoteReference w:id="1086"/>
      </w:r>
      <w:r>
        <w:rPr>
          <w:rFonts w:ascii="IRNazanin" w:hAnsi="IRNazanin" w:eastAsia="IRNazanin"/>
          <w:color w:val="111111"/>
          <w:sz w:val="28"/>
          <w:sz w:val="28"/>
          <w:szCs w:val="28"/>
          <w:rtl w:val="true"/>
          <w:lang w:bidi="fa-IR"/>
        </w:rPr>
        <w:t>و الإمام الخمینی</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ادّعی علیه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تفصیل الشریعة</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الأدلّة تشمل الممیّز و غیره،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فی ذلک و غیره بین الممیّز و غیره، و المراهق و غیره؛ لعموم أدلّة التبعیّة من الإجماع و غیره</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9" w:name="__RefHeading___Toc9587492_73709187"/>
      <w:bookmarkStart w:id="320" w:name="_Toc120"/>
      <w:bookmarkEnd w:id="319"/>
      <w:r>
        <w:rPr>
          <w:rtl w:val="true"/>
        </w:rPr>
        <w:t>التبعیّة للأجداد و الجدّات</w:t>
      </w:r>
      <w:bookmarkEnd w:id="32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معنی الأبوین الأجداد و الجدّات، سواء کانوا وارثین أو لا، فلو أسلم الجدّ أو الجدّة لأب کان أو لاُمّ تبعه الطفل، فیحکم علیه بالإسلام من حین إسلام الجدّ إن لم یکن الأب حیّاً؛ لصدق الأب علیه</w:t>
      </w:r>
      <w:r>
        <w:rPr>
          <w:rFonts w:eastAsia="IRNazanin" w:cs="IRNazanin"/>
          <w:color w:val="111111"/>
          <w:sz w:val="28"/>
          <w:szCs w:val="28"/>
          <w:rtl w:val="true"/>
          <w:lang w:bidi="fa-IR"/>
        </w:rPr>
        <w:t>»</w:t>
      </w: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القواعد</w:t>
      </w:r>
      <w:r>
        <w:rPr>
          <w:rStyle w:val="FootnoteAnchor"/>
          <w:rtl w:val="true"/>
        </w:rPr>
        <w:footnoteReference w:id="1091"/>
      </w:r>
      <w:r>
        <w:rPr>
          <w:rFonts w:ascii="IRNazanin" w:hAnsi="IRNazanin" w:eastAsia="IRNazanin"/>
          <w:color w:val="111111"/>
          <w:sz w:val="28"/>
          <w:sz w:val="28"/>
          <w:szCs w:val="28"/>
          <w:rtl w:val="true"/>
          <w:lang w:bidi="fa-IR"/>
        </w:rPr>
        <w:t>و التحریر</w:t>
      </w:r>
      <w:r>
        <w:rPr>
          <w:rStyle w:val="FootnoteAnchor"/>
          <w:rtl w:val="true"/>
        </w:rPr>
        <w:footnoteReference w:id="1092"/>
      </w:r>
      <w:r>
        <w:rPr>
          <w:rFonts w:ascii="IRNazanin" w:hAnsi="IRNazanin" w:eastAsia="IRNazanin"/>
          <w:color w:val="111111"/>
          <w:sz w:val="28"/>
          <w:sz w:val="28"/>
          <w:szCs w:val="28"/>
          <w:rtl w:val="true"/>
          <w:lang w:bidi="fa-IR"/>
        </w:rPr>
        <w:t>، و لکن استشکل فیه إذا کان</w:t>
      </w:r>
    </w:p>
    <w:p>
      <w:pPr>
        <w:pStyle w:val="BookText"/>
        <w:rPr/>
      </w:pPr>
      <w:r>
        <w:rPr>
          <w:rFonts w:ascii="IRNazanin" w:hAnsi="IRNazanin" w:eastAsia="IRNazanin"/>
          <w:color w:val="111111"/>
          <w:sz w:val="28"/>
          <w:sz w:val="28"/>
          <w:szCs w:val="28"/>
          <w:rtl w:val="true"/>
          <w:lang w:bidi="fa-IR"/>
        </w:rPr>
        <w:t>الأب حیّاً، و کذا فی الإیضاح</w:t>
      </w:r>
      <w:r>
        <w:rPr>
          <w:rStyle w:val="FootnoteAnchor"/>
          <w:rtl w:val="true"/>
        </w:rPr>
        <w:footnoteReference w:id="1093"/>
      </w:r>
      <w:r>
        <w:rPr>
          <w:rFonts w:ascii="IRNazanin" w:hAnsi="IRNazanin" w:eastAsia="IRNazanin"/>
          <w:color w:val="111111"/>
          <w:sz w:val="28"/>
          <w:sz w:val="28"/>
          <w:szCs w:val="28"/>
          <w:rtl w:val="true"/>
          <w:lang w:bidi="fa-IR"/>
        </w:rPr>
        <w:t>و الکفایة</w:t>
      </w:r>
      <w:r>
        <w:rPr>
          <w:rStyle w:val="FootnoteAnchor"/>
          <w:rtl w:val="true"/>
        </w:rPr>
        <w:footnoteReference w:id="1094"/>
      </w:r>
      <w:r>
        <w:rPr>
          <w:rFonts w:ascii="IRNazanin" w:hAnsi="IRNazanin" w:eastAsia="IRNazanin"/>
          <w:color w:val="111111"/>
          <w:sz w:val="28"/>
          <w:sz w:val="28"/>
          <w:szCs w:val="28"/>
          <w:rtl w:val="true"/>
          <w:lang w:bidi="fa-IR"/>
        </w:rPr>
        <w:t>و المستند</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الإشکال ینشأ من أنّ سبب التبعیّة القرابة، و أنّها لا تختلف بحیاته و موته کسقوط القصاص و حدّ القذف، و من انتفاء ولایة الحضانة للجدّین مع وجود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یضعّف هذا بأنّ أحقّیّة الأبوین لا تنافی ثبوت التبعیّة للجدّین مع ثبوت الولایة و الأولویّة للجدّ فی النکاح عندنا، و الأصحّ عدم الفرق بین حیاة الأب و موته</w:t>
      </w:r>
      <w:r>
        <w:rPr>
          <w:rFonts w:eastAsia="IRNazanin" w:cs="IRNazanin"/>
          <w:color w:val="111111"/>
          <w:sz w:val="28"/>
          <w:szCs w:val="28"/>
          <w:rtl w:val="true"/>
          <w:lang w:bidi="fa-IR"/>
        </w:rPr>
        <w:t>»</w:t>
      </w: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المسالک</w:t>
      </w:r>
      <w:r>
        <w:rPr>
          <w:rStyle w:val="FootnoteAnchor"/>
          <w:rtl w:val="true"/>
        </w:rPr>
        <w:footnoteReference w:id="1097"/>
      </w:r>
      <w:r>
        <w:rPr>
          <w:rFonts w:ascii="IRNazanin" w:hAnsi="IRNazanin" w:eastAsia="IRNazanin"/>
          <w:color w:val="111111"/>
          <w:sz w:val="28"/>
          <w:sz w:val="28"/>
          <w:szCs w:val="28"/>
          <w:rtl w:val="true"/>
          <w:lang w:bidi="fa-IR"/>
        </w:rPr>
        <w:t>، و به قال المحقّق الأردبیلی</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فی التذکرة بأنّ الأب یتبع الجدّ و یکون أصلاً له، فیکون أصلاً للطفل بطریق أولی‌</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الأقوی فیه التبعیّة؛ تغلیباً للإسلام و لصدق القرابة المقتضیة مع حیاة الأقرب و موته، و کذا الذرّیّة و الولد و غیر ذلک ممّا هو دلیل للتبعیّة مع موت الأقرب، و لا ینافیها أحقّیّة الأبوین من غیرهما من الأجداد و الجدّات فی بعض الأحوال</w:t>
      </w:r>
      <w:r>
        <w:rPr>
          <w:rFonts w:eastAsia="IRNazanin" w:cs="IRNazanin"/>
          <w:color w:val="111111"/>
          <w:sz w:val="28"/>
          <w:szCs w:val="28"/>
          <w:rtl w:val="true"/>
          <w:lang w:bidi="fa-IR"/>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bookmarkStart w:id="321" w:name="pg11755_254644"/>
    </w:p>
    <w:p>
      <w:pPr>
        <w:pStyle w:val="BookText"/>
        <w:rPr/>
      </w:pPr>
      <w:bookmarkEnd w:id="321"/>
      <w:r>
        <w:rPr>
          <w:rFonts w:ascii="IRNazanin" w:hAnsi="IRNazanin" w:eastAsia="IRNazanin"/>
          <w:color w:val="111111"/>
          <w:sz w:val="28"/>
          <w:sz w:val="28"/>
          <w:szCs w:val="28"/>
          <w:rtl w:val="true"/>
          <w:lang w:bidi="fa-IR"/>
        </w:rPr>
        <w:t>و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تبعد دعوی إطلاق النصّ بنحو یشمل الأب و الجدّ، و أمّا التبعیّة للاُمّ و الجدّة فالنصّ قاصر عن إثباتها، إلّا أن تستفاد ممّا ادّعی تسالم الأصحاب علیه من تبعیّة الولد لأشرف الأبوین</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الإسلام یعلو و لا یعلی علیه، و بناء الفقهاء علی تغلیب جانب الإسلام</w:t>
      </w:r>
      <w:r>
        <w:rPr>
          <w:rFonts w:eastAsia="IRNazanin" w:cs="IRNazanin"/>
          <w:color w:val="111111"/>
          <w:sz w:val="28"/>
          <w:szCs w:val="28"/>
          <w:rtl w:val="true"/>
          <w:lang w:bidi="fa-IR"/>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السیّد الخوئی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دلیل علی نجاسة ولد الکافر غیر الإجماع و عدم القول بالفصل بین الممیّز المظهر للکفر و غیره، و لا إجماع علی نجاسة ولد الکافر إذا أسلم أحد أبویه أو جدّه أو غیر ذلک من الاُصول، فدلیل النجاسة قاصر عن شمول المقام رأساً، لا أنّ طهارة ولد الکافر مستندة إلی دلیل رافع لنجاسته</w:t>
      </w:r>
      <w:r>
        <w:rPr>
          <w:rFonts w:eastAsia="IRNazanin" w:cs="IRNazanin"/>
          <w:color w:val="111111"/>
          <w:sz w:val="28"/>
          <w:szCs w:val="28"/>
          <w:rtl w:val="true"/>
          <w:lang w:bidi="fa-IR"/>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2" w:name="__RefHeading___Toc9587494_73709187"/>
      <w:bookmarkStart w:id="323" w:name="_Toc121"/>
      <w:bookmarkEnd w:id="322"/>
      <w:r>
        <w:rPr>
          <w:rtl w:val="true"/>
        </w:rPr>
        <w:t>فرع</w:t>
      </w:r>
      <w:bookmarkEnd w:id="323"/>
    </w:p>
    <w:p>
      <w:pPr>
        <w:pStyle w:val="BookText"/>
        <w:rPr/>
      </w:pPr>
      <w:r>
        <w:rPr>
          <w:rFonts w:ascii="IRNazanin" w:hAnsi="IRNazanin" w:eastAsia="IRNazanin"/>
          <w:color w:val="111111"/>
          <w:sz w:val="28"/>
          <w:sz w:val="28"/>
          <w:szCs w:val="28"/>
          <w:rtl w:val="true"/>
          <w:lang w:bidi="fa-IR"/>
        </w:rPr>
        <w:t>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فرق فی التبعیّة بین وحدة المکان و تعدّده، فلو کان الصبیّ فی بلاد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المسلم من والدیه فی بلاد الإسلام أو بالعکس جری حکم التبعیّة فی الإسلام و الطهارة</w:t>
      </w:r>
      <w:r>
        <w:rPr>
          <w:rFonts w:eastAsia="IRNazanin" w:cs="IRNazanin"/>
          <w:color w:val="111111"/>
          <w:sz w:val="28"/>
          <w:szCs w:val="28"/>
          <w:rtl w:val="true"/>
          <w:lang w:bidi="fa-IR"/>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4" w:name="__RefHeading___Toc9587496_73709187"/>
      <w:bookmarkStart w:id="325" w:name="_Toc122"/>
      <w:bookmarkEnd w:id="324"/>
      <w:r>
        <w:rPr>
          <w:rtl w:val="true"/>
        </w:rPr>
        <w:t>مذهب أهل السنّة فی المسألة</w:t>
      </w:r>
      <w:bookmarkEnd w:id="32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جمهور فقهاء أهل السنّة إلی أنّ الولد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کان أو انثی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أن یصل حدّ البلوغ یتبع أباه فی الإسلام، و أمّا الاُم فذهب المالکیّة إلی عدم التبعیّة لها، و قال الآخرون بالتبعیّة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الولد یتبع أبویه فی الدین، فإن اختلفا وجب أن یتبع المسلم منهما کولد المسلم من الکتابیة؛ و لأنّ الإسلام یعلو و لا یعلی علیه، و یترجّح الإسلام بأشیاء،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دین اللّه الذی رضیه لعباده و بعث به رسله دعاة لخلقه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تحصل به السعادة فی الدنیا و الآخرة</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و فی شرح الزرکشی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أسلم من الأبوین کان أولاده الأصاغر تبعاً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الإسلام یعلو و لا یعلی علیه، و من علوّه التبعیّة له، و ظاهر کلام الخرقی أنّ هذا الحکم ثابت للصغیر ما لم یبلغ، و هو المنصوص و المشهور</w:t>
      </w:r>
      <w:r>
        <w:rPr>
          <w:rFonts w:eastAsia="IRNazanin" w:cs="IRNazanin"/>
          <w:color w:val="111111"/>
          <w:sz w:val="28"/>
          <w:szCs w:val="28"/>
          <w:rtl w:val="true"/>
          <w:lang w:bidi="fa-IR"/>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للتبعیّة فی الإسلام ثلاث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 الأبوین أو أحدهما، و یتصوّر ذلک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الأبوان أو أحدهما مسلماً یوم العلوق، فیحکم بإسلام الولد؛ لأنّه جزء من مسلم، فإن بلغ و وصف الکفر فهو 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کافرین یوم العلوق، ثمّ یسلما أو أحدهما، فیحکم بإسلام الولد فی الحال</w:t>
      </w:r>
      <w:r>
        <w:rPr>
          <w:rFonts w:eastAsia="IRNazanin" w:cs="IRNazanin"/>
          <w:color w:val="111111"/>
          <w:sz w:val="28"/>
          <w:szCs w:val="28"/>
          <w:rtl w:val="true"/>
          <w:lang w:bidi="fa-IR"/>
        </w:rPr>
        <w:t>»</w:t>
      </w:r>
      <w:r>
        <w:rPr>
          <w:rStyle w:val="FootnoteAnchor"/>
          <w:rtl w:val="true"/>
        </w:rPr>
        <w:footnoteReference w:id="1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مغنی المحتاج</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مواهب الجلیل فی الفقه المالکی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حکم بإسلام من لم یمیّز لصغر أو جنون بإسلام أبیه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تابع لأبیه فی الدین و النسب، و لاُمّه</w:t>
      </w:r>
    </w:p>
    <w:p>
      <w:pPr>
        <w:pStyle w:val="BookText"/>
        <w:rPr/>
      </w:pPr>
      <w:r>
        <w:rPr>
          <w:rFonts w:ascii="Amiri" w:hAnsi="Amiri" w:eastAsia="Amiri" w:cs="Amiri"/>
          <w:color w:val="111111"/>
          <w:sz w:val="28"/>
          <w:sz w:val="28"/>
          <w:szCs w:val="28"/>
          <w:rtl w:val="true"/>
          <w:lang w:bidi="ar-SA"/>
        </w:rPr>
        <w:t>فی الحرّیّة و الرقّ</w:t>
      </w:r>
      <w:r>
        <w:rPr>
          <w:rFonts w:eastAsia="Amiri" w:cs="Amiri" w:ascii="Amiri" w:hAnsi="Amiri"/>
          <w:color w:val="111111"/>
          <w:sz w:val="28"/>
          <w:szCs w:val="28"/>
          <w:rtl w:val="true"/>
          <w:lang w:bidi="ar-SA"/>
        </w:rPr>
        <w:t>»</w:t>
      </w:r>
      <w:r>
        <w:rPr>
          <w:rStyle w:val="FootnoteAnchor"/>
          <w:rtl w:val="true"/>
        </w:rPr>
        <w:footnoteReference w:id="1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أسهل المدارک</w:t>
      </w:r>
      <w:r>
        <w:rPr>
          <w:rStyle w:val="FootnoteAnchor"/>
          <w:rtl w:val="true"/>
        </w:rPr>
        <w:footnoteReference w:id="1110"/>
      </w:r>
      <w:r>
        <w:rPr>
          <w:rFonts w:ascii="IRNazanin" w:hAnsi="IRNazanin" w:eastAsia="IRNazanin"/>
          <w:color w:val="111111"/>
          <w:sz w:val="28"/>
          <w:sz w:val="28"/>
          <w:szCs w:val="28"/>
          <w:rtl w:val="true"/>
          <w:lang w:bidi="fa-IR"/>
        </w:rPr>
        <w:t>و غیره</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التبعیّة للأجداد فذهب الحنفیّة و الحنابلة و المالکیّة بعدم التبعیّة، قال الکاشانی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الولد لا یتبع الجدّ فی الإسلام؛ إذ لو کان کذلک لکان الکفّار کلّهم مرتدّین لکونهم من أولاد آدم و نوح علیهما الصلاة و السلام، فینبغی أن تجری علیهم أحکام أهل الردّة، و لیس کذلک بالإجماع</w:t>
      </w:r>
      <w:r>
        <w:rPr>
          <w:rFonts w:eastAsia="IRNazanin" w:cs="IRNazanin"/>
          <w:color w:val="111111"/>
          <w:sz w:val="28"/>
          <w:szCs w:val="28"/>
          <w:rtl w:val="true"/>
          <w:lang w:bidi="fa-IR"/>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ولد الولد لم یثبت له حکم الإسلام؛ لأنّه تابع لأبیه فی الدین لا لجدّه، و أبوه ما کان مسلماً قطّ، أ لا تری أنّه لو أسلم الجدّ لا یصیر ولد الولد مسلماً بإسلامه، فکذلک لا یجبر علی الإسلام بإسلام جدّه، و هذا لأنّه لو اعتبر إسلام فی حقّ النافلة کان الجدّ الأعلی و الأدنی فی ذلک سواء، فیؤدّی إلی أن یکون الکفّار کلّهم مرتدّین یجبرون علی الإسلام بإسلام جدّهم آدم أو نوح علیهما السلام</w:t>
      </w:r>
      <w:r>
        <w:rPr>
          <w:rFonts w:eastAsia="IRNazanin" w:cs="IRNazanin"/>
          <w:color w:val="111111"/>
          <w:sz w:val="28"/>
          <w:szCs w:val="28"/>
          <w:rtl w:val="true"/>
          <w:lang w:bidi="fa-IR"/>
        </w:rPr>
        <w:t>»</w:t>
      </w:r>
      <w:r>
        <w:rPr>
          <w:rStyle w:val="FootnoteAnchor"/>
          <w:rtl w:val="true"/>
        </w:rPr>
        <w:footnoteReference w:id="1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غیرهما</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اشترط فی الفتاوی الهندیّة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یتبع خیر الأبوین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تختلف الدار، بأن کانا فی دار الإسلام أو فی دار الحرب أو کان الصغیر فی دار الإسلام و أسلم الوالد فی دار الحرب؛ لأنّه من أهل دار الإسلام حکماً، و أمّا إذا کان الولد فی دار الحرب و الوالد فی دار الإسلام فأسلم فلا یتبعه ولده</w:t>
      </w:r>
      <w:bookmarkStart w:id="326" w:name="pg11755_254651"/>
    </w:p>
    <w:p>
      <w:pPr>
        <w:pStyle w:val="BookText"/>
        <w:rPr/>
      </w:pPr>
      <w:bookmarkEnd w:id="326"/>
      <w:r>
        <w:rPr>
          <w:rFonts w:ascii="IRNazanin" w:hAnsi="IRNazanin" w:eastAsia="IRNazanin"/>
          <w:color w:val="111111"/>
          <w:sz w:val="28"/>
          <w:sz w:val="28"/>
          <w:szCs w:val="28"/>
          <w:rtl w:val="true"/>
          <w:lang w:bidi="fa-IR"/>
        </w:rPr>
        <w:t>و لا یکون مسلماً</w:t>
      </w:r>
      <w:r>
        <w:rPr>
          <w:rFonts w:eastAsia="IRNazanin" w:cs="IRNazanin"/>
          <w:color w:val="111111"/>
          <w:sz w:val="28"/>
          <w:szCs w:val="28"/>
          <w:rtl w:val="true"/>
          <w:lang w:bidi="fa-IR"/>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الشافعیّة فقالوا بتبعیّة الولد للجدّ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روضة الطالبین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معنی الأبوین الأجداد و الجدّات، سواء کانوا وارثین أم لم یکونوا، فإذا أسلم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الأب أو أبو الاُمّ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الصبیّ إن لم یکن الأب حیّاً قطعاً، و کذا إن کان علی الأصحّ</w:t>
      </w:r>
      <w:r>
        <w:rPr>
          <w:rFonts w:eastAsia="IRNazanin" w:cs="IRNazanin"/>
          <w:color w:val="111111"/>
          <w:sz w:val="28"/>
          <w:szCs w:val="28"/>
          <w:rtl w:val="true"/>
          <w:lang w:bidi="fa-IR"/>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قیل إطلاق ذلک یقتضی إطلاق جمیع الأطفال بإسلام أبیهم آدم علیه الصلاة و السلام، اجیب بأنّ الکلام فی جدّ یعرف النسب إلیه بحیث یحصل بینهما التوارث</w:t>
      </w:r>
      <w:r>
        <w:rPr>
          <w:rFonts w:eastAsia="IRNazanin" w:cs="IRNazanin"/>
          <w:color w:val="111111"/>
          <w:sz w:val="28"/>
          <w:szCs w:val="28"/>
          <w:rtl w:val="true"/>
          <w:lang w:bidi="fa-IR"/>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 w:name="__RefHeading___Toc9587498_73709187"/>
      <w:bookmarkStart w:id="328" w:name="_Toc123"/>
      <w:bookmarkEnd w:id="327"/>
      <w:r>
        <w:rPr>
          <w:rtl w:val="true"/>
        </w:rPr>
        <w:t>المطلب الثانی</w:t>
      </w:r>
      <w:r>
        <w:rPr>
          <w:rtl w:val="true"/>
        </w:rPr>
        <w:t xml:space="preserve">: </w:t>
      </w:r>
      <w:r>
        <w:rPr>
          <w:rtl w:val="true"/>
        </w:rPr>
        <w:t>تبعیّة دار الإسلام</w:t>
      </w:r>
      <w:bookmarkEnd w:id="328"/>
    </w:p>
    <w:p>
      <w:pPr>
        <w:pStyle w:val="Heading6"/>
        <w:numPr>
          <w:ilvl w:val="5"/>
          <w:numId w:val="1"/>
        </w:numPr>
        <w:rPr/>
      </w:pPr>
      <w:bookmarkStart w:id="329" w:name="__RefHeading___Toc9587500_73709187"/>
      <w:bookmarkStart w:id="330" w:name="_Toc124"/>
      <w:bookmarkEnd w:id="329"/>
      <w:r>
        <w:rPr>
          <w:rtl w:val="true"/>
        </w:rPr>
        <w:t>اشارة</w:t>
      </w:r>
      <w:bookmarkEnd w:id="330"/>
    </w:p>
    <w:p>
      <w:pPr>
        <w:pStyle w:val="BookText"/>
        <w:rPr/>
      </w:pPr>
      <w:r>
        <w:rPr>
          <w:rFonts w:ascii="IRNazanin" w:hAnsi="IRNazanin" w:eastAsia="IRNazanin"/>
          <w:color w:val="111111"/>
          <w:sz w:val="28"/>
          <w:sz w:val="28"/>
          <w:szCs w:val="28"/>
          <w:rtl w:val="true"/>
          <w:lang w:bidi="fa-IR"/>
        </w:rPr>
        <w:t>و هی تتصوّر فی اللقیط‌</w:t>
      </w:r>
      <w:r>
        <w:rPr>
          <w:rStyle w:val="FootnoteAnchor"/>
          <w:rtl w:val="true"/>
        </w:rPr>
        <w:footnoteReference w:id="1118"/>
      </w:r>
      <w:r>
        <w:rPr>
          <w:rFonts w:ascii="IRNazanin" w:hAnsi="IRNazanin" w:eastAsia="IRNazanin"/>
          <w:color w:val="111111"/>
          <w:sz w:val="28"/>
          <w:sz w:val="28"/>
          <w:szCs w:val="28"/>
          <w:rtl w:val="true"/>
          <w:lang w:bidi="fa-IR"/>
        </w:rPr>
        <w:t xml:space="preserve">، و یقع الکلام فی أنّه هل یحکم بإسلامه من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جهة تبعیّة اللقیط لدار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یحکم بإسلامه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ما حکی عن المبسوط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التحقیق فی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بالطهارة؛ لأنّها الأصل، و أمّا أحکام الإسلام فکلّ ما کان الإسلام شرطاً فلا یحکم، و کلّ ما کان الکفر مانعاً فیحکم به</w:t>
      </w:r>
      <w:r>
        <w:rPr>
          <w:rFonts w:eastAsia="IRNazanin" w:cs="IRNazanin"/>
          <w:color w:val="111111"/>
          <w:sz w:val="28"/>
          <w:szCs w:val="28"/>
          <w:rtl w:val="true"/>
          <w:lang w:bidi="fa-IR"/>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استجوده الفقیه الهمدانی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لم یکن الغالب فیها المسلمین، و إلّا فلا یبعد الحکم بإسلامه، فإنّ اعتبار الغلبة فی مثل المقام لا یخلو عن وجه</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المعاصرین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دلیل علی الحکم بکونه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أنّ اللقیط لا یحکم بإسلامه</w:t>
      </w:r>
      <w:r>
        <w:rPr>
          <w:rFonts w:eastAsia="IRNazanin" w:cs="IRNazanin"/>
          <w:color w:val="111111"/>
          <w:sz w:val="28"/>
          <w:szCs w:val="28"/>
          <w:rtl w:val="true"/>
          <w:lang w:bidi="fa-IR"/>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یحکم بإسلام اللقیط و هو المشهور بین المتقدّمین و المتأخّرین،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یحکم بإسلام هذا الصبیّ أم لا؟ من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 مسلماً، و فیهم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معه بیّنة فإنّه یحکم بکفره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معه بیّنة حکم بإسلامه؛ لأنّه وجد فی دار الإسلام تابعاً للدار، و هذا هو الأقوی و الأولی</w:t>
      </w:r>
      <w:r>
        <w:rPr>
          <w:rFonts w:eastAsia="IRNazanin" w:cs="IRNazanin"/>
          <w:color w:val="111111"/>
          <w:sz w:val="28"/>
          <w:szCs w:val="28"/>
          <w:rtl w:val="true"/>
          <w:lang w:bidi="fa-IR"/>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الملقوط فی دار الإسلام یحکم بإسلامه و لو ملکها أهل الکفر إذا کان فیها مسلم؛ نظراً إلی الاحتمال و إن بعد؛ تغلیباً لحکم الإسلام، و إن لم یکن فیها مسلم فهو رقّ، و کذا إن وجد فی دار الشرک و لا مستوطن هناک من المسلمین</w:t>
      </w:r>
      <w:r>
        <w:rPr>
          <w:rFonts w:eastAsia="IRNazanin" w:cs="IRNazanin"/>
          <w:color w:val="111111"/>
          <w:sz w:val="28"/>
          <w:szCs w:val="28"/>
          <w:rtl w:val="true"/>
          <w:lang w:bidi="fa-IR"/>
        </w:rPr>
        <w:t>»</w:t>
      </w:r>
      <w:r>
        <w:rPr>
          <w:rStyle w:val="FootnoteAnchor"/>
          <w:rtl w:val="true"/>
        </w:rPr>
        <w:footnoteReference w:id="1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الجامع للشرائع</w:t>
      </w:r>
      <w:r>
        <w:rPr>
          <w:rStyle w:val="FootnoteAnchor"/>
          <w:rtl w:val="true"/>
        </w:rPr>
        <w:footnoteReference w:id="1124"/>
      </w:r>
      <w:r>
        <w:rPr>
          <w:rFonts w:ascii="IRNazanin" w:hAnsi="IRNazanin" w:eastAsia="IRNazanin"/>
          <w:color w:val="111111"/>
          <w:sz w:val="28"/>
          <w:sz w:val="28"/>
          <w:szCs w:val="28"/>
          <w:rtl w:val="true"/>
          <w:lang w:bidi="fa-IR"/>
        </w:rPr>
        <w:t>، و استقربه العلّامة فی المختلف</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الممیّز و المجنون لا یتصوّر إسلامهما إلّا بالتبعیّة،</w:t>
      </w:r>
    </w:p>
    <w:p>
      <w:pPr>
        <w:pStyle w:val="BookText"/>
        <w:rPr/>
      </w:pPr>
      <w:r>
        <w:rPr>
          <w:rFonts w:ascii="IRNazanin" w:hAnsi="IRNazanin" w:eastAsia="IRNazanin"/>
          <w:color w:val="111111"/>
          <w:sz w:val="28"/>
          <w:sz w:val="28"/>
          <w:szCs w:val="28"/>
          <w:rtl w:val="true"/>
          <w:lang w:bidi="fa-IR"/>
        </w:rPr>
        <w:t>و هی تحصل باُمور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تبعیّة الدار، و هی المراد هنا، فیحکم بإسلام کلّ لقیط فی دار الإسلام</w:t>
      </w:r>
      <w:r>
        <w:rPr>
          <w:rFonts w:eastAsia="IRNazanin" w:cs="IRNazanin"/>
          <w:color w:val="111111"/>
          <w:sz w:val="28"/>
          <w:szCs w:val="28"/>
          <w:rtl w:val="true"/>
          <w:lang w:bidi="fa-IR"/>
        </w:rPr>
        <w:t>»</w:t>
      </w:r>
      <w:r>
        <w:rPr>
          <w:rStyle w:val="FootnoteAnchor"/>
          <w:rtl w:val="true"/>
        </w:rPr>
        <w:footnoteReference w:id="1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التحریر</w:t>
      </w:r>
      <w:r>
        <w:rPr>
          <w:rStyle w:val="FootnoteAnchor"/>
          <w:rtl w:val="true"/>
        </w:rPr>
        <w:footnoteReference w:id="1127"/>
      </w:r>
      <w:r>
        <w:rPr>
          <w:rFonts w:ascii="IRNazanin" w:hAnsi="IRNazanin" w:eastAsia="IRNazanin"/>
          <w:color w:val="111111"/>
          <w:sz w:val="28"/>
          <w:sz w:val="28"/>
          <w:szCs w:val="28"/>
          <w:rtl w:val="true"/>
          <w:lang w:bidi="fa-IR"/>
        </w:rPr>
        <w:t>، و صرّح به الشهیدان فی الدروس</w:t>
      </w:r>
      <w:r>
        <w:rPr>
          <w:rStyle w:val="FootnoteAnchor"/>
          <w:rtl w:val="true"/>
        </w:rPr>
        <w:footnoteReference w:id="1128"/>
      </w:r>
      <w:r>
        <w:rPr>
          <w:rFonts w:ascii="Amiri" w:hAnsi="Amiri" w:eastAsia="Amiri" w:cs="Amiri"/>
          <w:color w:val="111111"/>
          <w:sz w:val="28"/>
          <w:sz w:val="28"/>
          <w:szCs w:val="28"/>
          <w:rtl w:val="true"/>
          <w:lang w:bidi="ar-SA"/>
        </w:rPr>
        <w:t>و الروضة</w:t>
      </w:r>
      <w:r>
        <w:rPr>
          <w:rStyle w:val="FootnoteAnchor"/>
          <w:rtl w:val="true"/>
        </w:rPr>
        <w:footnoteReference w:id="1129"/>
      </w:r>
      <w:r>
        <w:rPr>
          <w:rFonts w:ascii="IRNazanin" w:hAnsi="IRNazanin" w:eastAsia="IRNazanin"/>
          <w:color w:val="111111"/>
          <w:sz w:val="28"/>
          <w:sz w:val="28"/>
          <w:szCs w:val="28"/>
          <w:rtl w:val="true"/>
          <w:lang w:bidi="fa-IR"/>
        </w:rPr>
        <w:t>، و نسبه فی الکفایة إلی الأصحاب،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الأصحاب أنّه یحکم بإسلام الملتقط إن التقط فی دار الإسلام مطلقاً، أو فی دار الحرب و فیها مسلم واحد یمکن تولّده منه و إن کان تاجراً أو أسیراً أو محبوساً</w:t>
      </w:r>
      <w:r>
        <w:rPr>
          <w:rFonts w:eastAsia="IRNazanin" w:cs="IRNazanin"/>
          <w:color w:val="111111"/>
          <w:sz w:val="28"/>
          <w:szCs w:val="28"/>
          <w:rtl w:val="true"/>
          <w:lang w:bidi="fa-IR"/>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ادّعی فی الجواهر أنّه لا خلاف فیه بین الأصحاب</w:t>
      </w:r>
      <w:r>
        <w:rPr>
          <w:rStyle w:val="FootnoteAnchor"/>
          <w:rtl w:val="true"/>
        </w:rPr>
        <w:footnoteReference w:id="1131"/>
      </w:r>
      <w:r>
        <w:rPr>
          <w:rFonts w:ascii="Amiri" w:hAnsi="Amiri" w:eastAsia="Amiri" w:cs="Amiri"/>
          <w:color w:val="111111"/>
          <w:sz w:val="28"/>
          <w:sz w:val="28"/>
          <w:szCs w:val="28"/>
          <w:rtl w:val="true"/>
          <w:lang w:bidi="ar-SA"/>
        </w:rPr>
        <w:t>، و صرّح به أیضاً جماعة من المتأخّرین</w:t>
      </w:r>
      <w:r>
        <w:rPr>
          <w:rStyle w:val="FootnoteAnchor"/>
          <w:rtl w:val="true"/>
        </w:rPr>
        <w:footnoteReference w:id="1132"/>
      </w:r>
      <w:r>
        <w:rPr>
          <w:rFonts w:ascii="IRNazanin" w:hAnsi="IRNazanin" w:eastAsia="IRNazanin"/>
          <w:color w:val="111111"/>
          <w:sz w:val="28"/>
          <w:sz w:val="28"/>
          <w:szCs w:val="28"/>
          <w:rtl w:val="true"/>
          <w:lang w:bidi="fa-IR"/>
        </w:rPr>
        <w:t>، و بعض فقهاء العصر</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لقیط دار الإسلام محکوم بالإسلام، و کذا لقیط دار الکفر إذا وجد فیها مسلم احتمل تولّد اللقیط منه، و إن کان فی دار الکفر و لم یکن فیها مسلم أو کان و لم یحتمل کونه منه یحکم بکفره</w:t>
      </w:r>
      <w:r>
        <w:rPr>
          <w:rFonts w:eastAsia="IRNazanin" w:cs="IRNazanin"/>
          <w:color w:val="111111"/>
          <w:sz w:val="28"/>
          <w:szCs w:val="28"/>
          <w:rtl w:val="true"/>
          <w:lang w:bidi="fa-IR"/>
        </w:rPr>
        <w:t>»</w:t>
      </w:r>
      <w:r>
        <w:rPr>
          <w:rStyle w:val="FootnoteAnchor"/>
          <w:rtl w:val="true"/>
        </w:rPr>
        <w:footnoteReference w:id="1134"/>
      </w:r>
      <w:r>
        <w:rPr>
          <w:rFonts w:ascii="IRNazanin" w:hAnsi="IRNazanin" w:eastAsia="IRNazanin"/>
          <w:color w:val="111111"/>
          <w:sz w:val="28"/>
          <w:sz w:val="28"/>
          <w:szCs w:val="28"/>
          <w:rtl w:val="true"/>
          <w:lang w:bidi="fa-IR"/>
        </w:rPr>
        <w:t>، و کذا فی تفصیل الشریعة</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bookmarkStart w:id="331" w:name="pg11755_254657"/>
    </w:p>
    <w:p>
      <w:pPr>
        <w:pStyle w:val="Heading6"/>
        <w:numPr>
          <w:ilvl w:val="5"/>
          <w:numId w:val="1"/>
        </w:numPr>
        <w:rPr/>
      </w:pPr>
      <w:bookmarkStart w:id="332" w:name="__RefHeading___Toc9587502_73709187"/>
      <w:bookmarkStart w:id="333" w:name="_Toc125"/>
      <w:bookmarkEnd w:id="331"/>
      <w:bookmarkEnd w:id="332"/>
      <w:r>
        <w:rPr>
          <w:rtl w:val="true"/>
        </w:rPr>
        <w:t>المقصود من دار الإسلام فی المقام</w:t>
      </w:r>
      <w:bookmarkEnd w:id="333"/>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الإسلام علی ثلاثة أضرب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بلد بنی فی الإسلام و لم یقرّ بها المشرکون، مثل بغداد و البصرة، فإن وجد لقیط هاهنا فإنّه یحکم بإسلامه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دار کفر فغلب علیه المسلمون و أخذوه صلحاً، و أقرّوهم علی ما کانوا علیه علی أن یؤدّوا الجزیة، فإن وجد لقیط نظرت فإن کان هناک مسلم مستوطن فإنّه یحکم بإسلامه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کانت للمسلمین و تغلّب علیها المشرکون، مثل طرطوس</w:t>
      </w:r>
      <w:r>
        <w:rPr>
          <w:rStyle w:val="FootnoteAnchor"/>
          <w:rtl w:val="true"/>
        </w:rPr>
        <w:footnoteReference w:id="1136"/>
      </w:r>
      <w:r>
        <w:rPr>
          <w:rFonts w:ascii="IRNazanin" w:hAnsi="IRNazanin" w:eastAsia="IRNazanin"/>
          <w:color w:val="111111"/>
          <w:sz w:val="28"/>
          <w:sz w:val="28"/>
          <w:szCs w:val="28"/>
          <w:rtl w:val="true"/>
          <w:lang w:bidi="fa-IR"/>
        </w:rPr>
        <w:t>، فإذا وجد فیها لقیط نظرت، فإن کان هناک مسلم مستوطن حکم بإسلامه و إلّا فلا،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 الحرب مثل الروم، فإن وجد فیها لقیط نظرت، فإن کان هناک اساری فإنّه یحکم بإسلامه، و إن لم یکن اساری و یدخلها التجّار، فهل یحکم بإسلامه؟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بإسلامه، لتغلیب الإسلام،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بکفره؛ لأنّ الدار دار حرب</w:t>
      </w:r>
      <w:r>
        <w:rPr>
          <w:rFonts w:eastAsia="IRNazanin" w:cs="IRNazanin"/>
          <w:color w:val="111111"/>
          <w:sz w:val="28"/>
          <w:szCs w:val="28"/>
          <w:rtl w:val="true"/>
          <w:lang w:bidi="fa-IR"/>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التذکرة جعل دار الإسلام دارین، و هما الضرب الأوّل و الثانی اللّذان فی المبسوط، و جعل الثالث المذکور فی المبسوط دار کفر، فدار الإسلام عنده داران و دار الکفر داران</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الأضبط‌</w:t>
      </w:r>
      <w:r>
        <w:rPr>
          <w:rStyle w:val="FootnoteAnchor"/>
          <w:rtl w:val="true"/>
        </w:rPr>
        <w:footnoteReference w:id="1139"/>
      </w:r>
      <w:r>
        <w:rPr>
          <w:rFonts w:ascii="IRNazanin" w:hAnsi="IRNazanin" w:eastAsia="IRNazanin"/>
          <w:color w:val="111111"/>
          <w:sz w:val="28"/>
          <w:sz w:val="28"/>
          <w:szCs w:val="28"/>
          <w:rtl w:val="true"/>
          <w:lang w:bidi="fa-IR"/>
        </w:rPr>
        <w:t>من الجمیع ما ذکره فی الدروس، من أنّ دار الإسلام ما ینفّذ فیها حکم الإسلام، فلا یکون بها کافر إلّا معاهداً، فلقیطها حرّ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دار الکفر الّتی تنفّذ فیها أحکام الإسلام کذلک، إذا کان فیها مسلم صالح للاستیلاد و لو واحداً، و فی معناهما دار کانت للمسلمین فاستولی علیها الکفّار إذا علم بقاء مسلم فیها صالح للاستیلاد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دار الکفر فهی ما ینفّذ فیها أحکام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لقیطها محکوم بکفره و رقّه</w:t>
      </w:r>
      <w:r>
        <w:rPr>
          <w:rStyle w:val="FootnoteAnchor"/>
          <w:rtl w:val="true"/>
        </w:rPr>
        <w:footnoteReference w:id="1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حکاه فی جامع المقاصد</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أعرف ثمرة فی الإطناب فی ذلک، بعد خلوّ النصوص عن تعلیق الحکم علی دار الإسلام و دار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اعتبار وجود المسلم فی الإلحاق لم یفرّق بینهما و بین دار الکفر، و احتمال الاکتفاء بدار الإسلام و إن لم یوجد فیها مسلم صالح للتولّد منه، لا وجه له، بل لا معنی لدار الإسلام معه، إلّا بإرادة نفوذ أحکام الإسلام فیها و إن کان أهلها کفّاراً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w:t>
      </w:r>
      <w:bookmarkStart w:id="334" w:name="pg11755_254661"/>
    </w:p>
    <w:p>
      <w:pPr>
        <w:pStyle w:val="BookText"/>
        <w:rPr/>
      </w:pPr>
      <w:bookmarkEnd w:id="334"/>
      <w:r>
        <w:rPr>
          <w:rFonts w:ascii="IRNazanin" w:hAnsi="IRNazanin" w:eastAsia="IRNazanin"/>
          <w:color w:val="111111"/>
          <w:sz w:val="28"/>
          <w:sz w:val="28"/>
          <w:szCs w:val="28"/>
          <w:rtl w:val="true"/>
          <w:lang w:bidi="fa-IR"/>
        </w:rPr>
        <w:t>التغلیب المزبور للإسلام و لو بوجود واحد أسیر أو محبوس فی بلاد الکفر یمکن کون الولد منه منافٍ لمقتضی قاعدة إلحاق المشکوک فیه بالأعمّ الأغلب</w:t>
      </w:r>
      <w:r>
        <w:rPr>
          <w:rFonts w:eastAsia="IRNazanin" w:cs="IRNazanin"/>
          <w:color w:val="111111"/>
          <w:sz w:val="28"/>
          <w:szCs w:val="28"/>
          <w:rtl w:val="true"/>
          <w:lang w:bidi="fa-IR"/>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5" w:name="__RefHeading___Toc9587504_73709187"/>
      <w:bookmarkStart w:id="336" w:name="_Toc126"/>
      <w:bookmarkEnd w:id="335"/>
      <w:r>
        <w:rPr>
          <w:rtl w:val="true"/>
        </w:rPr>
        <w:t>تنبیهان</w:t>
      </w:r>
      <w:bookmarkEnd w:id="33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 هذه التعریفات أنّ المراد من دار الإسلام هنا غیر المراد بها فی حکمهم بأنّ سوق الإسلام یحکم علی لحومه و جلوده بالطهارة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المسلم الواحد لا یکفی فی ذلک إذا کان أصل البلد للمسلمین و لا یصدق علیه سوق المسلمین</w:t>
      </w:r>
      <w:r>
        <w:rPr>
          <w:rFonts w:eastAsia="IRNazanin" w:cs="IRNazanin"/>
          <w:color w:val="111111"/>
          <w:sz w:val="28"/>
          <w:szCs w:val="28"/>
          <w:rtl w:val="true"/>
          <w:lang w:bidi="fa-IR"/>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المراد من دار الإسلام و دار الکفر لیس عبارة عن البلدین اللّذین ینطبق علیهما إحدی الضابطتین، بل حیث إنّ المتداول وجود ممالک متعدّدة و کلّ مملکة مرکّبة من عدّة بلاد، سواء کانت إسلامیّة أو غیر إسلامیّة، فاللازم ملاحظة الحکم النافذ فی المملکة المرکّبة من البلاد، فدار الإسلام عبارة عن المملکة النافذة فی جمیع بلادها أحکام الإسلام، و لا یلاحظ فی هذه الجهة کلّ بلد بحیاله و مستقلّاً</w:t>
      </w:r>
      <w:r>
        <w:rPr>
          <w:rFonts w:eastAsia="IRNazanin" w:cs="IRNazanin"/>
          <w:color w:val="111111"/>
          <w:sz w:val="28"/>
          <w:szCs w:val="28"/>
          <w:rtl w:val="true"/>
          <w:lang w:bidi="fa-IR"/>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7" w:name="__RefHeading___Toc9587506_73709187"/>
      <w:bookmarkStart w:id="338" w:name="_Toc127"/>
      <w:bookmarkEnd w:id="337"/>
      <w:r>
        <w:rPr>
          <w:rtl w:val="true"/>
        </w:rPr>
        <w:t>أدلّة تبعیّة اللقیط لدار الإسلام</w:t>
      </w:r>
      <w:bookmarkEnd w:id="338"/>
    </w:p>
    <w:p>
      <w:pPr>
        <w:pStyle w:val="BookText"/>
        <w:rPr/>
      </w:pPr>
      <w:r>
        <w:rPr>
          <w:rFonts w:ascii="IRNazanin" w:hAnsi="IRNazanin" w:eastAsia="IRNazanin"/>
          <w:color w:val="111111"/>
          <w:sz w:val="28"/>
          <w:sz w:val="28"/>
          <w:szCs w:val="28"/>
          <w:rtl w:val="true"/>
          <w:lang w:bidi="fa-IR"/>
        </w:rPr>
        <w:t>یمکن أن یستدلّ لتبعیّة اللقیط لدار الإسلام بوجوه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 النصوص، کصحیحة فضل بن عثمان الأعور المتقدّمة</w:t>
      </w:r>
    </w:p>
    <w:p>
      <w:pPr>
        <w:pStyle w:val="BookText"/>
        <w:rPr/>
      </w:pPr>
      <w:r>
        <w:rPr>
          <w:rFonts w:ascii="IRNazanin" w:hAnsi="IRNazanin" w:eastAsia="IRNazanin"/>
          <w:color w:val="111111"/>
          <w:sz w:val="28"/>
          <w:sz w:val="28"/>
          <w:szCs w:val="28"/>
          <w:rtl w:val="true"/>
          <w:lang w:bidi="fa-IR"/>
        </w:rPr>
        <w:t>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مولود یولد إلّا علی الفطرة، فأبواه اللّذان یهوّدانه و ینصّرانه و یمجّسانه</w:t>
      </w:r>
      <w:r>
        <w:rPr>
          <w:rFonts w:eastAsia="IRNazanin" w:cs="IRNazanin"/>
          <w:color w:val="111111"/>
          <w:sz w:val="28"/>
          <w:szCs w:val="28"/>
          <w:rtl w:val="true"/>
          <w:lang w:bidi="fa-IR"/>
        </w:rPr>
        <w:t>»</w:t>
      </w:r>
      <w:r>
        <w:rPr>
          <w:rStyle w:val="FootnoteAnchor"/>
          <w:rtl w:val="true"/>
        </w:rPr>
        <w:footnoteReference w:id="1145"/>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 الهمدانی عن أبی الحسن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فَتَحْرِیرُ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کیف تعرف المؤمنة؟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الفطرة</w:t>
      </w:r>
      <w:r>
        <w:rPr>
          <w:rFonts w:eastAsia="Amiri" w:cs="Amiri" w:ascii="Amiri" w:hAnsi="Amiri"/>
          <w:color w:val="111111"/>
          <w:sz w:val="28"/>
          <w:szCs w:val="28"/>
          <w:rtl w:val="true"/>
          <w:lang w:bidi="ar-SA"/>
        </w:rPr>
        <w:t>»</w:t>
      </w:r>
      <w:r>
        <w:rPr>
          <w:rStyle w:val="FootnoteAnchor"/>
          <w:rtl w:val="true"/>
        </w:rPr>
        <w:footnoteReference w:id="1146"/>
      </w:r>
      <w:r>
        <w:rPr>
          <w:rFonts w:ascii="IRNazanin" w:hAnsi="IRNazanin" w:eastAsia="IRNazanin"/>
          <w:color w:val="111111"/>
          <w:sz w:val="28"/>
          <w:sz w:val="28"/>
          <w:szCs w:val="28"/>
          <w:rtl w:val="true"/>
          <w:lang w:bidi="fa-IR"/>
        </w:rPr>
        <w:t>و غیرها</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 المستفاد منها أنّ الطفل یولد علی فطرة الإسلام و دین الحقّ، إلّا أنّ الأبوین یهوّدانه و ینصّرانه بذکر التقریبات له و تربیته علی ذلک، فمتی انقطع اللقیط عن أبیه و زالت المعیّة انتفی المقتضی لکفره، فیرجع إلی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الإیراد</w:t>
      </w:r>
      <w:r>
        <w:rPr>
          <w:rStyle w:val="FootnoteAnchor"/>
          <w:rtl w:val="true"/>
        </w:rPr>
        <w:footnoteReference w:id="1148"/>
      </w:r>
      <w:r>
        <w:rPr>
          <w:rFonts w:ascii="IRNazanin" w:hAnsi="IRNazanin" w:eastAsia="IRNazanin"/>
          <w:color w:val="111111"/>
          <w:sz w:val="28"/>
          <w:sz w:val="28"/>
          <w:szCs w:val="28"/>
          <w:rtl w:val="true"/>
          <w:lang w:bidi="fa-IR"/>
        </w:rPr>
        <w:t>ما تقدّم فی کلام الإمام الخمینی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لم یوجد السلطان استعان ببعض المسلمین، فإنّ لم یجد و لم یستعنه بعض المسلمین أنفق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یرجع علیه به إذا بلغ و أیسر، و إن تصدّق به فهو أولی</w:t>
      </w:r>
      <w:r>
        <w:rPr>
          <w:rFonts w:eastAsia="IRNazanin" w:cs="IRNazanin"/>
          <w:color w:val="111111"/>
          <w:sz w:val="28"/>
          <w:szCs w:val="28"/>
          <w:rtl w:val="true"/>
          <w:lang w:bidi="fa-IR"/>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أیضاً فی بعض النصوص أن یتصدّق علیه</w:t>
      </w:r>
      <w:r>
        <w:rPr>
          <w:rStyle w:val="FootnoteAnchor"/>
          <w:rtl w:val="true"/>
        </w:rPr>
        <w:footnoteReference w:id="1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النصّ و فتوی سلّار الّتی هی کالنّص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القدماء الذین تلقّوا الحکم عن الأئمّة 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الصدقة علی اللقیط، مع أنّه قال فی 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وقف المؤمن علی الکافر باطل</w:t>
      </w:r>
      <w:r>
        <w:rPr>
          <w:rStyle w:val="FootnoteAnchor"/>
          <w:rtl w:val="true"/>
        </w:rPr>
        <w:footnoteReference w:id="1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الصدقة و الوقف من باب واحد مورداً و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یحدّ قاذف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الجامع للشرائع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یحدّ قاذف اللقیط البالغ؛ لأنّه حرّ</w:t>
      </w:r>
      <w:r>
        <w:rPr>
          <w:rFonts w:eastAsia="IRNazanin" w:cs="IRNazanin"/>
          <w:color w:val="111111"/>
          <w:sz w:val="28"/>
          <w:szCs w:val="28"/>
          <w:rtl w:val="true"/>
          <w:lang w:bidi="fa-IR"/>
        </w:rPr>
        <w:t>»</w:t>
      </w:r>
      <w:r>
        <w:rPr>
          <w:rStyle w:val="FootnoteAnchor"/>
          <w:rtl w:val="true"/>
        </w:rPr>
        <w:footnoteReference w:id="1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المحقّق</w:t>
      </w:r>
      <w:r>
        <w:rPr>
          <w:rStyle w:val="FootnoteAnchor"/>
          <w:rtl w:val="true"/>
        </w:rPr>
        <w:footnoteReference w:id="1153"/>
      </w:r>
      <w:r>
        <w:rPr>
          <w:rFonts w:ascii="Amiri" w:hAnsi="Amiri" w:eastAsia="Amiri" w:cs="Amiri"/>
          <w:color w:val="111111"/>
          <w:sz w:val="28"/>
          <w:sz w:val="28"/>
          <w:szCs w:val="28"/>
          <w:rtl w:val="true"/>
          <w:lang w:bidi="ar-SA"/>
        </w:rPr>
        <w:t>و العلّامة</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مرسلة ابن محبوب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یحدّ قاذف اللقیط و یحدّ قاذف الملاعنة</w:t>
      </w:r>
      <w:r>
        <w:rPr>
          <w:rFonts w:eastAsia="IRNazanin" w:cs="IRNazanin"/>
          <w:color w:val="111111"/>
          <w:sz w:val="28"/>
          <w:szCs w:val="28"/>
          <w:rtl w:val="true"/>
          <w:lang w:bidi="fa-IR"/>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الفقیه،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قاذف اللقیط یحدّ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یشترط فی المقذوف البلوغ و کمال العقل و الحرّیّة و الإسلام و العفّة کما ثبت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الروایتین ثبوت الحدّ لقاذف اللقیط البالغ، و هما مطلقتان و تشملان اللقیط الذی أظهر الإسلام بعد بلوغه و من لم یظهر، فیمکن أن یستفاد منهما أنّ اللقیط فی دار الإسلام محکوم بالإسلام و یترتّب علیه آثاره، و منها وجوب الحدّ لقاذفه، و ضعف سندهما منجبر بالإجماع و الشهرة، مضافاً إلی أنّه جاء فی الفقیه بلفظ قال، و هو دلیل علی اعتماده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خلاف بینهم فی أنّه لو جنی علی اللقیط حال کونه صغیراً تجب الدیة و القصاص</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جنی علیه و هو صغیر فإن کانت علی النفس فالدیة</w:t>
      </w:r>
    </w:p>
    <w:p>
      <w:pPr>
        <w:pStyle w:val="BookText"/>
        <w:rPr/>
      </w:pPr>
      <w:r>
        <w:rPr>
          <w:rFonts w:ascii="IRNazanin" w:hAnsi="IRNazanin" w:eastAsia="IRNazanin"/>
          <w:color w:val="111111"/>
          <w:sz w:val="28"/>
          <w:sz w:val="28"/>
          <w:szCs w:val="28"/>
          <w:rtl w:val="true"/>
          <w:lang w:bidi="fa-IR"/>
        </w:rPr>
        <w:t>إن کانت خطأ، و القصاص إن کانت عمداً</w:t>
      </w:r>
      <w:r>
        <w:rPr>
          <w:rFonts w:eastAsia="IRNazanin" w:cs="IRNazanin"/>
          <w:color w:val="111111"/>
          <w:sz w:val="28"/>
          <w:szCs w:val="28"/>
          <w:rtl w:val="true"/>
          <w:lang w:bidi="fa-IR"/>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جنی علی اللقیط و هو صغیر، فإن کانت علی النفس فالدّیة للإمام عندنا إن کانت الجنایة خطأ، و القصاص إلیه إن کانت عمداً</w:t>
      </w:r>
      <w:r>
        <w:rPr>
          <w:rFonts w:eastAsia="IRNazanin" w:cs="IRNazanin"/>
          <w:color w:val="111111"/>
          <w:sz w:val="28"/>
          <w:szCs w:val="28"/>
          <w:rtl w:val="true"/>
          <w:lang w:bidi="fa-IR"/>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المبسوط‌</w:t>
      </w:r>
      <w:r>
        <w:rPr>
          <w:rStyle w:val="FootnoteAnchor"/>
          <w:rtl w:val="true"/>
        </w:rPr>
        <w:footnoteReference w:id="1159"/>
      </w:r>
      <w:r>
        <w:rPr>
          <w:rFonts w:ascii="IRNazanin" w:hAnsi="IRNazanin" w:eastAsia="IRNazanin"/>
          <w:color w:val="111111"/>
          <w:sz w:val="28"/>
          <w:sz w:val="28"/>
          <w:szCs w:val="28"/>
          <w:rtl w:val="true"/>
          <w:lang w:bidi="fa-IR"/>
        </w:rPr>
        <w:t>و التذکرة</w:t>
      </w:r>
      <w:r>
        <w:rPr>
          <w:rStyle w:val="FootnoteAnchor"/>
          <w:rtl w:val="true"/>
        </w:rPr>
        <w:footnoteReference w:id="1160"/>
      </w:r>
      <w:r>
        <w:rPr>
          <w:rFonts w:ascii="IRNazanin" w:hAnsi="IRNazanin" w:eastAsia="IRNazanin"/>
          <w:color w:val="111111"/>
          <w:sz w:val="28"/>
          <w:sz w:val="28"/>
          <w:szCs w:val="28"/>
          <w:rtl w:val="true"/>
          <w:lang w:bidi="fa-IR"/>
        </w:rPr>
        <w:t>و التحریر</w:t>
      </w:r>
      <w:r>
        <w:rPr>
          <w:rStyle w:val="FootnoteAnchor"/>
          <w:rtl w:val="true"/>
        </w:rPr>
        <w:footnoteReference w:id="1161"/>
      </w:r>
      <w:r>
        <w:rPr>
          <w:rFonts w:ascii="IRNazanin" w:hAnsi="IRNazanin" w:eastAsia="IRNazanin"/>
          <w:color w:val="111111"/>
          <w:sz w:val="28"/>
          <w:sz w:val="28"/>
          <w:szCs w:val="28"/>
          <w:rtl w:val="true"/>
          <w:lang w:bidi="fa-IR"/>
        </w:rPr>
        <w:t>و الجواهر</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من الشروط المعتبرة فی القصاص التساوی فی الدین، فلا یقتل مسلم بکافر کما حقّق فی محلّه، فوجه وجوب القصاص أو الدیة أنّ اللقیط مسلم معصوم الدم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القطعیّة القائمة علی معاملة الطائفة الحقّة للقیط دار الإسلام معاملة المسلمین، و هی مستقرّة علی نحو یستکشف بها رأی المعصوم علیه السلام حیث إنّهم یرتّبون علیه أحکام الإسلام من الطهارة، و حرمة ماله و دمه، و جواز النکاح، و الصلاة علیه، و تغسیله و دفنه فی مقابر المسلمین، و لزوم القِوَد بقتله و غیر ذلک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سمعنا و لا وجدنا أنّهم یترقّبون بلوغه و یراعونه عند ظهور الأمارات المفیدة للظنّ باختبار عانته، أو بتکرار الإقرار بالشهادتین فی کلّ وقت، و یبادرونه باستنطاقه بإظهار الإسلام عند البلوغ</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bookmarkStart w:id="339" w:name="pg11755_254670"/>
    </w:p>
    <w:p>
      <w:pPr>
        <w:pStyle w:val="BookText"/>
        <w:rPr/>
      </w:pPr>
      <w:bookmarkEnd w:id="339"/>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نعثر علی مخالف فی المسألة إلی زمان الشیخ الأعظم قدس سره بل ثبت الإجماع، کما ادّعاه فی مفتاح الکرامة</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دلیله أیضاً الإجماع و النصّ</w:t>
      </w:r>
      <w:r>
        <w:rPr>
          <w:rFonts w:eastAsia="IRNazanin" w:cs="IRNazanin"/>
          <w:color w:val="111111"/>
          <w:sz w:val="28"/>
          <w:szCs w:val="28"/>
          <w:rtl w:val="true"/>
          <w:lang w:bidi="fa-IR"/>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الأصحاب فی الحکم بإسلامه فیها</w:t>
      </w:r>
      <w:r>
        <w:rPr>
          <w:rFonts w:eastAsia="IRNazanin" w:cs="IRNazanin"/>
          <w:color w:val="111111"/>
          <w:sz w:val="28"/>
          <w:szCs w:val="28"/>
          <w:rtl w:val="true"/>
          <w:lang w:bidi="fa-IR"/>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للإجماع و السیرة و ظاهر الحال</w:t>
      </w:r>
      <w:r>
        <w:rPr>
          <w:rFonts w:eastAsia="IRNazanin" w:cs="IRNazanin"/>
          <w:color w:val="111111"/>
          <w:sz w:val="28"/>
          <w:szCs w:val="28"/>
          <w:rtl w:val="true"/>
          <w:lang w:bidi="fa-IR"/>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ممّا تقدّم أنّه لا وجه لما ذکره الشیخ الأعظم و من تبعه من أنّه یحکم بطهارة اللقیط؛ لأنّها الأصل، و لکن لا یترتّب علیها أحکام الإسلام</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بالطهارة من دون الإسلام غیر معهود من الشرع</w:t>
      </w:r>
      <w:r>
        <w:rPr>
          <w:rFonts w:eastAsia="IRNazanin" w:cs="IRNazanin"/>
          <w:color w:val="111111"/>
          <w:sz w:val="28"/>
          <w:szCs w:val="28"/>
          <w:rtl w:val="true"/>
          <w:lang w:bidi="fa-IR"/>
        </w:rPr>
        <w:t>»</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المسالک</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0" w:name="__RefHeading___Toc9587508_73709187"/>
      <w:bookmarkStart w:id="341" w:name="_Toc128"/>
      <w:bookmarkEnd w:id="340"/>
      <w:r>
        <w:rPr>
          <w:rtl w:val="true"/>
        </w:rPr>
        <w:t>مذهب أهل السنّة فی التبعیّة للدار</w:t>
      </w:r>
      <w:bookmarkEnd w:id="341"/>
    </w:p>
    <w:p>
      <w:pPr>
        <w:pStyle w:val="BookText"/>
        <w:rPr/>
      </w:pPr>
      <w:r>
        <w:rPr>
          <w:rFonts w:ascii="IRNazanin" w:hAnsi="IRNazanin" w:eastAsia="IRNazanin"/>
          <w:color w:val="111111"/>
          <w:sz w:val="28"/>
          <w:sz w:val="28"/>
          <w:szCs w:val="28"/>
          <w:rtl w:val="true"/>
          <w:lang w:bidi="fa-IR"/>
        </w:rPr>
        <w:t>الظاهر أنّه لا خلاف بین مذاهب أهل السنّة فی أنّه یحکم بإسلام اللقیط و طهارته لتبعیّته لدار الإسلام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یخلو اللقیط من أن یوجد فی دار الإسلام أو فی دار الکفر، فأمّا دار الإسلام فضربان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دار اختطّها المسلمون کبغداد</w:t>
      </w:r>
    </w:p>
    <w:p>
      <w:pPr>
        <w:pStyle w:val="BookText"/>
        <w:rPr/>
      </w:pPr>
      <w:r>
        <w:rPr>
          <w:rFonts w:ascii="IRNazanin" w:hAnsi="IRNazanin" w:eastAsia="IRNazanin"/>
          <w:color w:val="111111"/>
          <w:sz w:val="28"/>
          <w:sz w:val="28"/>
          <w:szCs w:val="28"/>
          <w:rtl w:val="true"/>
          <w:lang w:bidi="fa-IR"/>
        </w:rPr>
        <w:t>فلقیط هذه محکوم بإسلامه و إن کان فیها أهل الذمّة؛ تغلیباً للإسلام، و لظاهر الدار، و لأنّ الإسلام یعلو و لا یعلی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فتحها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کمدائن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إن کان فیها مسلم واحد حکم بإسلام لقیطه؛ لأنّه یحتمل أن یکون لذلک المسلم تغلیباً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بلد الکفّار فضربان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کالقسم الذی قبله إن کان فیها مسلم واحد حکم بإسلام لقیطه</w:t>
      </w:r>
      <w:r>
        <w:rPr>
          <w:rFonts w:eastAsia="IRNazanin" w:cs="IRNazanin"/>
          <w:color w:val="111111"/>
          <w:sz w:val="28"/>
          <w:szCs w:val="28"/>
          <w:rtl w:val="true"/>
          <w:lang w:bidi="fa-IR"/>
        </w:rPr>
        <w:t>»</w:t>
      </w:r>
      <w:r>
        <w:rPr>
          <w:rStyle w:val="FootnoteAnchor"/>
          <w:rtl w:val="true"/>
        </w:rPr>
        <w:footnoteReference w:id="1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الشرح الکبیر</w:t>
      </w:r>
      <w:r>
        <w:rPr>
          <w:rStyle w:val="FootnoteAnchor"/>
          <w:rtl w:val="true"/>
        </w:rPr>
        <w:footnoteReference w:id="1172"/>
      </w:r>
      <w:r>
        <w:rPr>
          <w:rFonts w:ascii="IRNazanin" w:hAnsi="IRNazanin" w:eastAsia="IRNazanin"/>
          <w:color w:val="111111"/>
          <w:sz w:val="28"/>
          <w:sz w:val="28"/>
          <w:szCs w:val="28"/>
          <w:rtl w:val="true"/>
          <w:lang w:bidi="fa-IR"/>
        </w:rPr>
        <w:t>و کشّاف القناع</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روضة الطالبین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الإسلام و هی ثلاثة أضرب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یسکنها المسلمون، فاللقیط الموجود فیها مسلم و إن کان فیها أهل ذمّة؛ تغلیباً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فتحها المسلمون و أقرّوها فی ید الکفّار بجزیة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فاللقیط فیها مسلم إن کان فیها مسلم واحد فأکثر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کان المسلمون یسکنونها، ثمّ جلوا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فیها معروف بالإسلام فهو مسلم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دار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فیها تجّار مسلمون ساکنون، فهل یحکم بکفره تبعاً للدار، أو بإسلامه تغلیباً للإسلام؟ وجهان أصحّهما الثانی</w:t>
      </w:r>
      <w:r>
        <w:rPr>
          <w:rFonts w:eastAsia="IRNazanin" w:cs="IRNazanin"/>
          <w:color w:val="111111"/>
          <w:sz w:val="28"/>
          <w:szCs w:val="28"/>
          <w:rtl w:val="true"/>
          <w:lang w:bidi="fa-IR"/>
        </w:rPr>
        <w:t>»</w:t>
      </w: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 هذا فی البیان</w:t>
      </w:r>
      <w:r>
        <w:rPr>
          <w:rStyle w:val="FootnoteAnchor"/>
          <w:rtl w:val="true"/>
        </w:rPr>
        <w:footnoteReference w:id="1175"/>
      </w:r>
      <w:r>
        <w:rPr>
          <w:rFonts w:ascii="IRNazanin" w:hAnsi="IRNazanin" w:eastAsia="IRNazanin"/>
          <w:color w:val="111111"/>
          <w:sz w:val="28"/>
          <w:sz w:val="28"/>
          <w:szCs w:val="28"/>
          <w:rtl w:val="true"/>
          <w:lang w:bidi="fa-IR"/>
        </w:rPr>
        <w:t>و الحاوی الکبیر</w:t>
      </w:r>
      <w:r>
        <w:rPr>
          <w:rStyle w:val="FootnoteAnchor"/>
          <w:rtl w:val="true"/>
        </w:rPr>
        <w:footnoteReference w:id="1176"/>
      </w:r>
      <w:r>
        <w:rPr>
          <w:rFonts w:ascii="IRNazanin" w:hAnsi="IRNazanin" w:eastAsia="IRNazanin"/>
          <w:color w:val="111111"/>
          <w:sz w:val="28"/>
          <w:sz w:val="28"/>
          <w:szCs w:val="28"/>
          <w:rtl w:val="true"/>
          <w:lang w:bidi="fa-IR"/>
        </w:rPr>
        <w:t>و مغنی المحتاج</w:t>
      </w:r>
      <w:r>
        <w:rPr>
          <w:rStyle w:val="FootnoteAnchor"/>
          <w:rtl w:val="true"/>
        </w:rPr>
        <w:footnoteReference w:id="1177"/>
      </w:r>
      <w:bookmarkStart w:id="342" w:name="pg11755_254675"/>
    </w:p>
    <w:p>
      <w:pPr>
        <w:pStyle w:val="BookText"/>
        <w:rPr/>
      </w:pPr>
      <w:bookmarkEnd w:id="342"/>
      <w:r>
        <w:rPr>
          <w:rFonts w:ascii="IRNazanin" w:hAnsi="IRNazanin" w:eastAsia="IRNazanin"/>
          <w:color w:val="111111"/>
          <w:sz w:val="28"/>
          <w:sz w:val="28"/>
          <w:szCs w:val="28"/>
          <w:rtl w:val="true"/>
          <w:lang w:bidi="fa-IR"/>
        </w:rPr>
        <w:t>و البدائع</w:t>
      </w:r>
      <w:r>
        <w:rPr>
          <w:rStyle w:val="FootnoteAnchor"/>
          <w:rtl w:val="true"/>
        </w:rPr>
        <w:footnoteReference w:id="1178"/>
      </w:r>
      <w:r>
        <w:rPr>
          <w:rFonts w:ascii="IRNazanin" w:hAnsi="IRNazanin" w:eastAsia="IRNazanin"/>
          <w:color w:val="111111"/>
          <w:sz w:val="28"/>
          <w:sz w:val="28"/>
          <w:szCs w:val="28"/>
          <w:rtl w:val="true"/>
          <w:lang w:bidi="fa-IR"/>
        </w:rPr>
        <w:t>و عقد الجواهر الثمینة</w:t>
      </w:r>
      <w:r>
        <w:rPr>
          <w:rStyle w:val="FootnoteAnchor"/>
          <w:rtl w:val="true"/>
        </w:rPr>
        <w:footnoteReference w:id="1179"/>
      </w:r>
      <w:r>
        <w:rPr>
          <w:rFonts w:ascii="IRNazanin" w:hAnsi="IRNazanin" w:eastAsia="IRNazanin"/>
          <w:color w:val="111111"/>
          <w:sz w:val="28"/>
          <w:sz w:val="28"/>
          <w:szCs w:val="28"/>
          <w:rtl w:val="true"/>
          <w:lang w:bidi="fa-IR"/>
        </w:rPr>
        <w:t>و غیرها</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 w:name="__RefHeading___Toc9587510_73709187"/>
      <w:bookmarkStart w:id="344" w:name="_Toc129"/>
      <w:bookmarkEnd w:id="343"/>
      <w:r>
        <w:rPr>
          <w:rtl w:val="true"/>
        </w:rPr>
        <w:t>المطلب الثالث</w:t>
      </w:r>
      <w:r>
        <w:rPr>
          <w:rtl w:val="true"/>
        </w:rPr>
        <w:t xml:space="preserve">: </w:t>
      </w:r>
      <w:r>
        <w:rPr>
          <w:rtl w:val="true"/>
        </w:rPr>
        <w:t>تبعیّة الصبیّ للسابی فی الإسلام و عدمها</w:t>
      </w:r>
      <w:bookmarkEnd w:id="344"/>
    </w:p>
    <w:p>
      <w:pPr>
        <w:pStyle w:val="Heading6"/>
        <w:numPr>
          <w:ilvl w:val="5"/>
          <w:numId w:val="1"/>
        </w:numPr>
        <w:rPr/>
      </w:pPr>
      <w:bookmarkStart w:id="345" w:name="__RefHeading___Toc9587512_73709187"/>
      <w:bookmarkStart w:id="346" w:name="_Toc130"/>
      <w:bookmarkEnd w:id="345"/>
      <w:r>
        <w:rPr>
          <w:rtl w:val="true"/>
        </w:rPr>
        <w:t>اشارة</w:t>
      </w:r>
      <w:bookmarkEnd w:id="346"/>
    </w:p>
    <w:p>
      <w:pPr>
        <w:pStyle w:val="BookText"/>
        <w:rPr/>
      </w:pPr>
      <w:r>
        <w:rPr>
          <w:rFonts w:ascii="IRNazanin" w:hAnsi="IRNazanin" w:eastAsia="IRNazanin"/>
          <w:color w:val="111111"/>
          <w:sz w:val="28"/>
          <w:sz w:val="28"/>
          <w:szCs w:val="28"/>
          <w:rtl w:val="true"/>
          <w:lang w:bidi="fa-IR"/>
        </w:rPr>
        <w:t>إذا سبی طفل من أولاد الکفّار، فإن سبی معه أبواه أو أحدهما فإنّه یتبعهما فی الکفر، و یجری علیه أحکام الکفر، و الظاهر عدم الخلاف عند فقهاء الإمامیّة فی ذلک، و قد صرّح بذلک کثیر منهم کالشیخ</w:t>
      </w:r>
      <w:r>
        <w:rPr>
          <w:rStyle w:val="FootnoteAnchor"/>
          <w:rtl w:val="true"/>
        </w:rPr>
        <w:footnoteReference w:id="1181"/>
      </w:r>
      <w:r>
        <w:rPr>
          <w:rFonts w:ascii="Amiri" w:hAnsi="Amiri" w:eastAsia="Amiri" w:cs="Amiri"/>
          <w:color w:val="111111"/>
          <w:sz w:val="28"/>
          <w:sz w:val="28"/>
          <w:szCs w:val="28"/>
          <w:rtl w:val="true"/>
          <w:lang w:bidi="ar-SA"/>
        </w:rPr>
        <w:t>و العلّامة</w:t>
      </w:r>
      <w:r>
        <w:rPr>
          <w:rStyle w:val="FootnoteAnchor"/>
          <w:rtl w:val="true"/>
        </w:rPr>
        <w:footnoteReference w:id="1182"/>
      </w:r>
      <w:r>
        <w:rPr>
          <w:rFonts w:ascii="Amiri" w:hAnsi="Amiri" w:eastAsia="Amiri" w:cs="Amiri"/>
          <w:color w:val="111111"/>
          <w:sz w:val="28"/>
          <w:sz w:val="28"/>
          <w:szCs w:val="28"/>
          <w:rtl w:val="true"/>
          <w:lang w:bidi="ar-SA"/>
        </w:rPr>
        <w:t>و المحقّق</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و الشهید</w:t>
      </w:r>
      <w:r>
        <w:rPr>
          <w:rStyle w:val="FootnoteAnchor"/>
          <w:rtl w:val="true"/>
        </w:rPr>
        <w:footnoteReference w:id="1184"/>
      </w:r>
      <w:r>
        <w:rPr>
          <w:rFonts w:ascii="IRNazanin" w:hAnsi="IRNazanin" w:eastAsia="IRNazanin"/>
          <w:color w:val="111111"/>
          <w:sz w:val="28"/>
          <w:sz w:val="28"/>
          <w:szCs w:val="28"/>
          <w:rtl w:val="true"/>
          <w:lang w:bidi="fa-IR"/>
        </w:rPr>
        <w:t>الثانیین، و الإمام الخمینی</w:t>
      </w:r>
      <w:r>
        <w:rPr>
          <w:rStyle w:val="FootnoteAnchor"/>
          <w:rtl w:val="true"/>
        </w:rPr>
        <w:footnoteReference w:id="1185"/>
      </w:r>
      <w:r>
        <w:rPr>
          <w:rFonts w:ascii="IRNazanin" w:hAnsi="IRNazanin" w:eastAsia="IRNazanin"/>
          <w:color w:val="111111"/>
          <w:sz w:val="28"/>
          <w:sz w:val="28"/>
          <w:szCs w:val="28"/>
          <w:rtl w:val="true"/>
          <w:lang w:bidi="fa-IR"/>
        </w:rPr>
        <w:t>و غیرهم</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أنّه لا خلاف عند الأصحاب فی تابعیّة أطفال الکفّار لآبائهم فی أحکام الکفر من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اسرت مع الوالدین الکافرین أو مع أحدهما یکون علی تلک الحالة</w:t>
      </w:r>
      <w:r>
        <w:rPr>
          <w:rFonts w:eastAsia="IRNazanin" w:cs="IRNazanin"/>
          <w:color w:val="111111"/>
          <w:sz w:val="28"/>
          <w:szCs w:val="28"/>
          <w:rtl w:val="true"/>
          <w:lang w:bidi="fa-IR"/>
        </w:rPr>
        <w:t>»</w:t>
      </w:r>
      <w:r>
        <w:rPr>
          <w:rStyle w:val="FootnoteAnchor"/>
          <w:rtl w:val="true"/>
        </w:rPr>
        <w:footnoteReference w:id="1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فی المستمسک الإجماع علیه</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إذا سبی مع أبویه أو أحدهما کان کافراً و لم یتبع السابی قولاً واحداً منّا</w:t>
      </w:r>
      <w:r>
        <w:rPr>
          <w:rFonts w:eastAsia="IRNazanin" w:cs="IRNazanin"/>
          <w:color w:val="111111"/>
          <w:sz w:val="28"/>
          <w:szCs w:val="28"/>
          <w:rtl w:val="true"/>
          <w:lang w:bidi="fa-IR"/>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 هذا الحکم عندهم استصحاب التبعیّة إلی أن یثبت المزیل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معه أحد أبویه الکافرین لم یحکم بإسلامه بلا خلاف أجده فیه؛ للأصل السالم عن معارضة ما یقتضی انقطاعه بتبعیّة السابی</w:t>
      </w:r>
      <w:r>
        <w:rPr>
          <w:rFonts w:eastAsia="IRNazanin" w:cs="IRNazanin"/>
          <w:color w:val="111111"/>
          <w:sz w:val="28"/>
          <w:szCs w:val="28"/>
          <w:rtl w:val="true"/>
          <w:lang w:bidi="fa-IR"/>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 الشیخ الأعظم قدس سره للحکم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لنجاسة ولد الکافر لو سبی مع أحد أبویه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باستصحاب التعبیة إلی أن یثبت المزیل، و الملکیة لیست مزیلة</w:t>
      </w:r>
      <w:r>
        <w:rPr>
          <w:rFonts w:eastAsia="IRNazanin" w:cs="IRNazanin"/>
          <w:color w:val="111111"/>
          <w:sz w:val="28"/>
          <w:szCs w:val="28"/>
          <w:rtl w:val="true"/>
          <w:lang w:bidi="fa-IR"/>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الأدلّة المتقدّمة</w:t>
      </w:r>
      <w:r>
        <w:rPr>
          <w:rStyle w:val="FootnoteAnchor"/>
          <w:rtl w:val="true"/>
        </w:rPr>
        <w:footnoteReference w:id="1192"/>
      </w:r>
      <w:r>
        <w:rPr>
          <w:rFonts w:ascii="IRNazanin" w:hAnsi="IRNazanin" w:eastAsia="IRNazanin"/>
          <w:color w:val="111111"/>
          <w:sz w:val="28"/>
          <w:sz w:val="28"/>
          <w:szCs w:val="28"/>
          <w:rtl w:val="true"/>
          <w:lang w:bidi="fa-IR"/>
        </w:rPr>
        <w:t>الّتی تدلّ علی نجاسة ولد الکافر بتبعیّته لأبویه تدلّ علی نجاسته إذا سبی مع أحدهما أو کلاهما، و هذا لا بحث فیه، إنّما الکلام فی أنّه إذا سبی وحده، فهل یتبع السابی فی الإسلام؟ فیه وجوه، بل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التبعیّة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یحکم بإسلام المسبیّ من أطفال الکفّار، سواء کان معه أبواه الکافران أو انفرد به السابی المسلم</w:t>
      </w:r>
      <w:r>
        <w:rPr>
          <w:rFonts w:eastAsia="IRNazanin" w:cs="IRNazanin"/>
          <w:color w:val="111111"/>
          <w:sz w:val="28"/>
          <w:szCs w:val="28"/>
          <w:rtl w:val="true"/>
          <w:lang w:bidi="fa-IR"/>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سبی المسلم طفلاً منفرداً عن أبویه لا یحکم بإسلامه؛ لأنّ ید السابی ید ملک</w:t>
      </w:r>
      <w:r>
        <w:rPr>
          <w:rStyle w:val="FootnoteAnchor"/>
          <w:rtl w:val="true"/>
        </w:rPr>
        <w:footnoteReference w:id="1194"/>
      </w:r>
      <w:r>
        <w:rPr>
          <w:rFonts w:ascii="IRNazanin" w:hAnsi="IRNazanin" w:eastAsia="IRNazanin"/>
          <w:color w:val="111111"/>
          <w:sz w:val="28"/>
          <w:sz w:val="28"/>
          <w:szCs w:val="28"/>
          <w:rtl w:val="true"/>
          <w:lang w:bidi="fa-IR"/>
        </w:rPr>
        <w:t>، فأشبهت ید المشتری</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علی ما ذکرناه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ما ذکروه من التبعیّة للمسلم السابی له فی الإسلام أو الطهارة خاصّة</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مجمع البرهان</w:t>
      </w:r>
      <w:r>
        <w:rPr>
          <w:rStyle w:val="FootnoteAnchor"/>
          <w:rtl w:val="true"/>
        </w:rPr>
        <w:footnoteReference w:id="1197"/>
      </w:r>
      <w:r>
        <w:rPr>
          <w:rFonts w:ascii="IRNazanin" w:hAnsi="IRNazanin" w:eastAsia="IRNazanin"/>
          <w:color w:val="111111"/>
          <w:sz w:val="28"/>
          <w:sz w:val="28"/>
          <w:szCs w:val="28"/>
          <w:rtl w:val="true"/>
          <w:lang w:bidi="fa-IR"/>
        </w:rPr>
        <w:t>و جامع المقاصد</w:t>
      </w:r>
      <w:r>
        <w:rPr>
          <w:rStyle w:val="FootnoteAnchor"/>
          <w:rtl w:val="true"/>
        </w:rPr>
        <w:footnoteReference w:id="1198"/>
      </w:r>
      <w:r>
        <w:rPr>
          <w:rFonts w:ascii="IRNazanin" w:hAnsi="IRNazanin" w:eastAsia="IRNazanin"/>
          <w:color w:val="111111"/>
          <w:sz w:val="28"/>
          <w:sz w:val="28"/>
          <w:szCs w:val="28"/>
          <w:rtl w:val="true"/>
          <w:lang w:bidi="fa-IR"/>
        </w:rPr>
        <w:t>و المستند</w:t>
      </w:r>
      <w:r>
        <w:rPr>
          <w:rStyle w:val="FootnoteAnchor"/>
          <w:rtl w:val="true"/>
        </w:rPr>
        <w:footnoteReference w:id="1199"/>
      </w:r>
      <w:r>
        <w:rPr>
          <w:rFonts w:ascii="IRNazanin" w:hAnsi="IRNazanin" w:eastAsia="IRNazanin"/>
          <w:color w:val="111111"/>
          <w:sz w:val="28"/>
          <w:sz w:val="28"/>
          <w:szCs w:val="28"/>
          <w:rtl w:val="true"/>
          <w:lang w:bidi="fa-IR"/>
        </w:rPr>
        <w:t>و المناهج</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یحکم بإسلام الصبیّ من أطفال الکفّار، سواء کان معه أبواه الکافران أو انفرد به السابی المسلم وفاقاً للمشهور بین الأصحاب، سیّما المتأخّرین</w:t>
      </w:r>
      <w:r>
        <w:rPr>
          <w:rFonts w:eastAsia="IRNazanin" w:cs="IRNazanin"/>
          <w:color w:val="111111"/>
          <w:sz w:val="28"/>
          <w:szCs w:val="28"/>
          <w:rtl w:val="true"/>
          <w:lang w:bidi="fa-IR"/>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الغنائم</w:t>
      </w:r>
      <w:r>
        <w:rPr>
          <w:rStyle w:val="FootnoteAnchor"/>
          <w:rtl w:val="true"/>
        </w:rPr>
        <w:footnoteReference w:id="1202"/>
      </w:r>
      <w:r>
        <w:rPr>
          <w:rFonts w:ascii="IRNazanin" w:hAnsi="IRNazanin" w:eastAsia="IRNazanin"/>
          <w:color w:val="111111"/>
          <w:sz w:val="28"/>
          <w:sz w:val="28"/>
          <w:szCs w:val="28"/>
          <w:rtl w:val="true"/>
          <w:lang w:bidi="fa-IR"/>
        </w:rPr>
        <w:t>و المستمسک</w:t>
      </w:r>
      <w:r>
        <w:rPr>
          <w:rStyle w:val="FootnoteAnchor"/>
          <w:rtl w:val="true"/>
        </w:rPr>
        <w:footnoteReference w:id="1203"/>
      </w:r>
      <w:r>
        <w:rPr>
          <w:rFonts w:ascii="IRNazanin" w:hAnsi="IRNazanin" w:eastAsia="IRNazanin"/>
          <w:color w:val="111111"/>
          <w:sz w:val="28"/>
          <w:sz w:val="28"/>
          <w:szCs w:val="28"/>
          <w:rtl w:val="true"/>
          <w:lang w:bidi="fa-IR"/>
        </w:rPr>
        <w:t>و مصباح الفقیه</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الخمینی قدس سره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تبعیّة الطفل للسابی المسلم إن لم یکن معه أحد آبائه فمحلّ إشکال، بل عدمها لا یخلو من قوّة</w:t>
      </w:r>
      <w:r>
        <w:rPr>
          <w:rFonts w:eastAsia="IRNazanin" w:cs="IRNazanin"/>
          <w:color w:val="111111"/>
          <w:sz w:val="28"/>
          <w:szCs w:val="28"/>
          <w:rtl w:val="true"/>
          <w:lang w:bidi="fa-IR"/>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فالأقوی عدم تبعیّته مطلقاً إذا سبی منفرداً</w:t>
      </w:r>
      <w:r>
        <w:rPr>
          <w:rFonts w:eastAsia="IRNazanin" w:cs="IRNazanin"/>
          <w:color w:val="111111"/>
          <w:sz w:val="28"/>
          <w:szCs w:val="28"/>
          <w:rtl w:val="true"/>
          <w:lang w:bidi="fa-IR"/>
        </w:rPr>
        <w:t>»</w:t>
      </w: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فی تفصیل الشریعة</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bookmarkStart w:id="347" w:name="pg11755_254681"/>
    </w:p>
    <w:p>
      <w:pPr>
        <w:pStyle w:val="Heading6"/>
        <w:numPr>
          <w:ilvl w:val="5"/>
          <w:numId w:val="1"/>
        </w:numPr>
        <w:rPr/>
      </w:pPr>
      <w:bookmarkStart w:id="348" w:name="__RefHeading___Toc9587514_73709187"/>
      <w:bookmarkStart w:id="349" w:name="_Toc131"/>
      <w:bookmarkEnd w:id="347"/>
      <w:bookmarkEnd w:id="348"/>
      <w:r>
        <w:rPr>
          <w:rtl w:val="true"/>
        </w:rPr>
        <w:t>أدلّة القول بعدم التبعیّة</w:t>
      </w:r>
      <w:bookmarkEnd w:id="349"/>
    </w:p>
    <w:p>
      <w:pPr>
        <w:pStyle w:val="BookText"/>
        <w:rPr/>
      </w:pPr>
      <w:r>
        <w:rPr>
          <w:rFonts w:ascii="IRNazanin" w:hAnsi="IRNazanin" w:eastAsia="IRNazanin"/>
          <w:color w:val="111111"/>
          <w:sz w:val="28"/>
          <w:sz w:val="28"/>
          <w:szCs w:val="28"/>
          <w:rtl w:val="true"/>
          <w:lang w:bidi="fa-IR"/>
        </w:rPr>
        <w:t>و استدلّوا لهذا الحکم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 علی التبعیّة،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لعدم الدلیل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التبعیّة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علی خلافها؛ ضرورة بقائه علی حکم التبعیّة قبل السبی</w:t>
      </w:r>
      <w:r>
        <w:rPr>
          <w:rFonts w:eastAsia="IRNazanin" w:cs="IRNazanin"/>
          <w:color w:val="111111"/>
          <w:sz w:val="28"/>
          <w:szCs w:val="28"/>
          <w:rtl w:val="true"/>
          <w:lang w:bidi="fa-IR"/>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مصباح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مستند الحکم السیرة القطعیّة علی المعاملة مع السبایا معاملة المسلمین، و فی استقرارها علی نحو یستکشف بها رأی المعصوم بالنسبة إلی الآثار المخالفة للأصل الثابتة للمسلمین بواسطة إسلامهم تأمّل</w:t>
      </w:r>
      <w:r>
        <w:rPr>
          <w:rFonts w:eastAsia="IRNazanin" w:cs="IRNazanin"/>
          <w:color w:val="111111"/>
          <w:sz w:val="28"/>
          <w:szCs w:val="28"/>
          <w:rtl w:val="true"/>
          <w:lang w:bidi="fa-IR"/>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القطعیّة المشار إلیها لیست عامّة شاملة لجمیع الآثار حتّی یستفاد منها تبعیّة الطفل للسابی المسلم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أی استصحاب الکفر و النجاسة الثابتین له قبل الأسر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کونها ثابتة له بما هو تابع لأبویه، فمع تبعیّته للمسلم یتغیّر الموضوع، فیمتنع الاستصحاب و یرجع إلی قاعدة الطهارة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 بأنّ التبعیّة الّتی اخذت</w:t>
      </w:r>
      <w:r>
        <w:rPr>
          <w:rStyle w:val="FootnoteAnchor"/>
          <w:rtl w:val="true"/>
        </w:rPr>
        <w:footnoteReference w:id="1210"/>
      </w:r>
      <w:r>
        <w:rPr>
          <w:rFonts w:ascii="IRNazanin" w:hAnsi="IRNazanin" w:eastAsia="IRNazanin"/>
          <w:color w:val="111111"/>
          <w:sz w:val="28"/>
          <w:sz w:val="28"/>
          <w:szCs w:val="28"/>
          <w:rtl w:val="true"/>
          <w:lang w:bidi="fa-IR"/>
        </w:rPr>
        <w:t>فی موضوع النجاسة هی التبعیّة النسبیّة لا الخارجیّة، و زوالها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کونها الخارجیّة فارتفاعها لا یوجب تغیّر الموضوع عرفاً، کما فی المستمسک</w:t>
      </w:r>
      <w:r>
        <w:rPr>
          <w:rStyle w:val="FootnoteAnchor"/>
          <w:rtl w:val="true"/>
        </w:rPr>
        <w:footnoteReference w:id="1211"/>
      </w:r>
      <w:r>
        <w:rPr>
          <w:rFonts w:ascii="IRNazanin" w:hAnsi="IRNazanin" w:eastAsia="IRNazanin"/>
          <w:color w:val="111111"/>
          <w:sz w:val="28"/>
          <w:sz w:val="28"/>
          <w:szCs w:val="28"/>
          <w:rtl w:val="true"/>
          <w:lang w:bidi="fa-IR"/>
        </w:rPr>
        <w:t>، و کذا فی کتاب الطهارة للإمام</w:t>
      </w:r>
      <w:bookmarkStart w:id="350" w:name="pg11755_254683"/>
    </w:p>
    <w:p>
      <w:pPr>
        <w:pStyle w:val="BookText"/>
        <w:rPr/>
      </w:pPr>
      <w:bookmarkEnd w:id="350"/>
      <w:r>
        <w:rPr>
          <w:rFonts w:ascii="IRNazanin" w:hAnsi="IRNazanin" w:eastAsia="IRNazanin"/>
          <w:color w:val="111111"/>
          <w:sz w:val="28"/>
          <w:sz w:val="28"/>
          <w:szCs w:val="28"/>
          <w:rtl w:val="true"/>
          <w:lang w:bidi="fa-IR"/>
        </w:rPr>
        <w:t>الخمینی</w:t>
      </w:r>
      <w:r>
        <w:rPr>
          <w:rStyle w:val="FootnoteAnchor"/>
          <w:rtl w:val="true"/>
        </w:rPr>
        <w:footnoteReference w:id="1212"/>
      </w:r>
      <w:r>
        <w:rPr>
          <w:rFonts w:ascii="IRNazanin" w:hAnsi="IRNazanin" w:eastAsia="IRNazanin"/>
          <w:color w:val="111111"/>
          <w:sz w:val="28"/>
          <w:sz w:val="28"/>
          <w:szCs w:val="28"/>
          <w:rtl w:val="true"/>
          <w:lang w:bidi="fa-IR"/>
        </w:rPr>
        <w:t>و غیرهما</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أدلّة التبعیّة</w:t>
      </w:r>
      <w:r>
        <w:rPr>
          <w:rStyle w:val="FootnoteAnchor"/>
          <w:rtl w:val="true"/>
        </w:rPr>
        <w:footnoteReference w:id="1214"/>
      </w:r>
      <w:r>
        <w:rPr>
          <w:rFonts w:ascii="IRNazanin" w:hAnsi="IRNazanin" w:eastAsia="IRNazanin"/>
          <w:color w:val="111111"/>
          <w:sz w:val="28"/>
          <w:sz w:val="28"/>
          <w:szCs w:val="28"/>
          <w:rtl w:val="true"/>
          <w:lang w:bidi="fa-IR"/>
        </w:rPr>
        <w:t>للأبوین یقتضی عدم إسلامه، و لا دلیل علی انقطاع التبعیّة بانقطاع الطفل عنها و إخراجه عن دارهما و مصیرهما إلی دار الإسلام، کما فی الجواهر</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1" w:name="__RefHeading___Toc9587516_73709187"/>
      <w:bookmarkStart w:id="352" w:name="_Toc132"/>
      <w:bookmarkEnd w:id="351"/>
      <w:r>
        <w:rPr>
          <w:rtl w:val="true"/>
        </w:rPr>
        <w:t>تبعیّة الطفل للسابی فی الإسلام</w:t>
      </w:r>
      <w:bookmarkEnd w:id="352"/>
    </w:p>
    <w:p>
      <w:pPr>
        <w:pStyle w:val="BookText"/>
        <w:rPr/>
      </w:pPr>
      <w:r>
        <w:rPr>
          <w:rFonts w:ascii="IRNazanin" w:hAnsi="IRNazanin" w:eastAsia="IRNazanin"/>
          <w:color w:val="111111"/>
          <w:sz w:val="28"/>
          <w:sz w:val="28"/>
          <w:szCs w:val="28"/>
          <w:rtl w:val="true"/>
          <w:lang w:bidi="fa-IR"/>
        </w:rPr>
        <w:t>القول الثانی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الطفل یتبع السابی فی الإسلام، و یترتّب علیه أحکام المسلمین، و به طفحت عباراتهم فی أبواب الفقه، و لعلّه هو الأشهر بین الأصحاب، و هو مذهب أهل السنّة أجمع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سبی الطفل مع أحد أبویه کان تابعاً له فی الکفر و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سبی منفرداً کان تابعاً للسابی فی الإسلام، یجوز بیعه من مسلم، و لا یجوز من کافر</w:t>
      </w:r>
      <w:r>
        <w:rPr>
          <w:rStyle w:val="FootnoteAnchor"/>
          <w:rtl w:val="true"/>
        </w:rPr>
        <w:footnoteReference w:id="1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ابن البرّاج</w:t>
      </w:r>
      <w:r>
        <w:rPr>
          <w:rStyle w:val="FootnoteAnchor"/>
          <w:rtl w:val="true"/>
        </w:rPr>
        <w:footnoteReference w:id="1217"/>
      </w:r>
      <w:r>
        <w:rPr>
          <w:rFonts w:ascii="IRNazanin" w:hAnsi="IRNazanin" w:eastAsia="IRNazanin"/>
          <w:color w:val="111111"/>
          <w:sz w:val="28"/>
          <w:sz w:val="28"/>
          <w:szCs w:val="28"/>
          <w:rtl w:val="true"/>
          <w:lang w:bidi="fa-IR"/>
        </w:rPr>
        <w:t>و ابن الجنید</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الجامع للشرائع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یحکم بإسلام الصبیّ بأبویه، فإن لم یکونا فبالسابی، فإن لم یکن فبالدار</w:t>
      </w:r>
      <w:r>
        <w:rPr>
          <w:rFonts w:eastAsia="IRNazanin" w:cs="IRNazanin"/>
          <w:color w:val="111111"/>
          <w:sz w:val="28"/>
          <w:szCs w:val="28"/>
          <w:rtl w:val="true"/>
          <w:lang w:bidi="fa-IR"/>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bookmarkStart w:id="353" w:name="pg11755_254685"/>
    </w:p>
    <w:p>
      <w:pPr>
        <w:pStyle w:val="BookText"/>
        <w:rPr/>
      </w:pPr>
      <w:bookmarkEnd w:id="353"/>
      <w:r>
        <w:rPr>
          <w:rFonts w:ascii="IRNazanin" w:hAnsi="IRNazanin" w:eastAsia="IRNazanin"/>
          <w:color w:val="111111"/>
          <w:sz w:val="28"/>
          <w:sz w:val="28"/>
          <w:szCs w:val="28"/>
          <w:rtl w:val="true"/>
          <w:lang w:bidi="fa-IR"/>
        </w:rPr>
        <w:t>و اختاره الشهید فی الدروس</w:t>
      </w:r>
      <w:r>
        <w:rPr>
          <w:rStyle w:val="FootnoteAnchor"/>
          <w:rtl w:val="true"/>
        </w:rPr>
        <w:footnoteReference w:id="1220"/>
      </w:r>
      <w:r>
        <w:rPr>
          <w:rFonts w:ascii="IRNazanin" w:hAnsi="IRNazanin" w:eastAsia="IRNazanin"/>
          <w:color w:val="111111"/>
          <w:sz w:val="28"/>
          <w:sz w:val="28"/>
          <w:szCs w:val="28"/>
          <w:rtl w:val="true"/>
          <w:lang w:bidi="fa-IR"/>
        </w:rPr>
        <w:t>و القواعد و الفوائد</w:t>
      </w:r>
      <w:r>
        <w:rPr>
          <w:rStyle w:val="FootnoteAnchor"/>
          <w:rtl w:val="true"/>
        </w:rPr>
        <w:footnoteReference w:id="1221"/>
      </w:r>
      <w:r>
        <w:rPr>
          <w:rFonts w:ascii="IRNazanin" w:hAnsi="IRNazanin" w:eastAsia="IRNazanin"/>
          <w:color w:val="111111"/>
          <w:sz w:val="28"/>
          <w:sz w:val="28"/>
          <w:szCs w:val="28"/>
          <w:rtl w:val="true"/>
          <w:lang w:bidi="fa-IR"/>
        </w:rPr>
        <w:t>، و نسبه فی شرح المفاتیح إلی ظاهر الأصحاب</w:t>
      </w:r>
      <w:r>
        <w:rPr>
          <w:rStyle w:val="FootnoteAnchor"/>
          <w:rtl w:val="true"/>
        </w:rPr>
        <w:footnoteReference w:id="1222"/>
      </w:r>
      <w:r>
        <w:rPr>
          <w:rFonts w:ascii="IRNazanin" w:hAnsi="IRNazanin" w:eastAsia="IRNazanin"/>
          <w:color w:val="111111"/>
          <w:sz w:val="28"/>
          <w:sz w:val="28"/>
          <w:szCs w:val="28"/>
          <w:rtl w:val="true"/>
          <w:lang w:bidi="fa-IR"/>
        </w:rPr>
        <w:t>، و فی موضعین من التحریر</w:t>
      </w:r>
      <w:r>
        <w:rPr>
          <w:rStyle w:val="FootnoteAnchor"/>
          <w:rtl w:val="true"/>
        </w:rPr>
        <w:footnoteReference w:id="1223"/>
      </w:r>
      <w:r>
        <w:rPr>
          <w:rFonts w:ascii="IRNazanin" w:hAnsi="IRNazanin" w:eastAsia="IRNazanin"/>
          <w:color w:val="111111"/>
          <w:sz w:val="28"/>
          <w:sz w:val="28"/>
          <w:szCs w:val="28"/>
          <w:rtl w:val="true"/>
          <w:lang w:bidi="fa-IR"/>
        </w:rPr>
        <w:t>و موضع من التذکرة</w:t>
      </w:r>
      <w:r>
        <w:rPr>
          <w:rStyle w:val="FootnoteAnchor"/>
          <w:rtl w:val="true"/>
        </w:rPr>
        <w:footnoteReference w:id="1224"/>
      </w:r>
      <w:r>
        <w:rPr>
          <w:rFonts w:ascii="IRNazanin" w:hAnsi="IRNazanin" w:eastAsia="IRNazanin"/>
          <w:color w:val="111111"/>
          <w:sz w:val="28"/>
          <w:sz w:val="28"/>
          <w:szCs w:val="28"/>
          <w:rtl w:val="true"/>
          <w:lang w:bidi="fa-IR"/>
        </w:rPr>
        <w:t>إلی الشیخ، و جعله فی القواعد رأیاً</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أیضاً فی کشف الغطاء</w:t>
      </w:r>
      <w:r>
        <w:rPr>
          <w:rStyle w:val="FootnoteAnchor"/>
          <w:rtl w:val="true"/>
        </w:rPr>
        <w:footnoteReference w:id="1226"/>
      </w:r>
      <w:r>
        <w:rPr>
          <w:rFonts w:ascii="IRNazanin" w:hAnsi="IRNazanin" w:eastAsia="IRNazanin"/>
          <w:color w:val="111111"/>
          <w:sz w:val="28"/>
          <w:sz w:val="28"/>
          <w:szCs w:val="28"/>
          <w:rtl w:val="true"/>
          <w:lang w:bidi="fa-IR"/>
        </w:rPr>
        <w:t>و کشف اللثام</w:t>
      </w:r>
      <w:r>
        <w:rPr>
          <w:rStyle w:val="FootnoteAnchor"/>
          <w:rtl w:val="true"/>
        </w:rPr>
        <w:footnoteReference w:id="1227"/>
      </w:r>
      <w:r>
        <w:rPr>
          <w:rFonts w:ascii="Amiri" w:hAnsi="Amiri" w:eastAsia="Amiri" w:cs="Amiri"/>
          <w:color w:val="111111"/>
          <w:sz w:val="28"/>
          <w:sz w:val="28"/>
          <w:szCs w:val="28"/>
          <w:rtl w:val="true"/>
          <w:lang w:bidi="ar-SA"/>
        </w:rPr>
        <w:t>و العروة</w:t>
      </w:r>
      <w:r>
        <w:rPr>
          <w:rStyle w:val="FootnoteAnchor"/>
          <w:rtl w:val="true"/>
        </w:rPr>
        <w:footnoteReference w:id="1228"/>
      </w:r>
      <w:r>
        <w:rPr>
          <w:rFonts w:ascii="Amiri" w:hAnsi="Amiri" w:eastAsia="Amiri" w:cs="Amiri"/>
          <w:color w:val="111111"/>
          <w:sz w:val="28"/>
          <w:sz w:val="28"/>
          <w:szCs w:val="28"/>
          <w:rtl w:val="true"/>
          <w:lang w:bidi="ar-SA"/>
        </w:rPr>
        <w:t>و المهذّب</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4" w:name="__RefHeading___Toc9587518_73709187"/>
      <w:bookmarkStart w:id="355" w:name="_Toc133"/>
      <w:bookmarkEnd w:id="354"/>
      <w:r>
        <w:rPr>
          <w:rtl w:val="true"/>
        </w:rPr>
        <w:t>أدلّة القول بالتبعیّة</w:t>
      </w:r>
      <w:bookmarkEnd w:id="355"/>
    </w:p>
    <w:p>
      <w:pPr>
        <w:pStyle w:val="BookText"/>
        <w:rPr/>
      </w:pPr>
      <w:r>
        <w:rPr>
          <w:rFonts w:ascii="IRNazanin" w:hAnsi="IRNazanin" w:eastAsia="IRNazanin"/>
          <w:color w:val="111111"/>
          <w:sz w:val="28"/>
          <w:sz w:val="28"/>
          <w:szCs w:val="28"/>
          <w:rtl w:val="true"/>
          <w:lang w:bidi="fa-IR"/>
        </w:rPr>
        <w:t>و استدلّ للحکم بإسلام الصبیّ تبعاً لسابیه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الکفر إنّما یثبت له تبعاً لأبویه، و قد انقطعت تبعیّته لهما لانقطاعه عنهما و إخراجه عن دارهما و مصیره إلی دار الإسلام تبعاً لسابیه المسلم، فکان تابعاً له فی دینه، کما فی التذکرة</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قرّره 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السبی أبطل حرّیّته، فتبطل تبعیّة الاُبوّة، و تبعیّة الدار هنا منتفیة عنه، و لا بدّ من طریق إلی إسلام الطفل؛ لأنّ الإسلام لطف</w:t>
      </w:r>
    </w:p>
    <w:p>
      <w:pPr>
        <w:pStyle w:val="BookText"/>
        <w:rPr/>
      </w:pPr>
      <w:r>
        <w:rPr>
          <w:rFonts w:ascii="IRNazanin" w:hAnsi="IRNazanin" w:eastAsia="IRNazanin"/>
          <w:color w:val="111111"/>
          <w:sz w:val="28"/>
          <w:sz w:val="28"/>
          <w:szCs w:val="28"/>
          <w:rtl w:val="true"/>
          <w:lang w:bidi="fa-IR"/>
        </w:rPr>
        <w:t>فلا یمنعه، فیتعیّن الطریق فی السابی</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الإسلام علی التغلیب و لا طریق إلیه إلّا بتبعیّة السابی</w:t>
      </w:r>
      <w:r>
        <w:rPr>
          <w:rFonts w:eastAsia="IRNazanin" w:cs="IRNazanin"/>
          <w:color w:val="111111"/>
          <w:sz w:val="28"/>
          <w:szCs w:val="28"/>
          <w:rtl w:val="true"/>
          <w:lang w:bidi="fa-IR"/>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تبعیّة الأبوین ثابتة شرعاً</w:t>
      </w:r>
      <w:r>
        <w:rPr>
          <w:rStyle w:val="FootnoteAnchor"/>
          <w:rtl w:val="true"/>
        </w:rPr>
        <w:footnoteReference w:id="1233"/>
      </w:r>
      <w:r>
        <w:rPr>
          <w:rFonts w:ascii="IRNazanin" w:hAnsi="IRNazanin" w:eastAsia="IRNazanin"/>
          <w:color w:val="111111"/>
          <w:sz w:val="28"/>
          <w:sz w:val="28"/>
          <w:szCs w:val="28"/>
          <w:rtl w:val="true"/>
          <w:lang w:bidi="fa-IR"/>
        </w:rPr>
        <w:t>مقطوع بها، و لا دلیل علی التبعیّة للسابی، کما فی مجمع الفائدة</w:t>
      </w:r>
      <w:r>
        <w:rPr>
          <w:rStyle w:val="FootnoteAnchor"/>
          <w:rtl w:val="true"/>
        </w:rPr>
        <w:footnoteReference w:id="1234"/>
      </w:r>
      <w:r>
        <w:rPr>
          <w:rFonts w:ascii="IRNazanin" w:hAnsi="IRNazanin" w:eastAsia="IRNazanin"/>
          <w:color w:val="111111"/>
          <w:sz w:val="28"/>
          <w:sz w:val="28"/>
          <w:szCs w:val="28"/>
          <w:rtl w:val="true"/>
          <w:lang w:bidi="fa-IR"/>
        </w:rPr>
        <w:t>و جامع المقاصد</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الفطرة، و إنّما أبواه یهوّدانه و ینصّرانه و یمجّسانه</w:t>
      </w:r>
      <w:r>
        <w:rPr>
          <w:rFonts w:eastAsia="IRNazanin" w:cs="IRNazanin"/>
          <w:color w:val="111111"/>
          <w:sz w:val="28"/>
          <w:szCs w:val="28"/>
          <w:rtl w:val="true"/>
          <w:lang w:bidi="fa-IR"/>
        </w:rPr>
        <w:t>»</w:t>
      </w:r>
      <w:r>
        <w:rPr>
          <w:rStyle w:val="FootnoteAnchor"/>
          <w:rtl w:val="true"/>
        </w:rPr>
        <w:footnoteReference w:id="1236"/>
      </w:r>
      <w:r>
        <w:rPr>
          <w:rFonts w:ascii="IRNazanin" w:hAnsi="IRNazanin" w:eastAsia="IRNazanin"/>
          <w:color w:val="111111"/>
          <w:sz w:val="28"/>
          <w:sz w:val="28"/>
          <w:szCs w:val="28"/>
          <w:rtl w:val="true"/>
          <w:lang w:bidi="fa-IR"/>
        </w:rPr>
        <w:t>، و هما معه</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کان أبواه معه، فلهما السلطة علیه، و إذا انقطع عنهما و زالت المعیّة انتفی المقتضی لکفره، فیرجع إلی الفطرة</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بیان الأدلّة التی استدلّ بها علی تبعیّة الطفل لدار الإسلام،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لو عاد فطرة الإسلام بواسطة الأسر منفرداً عن الأبوین یلزم القول بإسلامه فی صورة موت الأبوین، حیث إنّ الموت یوجب انقطاع</w:t>
      </w:r>
    </w:p>
    <w:p>
      <w:pPr>
        <w:pStyle w:val="BookText"/>
        <w:rPr/>
      </w:pPr>
      <w:r>
        <w:rPr>
          <w:rFonts w:ascii="IRNazanin" w:hAnsi="IRNazanin" w:eastAsia="IRNazanin"/>
          <w:color w:val="111111"/>
          <w:sz w:val="28"/>
          <w:sz w:val="28"/>
          <w:szCs w:val="28"/>
          <w:rtl w:val="true"/>
          <w:lang w:bidi="fa-IR"/>
        </w:rPr>
        <w:t>سلطة الوالدین علی الولد، و لم یقل أحد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کلّ حال، فلا ظهور فیه، بل ربّما کان ظاهراً فی العکس باعتبار دلالته علی التبعیّة بمجرّد الولادة الّتی مقتضی الأصل بقاؤها حتّی لو انفرد عنهما</w:t>
      </w:r>
      <w:r>
        <w:rPr>
          <w:rFonts w:eastAsia="IRNazanin" w:cs="IRNazanin"/>
          <w:color w:val="111111"/>
          <w:sz w:val="28"/>
          <w:szCs w:val="28"/>
          <w:rtl w:val="true"/>
          <w:lang w:bidi="fa-IR"/>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استمرار الطریقة و استقامة السیرة فی الأعصار و الأمصار علی تغسیله و تکفینه و الصلاة علیه إن بلغ الستّ أو مات قبل البلوغ، و ما سمعنا أنّهم یحرّمون ذلک و یمنعون منه؛ لأنّه کافر، کما فی مفتاح الکرامة</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و مصباح الفقیه</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للإجماع</w:t>
      </w:r>
      <w:r>
        <w:rPr>
          <w:rFonts w:eastAsia="IRNazanin" w:cs="IRNazanin"/>
          <w:color w:val="111111"/>
          <w:sz w:val="28"/>
          <w:szCs w:val="28"/>
          <w:rtl w:val="true"/>
          <w:lang w:bidi="fa-IR"/>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السیرة المتّصلة إلی زمن المعصوم علیه السلام بالنسبة إلی تبعیّة الطفل للسابی فی جمیع أحکام الإسلام، و کذا الإجماع الکاشف من قول المعصوم علیه السلام مشکل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السیرة ثابتة</w:t>
      </w:r>
      <w:r>
        <w:rPr>
          <w:rStyle w:val="FootnoteAnchor"/>
          <w:rtl w:val="true"/>
        </w:rPr>
        <w:footnoteReference w:id="1243"/>
      </w:r>
      <w:r>
        <w:rPr>
          <w:rFonts w:ascii="IRNazanin" w:hAnsi="IRNazanin" w:eastAsia="IRNazanin"/>
          <w:color w:val="111111"/>
          <w:sz w:val="28"/>
          <w:sz w:val="28"/>
          <w:szCs w:val="28"/>
          <w:rtl w:val="true"/>
          <w:lang w:bidi="fa-IR"/>
        </w:rPr>
        <w:t>فی خصوص طهارته کما سیأتی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نجد أحداً عدّ سبی المسلم طفل الکافر من المطهّرات، مع أنّه لا خلاف فی طهارته، فیلزم أن تکون طهارته من أجل</w:t>
      </w:r>
      <w:bookmarkStart w:id="356" w:name="pg11755_254691"/>
    </w:p>
    <w:p>
      <w:pPr>
        <w:pStyle w:val="BookText"/>
        <w:rPr/>
      </w:pPr>
      <w:bookmarkEnd w:id="356"/>
      <w:r>
        <w:rPr>
          <w:rFonts w:ascii="IRNazanin" w:hAnsi="IRNazanin" w:eastAsia="IRNazanin"/>
          <w:color w:val="111111"/>
          <w:sz w:val="28"/>
          <w:sz w:val="28"/>
          <w:szCs w:val="28"/>
          <w:rtl w:val="true"/>
          <w:lang w:bidi="fa-IR"/>
        </w:rPr>
        <w:t>تبعیّته للسابی</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تکون طهارته مستندة إلی أصل الطهارة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لیس فی جمیع هذه الأدلّة ما یعوّل و یستند إلیه لإثبات الحکم</w:t>
      </w:r>
      <w:r>
        <w:rPr>
          <w:rFonts w:eastAsia="IRNazanin" w:cs="IRNazanin"/>
          <w:color w:val="111111"/>
          <w:sz w:val="28"/>
          <w:szCs w:val="28"/>
          <w:rtl w:val="true"/>
          <w:lang w:bidi="fa-IR"/>
        </w:rPr>
        <w:t>.</w:t>
      </w:r>
    </w:p>
    <w:p>
      <w:pPr>
        <w:pStyle w:val="Heading6"/>
        <w:numPr>
          <w:ilvl w:val="5"/>
          <w:numId w:val="1"/>
        </w:numPr>
        <w:rPr/>
      </w:pPr>
      <w:bookmarkStart w:id="357" w:name="__RefHeading___Toc9587520_73709187"/>
      <w:bookmarkStart w:id="358" w:name="_Toc134"/>
      <w:bookmarkEnd w:id="357"/>
      <w:r>
        <w:rPr>
          <w:rtl w:val="true"/>
        </w:rPr>
        <w:t>التوقّف فی الحکم</w:t>
      </w:r>
      <w:bookmarkEnd w:id="358"/>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جماعة من الأصحاب من التوقّف فی المسألة، قال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سبی منفرداً ففی تبعیّته للسابی فی الإسلام إشکال</w:t>
      </w:r>
      <w:r>
        <w:rPr>
          <w:rFonts w:eastAsia="IRNazanin" w:cs="IRNazanin"/>
          <w:color w:val="111111"/>
          <w:sz w:val="28"/>
          <w:szCs w:val="28"/>
          <w:rtl w:val="true"/>
          <w:lang w:bidi="fa-IR"/>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المختلف</w:t>
      </w:r>
      <w:r>
        <w:rPr>
          <w:rStyle w:val="FootnoteAnchor"/>
          <w:rtl w:val="true"/>
        </w:rPr>
        <w:footnoteReference w:id="1246"/>
      </w:r>
      <w:r>
        <w:rPr>
          <w:rFonts w:ascii="IRNazanin" w:hAnsi="IRNazanin" w:eastAsia="IRNazanin"/>
          <w:color w:val="111111"/>
          <w:sz w:val="28"/>
          <w:sz w:val="28"/>
          <w:szCs w:val="28"/>
          <w:rtl w:val="true"/>
          <w:lang w:bidi="fa-IR"/>
        </w:rPr>
        <w:t>و المنتهی</w:t>
      </w:r>
      <w:r>
        <w:rPr>
          <w:rStyle w:val="FootnoteAnchor"/>
          <w:rtl w:val="true"/>
        </w:rPr>
        <w:footnoteReference w:id="1247"/>
      </w:r>
      <w:r>
        <w:rPr>
          <w:rFonts w:ascii="IRNazanin" w:hAnsi="IRNazanin" w:eastAsia="IRNazanin"/>
          <w:color w:val="111111"/>
          <w:sz w:val="28"/>
          <w:sz w:val="28"/>
          <w:szCs w:val="28"/>
          <w:rtl w:val="true"/>
          <w:lang w:bidi="fa-IR"/>
        </w:rPr>
        <w:t>و التذکرة</w:t>
      </w:r>
      <w:r>
        <w:rPr>
          <w:rStyle w:val="FootnoteAnchor"/>
          <w:rtl w:val="true"/>
        </w:rPr>
        <w:footnoteReference w:id="1248"/>
      </w:r>
      <w:r>
        <w:rPr>
          <w:rFonts w:ascii="IRNazanin" w:hAnsi="IRNazanin" w:eastAsia="IRNazanin"/>
          <w:color w:val="111111"/>
          <w:sz w:val="28"/>
          <w:sz w:val="28"/>
          <w:szCs w:val="28"/>
          <w:rtl w:val="true"/>
          <w:lang w:bidi="fa-IR"/>
        </w:rPr>
        <w:t>، و یظهر هذا أیضاً من المحقّق فی الشرائع، حیث جعله قولاً</w:t>
      </w:r>
      <w:r>
        <w:rPr>
          <w:rStyle w:val="FootnoteAnchor"/>
          <w:rtl w:val="true"/>
        </w:rPr>
        <w:footnoteReference w:id="1249"/>
      </w:r>
      <w:r>
        <w:rPr>
          <w:rFonts w:ascii="IRNazanin" w:hAnsi="IRNazanin" w:eastAsia="IRNazanin"/>
          <w:color w:val="111111"/>
          <w:sz w:val="28"/>
          <w:sz w:val="28"/>
          <w:szCs w:val="28"/>
          <w:rtl w:val="true"/>
          <w:lang w:bidi="fa-IR"/>
        </w:rPr>
        <w:t>، 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عندی فی الاستدلال من الجانبین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بأس بالعمل بهذا القول</w:t>
      </w:r>
      <w:r>
        <w:rPr>
          <w:rFonts w:eastAsia="IRNazanin" w:cs="IRNazanin"/>
          <w:color w:val="111111"/>
          <w:sz w:val="28"/>
          <w:szCs w:val="28"/>
          <w:rtl w:val="true"/>
          <w:lang w:bidi="fa-IR"/>
        </w:rPr>
        <w:t>»</w:t>
      </w:r>
      <w:r>
        <w:rPr>
          <w:rStyle w:val="FootnoteAnchor"/>
          <w:rtl w:val="true"/>
        </w:rPr>
        <w:footnoteReference w:id="1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مصباح الفقیه</w:t>
      </w:r>
      <w:r>
        <w:rPr>
          <w:rStyle w:val="FootnoteAnchor"/>
          <w:rtl w:val="true"/>
        </w:rPr>
        <w:footnoteReference w:id="125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تعلیقات بعض الأعلام علی العروة</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bookmarkStart w:id="359" w:name="pg11755_254694"/>
    </w:p>
    <w:p>
      <w:pPr>
        <w:pStyle w:val="Heading6"/>
        <w:numPr>
          <w:ilvl w:val="5"/>
          <w:numId w:val="1"/>
        </w:numPr>
        <w:rPr/>
      </w:pPr>
      <w:bookmarkStart w:id="360" w:name="__RefHeading___Toc9587522_73709187"/>
      <w:bookmarkStart w:id="361" w:name="_Toc135"/>
      <w:bookmarkEnd w:id="359"/>
      <w:bookmarkEnd w:id="360"/>
      <w:r>
        <w:rPr>
          <w:rtl w:val="true"/>
        </w:rPr>
        <w:t>التبعیّة فی الطهارة خاصّة</w:t>
      </w:r>
      <w:bookmarkEnd w:id="361"/>
    </w:p>
    <w:p>
      <w:pPr>
        <w:pStyle w:val="BookText"/>
        <w:rPr/>
      </w:pPr>
      <w:r>
        <w:rPr>
          <w:rFonts w:ascii="IRNazanin" w:hAnsi="IRNazanin" w:eastAsia="IRNazanin"/>
          <w:color w:val="111111"/>
          <w:sz w:val="28"/>
          <w:sz w:val="28"/>
          <w:szCs w:val="28"/>
          <w:rtl w:val="true"/>
          <w:lang w:bidi="fa-IR"/>
        </w:rPr>
        <w:t>ثمّ إنّ کثیراً من الأصحاب بعد التوقّف فی التبعیّة و عدمها ذهبوا إلی أنّ الطفل المسبیّ منفرداً عن أبویه إنّما یتبع السابی فی الإسلام بالنسبة إلی الطهارة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أقربه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التبعیّة فی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لأصالتها السالمة عن معارضة یقین النجاسة</w:t>
      </w:r>
      <w:r>
        <w:rPr>
          <w:rFonts w:eastAsia="IRNazanin" w:cs="IRNazanin"/>
          <w:color w:val="111111"/>
          <w:sz w:val="28"/>
          <w:szCs w:val="28"/>
          <w:rtl w:val="true"/>
          <w:lang w:bidi="fa-IR"/>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فخر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الأقوی عندی ما اختاره والدی المصنّف فی آخر عمره، و هو أنّه یتبعه فی الإسلام بالنسبة إلی الطهارة لا إلی غیرها؛ للحرج</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التبعیّة فی الإسلام للسابی إنّما هی فی الطهارة خاصّة، و هو الأولی؛ اقتصاراً علی موضع الیقین</w:t>
      </w:r>
      <w:r>
        <w:rPr>
          <w:rFonts w:eastAsia="IRNazanin" w:cs="IRNazanin"/>
          <w:color w:val="111111"/>
          <w:sz w:val="28"/>
          <w:szCs w:val="28"/>
          <w:rtl w:val="true"/>
          <w:lang w:bidi="fa-IR"/>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دفعاً للحرج</w:t>
      </w:r>
      <w:r>
        <w:rPr>
          <w:rStyle w:val="FootnoteAnchor"/>
          <w:rtl w:val="true"/>
        </w:rPr>
        <w:footnoteReference w:id="1257"/>
      </w:r>
      <w:r>
        <w:rPr>
          <w:rFonts w:ascii="IRNazanin" w:hAnsi="IRNazanin" w:eastAsia="IRNazanin"/>
          <w:color w:val="111111"/>
          <w:sz w:val="28"/>
          <w:sz w:val="28"/>
          <w:szCs w:val="28"/>
          <w:rtl w:val="true"/>
          <w:lang w:bidi="fa-IR"/>
        </w:rPr>
        <w:t>؛ إذ لا بدّ من مباشرته</w:t>
      </w:r>
    </w:p>
    <w:p>
      <w:pPr>
        <w:pStyle w:val="BookText"/>
        <w:rPr/>
      </w:pPr>
      <w:r>
        <w:rPr>
          <w:rFonts w:ascii="IRNazanin" w:hAnsi="IRNazanin" w:eastAsia="IRNazanin"/>
          <w:color w:val="111111"/>
          <w:sz w:val="28"/>
          <w:sz w:val="28"/>
          <w:szCs w:val="28"/>
          <w:rtl w:val="true"/>
          <w:lang w:bidi="fa-IR"/>
        </w:rPr>
        <w:t>و استخدامه</w:t>
      </w:r>
      <w:r>
        <w:rPr>
          <w:rFonts w:eastAsia="IRNazanin" w:cs="IRNazanin"/>
          <w:color w:val="111111"/>
          <w:sz w:val="28"/>
          <w:szCs w:val="28"/>
          <w:rtl w:val="true"/>
          <w:lang w:bidi="fa-IR"/>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الشهید الثانی،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بالطهارة أیضاً من دون الإسلام انفکاک غیر معهود شرعاً، إلّا أنّه مع عدم القائل بالنجاسة غیر ضائر إن شاء اللّه، فلا بأس بالعمل بهذا القول</w:t>
      </w:r>
      <w:r>
        <w:rPr>
          <w:rFonts w:eastAsia="IRNazanin" w:cs="IRNazanin"/>
          <w:color w:val="111111"/>
          <w:sz w:val="28"/>
          <w:szCs w:val="28"/>
          <w:rtl w:val="true"/>
          <w:lang w:bidi="fa-IR"/>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ظاهر الأصحاب عدم الخلاف بینهم فی طهارته و الحال هذه</w:t>
      </w:r>
      <w:r>
        <w:rPr>
          <w:rFonts w:eastAsia="IRNazanin" w:cs="IRNazanin"/>
          <w:color w:val="111111"/>
          <w:sz w:val="28"/>
          <w:szCs w:val="28"/>
          <w:rtl w:val="true"/>
          <w:lang w:bidi="fa-IR"/>
        </w:rPr>
        <w:t>»</w:t>
      </w:r>
      <w:r>
        <w:rPr>
          <w:rStyle w:val="FootnoteAnchor"/>
          <w:rtl w:val="true"/>
        </w:rPr>
        <w:footnoteReference w:id="1260"/>
      </w:r>
      <w:r>
        <w:rPr>
          <w:rFonts w:ascii="IRNazanin" w:hAnsi="IRNazanin" w:eastAsia="IRNazanin"/>
          <w:color w:val="111111"/>
          <w:sz w:val="28"/>
          <w:sz w:val="28"/>
          <w:szCs w:val="28"/>
          <w:rtl w:val="true"/>
          <w:lang w:bidi="fa-IR"/>
        </w:rPr>
        <w:t>، و کذا فی مجمع البرهان</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قوّی فی الذخیرة الطهارة؛ لکونها أصلاً، خرج ما قبل السبی بالدلیل، و بقی الباقی</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المدارک</w:t>
      </w:r>
      <w:r>
        <w:rPr>
          <w:rStyle w:val="FootnoteAnchor"/>
          <w:rtl w:val="true"/>
        </w:rPr>
        <w:footnoteReference w:id="1263"/>
      </w:r>
      <w:r>
        <w:rPr>
          <w:rFonts w:ascii="IRNazanin" w:hAnsi="IRNazanin" w:eastAsia="IRNazanin"/>
          <w:color w:val="111111"/>
          <w:sz w:val="28"/>
          <w:sz w:val="28"/>
          <w:szCs w:val="28"/>
          <w:rtl w:val="true"/>
          <w:lang w:bidi="fa-IR"/>
        </w:rPr>
        <w:t>و الکفایة</w:t>
      </w:r>
      <w:r>
        <w:rPr>
          <w:rStyle w:val="FootnoteAnchor"/>
          <w:rtl w:val="true"/>
        </w:rPr>
        <w:footnoteReference w:id="1264"/>
      </w:r>
      <w:r>
        <w:rPr>
          <w:rFonts w:ascii="IRNazanin" w:hAnsi="IRNazanin" w:eastAsia="IRNazanin"/>
          <w:color w:val="111111"/>
          <w:sz w:val="28"/>
          <w:sz w:val="28"/>
          <w:szCs w:val="28"/>
          <w:rtl w:val="true"/>
          <w:lang w:bidi="fa-IR"/>
        </w:rPr>
        <w:t>، و کذا فی الریاض</w:t>
      </w:r>
      <w:r>
        <w:rPr>
          <w:rStyle w:val="FootnoteAnchor"/>
          <w:rtl w:val="true"/>
        </w:rPr>
        <w:footnoteReference w:id="1265"/>
      </w:r>
      <w:r>
        <w:rPr>
          <w:rFonts w:ascii="IRNazanin" w:hAnsi="IRNazanin" w:eastAsia="IRNazanin"/>
          <w:color w:val="111111"/>
          <w:sz w:val="28"/>
          <w:sz w:val="28"/>
          <w:szCs w:val="28"/>
          <w:rtl w:val="true"/>
          <w:lang w:bidi="fa-IR"/>
        </w:rPr>
        <w:t>و المستند</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و الغنائم</w:t>
      </w:r>
      <w:r>
        <w:rPr>
          <w:rStyle w:val="FootnoteAnchor"/>
          <w:rtl w:val="true"/>
        </w:rPr>
        <w:footnoteReference w:id="1267"/>
      </w:r>
      <w:r>
        <w:rPr>
          <w:rFonts w:ascii="IRNazanin" w:hAnsi="IRNazanin" w:eastAsia="IRNazanin"/>
          <w:color w:val="111111"/>
          <w:sz w:val="28"/>
          <w:sz w:val="28"/>
          <w:szCs w:val="28"/>
          <w:rtl w:val="true"/>
          <w:lang w:bidi="fa-IR"/>
        </w:rPr>
        <w:t>و مصباح الهدی</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اختاره الشیخ الأعظم</w:t>
      </w:r>
      <w:r>
        <w:rPr>
          <w:rStyle w:val="FootnoteAnchor"/>
          <w:rtl w:val="true"/>
        </w:rPr>
        <w:footnoteReference w:id="1269"/>
      </w:r>
      <w:r>
        <w:rPr>
          <w:rFonts w:ascii="IRNazanin" w:hAnsi="IRNazanin" w:eastAsia="IRNazanin"/>
          <w:color w:val="111111"/>
          <w:sz w:val="28"/>
          <w:sz w:val="28"/>
          <w:szCs w:val="28"/>
          <w:rtl w:val="true"/>
          <w:lang w:bidi="fa-IR"/>
        </w:rPr>
        <w:t>، و الفقیه الهمدانی</w:t>
      </w:r>
      <w:r>
        <w:rPr>
          <w:rStyle w:val="FootnoteAnchor"/>
          <w:rtl w:val="true"/>
        </w:rPr>
        <w:footnoteReference w:id="1270"/>
      </w:r>
      <w:r>
        <w:rPr>
          <w:rFonts w:ascii="IRNazanin" w:hAnsi="IRNazanin" w:eastAsia="IRNazanin"/>
          <w:color w:val="111111"/>
          <w:sz w:val="28"/>
          <w:sz w:val="28"/>
          <w:szCs w:val="28"/>
          <w:rtl w:val="true"/>
          <w:lang w:bidi="fa-IR"/>
        </w:rPr>
        <w:t>و السیّد الخوئی</w:t>
      </w:r>
      <w:r>
        <w:rPr>
          <w:rStyle w:val="FootnoteAnchor"/>
          <w:rtl w:val="true"/>
        </w:rPr>
        <w:footnoteReference w:id="1271"/>
      </w:r>
      <w:bookmarkStart w:id="362" w:name="pg11755_254698"/>
    </w:p>
    <w:p>
      <w:pPr>
        <w:pStyle w:val="BookText"/>
        <w:rPr/>
      </w:pPr>
      <w:bookmarkEnd w:id="362"/>
      <w:r>
        <w:rPr>
          <w:rFonts w:ascii="IRNazanin" w:hAnsi="IRNazanin" w:eastAsia="IRNazanin"/>
          <w:color w:val="111111"/>
          <w:sz w:val="28"/>
          <w:sz w:val="28"/>
          <w:szCs w:val="28"/>
          <w:rtl w:val="true"/>
          <w:lang w:bidi="fa-IR"/>
        </w:rPr>
        <w:t>و الشیخ الفاضل اللنکرانی</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3" w:name="__RefHeading___Toc9587524_73709187"/>
      <w:bookmarkStart w:id="364" w:name="_Toc136"/>
      <w:bookmarkEnd w:id="363"/>
      <w:r>
        <w:rPr>
          <w:rtl w:val="true"/>
        </w:rPr>
        <w:t>أدلّة تبعیّة الطفل للسابی فی الطهارة</w:t>
      </w:r>
      <w:bookmarkEnd w:id="364"/>
    </w:p>
    <w:p>
      <w:pPr>
        <w:pStyle w:val="BookText"/>
        <w:rPr/>
      </w:pPr>
      <w:r>
        <w:rPr>
          <w:rFonts w:ascii="IRNazanin" w:hAnsi="IRNazanin" w:eastAsia="IRNazanin"/>
          <w:color w:val="111111"/>
          <w:sz w:val="28"/>
          <w:sz w:val="28"/>
          <w:szCs w:val="28"/>
          <w:rtl w:val="true"/>
          <w:lang w:bidi="fa-IR"/>
        </w:rPr>
        <w:t>و یمکن أن یستدلّ لهذا الحکم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خلاف فیه، کما فی التلخیص</w:t>
      </w:r>
      <w:r>
        <w:rPr>
          <w:rStyle w:val="FootnoteAnchor"/>
          <w:rtl w:val="true"/>
        </w:rPr>
        <w:footnoteReference w:id="1273"/>
      </w:r>
      <w:r>
        <w:rPr>
          <w:rFonts w:ascii="IRNazanin" w:hAnsi="IRNazanin" w:eastAsia="IRNazanin"/>
          <w:color w:val="111111"/>
          <w:sz w:val="28"/>
          <w:sz w:val="28"/>
          <w:szCs w:val="28"/>
          <w:rtl w:val="true"/>
          <w:lang w:bidi="fa-IR"/>
        </w:rPr>
        <w:t>و المعالم</w:t>
      </w:r>
      <w:r>
        <w:rPr>
          <w:rStyle w:val="FootnoteAnchor"/>
          <w:rtl w:val="true"/>
        </w:rPr>
        <w:footnoteReference w:id="1274"/>
      </w:r>
      <w:r>
        <w:rPr>
          <w:rFonts w:ascii="IRNazanin" w:hAnsi="IRNazanin" w:eastAsia="IRNazanin"/>
          <w:color w:val="111111"/>
          <w:sz w:val="28"/>
          <w:sz w:val="28"/>
          <w:szCs w:val="28"/>
          <w:rtl w:val="true"/>
          <w:lang w:bidi="fa-IR"/>
        </w:rPr>
        <w:t>و الغنائم</w:t>
      </w:r>
      <w:r>
        <w:rPr>
          <w:rStyle w:val="FootnoteAnchor"/>
          <w:rtl w:val="true"/>
        </w:rPr>
        <w:footnoteReference w:id="1275"/>
      </w:r>
      <w:r>
        <w:rPr>
          <w:rFonts w:ascii="IRNazanin" w:hAnsi="IRNazanin" w:eastAsia="IRNazanin"/>
          <w:color w:val="111111"/>
          <w:sz w:val="28"/>
          <w:sz w:val="28"/>
          <w:szCs w:val="28"/>
          <w:rtl w:val="true"/>
          <w:lang w:bidi="fa-IR"/>
        </w:rPr>
        <w:t>و مجمع الفائدة،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إجماعیّاً</w:t>
      </w:r>
      <w:r>
        <w:rPr>
          <w:rFonts w:eastAsia="IRNazanin" w:cs="IRNazanin"/>
          <w:color w:val="111111"/>
          <w:sz w:val="28"/>
          <w:szCs w:val="28"/>
          <w:rtl w:val="true"/>
          <w:lang w:bidi="fa-IR"/>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إثبات الإجماع بالنسبة إلی الفرع المسکوت عنه لا یخلو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 عدم طهارته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مردود؛ لأنّه یمکن منع تحقّق موضوعه کما فی سبی النساء، و استئجار الکفّار فی المدّة الطویلة، و لم یقل أحد بالحکم بالطهارة حینئذٍ بسبب الحرج</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الطهارة، و قرّرها فی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ریب فی أنّ الأصل فی الأشیاء کلّها الطهارة إلی أن یقوم علی خلافها دلیل، و حیث إنّ الدلیل المخرج عن حکم الأصل فی موضع النزاع مخصوص بالحالة السابقة علی الشیء، فالقدر المحقّق من المخالفة لأصالة الطهارة هو ذاک، و ما عداه باقٍ علی حکم الأصل</w:t>
      </w:r>
      <w:r>
        <w:rPr>
          <w:rFonts w:eastAsia="IRNazanin" w:cs="IRNazanin"/>
          <w:color w:val="111111"/>
          <w:sz w:val="28"/>
          <w:szCs w:val="28"/>
          <w:rtl w:val="true"/>
          <w:lang w:bidi="fa-IR"/>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استصحاب النجاسة التی تحقّقت بمجرّد الولادة حاکم علی أصل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التمسّک بالاستصحاب مردود؛ لأنّ موضوع النجاسة قد تبدّل؛ لأنّه لم یعلم أنّ ثبوت النجاسة لنفس الطفل أو الطفل المصاحب للأبوین، فلعلّ لوصف المصاحبة مدخلاً فی الموضوع الذی یعتبر القطع ببقائه فی جریان الاستصحاب</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مضافاً إلی أنّ الاستصحاب فیه من قبیل الشکّ فی المقتضی، و لا اعتداد به</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أجاد الإمام الخمینی قدس سره فیما أفاد،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المعتبر فی جریان الاستصحاب وحدة القضیّة المتیقّنة و المشکوک فیها من غیر مدخلیّة لبقاء موضوع الدلیل الاجتهادی و عدمه، بل و مع القطع بعدم بقاء ما اخذ فی موضوعه، فلو علمنا بأنّ المأخوذ فی الدلیل الاجتهادی هو الطفل المصاحب لأبویه، لکن کان الدلیل قاصراً عن نفی الحکم عمّا بعد المصاحبة، و شککنا فی بقاء الحکم؛ لاحتمال أن یکون وصف المصاحبة واسطة فی الإثبات و دخیلاً فی ثبوت الحکم لا فی بقائه، فلا إشکال فی جریانه؛ لأنّا علی یقین من أنّ الطفل الموجود فی الخارج کان نجساً ببرکة الکبری الکلّیّة المنضمّة إلی الصغری الوجدانیّة، فیشار إلی الطفل الموجود، 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کان مصاحباً لأبویه الکافرین، و کلّ طفل کان کذلک کان نجساً و لو لأجل مصاحبته، فهذا کان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القضیّة المتیقّنة المتّحدة مع القضیّة المشکوک</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Style w:val="FootnoteAnchor"/>
          <w:rtl w:val="true"/>
        </w:rPr>
        <w:footnoteReference w:id="1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 هذا فی المستمسک</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مع ذلک کلّه فی جریان الاستصحاب تأمّل، بل منع؛ لوجود الأمارة المعتبرة مثل السیرة،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الخوئی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دلیل النجاسة قاصر الشمول له فی نفسه، حیث إنّ الدلیل علی نجاسة ولد الکافر منحصر بالإجماع، و عدم الفصل القطعی بین المظهر للکفر و غیره، و من الواضح عدم تحقّق الإجماع علی نجاسته إذا کان أسیراً للمسلم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لذهاب المشهور إلی طهارته، فالمقتضی للنجاسة قاصر فی نفسه، و هو کافٍ فی الحکم بالطهارة</w:t>
      </w:r>
      <w:r>
        <w:rPr>
          <w:rFonts w:eastAsia="IRNazanin" w:cs="IRNazanin"/>
          <w:color w:val="111111"/>
          <w:sz w:val="28"/>
          <w:szCs w:val="28"/>
          <w:rtl w:val="true"/>
          <w:lang w:bidi="fa-IR"/>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الفاضل 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العمدة فی الحکم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دلیل النجاسة عن الشمول له؛ لوضوح عدم تحقّق الإجماع و عدم القول بالفصل فی هذا المورد مع ذهاب المشهور إلی الطهارة، و أما سائر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فقابل للمناقشة</w:t>
      </w:r>
      <w:r>
        <w:rPr>
          <w:rFonts w:eastAsia="IRNazanin" w:cs="IRNazanin"/>
          <w:color w:val="111111"/>
          <w:sz w:val="28"/>
          <w:szCs w:val="28"/>
          <w:rtl w:val="true"/>
          <w:lang w:bidi="fa-IR"/>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القطعیّة المستمرّة علی معاملة مع السبایا معاملة المسلمین من حیث الطهارة و عدم الالتزام بالتحرّز عنهم</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شرح المفاتیح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السابین من المسلمین ما کانوا یجتنبون عن مساورة من سبوه من الأطفال، و إلّا لاشتهر الاجتناب لا أنّه یشتهر عدم الاجتناب إلی أن اشتهر بین الفقهاء ما اشتهر، و اتّفق المسلمون فی الأعصار</w:t>
      </w:r>
      <w:bookmarkStart w:id="365" w:name="pg11755_254704"/>
    </w:p>
    <w:p>
      <w:pPr>
        <w:pStyle w:val="BookText"/>
        <w:rPr/>
      </w:pPr>
      <w:bookmarkEnd w:id="365"/>
      <w:r>
        <w:rPr>
          <w:rFonts w:ascii="IRNazanin" w:hAnsi="IRNazanin" w:eastAsia="IRNazanin"/>
          <w:color w:val="111111"/>
          <w:sz w:val="28"/>
          <w:sz w:val="28"/>
          <w:szCs w:val="28"/>
          <w:rtl w:val="true"/>
          <w:lang w:bidi="fa-IR"/>
        </w:rPr>
        <w:t>و الأمصار علی عدم الاجتناب</w:t>
      </w:r>
      <w:r>
        <w:rPr>
          <w:rFonts w:eastAsia="IRNazanin" w:cs="IRNazanin"/>
          <w:color w:val="111111"/>
          <w:sz w:val="28"/>
          <w:szCs w:val="28"/>
          <w:rtl w:val="true"/>
          <w:lang w:bidi="fa-IR"/>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یدّعی أنّه ثبت الاتّفاق بین الفریقین علی معاملة السبایا معاملة المسلمین فی الطهارة، و لم یقل أحد من الشیعة و أهل السنّة بنجاستهم، و هذا أقوی دلیل للحکم، فالحکم بتبعیّة الطفل للسابی فی الطهارة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کلّه یمکن المناقشة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بالطهارة من دون الإسلام انفکاک غیر معهود من الشرع، إلّا فی ولد الزنا قبل بلوغه علی قول، إلّا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غیر ضائر؛ لعدم القائل بالنجاسة، کما فی المسالک</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6" w:name="__RefHeading___Toc9587526_73709187"/>
      <w:bookmarkStart w:id="367" w:name="_Toc137"/>
      <w:bookmarkEnd w:id="366"/>
      <w:r>
        <w:rPr>
          <w:rtl w:val="true"/>
        </w:rPr>
        <w:t>فروع</w:t>
      </w:r>
      <w:bookmarkEnd w:id="367"/>
    </w:p>
    <w:p>
      <w:pPr>
        <w:pStyle w:val="BookText"/>
        <w:rPr/>
      </w:pPr>
      <w:r>
        <w:rPr>
          <w:rFonts w:ascii="IRNazanin" w:hAnsi="IRNazanin" w:eastAsia="IRNazanin"/>
          <w:color w:val="111111"/>
          <w:sz w:val="28"/>
          <w:sz w:val="28"/>
          <w:szCs w:val="28"/>
          <w:rtl w:val="true"/>
          <w:lang w:bidi="fa-IR"/>
        </w:rPr>
        <w:t>ثمّ إنّه یتفرّع علی النزاع فی تبعیّة الطفل للسابی و عدمها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فی ید المسلم قبل البلوغ، فعلی القول بالتبعیّة یجب تغسیله و الصلاة علیه إن بلغ الستّ، و یستحبّ قبلها، و علی القول الآخر لا یصحّ ذلک؛ لأنّه بحکم الکافر، کما لو مات مصاحباً لأبویه و إن کان ملکاً للمسلم و حکم بطهارته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بلغ استمرّ مسلماً علی القول بالتبعیّة و إن لم یسمع منه الاعتراف بما یوجب الإسلام کما فی أولاد المسلمین، بخلافه علی القول الآخر، فإنّه لا یحکم بطهارته بعد البلوغ إلّا أن یُظهر الإسلام کغیره من أولاد الکفّار، فینبغی لمن 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أن یعلّمه ما یتحقّق معه الإسلام قبل البلوغ، و یستنطقه به عند تحقّق البلوغ؛ لیتّصل الحکم بالطهارة</w:t>
      </w:r>
      <w:r>
        <w:rPr>
          <w:rFonts w:eastAsia="IRNazanin" w:cs="IRNazanin"/>
          <w:color w:val="111111"/>
          <w:sz w:val="28"/>
          <w:szCs w:val="28"/>
          <w:rtl w:val="true"/>
          <w:lang w:bidi="fa-IR"/>
        </w:rPr>
        <w:t>.</w:t>
      </w:r>
      <w:bookmarkStart w:id="368" w:name="pg11755_254707"/>
    </w:p>
    <w:p>
      <w:pPr>
        <w:pStyle w:val="BookText"/>
        <w:rPr/>
      </w:pPr>
      <w:bookmarkEnd w:id="368"/>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اشتبه سنّه و بلوغه بنی علی أصالة العدم، فیستصحب الطهارة علی القول بالتبعیّة فی الطهارة خاصّة إلی أن یعلم، و ینبغی مراعاته عند ظهور الأمارات المفیدة للظنّ بالاختبار لعانته، و تکرار الإقرار بالشهادتین فی مختلف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بیعه لغیر المسلم علی القول بالتبعیّة، و علی القول الآخر یجوز، و یحتمل العدم أیضاً لتشبّثه بالإسلام و اتّصافه منه ببعض الأحکام، بخلاف الکافر المحض و من هو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أنّ القول بتبعیّته فی الطهارة خاصّة لیس هو أحوط القولین، بل الحکم بإسلامه أحوط فی الأمر الأوّل و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قریبه المسلم و له وارث مسلم فعلی القول بالتبعیّة یشارکه إن کان فی درجته، و یختصّ إن کان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بعدم التبعیّة الإرث للآخر خاصّة</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القود بقتله عمداً، و الدیة عند الخطأ علی القول بالتبعیّة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عتقه فی الکفّارات إلّا فی کفّارة القتل</w:t>
      </w:r>
      <w:r>
        <w:rPr>
          <w:rStyle w:val="FootnoteAnchor"/>
          <w:rtl w:val="true"/>
        </w:rPr>
        <w:footnoteReference w:id="1289"/>
      </w:r>
      <w:r>
        <w:rPr>
          <w:rFonts w:ascii="IRNazanin" w:hAnsi="IRNazanin" w:eastAsia="IRNazanin"/>
          <w:color w:val="111111"/>
          <w:sz w:val="28"/>
          <w:sz w:val="28"/>
          <w:szCs w:val="28"/>
          <w:rtl w:val="true"/>
          <w:lang w:bidi="fa-IR"/>
        </w:rPr>
        <w:t>علی القول بالتبعیّة إلی غیر ذلک من الأحکام التی لا یخفی جریانها بأدنی التفات، و اللّه هو العالم</w:t>
      </w:r>
      <w:r>
        <w:rPr>
          <w:rFonts w:eastAsia="IRNazanin" w:cs="IRNazanin"/>
          <w:color w:val="111111"/>
          <w:sz w:val="28"/>
          <w:szCs w:val="28"/>
          <w:rtl w:val="true"/>
          <w:lang w:bidi="fa-IR"/>
        </w:rPr>
        <w:t>.</w:t>
      </w:r>
    </w:p>
    <w:p>
      <w:pPr>
        <w:pStyle w:val="Heading6"/>
        <w:numPr>
          <w:ilvl w:val="5"/>
          <w:numId w:val="1"/>
        </w:numPr>
        <w:rPr/>
      </w:pPr>
      <w:bookmarkStart w:id="369" w:name="__RefHeading___Toc9587528_73709187"/>
      <w:bookmarkStart w:id="370" w:name="_Toc138"/>
      <w:bookmarkEnd w:id="369"/>
      <w:r>
        <w:rPr>
          <w:rtl w:val="true"/>
        </w:rPr>
        <w:t>مذهب أهل السنّة فی المسألة</w:t>
      </w:r>
      <w:bookmarkEnd w:id="37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جمهور الفقهاء من أهل السنّة إلی أنّ من سبی من أطفال الکفّار منفرداً فهو مسلم؛ لتبعیّته لسابیه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سبی من لم یبلغ من أولاد الکفّار صار رقیقاً، و لا یخلو من ثلاثة 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یسبی منفرداً عن أبویه، فهذا یصیر مسلماً إجماعاً؛ لأنّ الدین إنّما یثبت له تبعاً، و قد انقطعت تبعیّته لأبویه لانقطاعه عنهما، و إخراجه عن دارهما و مصیره إلی دار الإسلام</w:t>
      </w:r>
      <w:r>
        <w:rPr>
          <w:rStyle w:val="FootnoteAnchor"/>
          <w:rtl w:val="true"/>
        </w:rPr>
        <w:footnoteReference w:id="1290"/>
      </w:r>
      <w:r>
        <w:rPr>
          <w:rFonts w:ascii="IRNazanin" w:hAnsi="IRNazanin" w:eastAsia="IRNazanin"/>
          <w:color w:val="111111"/>
          <w:sz w:val="28"/>
          <w:sz w:val="28"/>
          <w:szCs w:val="28"/>
          <w:rtl w:val="true"/>
          <w:lang w:bidi="fa-IR"/>
        </w:rPr>
        <w:t>تبعاً لسابیه المسلم، فکان تابعاً له فی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یسبی مع أحد أبویه، فإنّه یحکم بإسلامه أیضاً، و بهذا قال الأوزاعی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حنیفة و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تابعاً لأبیه فی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الفطرة، فأبواه یهوّدانه أو ینصّرانه أو یمجّسانه</w:t>
      </w:r>
      <w:r>
        <w:rPr>
          <w:rFonts w:eastAsia="IRNazanin" w:cs="IRNazanin"/>
          <w:color w:val="111111"/>
          <w:sz w:val="28"/>
          <w:szCs w:val="28"/>
          <w:rtl w:val="true"/>
          <w:lang w:bidi="fa-IR"/>
        </w:rPr>
        <w:t>»</w:t>
      </w:r>
      <w:r>
        <w:rPr>
          <w:rStyle w:val="FootnoteAnchor"/>
          <w:rtl w:val="true"/>
        </w:rPr>
        <w:footnoteReference w:id="1291"/>
      </w:r>
      <w:r>
        <w:rPr>
          <w:rFonts w:ascii="IRNazanin" w:hAnsi="IRNazanin" w:eastAsia="IRNazanin"/>
          <w:color w:val="111111"/>
          <w:sz w:val="28"/>
          <w:sz w:val="28"/>
          <w:szCs w:val="28"/>
          <w:rtl w:val="true"/>
          <w:lang w:bidi="fa-IR"/>
        </w:rPr>
        <w:t>، فمفهومه أنّه لا یتبع أحدهما؛ لأنّ الحکم متی علّق بشیئین لا یثبت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یسبی مع أبویه، فإنّه یکون علی دینهما</w:t>
      </w:r>
      <w:r>
        <w:rPr>
          <w:rFonts w:eastAsia="IRNazanin" w:cs="IRNazanin"/>
          <w:color w:val="111111"/>
          <w:sz w:val="28"/>
          <w:szCs w:val="28"/>
          <w:rtl w:val="true"/>
          <w:lang w:bidi="fa-IR"/>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سبی المسلم صبیّاً فإن کان معه أحد أبویه کان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سبی وحده ففیه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باقٍ علی حکم کفره و لا یتبع السابی فی الإسلام، و هو ظاهر المذهب؛ لأنّ ید السابی ید ملک، فلا توجب إسلامه کید المشتری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یتبعه؛ لأنّه لا یصحّ إسلامه بنفسه و لا معه من یتبعه فی کفره، فجعل تابعاً للسابی؛ لأنّه کالأب فی حضانته و کفالته، فتبعه</w:t>
      </w:r>
    </w:p>
    <w:p>
      <w:pPr>
        <w:pStyle w:val="BookText"/>
        <w:rPr/>
      </w:pP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سبی الصغیر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فحکمه حکم سابیه و یصیر مسلماً بإسلامه؛ لأنّ الطفل هنا یعتبر فی الدین بغیره، و لا یصحّ مع عدم التکلیف أن یعتبر بنفسه</w:t>
      </w:r>
      <w:r>
        <w:rPr>
          <w:rFonts w:eastAsia="IRNazanin" w:cs="IRNazanin"/>
          <w:color w:val="111111"/>
          <w:sz w:val="28"/>
          <w:szCs w:val="28"/>
          <w:rtl w:val="true"/>
          <w:lang w:bidi="fa-IR"/>
        </w:rPr>
        <w:t>»</w:t>
      </w:r>
      <w:r>
        <w:rPr>
          <w:rStyle w:val="FootnoteAnchor"/>
          <w:rtl w:val="true"/>
        </w:rPr>
        <w:footnoteReference w:id="1294"/>
      </w:r>
      <w:r>
        <w:rPr>
          <w:rFonts w:ascii="IRNazanin" w:hAnsi="IRNazanin" w:eastAsia="IRNazanin"/>
          <w:color w:val="111111"/>
          <w:sz w:val="28"/>
          <w:sz w:val="28"/>
          <w:szCs w:val="28"/>
          <w:rtl w:val="true"/>
          <w:lang w:bidi="fa-IR"/>
        </w:rPr>
        <w:t>، و کذا فی الحاوی الکبیر</w:t>
      </w:r>
      <w:r>
        <w:rPr>
          <w:rStyle w:val="FootnoteAnchor"/>
          <w:rtl w:val="true"/>
        </w:rPr>
        <w:footnoteReference w:id="1295"/>
      </w:r>
      <w:r>
        <w:rPr>
          <w:rFonts w:ascii="IRNazanin" w:hAnsi="IRNazanin" w:eastAsia="IRNazanin"/>
          <w:color w:val="111111"/>
          <w:sz w:val="28"/>
          <w:sz w:val="28"/>
          <w:szCs w:val="28"/>
          <w:rtl w:val="true"/>
          <w:lang w:bidi="fa-IR"/>
        </w:rPr>
        <w:t>، و قریب منه فی البدائع</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bookmarkStart w:id="371" w:name="pg11755_254714"/>
    </w:p>
    <w:p>
      <w:pPr>
        <w:pStyle w:val="Heading4"/>
        <w:numPr>
          <w:ilvl w:val="3"/>
          <w:numId w:val="1"/>
        </w:numPr>
        <w:rPr/>
      </w:pPr>
      <w:bookmarkStart w:id="372" w:name="__RefHeading___Toc9587530_73709187"/>
      <w:bookmarkStart w:id="373" w:name="_Toc139"/>
      <w:bookmarkEnd w:id="371"/>
      <w:bookmarkEnd w:id="372"/>
      <w:r>
        <w:rPr>
          <w:rtl w:val="true"/>
        </w:rPr>
        <w:t>المبحث الخامس</w:t>
      </w:r>
      <w:r>
        <w:rPr>
          <w:rtl w:val="true"/>
        </w:rPr>
        <w:t xml:space="preserve">: </w:t>
      </w:r>
      <w:r>
        <w:rPr>
          <w:rtl w:val="true"/>
        </w:rPr>
        <w:t>صحّة إسلام الصبیّ و عدمها</w:t>
      </w:r>
      <w:bookmarkEnd w:id="373"/>
    </w:p>
    <w:p>
      <w:pPr>
        <w:pStyle w:val="Heading5"/>
        <w:numPr>
          <w:ilvl w:val="4"/>
          <w:numId w:val="1"/>
        </w:numPr>
        <w:rPr/>
      </w:pPr>
      <w:bookmarkStart w:id="374" w:name="__RefHeading___Toc9587532_73709187"/>
      <w:bookmarkStart w:id="375" w:name="_Toc140"/>
      <w:bookmarkEnd w:id="374"/>
      <w:r>
        <w:rPr>
          <w:rtl w:val="true"/>
        </w:rPr>
        <w:t>اشارة</w:t>
      </w:r>
      <w:bookmarkEnd w:id="375"/>
    </w:p>
    <w:p>
      <w:pPr>
        <w:pStyle w:val="Heading5"/>
        <w:numPr>
          <w:ilvl w:val="4"/>
          <w:numId w:val="1"/>
        </w:numPr>
        <w:rPr/>
      </w:pPr>
      <w:bookmarkStart w:id="376" w:name="__RefHeading___Toc9587534_73709187"/>
      <w:bookmarkStart w:id="377" w:name="_Toc141"/>
      <w:bookmarkEnd w:id="376"/>
      <w:r>
        <w:rPr>
          <w:rtl w:val="true"/>
        </w:rPr>
        <w:t>طهارة الصبیّ بالإسلام</w:t>
      </w:r>
      <w:bookmarkEnd w:id="377"/>
    </w:p>
    <w:p>
      <w:pPr>
        <w:pStyle w:val="BookText"/>
        <w:rPr/>
      </w:pPr>
      <w:r>
        <w:rPr>
          <w:rFonts w:ascii="IRNazanin" w:hAnsi="IRNazanin" w:eastAsia="IRNazanin"/>
          <w:color w:val="111111"/>
          <w:sz w:val="28"/>
          <w:sz w:val="28"/>
          <w:szCs w:val="28"/>
          <w:rtl w:val="true"/>
          <w:lang w:bidi="fa-IR"/>
        </w:rPr>
        <w:t xml:space="preserve">الظاهر أنّه لا خلاف بین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ثبت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لا یصحّ إسلام الصبیّ الغیر الممیّز إلّا بالتبعیّة، کما تقدّم، و أمّا الممیّز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له إدراک و فهم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یصحّ إسلامه بالمباشرة و الاستقلال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یظهر الشهادتین بالعبارة إن کان قادراً علی النطق، و بالإشارة المفهمة إن کان أخرس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اختلف الأصحاب فیه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مراهقاً ممیّزاً فأسلم، فإنّ عند قوم لا یحکم بإسلامه و لا بارتداده، و یکون تبعاً للوالدین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قوّاه أیضاً فی المختلف، و علّله بأنّ التکالیف منوطة بالبلوغ، فقبله لا تکلیف</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bookmarkStart w:id="378" w:name="pg11755_254716"/>
    </w:p>
    <w:p>
      <w:pPr>
        <w:pStyle w:val="BookText"/>
        <w:rPr/>
      </w:pPr>
      <w:bookmarkEnd w:id="378"/>
      <w:r>
        <w:rPr>
          <w:rFonts w:ascii="IRNazanin" w:hAnsi="IRNazanin" w:eastAsia="IRNazanin"/>
          <w:color w:val="111111"/>
          <w:sz w:val="28"/>
          <w:sz w:val="28"/>
          <w:szCs w:val="28"/>
          <w:rtl w:val="true"/>
          <w:lang w:bidi="fa-IR"/>
        </w:rPr>
        <w:t>و کذا فی القواعد</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الصبیّ فلا یصحّ إسلامه؛ لأنّه غیر مکلّف و لا اعتبار بعبارته فی العقود و غیرها، سواء کان ممیّزاً أو لا؟</w:t>
      </w:r>
      <w:r>
        <w:rPr>
          <w:rFonts w:eastAsia="IRNazanin" w:cs="IRNazanin"/>
          <w:color w:val="111111"/>
          <w:sz w:val="28"/>
          <w:szCs w:val="28"/>
          <w:rtl w:val="true"/>
          <w:lang w:bidi="fa-IR"/>
        </w:rPr>
        <w:t>»</w:t>
      </w:r>
      <w:r>
        <w:rPr>
          <w:rStyle w:val="FootnoteAnchor"/>
          <w:rtl w:val="true"/>
        </w:rPr>
        <w:footnoteReference w:id="1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الدروس</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أسلم المراهق لم یحکم بإسلامه علی تردّد</w:t>
      </w:r>
      <w:r>
        <w:rPr>
          <w:rFonts w:eastAsia="IRNazanin" w:cs="IRNazanin"/>
          <w:color w:val="111111"/>
          <w:sz w:val="28"/>
          <w:szCs w:val="28"/>
          <w:rtl w:val="true"/>
          <w:lang w:bidi="fa-IR"/>
        </w:rPr>
        <w:t>»</w:t>
      </w:r>
      <w:r>
        <w:rPr>
          <w:rStyle w:val="FootnoteAnchor"/>
          <w:rtl w:val="true"/>
        </w:rPr>
        <w:footnoteReference w:id="1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المحقّق</w:t>
      </w:r>
      <w:r>
        <w:rPr>
          <w:rStyle w:val="FootnoteAnchor"/>
          <w:rtl w:val="true"/>
        </w:rPr>
        <w:footnoteReference w:id="1303"/>
      </w:r>
      <w:r>
        <w:rPr>
          <w:rFonts w:ascii="IRNazanin" w:hAnsi="IRNazanin" w:eastAsia="IRNazanin"/>
          <w:color w:val="111111"/>
          <w:sz w:val="28"/>
          <w:sz w:val="28"/>
          <w:szCs w:val="28"/>
          <w:rtl w:val="true"/>
          <w:lang w:bidi="fa-IR"/>
        </w:rPr>
        <w:t>و الشهید</w:t>
      </w:r>
      <w:r>
        <w:rPr>
          <w:rStyle w:val="FootnoteAnchor"/>
          <w:rtl w:val="true"/>
        </w:rPr>
        <w:footnoteReference w:id="1304"/>
      </w:r>
      <w:r>
        <w:rPr>
          <w:rFonts w:ascii="IRNazanin" w:hAnsi="IRNazanin" w:eastAsia="IRNazanin"/>
          <w:color w:val="111111"/>
          <w:sz w:val="28"/>
          <w:sz w:val="28"/>
          <w:szCs w:val="28"/>
          <w:rtl w:val="true"/>
          <w:lang w:bidi="fa-IR"/>
        </w:rPr>
        <w:t>الثانیان، و کذا فی المناهج</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أسلم المراهق الممیّز لم یحکم بإسلامه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وصف الإسلام، و صرّح أیضاً بأنّ ولد الکافر کافر نجس، تجری علیه أحکام الکفّار و إن وصف الإسلام</w:t>
      </w:r>
      <w:r>
        <w:rPr>
          <w:rFonts w:eastAsia="IRNazanin" w:cs="IRNazanin"/>
          <w:color w:val="111111"/>
          <w:sz w:val="28"/>
          <w:szCs w:val="28"/>
          <w:rtl w:val="true"/>
          <w:lang w:bidi="fa-IR"/>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 w:name="__RefHeading___Toc9587536_73709187"/>
      <w:bookmarkStart w:id="380" w:name="_Toc142"/>
      <w:bookmarkEnd w:id="379"/>
      <w:r>
        <w:rPr>
          <w:rtl w:val="true"/>
        </w:rPr>
        <w:t>أدلّة القول بعدم صحّة إسلام الصبیّ‌</w:t>
      </w:r>
      <w:bookmarkEnd w:id="380"/>
    </w:p>
    <w:p>
      <w:pPr>
        <w:pStyle w:val="BookText"/>
        <w:rPr/>
      </w:pPr>
      <w:r>
        <w:rPr>
          <w:rFonts w:ascii="IRNazanin" w:hAnsi="IRNazanin" w:eastAsia="IRNazanin"/>
          <w:color w:val="111111"/>
          <w:sz w:val="28"/>
          <w:sz w:val="28"/>
          <w:szCs w:val="28"/>
          <w:rtl w:val="true"/>
          <w:lang w:bidi="fa-IR"/>
        </w:rPr>
        <w:t>و استدلّ للقول الأوّل بوجهین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الصبیّ مسلوب العبارة و لا اعتبار بقوله فی العقود و الإیقاعات و غیرها، فلا یصحّ إسلامه، و علّله فی جامع المقاصد بأنّه غیر مکلّف، فلا یکون</w:t>
      </w:r>
    </w:p>
    <w:p>
      <w:pPr>
        <w:pStyle w:val="BookText"/>
        <w:rPr/>
      </w:pPr>
      <w:r>
        <w:rPr>
          <w:rFonts w:ascii="IRNazanin" w:hAnsi="IRNazanin" w:eastAsia="IRNazanin"/>
          <w:color w:val="111111"/>
          <w:sz w:val="28"/>
          <w:sz w:val="28"/>
          <w:szCs w:val="28"/>
          <w:rtl w:val="true"/>
          <w:lang w:bidi="fa-IR"/>
        </w:rPr>
        <w:t>إقراره بالشهادتین معتدّاً به</w:t>
      </w:r>
      <w:r>
        <w:rPr>
          <w:rStyle w:val="FootnoteAnchor"/>
          <w:rtl w:val="true"/>
        </w:rPr>
        <w:footnoteReference w:id="1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المسالک</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قبول إسلام الصبیّ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 لما هو کالضروری من الدین من کون الصبیّ قبل البلوغ مرفوع القلم عنه، لا عبرة بقوله فی إسلام و کفر و عقد و إیقاع، و لیس إسلامه و کفره إلّا تبعاً</w:t>
      </w:r>
      <w:r>
        <w:rPr>
          <w:rFonts w:eastAsia="IRNazanin" w:cs="IRNazanin"/>
          <w:color w:val="111111"/>
          <w:sz w:val="28"/>
          <w:szCs w:val="28"/>
          <w:rtl w:val="true"/>
          <w:lang w:bidi="fa-IR"/>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العمدة الاستدلال بحدیث رفع القلم،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ما علمت أنّ القلم یرفع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یحتلم، و عن المجنون حتّی یفیق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عمد الصبیّ و خطأه واحد</w:t>
      </w:r>
      <w:r>
        <w:rPr>
          <w:rFonts w:eastAsia="IRNazanin" w:cs="IRNazanin"/>
          <w:color w:val="111111"/>
          <w:sz w:val="28"/>
          <w:szCs w:val="28"/>
          <w:rtl w:val="true"/>
          <w:lang w:bidi="fa-IR"/>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حیث یدلّ علی أنّ الصبیّ إن أقرّ بالشهادتین کان کمن أقرّ بهما سهواً و خطاءً، فلا یترتّب علیه الأثر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Style w:val="FootnoteAnchor"/>
          <w:rtl w:val="true"/>
        </w:rPr>
        <w:footnoteReference w:id="1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حیث إنّ کثیراً ممّن قالوا بعدم صحّة</w:t>
      </w:r>
    </w:p>
    <w:p>
      <w:pPr>
        <w:pStyle w:val="BookText"/>
        <w:rPr/>
      </w:pPr>
      <w:r>
        <w:rPr>
          <w:rFonts w:ascii="Amiri" w:hAnsi="Amiri" w:eastAsia="Amiri" w:cs="Amiri"/>
          <w:color w:val="111111"/>
          <w:sz w:val="28"/>
          <w:sz w:val="28"/>
          <w:szCs w:val="28"/>
          <w:rtl w:val="true"/>
          <w:lang w:bidi="ar-SA"/>
        </w:rPr>
        <w:t xml:space="preserve">إسلام 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تقدّم </w:t>
      </w:r>
      <w:r>
        <w:rPr>
          <w:rStyle w:val="FootnoteAnchor"/>
          <w:rtl w:val="true"/>
        </w:rPr>
        <w:footnoteReference w:id="1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بمشروعیّة عباداته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المراهق إذا کان عاقلاً ممیّزاً یصلّی صلاة صحیحة جاز أن یکون إماماً</w:t>
      </w:r>
      <w:r>
        <w:rPr>
          <w:rFonts w:eastAsia="IRNazanin" w:cs="IRNazanin"/>
          <w:color w:val="111111"/>
          <w:sz w:val="28"/>
          <w:szCs w:val="28"/>
          <w:rtl w:val="true"/>
          <w:lang w:bidi="fa-IR"/>
        </w:rPr>
        <w:t>»</w:t>
      </w:r>
      <w:r>
        <w:rPr>
          <w:rStyle w:val="FootnoteAnchor"/>
          <w:rtl w:val="true"/>
        </w:rPr>
        <w:footnoteReference w:id="1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فی الخلاف، و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صلاتهم شرعیّة، و ادّعی علیه إجماع الفرقة</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باب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الصبیّ إذا نوی صحّ ذلک منه و کان صوماً شرعیّاً</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المختصر النافع</w:t>
      </w:r>
      <w:r>
        <w:rPr>
          <w:rStyle w:val="FootnoteAnchor"/>
          <w:rtl w:val="true"/>
        </w:rPr>
        <w:footnoteReference w:id="1317"/>
      </w:r>
      <w:r>
        <w:rPr>
          <w:rFonts w:ascii="IRNazanin" w:hAnsi="IRNazanin" w:eastAsia="IRNazanin"/>
          <w:color w:val="111111"/>
          <w:sz w:val="28"/>
          <w:sz w:val="28"/>
          <w:szCs w:val="28"/>
          <w:rtl w:val="true"/>
          <w:lang w:bidi="fa-IR"/>
        </w:rPr>
        <w:t>و إرشاد الأذهان</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خلاف بین العلماء من مشروعیّة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الأقرب أنّ صومه صحیح شرعی و نیّته صحیحة</w:t>
      </w:r>
      <w:r>
        <w:rPr>
          <w:rFonts w:eastAsia="IRNazanin" w:cs="IRNazanin"/>
          <w:color w:val="111111"/>
          <w:sz w:val="28"/>
          <w:szCs w:val="28"/>
          <w:rtl w:val="true"/>
          <w:lang w:bidi="fa-IR"/>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التحریر</w:t>
      </w:r>
      <w:r>
        <w:rPr>
          <w:rStyle w:val="FootnoteAnchor"/>
          <w:rtl w:val="true"/>
        </w:rPr>
        <w:footnoteReference w:id="1320"/>
      </w:r>
      <w:r>
        <w:rPr>
          <w:rFonts w:ascii="IRNazanin" w:hAnsi="IRNazanin" w:eastAsia="IRNazanin"/>
          <w:color w:val="111111"/>
          <w:sz w:val="28"/>
          <w:sz w:val="28"/>
          <w:szCs w:val="28"/>
          <w:rtl w:val="true"/>
          <w:lang w:bidi="fa-IR"/>
        </w:rPr>
        <w:t>و المنتهی</w:t>
      </w:r>
      <w:r>
        <w:rPr>
          <w:rStyle w:val="FootnoteAnchor"/>
          <w:rtl w:val="true"/>
        </w:rPr>
        <w:footnoteReference w:id="1321"/>
      </w:r>
      <w:r>
        <w:rPr>
          <w:rFonts w:ascii="IRNazanin" w:hAnsi="IRNazanin" w:eastAsia="IRNazanin"/>
          <w:color w:val="111111"/>
          <w:sz w:val="28"/>
          <w:sz w:val="28"/>
          <w:szCs w:val="28"/>
          <w:rtl w:val="true"/>
          <w:lang w:bidi="fa-IR"/>
        </w:rPr>
        <w:t>و الوسیلة</w:t>
      </w:r>
      <w:r>
        <w:rPr>
          <w:rStyle w:val="FootnoteAnchor"/>
          <w:rtl w:val="true"/>
        </w:rPr>
        <w:footnoteReference w:id="1322"/>
      </w:r>
      <w:r>
        <w:rPr>
          <w:rFonts w:ascii="IRNazanin" w:hAnsi="IRNazanin" w:eastAsia="IRNazanin"/>
          <w:color w:val="111111"/>
          <w:sz w:val="28"/>
          <w:sz w:val="28"/>
          <w:szCs w:val="28"/>
          <w:rtl w:val="true"/>
          <w:lang w:bidi="fa-IR"/>
        </w:rPr>
        <w:t>و مفتاح</w:t>
      </w:r>
      <w:r>
        <w:rPr>
          <w:rStyle w:val="FootnoteAnchor"/>
          <w:rtl w:val="true"/>
        </w:rPr>
        <w:footnoteReference w:id="1323"/>
      </w:r>
      <w:r>
        <w:rPr>
          <w:rFonts w:ascii="IRNazanin" w:hAnsi="IRNazanin" w:eastAsia="IRNazanin"/>
          <w:color w:val="111111"/>
          <w:sz w:val="28"/>
          <w:sz w:val="28"/>
          <w:szCs w:val="28"/>
          <w:rtl w:val="true"/>
          <w:lang w:bidi="fa-IR"/>
        </w:rPr>
        <w:t>الکرامة و الغنائم</w:t>
      </w:r>
      <w:r>
        <w:rPr>
          <w:rStyle w:val="FootnoteAnchor"/>
          <w:rtl w:val="true"/>
        </w:rPr>
        <w:footnoteReference w:id="1324"/>
      </w:r>
      <w:r>
        <w:rPr>
          <w:rFonts w:ascii="IRNazanin" w:hAnsi="IRNazanin" w:eastAsia="IRNazanin"/>
          <w:color w:val="111111"/>
          <w:sz w:val="28"/>
          <w:sz w:val="28"/>
          <w:szCs w:val="28"/>
          <w:rtl w:val="true"/>
          <w:lang w:bidi="fa-IR"/>
        </w:rPr>
        <w:t>و غیرها</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فی أدلّة مشروعیّة عبادات الصبیّ‌</w:t>
      </w:r>
      <w:r>
        <w:rPr>
          <w:rStyle w:val="FootnoteAnchor"/>
          <w:rtl w:val="true"/>
        </w:rPr>
        <w:footnoteReference w:id="1326"/>
      </w:r>
      <w:r>
        <w:rPr>
          <w:rFonts w:ascii="IRNazanin" w:hAnsi="IRNazanin" w:eastAsia="IRNazanin"/>
          <w:color w:val="111111"/>
          <w:sz w:val="28"/>
          <w:sz w:val="28"/>
          <w:szCs w:val="28"/>
          <w:rtl w:val="true"/>
          <w:lang w:bidi="fa-IR"/>
        </w:rPr>
        <w:t>،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الرفع إنّما یدلّ علی رفع الأحکام الإلزامیّة عن الصبیّ امتناناً علیه؛ لأنّ 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قلم کتابة السیّئات مرفوع عنه، فکان کنایة عن عدم کونه مکلّفاً بالأحکام الإلزامیّة الّتی کانت مخالفتها موجبة للسیّئة، و أمّا المستحبّات و الأفعال الحسنة عقلاً و شرعاً فلا ترفع عنه، و هذا یناسب الامتنان، فلا یشمل إسلام الصبیّ؛ إذ لیس فی رفعه منّة علیه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عمد الصبیّ و 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معناه فتختصّ بما یترتّب علیه المؤاخذة و العقوبة، و الشاهد علیه ما ورد فی ذیل بعض الروایات،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الصبیان خطأ یحمل علی العاقلة</w:t>
      </w:r>
      <w:r>
        <w:rPr>
          <w:rFonts w:eastAsia="IRNazanin" w:cs="IRNazanin"/>
          <w:color w:val="111111"/>
          <w:sz w:val="28"/>
          <w:szCs w:val="28"/>
          <w:rtl w:val="true"/>
          <w:lang w:bidi="fa-IR"/>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هی فی ما یترتّب علیه المؤاخذة و العقوبة لا مطلقاً حتّی فی ما یعود نفعه إلیه</w:t>
      </w:r>
      <w:r>
        <w:rPr>
          <w:rFonts w:eastAsia="IRNazanin" w:cs="IRNazanin"/>
          <w:color w:val="111111"/>
          <w:sz w:val="28"/>
          <w:szCs w:val="28"/>
          <w:rtl w:val="true"/>
          <w:lang w:bidi="fa-IR"/>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قال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إلی الأصل بمعانیه</w:t>
      </w:r>
      <w:bookmarkStart w:id="381" w:name="pg11755_254725"/>
    </w:p>
    <w:p>
      <w:pPr>
        <w:pStyle w:val="BookText"/>
        <w:rPr/>
      </w:pPr>
      <w:bookmarkEnd w:id="381"/>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r>
        <w:rPr>
          <w:rStyle w:val="FootnoteAnchor"/>
          <w:rtl w:val="true"/>
        </w:rPr>
        <w:footnoteReference w:id="1329"/>
      </w:r>
      <w:r>
        <w:rPr>
          <w:rFonts w:ascii="IRNazanin" w:hAnsi="IRNazanin" w:eastAsia="IRNazanin"/>
          <w:color w:val="111111"/>
          <w:sz w:val="28"/>
          <w:sz w:val="28"/>
          <w:szCs w:val="28"/>
          <w:rtl w:val="true"/>
          <w:lang w:bidi="fa-IR"/>
        </w:rPr>
        <w:t xml:space="preserve">، أی استصحاب بقاء الحکم بکفره؛ لأنّه قبل الإظهار بالشهادتین محکوم بالکفر قطعاً؛ لتبعیّته لأبویه، و بعد الإظهار بهما نشکّ فی بقائه، فیستصحب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الأصل عدم تحقّق الإسلام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الأصل بقاء تبعیّته لأبویه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ظاهر من عدم جریان الأصل مع وجود النصوص و الأمارات الّتی تدلّ علی صحّة إسلام الصبیّ الممیّز، کما سنذکرها قریباً</w:t>
      </w:r>
      <w:r>
        <w:rPr>
          <w:rFonts w:eastAsia="IRNazanin" w:cs="IRNazanin"/>
          <w:color w:val="111111"/>
          <w:sz w:val="28"/>
          <w:szCs w:val="28"/>
          <w:rtl w:val="true"/>
          <w:lang w:bidi="fa-IR"/>
        </w:rPr>
        <w:t>.</w:t>
      </w:r>
    </w:p>
    <w:p>
      <w:pPr>
        <w:pStyle w:val="Heading5"/>
        <w:numPr>
          <w:ilvl w:val="4"/>
          <w:numId w:val="1"/>
        </w:numPr>
        <w:rPr/>
      </w:pPr>
      <w:bookmarkStart w:id="382" w:name="__RefHeading___Toc9587538_73709187"/>
      <w:bookmarkStart w:id="383" w:name="_Toc143"/>
      <w:bookmarkEnd w:id="382"/>
      <w:r>
        <w:rPr>
          <w:rtl w:val="true"/>
        </w:rPr>
        <w:t>صحّة إسلام الصبیّ الممیّز</w:t>
      </w:r>
      <w:bookmarkEnd w:id="383"/>
    </w:p>
    <w:p>
      <w:pPr>
        <w:pStyle w:val="Heading6"/>
        <w:numPr>
          <w:ilvl w:val="5"/>
          <w:numId w:val="1"/>
        </w:numPr>
        <w:rPr/>
      </w:pPr>
      <w:bookmarkStart w:id="384" w:name="__RefHeading___Toc9587540_73709187"/>
      <w:bookmarkStart w:id="385" w:name="_Toc144"/>
      <w:bookmarkEnd w:id="384"/>
      <w:r>
        <w:rPr>
          <w:rtl w:val="true"/>
        </w:rPr>
        <w:t>اشارة</w:t>
      </w:r>
      <w:bookmarkEnd w:id="385"/>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یصحّ إسلام الصبیّ مع فرض کونه عاقلاً ممیّزاً، و کان إسلامه عن بصیرة، فإنّ الصغیر قد یکون أذکی و أفهم من الکبار، فلا ینبغی الإشکال فی قبول إسلامه و الحکم بطهارته، و غیر ذلک من الأحکام المترتّبة علی المسلمین، بل و لو لا عن بصیرة، کإسلام کثیر من السواد، حیث إنّه یکفی عقد القلب علی ما علیه عامّة المسلمین و لو تقلیداً مع إظهار الشهادتین،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المراهق إذا أسلم حکم بإسلامه، فإن ارتدّ</w:t>
      </w:r>
      <w:r>
        <w:rPr>
          <w:rStyle w:val="FootnoteAnchor"/>
          <w:rtl w:val="true"/>
        </w:rPr>
        <w:footnoteReference w:id="1330"/>
      </w:r>
      <w:r>
        <w:rPr>
          <w:rFonts w:ascii="IRNazanin" w:hAnsi="IRNazanin" w:eastAsia="IRNazanin"/>
          <w:color w:val="111111"/>
          <w:sz w:val="28"/>
          <w:sz w:val="28"/>
          <w:szCs w:val="28"/>
          <w:rtl w:val="true"/>
          <w:lang w:bidi="fa-IR"/>
        </w:rPr>
        <w:t>بعد ذلک حکم بارتداده، و إن لم یتب قتل</w:t>
      </w:r>
      <w:r>
        <w:rPr>
          <w:rFonts w:eastAsia="IRNazanin" w:cs="IRNazanin"/>
          <w:color w:val="111111"/>
          <w:sz w:val="28"/>
          <w:szCs w:val="28"/>
          <w:rtl w:val="true"/>
          <w:lang w:bidi="fa-IR"/>
        </w:rPr>
        <w:t>»</w:t>
      </w:r>
      <w:r>
        <w:rPr>
          <w:rStyle w:val="FootnoteAnchor"/>
          <w:rtl w:val="true"/>
        </w:rPr>
        <w:footnoteReference w:id="1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قرّبه الشهید فی الدروس</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جامع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أسلم و هو صبی أو مجنون لا یمیّز لم یکن لکلامه</w:t>
      </w:r>
      <w:bookmarkStart w:id="386" w:name="pg11755_254727"/>
    </w:p>
    <w:p>
      <w:pPr>
        <w:pStyle w:val="BookText"/>
        <w:rPr/>
      </w:pPr>
      <w:bookmarkEnd w:id="386"/>
      <w:r>
        <w:rPr>
          <w:rFonts w:ascii="IRNazanin" w:hAnsi="IRNazanin" w:eastAsia="IRNazanin"/>
          <w:color w:val="111111"/>
          <w:sz w:val="28"/>
          <w:sz w:val="28"/>
          <w:szCs w:val="28"/>
          <w:rtl w:val="true"/>
          <w:lang w:bidi="fa-IR"/>
        </w:rPr>
        <w:t>حکم، و إن أسلم و هو صبیّ عاقل حکم بإسلامه</w:t>
      </w:r>
      <w:r>
        <w:rPr>
          <w:rFonts w:eastAsia="IRNazanin" w:cs="IRNazanin"/>
          <w:color w:val="111111"/>
          <w:sz w:val="28"/>
          <w:szCs w:val="28"/>
          <w:rtl w:val="true"/>
          <w:lang w:bidi="fa-IR"/>
        </w:rPr>
        <w:t>»</w:t>
      </w:r>
      <w:r>
        <w:rPr>
          <w:rStyle w:val="FootnoteAnchor"/>
          <w:rtl w:val="true"/>
        </w:rPr>
        <w:footnoteReference w:id="1333"/>
      </w:r>
      <w:r>
        <w:rPr>
          <w:rFonts w:ascii="IRNazanin" w:hAnsi="IRNazanin" w:eastAsia="IRNazanin"/>
          <w:color w:val="111111"/>
          <w:sz w:val="28"/>
          <w:sz w:val="28"/>
          <w:szCs w:val="28"/>
          <w:rtl w:val="true"/>
          <w:lang w:bidi="fa-IR"/>
        </w:rPr>
        <w:t>، و نفی عنه البعد فی مجمع البرهان</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 قبول إسلام الصبیّ الممیّز إذا کان عن 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وافقه جماعة من المعلّقین علیها، إلّا أنّ المحقّق العراقی تأمّل فیه</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جملة من الفقهاء المعاصرین</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7" w:name="__RefHeading___Toc9587542_73709187"/>
      <w:bookmarkStart w:id="388" w:name="_Toc145"/>
      <w:bookmarkEnd w:id="387"/>
      <w:r>
        <w:rPr>
          <w:rtl w:val="true"/>
        </w:rPr>
        <w:t>أدلّة صحّة إسلام الصبیّ‌</w:t>
      </w:r>
      <w:bookmarkEnd w:id="388"/>
    </w:p>
    <w:p>
      <w:pPr>
        <w:pStyle w:val="BookText"/>
        <w:rPr/>
      </w:pPr>
      <w:r>
        <w:rPr>
          <w:rFonts w:ascii="IRNazanin" w:hAnsi="IRNazanin" w:eastAsia="IRNazanin"/>
          <w:color w:val="111111"/>
          <w:sz w:val="28"/>
          <w:sz w:val="28"/>
          <w:szCs w:val="28"/>
          <w:rtl w:val="true"/>
          <w:lang w:bidi="fa-IR"/>
        </w:rPr>
        <w:t>و یمکن أن یستدلّ لهذا الحکم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تحصیل معرفة الاُصول عقلیّ‌</w:t>
      </w:r>
      <w:r>
        <w:rPr>
          <w:rStyle w:val="FootnoteAnchor"/>
          <w:rtl w:val="true"/>
        </w:rPr>
        <w:footnoteReference w:id="1337"/>
      </w:r>
      <w:r>
        <w:rPr>
          <w:rFonts w:ascii="IRNazanin" w:hAnsi="IRNazanin" w:eastAsia="IRNazanin"/>
          <w:color w:val="111111"/>
          <w:sz w:val="28"/>
          <w:sz w:val="28"/>
          <w:szCs w:val="28"/>
          <w:rtl w:val="true"/>
          <w:lang w:bidi="fa-IR"/>
        </w:rPr>
        <w:t>، کما هو الحقّ عند أهله، خلافاً للأشاعرة، حیث ذهبوا إلی أنّه سمعیّ؛ لإنکارهم التحسین و التقبیح العقلیّین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نهج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معرفة اللّه تعالی واجبة بالعقل، أی الحقّ أنّ وجوب معرفة اللّه تعالی مستفاد من العقل و إن کان السمع قد دلّ علیه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شکر المنعم واجب بالضرورة، و آثار النعمة علینا ظاهرة، فیجب أن نشکر فاعلها، و إنّما یحصل بمعرفته؛ و لأنّ معرفة اللّه تعالی رافعة للخوف الحاصل من الاختلاف، و رفع الخوف واجب بالضرورة</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حیث إنّ فی مفروض البحث الطفل العاقل الممیّز قادر علی إدراک الحقّ و کسب المعرفة، یجب علیه معرفة اللّه بحکم العقل؛ لعدم التخصیص فی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الجامع للشرائع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یمکنه معرفة التوحید و العدل بالأدلّة، و یتوقّف تکلیفه الشرعیّات علی بلوغه</w:t>
      </w:r>
      <w:r>
        <w:rPr>
          <w:rFonts w:eastAsia="IRNazanin" w:cs="IRNazanin"/>
          <w:color w:val="111111"/>
          <w:sz w:val="28"/>
          <w:szCs w:val="28"/>
          <w:rtl w:val="true"/>
          <w:lang w:bidi="fa-IR"/>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إذا قدروا علی الاستدلال و فهموا أدلّة وجود الواجب و التوحید و ما یتوقّف علیه وجوب المعرفة و النظر فی المعرفة یمکن أن یجب علیهم ذلک؛ لأنّ دلیل وجوب المعرفة عقلیّ، فکلّ من یعرف ذلک یدخل تحته، و لا خصوصیّة له بالبالغ، و لا استثناء فی الأدلّة العقلیّة، فلا یبعد تکلیفهم، بل یمکن أن یجب ذلک، فإذا اوجب علیهم یجب أن یصحّ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صرّح بعض العلماء بأنّ الواجبات الاُصولیّة العقلیّة تجب علی الصغیر قبل بلوغه دون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ضابطه القدرة علی الفهم و الأخذ و الاستدلال علی وجه 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یقنع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کلّ من وجد فیه ذلک یصحّ، و یمکن أن یجب علیه ذلک المقدار، و من لم یوجد فیه ذلک</w:t>
      </w:r>
    </w:p>
    <w:p>
      <w:pPr>
        <w:pStyle w:val="BookText"/>
        <w:rPr/>
      </w:pPr>
      <w:r>
        <w:rPr>
          <w:rFonts w:ascii="IRNazanin" w:hAnsi="IRNazanin" w:eastAsia="IRNazanin"/>
          <w:color w:val="111111"/>
          <w:sz w:val="28"/>
          <w:sz w:val="28"/>
          <w:szCs w:val="28"/>
          <w:rtl w:val="true"/>
          <w:lang w:bidi="fa-IR"/>
        </w:rPr>
        <w:t>لم یجب</w:t>
      </w:r>
      <w:r>
        <w:rPr>
          <w:rFonts w:eastAsia="IRNazanin" w:cs="IRNazanin"/>
          <w:color w:val="111111"/>
          <w:sz w:val="28"/>
          <w:szCs w:val="28"/>
          <w:rtl w:val="true"/>
          <w:lang w:bidi="fa-IR"/>
        </w:rPr>
        <w:t>»</w:t>
      </w:r>
      <w:r>
        <w:rPr>
          <w:rStyle w:val="FootnoteAnchor"/>
          <w:rtl w:val="true"/>
        </w:rPr>
        <w:footnoteReference w:id="1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مفتاح الکرامة</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منیة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إشکال فی إسلام الرشید الغیر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المدار فیه علی الإدراک و الاقتدار علی الاستدلال و لو إجمالاً، فکلّ من عرف أنّ للعالم صانعاً و أنّ له سفراء و حججاً فهو مسلم حقیقة</w:t>
      </w:r>
      <w:r>
        <w:rPr>
          <w:rFonts w:eastAsia="IRNazanin" w:cs="IRNazanin"/>
          <w:color w:val="111111"/>
          <w:sz w:val="28"/>
          <w:szCs w:val="28"/>
          <w:rtl w:val="true"/>
          <w:lang w:bidi="fa-IR"/>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وجوب الإسلام أو صحّته فلا مانع منه بعد کونه عقلیّاً</w:t>
      </w:r>
      <w:r>
        <w:rPr>
          <w:rFonts w:eastAsia="IRNazanin" w:cs="IRNazanin"/>
          <w:color w:val="111111"/>
          <w:sz w:val="28"/>
          <w:szCs w:val="28"/>
          <w:rtl w:val="true"/>
          <w:lang w:bidi="fa-IR"/>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إنّ العقل لا یحکم فی باب حسن التکلیف باعتبار الأزید من قدرة المکلّف علی الإتیان بالمکلّف به، حیث إنّ التکلیف بدونها محال؛ لأنّ متعلّقه حینئذٍ غیر مقدور، و بعد تحقّق القدرة علیه لا یری فی توجیهه قبحاً عند تحقّق ملاکه، سواء تحقّق البلوغ الشرعی أم لا، فبین وقت صحّة توجیه التکلیف إلی المکلّف عقلاً و بین ما جعله الشارع محقّقاً للبلوغ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العلامات بحسب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من وجه؛ إذ ربّما یراه العقل قابلاً لتوجیه التکلیف علیه، کما فی حال التمییز قبل البلوغ، خصوصاً إذا کان قلیلاً کالیوم و الساعة و الساعتین، و قد یراه بعد تحقّق أمارات البلوغ غیر قابل له، کغیر الممیّز بعد البلوغ، فالملاک فی حسن توجّه التکلیف عند العقل هو التمییز، کان قبل البلوغ أو بعده، فالأطفال مکلّفون بالاُصول إذا حصل فیهم التمییز، کما علیه المتکلّمون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رفع القلم عن الصبیّ حتّی یبلغ یدلّ علی تحدید وجوب المعرفة أیضاً بالبلوغ، و تخصیصه بما عدا وجوب المعرفة و إخراج المعرفة عن عمومه مناف مع وروده فی مقام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وجوب المعرفة عن العموم المذکور إنّما هو بالتخصّص لا بالتخصیص؛ و ذلک لأنّ الرفع الشرعیّ عن الصبیّ یصحّ بالقیاس إلی ما فیه اقتضاء الوضع الشرعی، بمعنی أن یکون وضعه و رفعه بید الشارع لا ما یکون وجوبه بوضع العقل، و وجوب المعرفة یکون عقلیّاً</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صحّة إسلام الصبیّ إمّا أن یکون لمانع شرعیّ، بأنّ یدلّ دلیل خاصّ علی عدم صحّة إسلامه، و المفروض عدم ذلک الدلیل، و إمّا لمانع عقلیّ، و المفروض أیضاً عدمه، بل العقل حاکم بحسنه منه، بل بوجوبه علیه، مضافاً إلی أنّ لازم عدم صحّة إسلامه عدم قبول الإسلام منه و لو کان بیوم أو ساعة قبل البلوغ، فهل یحکم بتبعیّة الطفل الممیّز لأبویه الکافرین و عدم وجوب غسله و دفنه فی مقابر المسلمین لو أسلم قبل البلوغ بیوم أو ساعة، ثمّ مات بعده؟ الظاهر أنّه لم یلتزم به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الکفر و الإیمان أمران واقعیّان یمکن أن یصدران من الممیّز العاقل کما یصدران من البالغ</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یدور مدار الإقرار بالشهادتین، و بذلک یحرم دم المقرّ و ماله، و الروایات الدالّة علی ذلک متظافرة، و إطلاقها یشمل البالغ و غیر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موثّقة زرارة عن أبی جعفر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الإسلام علی عشرة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شهادة أن لا إله إلّا اللّه؛ و هی الملّة</w:t>
      </w:r>
      <w:r>
        <w:rPr>
          <w:rFonts w:eastAsia="IRNazanin" w:cs="IRNazanin"/>
          <w:color w:val="111111"/>
          <w:sz w:val="28"/>
          <w:szCs w:val="28"/>
          <w:rtl w:val="true"/>
          <w:lang w:bidi="fa-IR"/>
        </w:rPr>
        <w:t>»</w:t>
      </w:r>
      <w:r>
        <w:rPr>
          <w:rStyle w:val="FootnoteAnchor"/>
          <w:rtl w:val="true"/>
        </w:rPr>
        <w:footnoteReference w:id="134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موثّقة سماعة عن أبی عبد اللّه علیه السلام من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شهادة أن لا إله إلّا اللّه، و التصدیق برسول اللّه صلی الله علیه و آله به حقنت الدماء، و علیه جرت المناکح و المواریث، و علی ظاهره جماعة الناس</w:t>
      </w:r>
      <w:r>
        <w:rPr>
          <w:rFonts w:eastAsia="IRNazanin" w:cs="IRNazanin"/>
          <w:color w:val="111111"/>
          <w:sz w:val="28"/>
          <w:szCs w:val="28"/>
          <w:rtl w:val="true"/>
          <w:lang w:bidi="fa-IR"/>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سفیان بن السمط عن أبی عبد اللّه علیه السلام فی حدیث،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هو الظاهر الذی علیه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محمّداً رسول اللّه صلی الله علیه و آله عبده و رسوله</w:t>
      </w:r>
      <w:r>
        <w:rPr>
          <w:rFonts w:eastAsia="IRNazanin" w:cs="IRNazanin"/>
          <w:color w:val="111111"/>
          <w:sz w:val="28"/>
          <w:szCs w:val="28"/>
          <w:rtl w:val="true"/>
          <w:lang w:bidi="fa-IR"/>
        </w:rPr>
        <w:t>»</w:t>
      </w:r>
      <w:r>
        <w:rPr>
          <w:rStyle w:val="FootnoteAnchor"/>
          <w:rtl w:val="true"/>
        </w:rPr>
        <w:footnoteReference w:id="1347"/>
      </w:r>
      <w:r>
        <w:rPr>
          <w:rFonts w:ascii="IRNazanin" w:hAnsi="IRNazanin" w:eastAsia="IRNazanin"/>
          <w:color w:val="111111"/>
          <w:sz w:val="28"/>
          <w:sz w:val="28"/>
          <w:szCs w:val="28"/>
          <w:rtl w:val="true"/>
          <w:lang w:bidi="fa-IR"/>
        </w:rPr>
        <w:t>، الحدیث</w:t>
      </w:r>
      <w:r>
        <w:rPr>
          <w:rStyle w:val="FootnoteAnchor"/>
          <w:rtl w:val="true"/>
        </w:rPr>
        <w:footnoteReference w:id="1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روایتا معاذ بن مسلم و فضیل بن یسار</w:t>
      </w:r>
      <w:r>
        <w:rPr>
          <w:rStyle w:val="FootnoteAnchor"/>
          <w:rtl w:val="true"/>
        </w:rPr>
        <w:footnoteReference w:id="1349"/>
      </w:r>
      <w:r>
        <w:rPr>
          <w:rFonts w:ascii="IRNazanin" w:hAnsi="IRNazanin" w:eastAsia="IRNazanin"/>
          <w:color w:val="111111"/>
          <w:sz w:val="28"/>
          <w:sz w:val="28"/>
          <w:szCs w:val="28"/>
          <w:rtl w:val="true"/>
          <w:lang w:bidi="fa-IR"/>
        </w:rPr>
        <w:t>و غیرها</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هذه الروایات و غیرها یشمل البالغ و الصبیّ، فلا ینبغی الإشکال فی قبول إسلام الصبیّ الممیّز و الحکم بترتّب أحکام الإسلام علیه من الطهارة و غیرها</w:t>
      </w:r>
      <w:r>
        <w:rPr>
          <w:rStyle w:val="FootnoteAnchor"/>
          <w:rtl w:val="true"/>
        </w:rPr>
        <w:footnoteReference w:id="1351"/>
      </w:r>
      <w:r>
        <w:rPr>
          <w:rFonts w:ascii="IRNazanin" w:hAnsi="IRNazanin" w:eastAsia="IRNazanin"/>
          <w:color w:val="111111"/>
          <w:sz w:val="28"/>
          <w:sz w:val="28"/>
          <w:szCs w:val="28"/>
          <w:rtl w:val="true"/>
          <w:lang w:bidi="fa-IR"/>
        </w:rPr>
        <w:t>؛ لأنّ المدار فی ذلک إنّما هو إظهار</w:t>
      </w:r>
    </w:p>
    <w:p>
      <w:pPr>
        <w:pStyle w:val="BookText"/>
        <w:rPr/>
      </w:pPr>
      <w:r>
        <w:rPr>
          <w:rFonts w:ascii="IRNazanin" w:hAnsi="IRNazanin" w:eastAsia="IRNazanin"/>
          <w:color w:val="111111"/>
          <w:sz w:val="28"/>
          <w:sz w:val="28"/>
          <w:szCs w:val="28"/>
          <w:rtl w:val="true"/>
          <w:lang w:bidi="fa-IR"/>
        </w:rPr>
        <w:t>الشهادتین، و أنّه یتحقّق به الإسلام من غیر فرق فی ذلک بین البالغ و غیر البالغ، و عدم کونه مکلّفاً لا یقتضی عدم صحّة إسلامه بعد اعترافه به و اعتقاده بصحّته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تدلّ علیه أیضاً أکثر الأدلّة</w:t>
      </w:r>
      <w:r>
        <w:rPr>
          <w:rStyle w:val="FootnoteAnchor"/>
          <w:rtl w:val="true"/>
        </w:rPr>
        <w:footnoteReference w:id="1352"/>
      </w:r>
      <w:r>
        <w:rPr>
          <w:rFonts w:ascii="IRNazanin" w:hAnsi="IRNazanin" w:eastAsia="IRNazanin"/>
          <w:color w:val="111111"/>
          <w:sz w:val="28"/>
          <w:sz w:val="28"/>
          <w:szCs w:val="28"/>
          <w:rtl w:val="true"/>
          <w:lang w:bidi="fa-IR"/>
        </w:rPr>
        <w:t xml:space="preserve">التی قامت علی مشروعیّة عبادات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بما لا مزید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تقریبها فی المقام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عبادات الصبیّ الممیّز شرعیّة، و خطابات الشارع فی جمیع أبواب العبادات شاملة له؛ لأنّ الفهم الذی هو شرط توجّه الخطاب إلیه حاصل کما هو المفروض، و من ادّعی زیادة علیه فعلیه الدلیل، و المقام من صغریات تلک المسألة، فیجری فیه ما یجری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رفع القلم</w:t>
      </w:r>
      <w:r>
        <w:rPr>
          <w:rStyle w:val="FootnoteAnchor"/>
          <w:rtl w:val="true"/>
        </w:rPr>
        <w:footnoteReference w:id="1353"/>
      </w:r>
      <w:r>
        <w:rPr>
          <w:rFonts w:ascii="IRNazanin" w:hAnsi="IRNazanin" w:eastAsia="IRNazanin"/>
          <w:color w:val="111111"/>
          <w:sz w:val="28"/>
          <w:sz w:val="28"/>
          <w:szCs w:val="28"/>
          <w:rtl w:val="true"/>
          <w:lang w:bidi="fa-IR"/>
        </w:rPr>
        <w:t>ظاهر فی رفع قلم السیّئات عنه الحاصل برفع الإلزام لا غیر، فلا یقتضی لغویّة إسلامه، کما لا یقتضی لغویّة سائر عباداته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الإطلاقات هو الحکم بإسلام الصبیّ الممیّز، و أنّه یخرج بذلک عن تبعیّة العمودین الکافرین؛ إذ لا نعنی بالمسلم إلّا من اعترف بالوحدانیّة و النبوّة و المعاد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یکون غیر مدرک و لا ممیّز؛ لأنّ تکلّمه حینئذٍ کتکلّم بعض الطیور، و هذا بخلاف الممیّز الفهیم المدرک، حیث قد یکون بعضهم أقوی إیماناً من أکثر البالغین، و متمکِّناً من الاستدلال علی وجود الصانع و لزوم إرسال</w:t>
      </w:r>
      <w:bookmarkStart w:id="389" w:name="pg11755_254740"/>
    </w:p>
    <w:p>
      <w:pPr>
        <w:pStyle w:val="BookText"/>
        <w:rPr/>
      </w:pPr>
      <w:bookmarkEnd w:id="389"/>
      <w:r>
        <w:rPr>
          <w:rFonts w:ascii="IRNazanin" w:hAnsi="IRNazanin" w:eastAsia="IRNazanin"/>
          <w:color w:val="111111"/>
          <w:sz w:val="28"/>
          <w:sz w:val="28"/>
          <w:szCs w:val="28"/>
          <w:rtl w:val="true"/>
          <w:lang w:bidi="fa-IR"/>
        </w:rPr>
        <w:t>الرسل و إنزال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شکّ فی کونه ممیّزاً أم لا فالظاهر عدم قبول إسلامه؛ لاستصحاب عدم التمییز</w:t>
      </w:r>
      <w:r>
        <w:rPr>
          <w:rFonts w:eastAsia="IRNazanin" w:cs="IRNazanin"/>
          <w:color w:val="111111"/>
          <w:sz w:val="28"/>
          <w:szCs w:val="28"/>
          <w:rtl w:val="true"/>
          <w:lang w:bidi="fa-IR"/>
        </w:rPr>
        <w:t>.</w:t>
      </w:r>
    </w:p>
    <w:p>
      <w:pPr>
        <w:pStyle w:val="Heading5"/>
        <w:numPr>
          <w:ilvl w:val="4"/>
          <w:numId w:val="1"/>
        </w:numPr>
        <w:rPr/>
      </w:pPr>
      <w:bookmarkStart w:id="390" w:name="__RefHeading___Toc9587544_73709187"/>
      <w:bookmarkStart w:id="391" w:name="_Toc146"/>
      <w:bookmarkEnd w:id="390"/>
      <w:r>
        <w:rPr>
          <w:rtl w:val="true"/>
        </w:rPr>
        <w:t>تتمیم</w:t>
      </w:r>
      <w:bookmarkEnd w:id="391"/>
    </w:p>
    <w:p>
      <w:pPr>
        <w:pStyle w:val="BookText"/>
        <w:rPr/>
      </w:pPr>
      <w:r>
        <w:rPr>
          <w:rFonts w:ascii="IRNazanin" w:hAnsi="IRNazanin" w:eastAsia="IRNazanin"/>
          <w:color w:val="111111"/>
          <w:sz w:val="28"/>
          <w:sz w:val="28"/>
          <w:szCs w:val="28"/>
          <w:rtl w:val="true"/>
          <w:lang w:bidi="fa-IR"/>
        </w:rPr>
        <w:t>قال العلّامة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إنّما یحصل بالاستقلال بمباشرة البالغ العاقل دون الصبیّ و إن کان ممیّزاً، لکن یفرّق بینه و بین أبویه؛ خوف الاستزلال</w:t>
      </w:r>
      <w:r>
        <w:rPr>
          <w:rFonts w:eastAsia="IRNazanin" w:cs="IRNazanin"/>
          <w:color w:val="111111"/>
          <w:sz w:val="28"/>
          <w:szCs w:val="28"/>
          <w:rtl w:val="true"/>
          <w:lang w:bidi="fa-IR"/>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وافقه المحقّق الکرکی فی شرحها</w:t>
      </w:r>
      <w:r>
        <w:rPr>
          <w:rStyle w:val="FootnoteAnchor"/>
          <w:rtl w:val="true"/>
        </w:rPr>
        <w:footnoteReference w:id="1355"/>
      </w:r>
      <w:r>
        <w:rPr>
          <w:rFonts w:ascii="IRNazanin" w:hAnsi="IRNazanin" w:eastAsia="IRNazanin"/>
          <w:color w:val="111111"/>
          <w:sz w:val="28"/>
          <w:sz w:val="28"/>
          <w:szCs w:val="28"/>
          <w:rtl w:val="true"/>
          <w:lang w:bidi="fa-IR"/>
        </w:rPr>
        <w:t>، و کذا فی الدروس</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صبیّاً ممیّزاً و وصف الإسلام حیل بینه و بین الکافر؛ خوف الاستزلال</w:t>
      </w:r>
      <w:r>
        <w:rPr>
          <w:rFonts w:eastAsia="IRNazanin" w:cs="IRNazanin"/>
          <w:color w:val="111111"/>
          <w:sz w:val="28"/>
          <w:szCs w:val="28"/>
          <w:rtl w:val="true"/>
          <w:lang w:bidi="fa-IR"/>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القول بالتفرقة بینه و بین أبویه حذراً من أن یستزلّاه عمّا عزم علیه من الإسلام حسن</w:t>
      </w:r>
      <w:r>
        <w:rPr>
          <w:rFonts w:eastAsia="IRNazanin" w:cs="IRNazanin"/>
          <w:color w:val="111111"/>
          <w:sz w:val="28"/>
          <w:szCs w:val="28"/>
          <w:rtl w:val="true"/>
          <w:lang w:bidi="fa-IR"/>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 w:name="__RefHeading___Toc9587546_73709187"/>
      <w:bookmarkStart w:id="393" w:name="_Toc147"/>
      <w:bookmarkEnd w:id="392"/>
      <w:r>
        <w:rPr>
          <w:rtl w:val="true"/>
        </w:rPr>
        <w:t>مذهب أهل السنّة فی إسلام الصبیّ الممیّز</w:t>
      </w:r>
      <w:bookmarkEnd w:id="39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أسلم الصبیّ الذی لم یصل سن البلوغ دون أبویه، فهل یعتبر إسلامه</w:t>
      </w:r>
    </w:p>
    <w:p>
      <w:pPr>
        <w:pStyle w:val="BookText"/>
        <w:rPr/>
      </w:pPr>
      <w:r>
        <w:rPr>
          <w:rFonts w:ascii="IRNazanin" w:hAnsi="IRNazanin" w:eastAsia="IRNazanin"/>
          <w:color w:val="111111"/>
          <w:sz w:val="28"/>
          <w:sz w:val="28"/>
          <w:szCs w:val="28"/>
          <w:rtl w:val="true"/>
          <w:lang w:bidi="fa-IR"/>
        </w:rPr>
        <w:t>بالرغم من بقاء أبویه علی الکفر؟ فیه قولان علی مذهب العامّة، نوجزهما فیما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الحنابلة و الحنفیّة و المالکیّة إلی أنّه یصحّ إسلام الصبیّ العاقل الذی لم یبلغ إذا عقل الإسلام، بأن یعلم أنّ اللّه تعالی ربّه لا شریک له، و أنّ محمّداً صلی الله علیه و آله عبده و رسوله، کما فی البدائع</w:t>
      </w:r>
      <w:r>
        <w:rPr>
          <w:rStyle w:val="FootnoteAnchor"/>
          <w:rtl w:val="true"/>
        </w:rPr>
        <w:footnoteReference w:id="1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أحکام الصغار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بین أصحابنا</w:t>
      </w:r>
      <w:r>
        <w:rPr>
          <w:rFonts w:eastAsia="IRNazanin" w:cs="IRNazanin"/>
          <w:color w:val="111111"/>
          <w:sz w:val="28"/>
          <w:szCs w:val="28"/>
          <w:rtl w:val="true"/>
          <w:lang w:bidi="fa-IR"/>
        </w:rPr>
        <w:t>»</w:t>
      </w:r>
      <w:r>
        <w:rPr>
          <w:rStyle w:val="FootnoteAnchor"/>
          <w:rtl w:val="true"/>
        </w:rPr>
        <w:footnoteReference w:id="1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فی کشّاف القناع</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إسلامه یصحّ اتّفاقاً، أی من أئمّتنا الثلاثة</w:t>
      </w:r>
      <w:r>
        <w:rPr>
          <w:rFonts w:eastAsia="IRNazanin" w:cs="IRNazanin"/>
          <w:color w:val="111111"/>
          <w:sz w:val="28"/>
          <w:szCs w:val="28"/>
          <w:rtl w:val="true"/>
          <w:lang w:bidi="fa-IR"/>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عقد الجواهر الثمینة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الإسلام یحصل استقلالاً بمباشرة البالغ، و بمباشرة الممیّز أیضاً فی ظاهر المذهب ظاهراً و باطناً</w:t>
      </w:r>
      <w:r>
        <w:rPr>
          <w:rFonts w:eastAsia="IRNazanin" w:cs="IRNazanin"/>
          <w:color w:val="111111"/>
          <w:sz w:val="28"/>
          <w:szCs w:val="28"/>
          <w:rtl w:val="true"/>
          <w:lang w:bidi="fa-IR"/>
        </w:rPr>
        <w:t>»</w:t>
      </w:r>
      <w:r>
        <w:rPr>
          <w:rStyle w:val="FootnoteAnchor"/>
          <w:rtl w:val="true"/>
        </w:rPr>
        <w:footnoteReference w:id="1363"/>
      </w:r>
      <w:r>
        <w:rPr>
          <w:rFonts w:ascii="IRNazanin" w:hAnsi="IRNazanin" w:eastAsia="IRNazanin"/>
          <w:color w:val="111111"/>
          <w:sz w:val="28"/>
          <w:sz w:val="28"/>
          <w:szCs w:val="28"/>
          <w:rtl w:val="true"/>
          <w:lang w:bidi="fa-IR"/>
        </w:rPr>
        <w:t>، و کذا فی غیرها</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اختلفوا فی السنّ الذی یتحقّق للصبیّ هذا العقل، فقد ذکر فی المغنی نقلاً عن الخرقی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اشترط لصحّة إسلام الصبیّ أن یکون له عشر سنین، و أجاب بأنّ أکثر المصحّحین لإسلامه لم یشترطوا ذلک، و لم یحدّوا له حدّاً من السنین،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عن أحمد إذا کان ابن سبع سنین فإسلامه 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و هو ابن خمس سنین جعل إسلامه إسلاماً، و لعلّه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الصلاة و السلام أسلم و هو ابن خمس سنین</w:t>
      </w:r>
      <w:r>
        <w:rPr>
          <w:rFonts w:eastAsia="IRNazanin" w:cs="IRNazanin"/>
          <w:color w:val="111111"/>
          <w:sz w:val="28"/>
          <w:szCs w:val="28"/>
          <w:rtl w:val="true"/>
          <w:lang w:bidi="fa-IR"/>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فی البدائع لصحّة إسلام الصبیّ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الإیمان عبارة عن التصدیق</w:t>
      </w:r>
    </w:p>
    <w:p>
      <w:pPr>
        <w:pStyle w:val="BookText"/>
        <w:rPr/>
      </w:pPr>
      <w:r>
        <w:rPr>
          <w:rFonts w:ascii="IRNazanin" w:hAnsi="IRNazanin" w:eastAsia="IRNazanin"/>
          <w:color w:val="111111"/>
          <w:sz w:val="28"/>
          <w:sz w:val="28"/>
          <w:szCs w:val="28"/>
          <w:rtl w:val="true"/>
          <w:lang w:bidi="fa-IR"/>
        </w:rPr>
        <w:t>لغة،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تصدیق اللّه سبحانه و تعالی فی جمیع ما أنزل علی رسله، أو تصدیق رسله فی جمیع ما جاءوا به عن اللّه تبارک و تعالی، و قد وجد ذلک منه لوجود دلیله و هو إقرار العاقل، و خصوصاً عن طوع، فترتّب علیه الأحکام؛ لأنّها مبنیّة علی وجود الإیمان حقیقة،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تُنْکِحُوا الْمُشْرِکِینَ حَتّی یُؤْمِنُوا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قدامة مستدلّاً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لنا عموم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لا إله إلّا اللّه دخل الجنّة</w:t>
      </w:r>
      <w:r>
        <w:rPr>
          <w:rFonts w:eastAsia="IRNazanin" w:cs="IRNazanin"/>
          <w:color w:val="111111"/>
          <w:sz w:val="28"/>
          <w:szCs w:val="28"/>
          <w:rtl w:val="true"/>
          <w:lang w:bidi="fa-IR"/>
        </w:rPr>
        <w:t>»</w:t>
      </w:r>
      <w:r>
        <w:rPr>
          <w:rStyle w:val="FootnoteAnchor"/>
          <w:rtl w:val="true"/>
        </w:rPr>
        <w:footnoteReference w:id="1366"/>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اقاتل الناس حتّی یقولوا لا إله إلّا اللّه، فمن قال لا إله إلّا اللّه عصم منّی ماله و نفسه</w:t>
      </w:r>
      <w:r>
        <w:rPr>
          <w:rFonts w:eastAsia="IRNazanin" w:cs="IRNazanin"/>
          <w:color w:val="111111"/>
          <w:sz w:val="28"/>
          <w:szCs w:val="28"/>
          <w:rtl w:val="true"/>
          <w:lang w:bidi="fa-IR"/>
        </w:rPr>
        <w:t>»</w:t>
      </w:r>
      <w:r>
        <w:rPr>
          <w:rStyle w:val="FootnoteAnchor"/>
          <w:rtl w:val="true"/>
        </w:rPr>
        <w:footnoteReference w:id="1367"/>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الفطرة، فأبواه یهوّدانه أو ینصّرانه</w:t>
      </w:r>
      <w:r>
        <w:rPr>
          <w:rFonts w:eastAsia="IRNazanin" w:cs="IRNazanin"/>
          <w:color w:val="111111"/>
          <w:sz w:val="28"/>
          <w:szCs w:val="28"/>
          <w:rtl w:val="true"/>
          <w:lang w:bidi="fa-IR"/>
        </w:rPr>
        <w:t>»</w:t>
      </w:r>
      <w:r>
        <w:rPr>
          <w:rStyle w:val="FootnoteAnchor"/>
          <w:rtl w:val="true"/>
        </w:rPr>
        <w:footnoteReference w:id="1368"/>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الأخبار یدخل فی عمومها الصبیّ؛ و لأنّ الإسلام عبادة محضة فصحّت من الصبیّ العاقل کالصلاة و الحجّ؛ و لأنّ اللّه تعالی دعا عباده إلی دار الإسلام و جعل طریقها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منع الصبیّ من إجابة دعوة اللّه مع إجابته إلیها و سلوکه طریقها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ما ذکرناه إجماع، فإنّ علیّاً علیه السلام أسلم صبیّاً و قال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سبقتکم إلی الإسلام طرّاً صبیّاً ما بلغت أوان حلم</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و کذا فی الشرح الکبیر</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خالف الشافعیّة فقالوا بعدم صحّة إسلام الصبیّ قبل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وصف الإسلام صبیّ عاقل من أولاد الکفّار لم یصحّ إسلامه علی ظاهر المذهب؛ لما روی علیّ علیه السلام 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ثلاثة، عن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الصبیّ حتّی یحتلم</w:t>
      </w:r>
      <w:r>
        <w:rPr>
          <w:rStyle w:val="FootnoteAnchor"/>
          <w:rtl w:val="true"/>
        </w:rPr>
        <w:footnoteReference w:id="1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لأنّه غیر مکلّف فلم یصحّ إسلامه بنفسه کالمجنون، فعلی هذا یحال بینه و بین أهله من الکفّار إلی أن یبلغ؛ لأنّه إذا ترک معهم خدعوه و زهّدوه فی الإسلام</w:t>
      </w:r>
      <w:r>
        <w:rPr>
          <w:rFonts w:eastAsia="IRNazanin" w:cs="IRNazanin"/>
          <w:color w:val="111111"/>
          <w:sz w:val="28"/>
          <w:szCs w:val="28"/>
          <w:rtl w:val="true"/>
          <w:lang w:bidi="fa-IR"/>
        </w:rPr>
        <w:t>»</w:t>
      </w:r>
      <w:r>
        <w:rPr>
          <w:rStyle w:val="FootnoteAnchor"/>
          <w:rtl w:val="true"/>
        </w:rPr>
        <w:footnoteReference w:id="1372"/>
      </w:r>
      <w:r>
        <w:rPr>
          <w:rFonts w:ascii="IRNazanin" w:hAnsi="IRNazanin" w:eastAsia="IRNazanin"/>
          <w:color w:val="111111"/>
          <w:sz w:val="28"/>
          <w:sz w:val="28"/>
          <w:szCs w:val="28"/>
          <w:rtl w:val="true"/>
          <w:lang w:bidi="fa-IR"/>
        </w:rPr>
        <w:t>، و کذا فی المجموع</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الحاوی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أسلم الطفل بنفسه إقراراً به و اعترافاً بشروطه فهذا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بعد بلوغه، فهذا مسلم، له ما للمسلمین و علیه ما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قبل بلوغه، فهذا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منه فی طفولته و عدم تمییزه، فلا یکون بذلک مسلماً؛ لأنّه لا حکم لقوله، و لا یصل إلی معرفة حقّ من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مراهقاً ممیّزاً یصل بذهنه إلی معرفة الحقّ 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الحکم بإسلامه إذا وصفه علی شروطه ثلاث أوجه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الظاهر من مذهب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یصیر مسلماً؛ 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1374"/>
      </w:r>
      <w:r>
        <w:rPr>
          <w:rFonts w:ascii="IRNazanin" w:hAnsi="IRNazanin" w:eastAsia="IRNazanin"/>
          <w:color w:val="111111"/>
          <w:sz w:val="28"/>
          <w:sz w:val="28"/>
          <w:szCs w:val="28"/>
          <w:rtl w:val="true"/>
          <w:lang w:bidi="fa-IR"/>
        </w:rPr>
        <w:t>، فرفع القلم عنه قبل البلوغ فی جمیع أحواله، و جمع بینه و بین المجنون فی سقوط تکلیفه؛ و لأنّ عقود المعاملات أخفّ حالاً من شروط الإسلام، فلمّا امتنع قبل البلوغ أنّ تصحّ منه العقود فأولی أن یمنع منه شروط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یصیر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إسلامه یکون موقوفاً، فإن استدام ذلک بعد بلوغه علم أنّه تقدّم إسلامه</w:t>
      </w:r>
      <w:r>
        <w:rPr>
          <w:rFonts w:eastAsia="IRNazanin" w:cs="IRNazanin"/>
          <w:color w:val="111111"/>
          <w:sz w:val="28"/>
          <w:szCs w:val="28"/>
          <w:rtl w:val="true"/>
          <w:lang w:bidi="fa-IR"/>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مغنی المحتاج</w:t>
      </w:r>
      <w:r>
        <w:rPr>
          <w:rStyle w:val="FootnoteAnchor"/>
          <w:rtl w:val="true"/>
        </w:rPr>
        <w:footnoteReference w:id="1376"/>
      </w:r>
      <w:r>
        <w:rPr>
          <w:rFonts w:ascii="IRNazanin" w:hAnsi="IRNazanin" w:eastAsia="IRNazanin"/>
          <w:color w:val="111111"/>
          <w:sz w:val="28"/>
          <w:sz w:val="28"/>
          <w:szCs w:val="28"/>
          <w:rtl w:val="true"/>
          <w:lang w:bidi="fa-IR"/>
        </w:rPr>
        <w:t xml:space="preserve">و روضة الطالبین، و زاد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 بما قال الشافعی یحال بینه و بین أبویه و أهله الکفّار؛ لئلّا یفتنوه</w:t>
      </w:r>
      <w:r>
        <w:rPr>
          <w:rFonts w:eastAsia="IRNazanin" w:cs="IRNazanin"/>
          <w:color w:val="111111"/>
          <w:sz w:val="28"/>
          <w:szCs w:val="28"/>
          <w:rtl w:val="true"/>
          <w:lang w:bidi="fa-IR"/>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bookmarkStart w:id="394" w:name="pg11755_254753"/>
    </w:p>
    <w:p>
      <w:pPr>
        <w:pStyle w:val="Heading3"/>
        <w:numPr>
          <w:ilvl w:val="2"/>
          <w:numId w:val="1"/>
        </w:numPr>
        <w:rPr/>
      </w:pPr>
      <w:bookmarkStart w:id="395" w:name="__RefHeading___Toc9587548_73709187"/>
      <w:bookmarkStart w:id="396" w:name="_Toc148"/>
      <w:bookmarkEnd w:id="394"/>
      <w:bookmarkEnd w:id="395"/>
      <w:r>
        <w:rPr>
          <w:rtl w:val="true"/>
        </w:rPr>
        <w:t>الفصل الثالث</w:t>
      </w:r>
      <w:r>
        <w:rPr>
          <w:rtl w:val="true"/>
        </w:rPr>
        <w:t xml:space="preserve">: </w:t>
      </w:r>
      <w:r>
        <w:rPr>
          <w:rtl w:val="true"/>
        </w:rPr>
        <w:t>أحکام الطفل المیّت</w:t>
      </w:r>
      <w:bookmarkEnd w:id="396"/>
    </w:p>
    <w:p>
      <w:pPr>
        <w:pStyle w:val="Heading4"/>
        <w:numPr>
          <w:ilvl w:val="3"/>
          <w:numId w:val="1"/>
        </w:numPr>
        <w:rPr/>
      </w:pPr>
      <w:bookmarkStart w:id="397" w:name="__RefHeading___Toc9587550_73709187"/>
      <w:bookmarkStart w:id="398" w:name="_Toc149"/>
      <w:bookmarkEnd w:id="397"/>
      <w:r>
        <w:rPr>
          <w:rtl w:val="true"/>
        </w:rPr>
        <w:t>اشارة</w:t>
      </w:r>
      <w:bookmarkEnd w:id="39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مباحث</w:t>
      </w:r>
      <w:bookmarkStart w:id="399" w:name="pg11755_254757"/>
    </w:p>
    <w:p>
      <w:pPr>
        <w:pStyle w:val="BookText"/>
        <w:rPr/>
      </w:pPr>
      <w:bookmarkEnd w:id="399"/>
      <w:r>
        <w:rPr>
          <w:rFonts w:ascii="IRNazanin" w:hAnsi="IRNazanin" w:eastAsia="IRNazanin"/>
          <w:color w:val="111111"/>
          <w:sz w:val="28"/>
          <w:sz w:val="28"/>
          <w:szCs w:val="28"/>
          <w:rtl w:val="true"/>
          <w:lang w:bidi="fa-IR"/>
        </w:rPr>
        <w:t>أحکام الطفل المیّت</w:t>
      </w:r>
    </w:p>
    <w:p>
      <w:pPr>
        <w:pStyle w:val="Heading4"/>
        <w:numPr>
          <w:ilvl w:val="3"/>
          <w:numId w:val="1"/>
        </w:numPr>
        <w:rPr/>
      </w:pPr>
      <w:bookmarkStart w:id="400" w:name="__RefHeading___Toc9587552_73709187"/>
      <w:bookmarkStart w:id="401" w:name="_Toc150"/>
      <w:bookmarkEnd w:id="400"/>
      <w:r>
        <w:rPr>
          <w:rtl w:val="true"/>
        </w:rPr>
        <w:t>المبحث الأوّل</w:t>
      </w:r>
      <w:r>
        <w:rPr>
          <w:rtl w:val="true"/>
        </w:rPr>
        <w:t xml:space="preserve">: </w:t>
      </w:r>
      <w:r>
        <w:rPr>
          <w:rtl w:val="true"/>
        </w:rPr>
        <w:t>تلقینه و توجیهه إلی القبلة</w:t>
      </w:r>
      <w:bookmarkEnd w:id="401"/>
    </w:p>
    <w:p>
      <w:pPr>
        <w:pStyle w:val="Heading5"/>
        <w:numPr>
          <w:ilvl w:val="4"/>
          <w:numId w:val="1"/>
        </w:numPr>
        <w:rPr/>
      </w:pPr>
      <w:bookmarkStart w:id="402" w:name="__RefHeading___Toc9587554_73709187"/>
      <w:bookmarkStart w:id="403" w:name="_Toc151"/>
      <w:bookmarkEnd w:id="402"/>
      <w:r>
        <w:rPr>
          <w:rtl w:val="true"/>
        </w:rPr>
        <w:t>أ</w:t>
      </w:r>
      <w:r>
        <w:rPr>
          <w:rtl w:val="true"/>
        </w:rPr>
        <w:t xml:space="preserve">: </w:t>
      </w:r>
      <w:r>
        <w:rPr>
          <w:rtl w:val="true"/>
        </w:rPr>
        <w:t>تلقینه</w:t>
      </w:r>
      <w:bookmarkEnd w:id="403"/>
    </w:p>
    <w:p>
      <w:pPr>
        <w:pStyle w:val="BookText"/>
        <w:rPr/>
      </w:pPr>
      <w:r>
        <w:rPr>
          <w:rFonts w:ascii="IRNazanin" w:hAnsi="IRNazanin" w:eastAsia="IRNazanin"/>
          <w:color w:val="111111"/>
          <w:sz w:val="28"/>
          <w:sz w:val="28"/>
          <w:szCs w:val="28"/>
          <w:rtl w:val="true"/>
          <w:lang w:bidi="fa-IR"/>
        </w:rPr>
        <w:t>التلقین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التفهیم، لقّن الشیء و تلقّنه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فهّمه</w:t>
      </w:r>
      <w:r>
        <w:rPr>
          <w:rStyle w:val="FootnoteAnchor"/>
          <w:rtl w:val="true"/>
        </w:rPr>
        <w:footnoteReference w:id="1378"/>
      </w:r>
      <w:r>
        <w:rPr>
          <w:rFonts w:ascii="IRNazanin" w:hAnsi="IRNazanin" w:eastAsia="IRNazanin"/>
          <w:color w:val="111111"/>
          <w:sz w:val="28"/>
          <w:sz w:val="28"/>
          <w:szCs w:val="28"/>
          <w:rtl w:val="true"/>
          <w:lang w:bidi="fa-IR"/>
        </w:rPr>
        <w:t>، 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لقّنوا موتاکم</w:t>
      </w:r>
      <w:r>
        <w:rPr>
          <w:rStyle w:val="FootnoteAnchor"/>
          <w:rtl w:val="true"/>
        </w:rPr>
        <w:footnoteReference w:id="13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ذکّروا من حضره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فإنّ من کان آخر کلامه لا إله إلا اللّه دخل الجنّة</w:t>
      </w:r>
      <w:r>
        <w:rPr>
          <w:rFonts w:eastAsia="IRNazanin" w:cs="IRNazanin"/>
          <w:color w:val="111111"/>
          <w:sz w:val="28"/>
          <w:szCs w:val="28"/>
          <w:rtl w:val="true"/>
          <w:lang w:bidi="fa-IR"/>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مشروعیّة التلقین بالنسبة إلی الصبیّ الممیّز، سیّما إذا کان مراهقاً؛ لدخوله تحت المطلقات و العمومات التی تحرّض علی التلقین</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ما ورد من النصوص من أنّه یستحبّ للولیّ أمر الصبیّ إذا بلغ ستّ سنین أو سبع بالصلاة</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bookmarkStart w:id="404" w:name="pg11755_254759"/>
    </w:p>
    <w:p>
      <w:pPr>
        <w:pStyle w:val="BookText"/>
        <w:rPr/>
      </w:pPr>
      <w:bookmarkEnd w:id="404"/>
      <w:r>
        <w:rPr>
          <w:rFonts w:ascii="IRNazanin" w:hAnsi="IRNazanin" w:eastAsia="IRNazanin"/>
          <w:color w:val="111111"/>
          <w:sz w:val="28"/>
          <w:sz w:val="28"/>
          <w:szCs w:val="28"/>
          <w:rtl w:val="true"/>
          <w:lang w:bidi="fa-IR"/>
        </w:rPr>
        <w:t>قال الشهید الأوّل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الطفل فظاهر التعلیل یشعر بعدم تلقینه،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یلقّن إقامةً للشعار، و خصوصاً الممیّز، و کما فی الجریدتین</w:t>
      </w:r>
      <w:r>
        <w:rPr>
          <w:rFonts w:eastAsia="IRNazanin" w:cs="IRNazanin"/>
          <w:color w:val="111111"/>
          <w:sz w:val="28"/>
          <w:szCs w:val="28"/>
          <w:rtl w:val="true"/>
          <w:lang w:bidi="fa-IR"/>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صرّح الشهید الثانی باستحباب تلقین الصبیّ،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استحباب التلقین،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فی هذا الحکم بین الصغیر و الکبیر، کما فی الجریدتین؛ لإطلاق الخبر، و لا ینافیه التعلیل بدفع العذاب، کما فی عموم کراهة المشمّس</w:t>
      </w:r>
      <w:r>
        <w:rPr>
          <w:rFonts w:eastAsia="IRNazanin" w:cs="IRNazanin"/>
          <w:color w:val="111111"/>
          <w:sz w:val="28"/>
          <w:szCs w:val="28"/>
          <w:rtl w:val="true"/>
          <w:lang w:bidi="fa-IR"/>
        </w:rPr>
        <w:t>»</w:t>
      </w:r>
      <w:r>
        <w:rPr>
          <w:rStyle w:val="FootnoteAnchor"/>
          <w:rtl w:val="true"/>
        </w:rPr>
        <w:footnoteReference w:id="1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جیّد</w:t>
      </w:r>
      <w:r>
        <w:rPr>
          <w:rFonts w:eastAsia="IRNazanin" w:cs="IRNazanin"/>
          <w:color w:val="111111"/>
          <w:sz w:val="28"/>
          <w:szCs w:val="28"/>
          <w:rtl w:val="true"/>
          <w:lang w:bidi="fa-IR"/>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 w:name="__RefHeading___Toc9587556_73709187"/>
      <w:bookmarkStart w:id="406" w:name="_Toc152"/>
      <w:bookmarkEnd w:id="405"/>
      <w:r>
        <w:rPr>
          <w:rtl w:val="true"/>
        </w:rPr>
        <w:t>ب</w:t>
      </w:r>
      <w:r>
        <w:rPr>
          <w:rtl w:val="true"/>
        </w:rPr>
        <w:t xml:space="preserve">: </w:t>
      </w:r>
      <w:r>
        <w:rPr>
          <w:rtl w:val="true"/>
        </w:rPr>
        <w:t>توجیهه إلی القبلة</w:t>
      </w:r>
      <w:bookmarkEnd w:id="406"/>
    </w:p>
    <w:p>
      <w:pPr>
        <w:pStyle w:val="Heading6"/>
        <w:numPr>
          <w:ilvl w:val="5"/>
          <w:numId w:val="1"/>
        </w:numPr>
        <w:rPr/>
      </w:pPr>
      <w:bookmarkStart w:id="407" w:name="__RefHeading___Toc9587558_73709187"/>
      <w:bookmarkStart w:id="408" w:name="_Toc153"/>
      <w:bookmarkEnd w:id="407"/>
      <w:r>
        <w:rPr>
          <w:rtl w:val="true"/>
        </w:rPr>
        <w:t>اشارة</w:t>
      </w:r>
      <w:bookmarkEnd w:id="408"/>
    </w:p>
    <w:p>
      <w:pPr>
        <w:pStyle w:val="BookText"/>
        <w:rPr/>
      </w:pPr>
      <w:r>
        <w:rPr>
          <w:rFonts w:ascii="IRNazanin" w:hAnsi="IRNazanin" w:eastAsia="IRNazanin"/>
          <w:color w:val="111111"/>
          <w:sz w:val="28"/>
          <w:sz w:val="28"/>
          <w:szCs w:val="28"/>
          <w:rtl w:val="true"/>
          <w:lang w:bidi="fa-IR"/>
        </w:rPr>
        <w:t xml:space="preserve">المشهور بین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یجب کفایة حال الاحتضار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وقت نزع الروح من البدن </w:t>
      </w:r>
      <w:r>
        <w:rPr>
          <w:rFonts w:eastAsia="IRNazanin" w:cs="IRNazanin"/>
          <w:color w:val="111111"/>
          <w:sz w:val="28"/>
          <w:szCs w:val="28"/>
          <w:rtl w:val="true"/>
          <w:lang w:bidi="fa-IR"/>
        </w:rPr>
        <w:t xml:space="preserve">- </w:t>
      </w:r>
      <w:r>
        <w:rPr>
          <w:rStyle w:val="FootnoteAnchor"/>
          <w:rtl w:val="true"/>
        </w:rPr>
        <w:footnoteReference w:id="1386"/>
      </w:r>
      <w:r>
        <w:rPr>
          <w:rFonts w:ascii="IRNazanin" w:hAnsi="IRNazanin" w:eastAsia="IRNazanin"/>
          <w:color w:val="111111"/>
          <w:sz w:val="28"/>
          <w:sz w:val="28"/>
          <w:szCs w:val="28"/>
          <w:rtl w:val="true"/>
          <w:lang w:bidi="fa-IR"/>
        </w:rPr>
        <w:t>توجیه المحتضر إلی القبلة بحیث لو جلس کان مستقبلاً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 منهم أنّه مستحبّ، و تحقیقه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الخلاف فی أنّ هذا الحکم لا یختصّ بالبالغین، بل یشمل الأطفال أیضاً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أنّه لا فرق بین الصغیر و الکبیر فی هذا الحکم إذا کان مسلماً أو فی حکمه</w:t>
      </w:r>
      <w:r>
        <w:rPr>
          <w:rFonts w:eastAsia="IRNazanin" w:cs="IRNazanin"/>
          <w:color w:val="111111"/>
          <w:sz w:val="28"/>
          <w:szCs w:val="28"/>
          <w:rtl w:val="true"/>
          <w:lang w:bidi="fa-IR"/>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bookmarkStart w:id="409" w:name="pg11755_254761"/>
    </w:p>
    <w:p>
      <w:pPr>
        <w:pStyle w:val="BookText"/>
        <w:rPr/>
      </w:pPr>
      <w:bookmarkEnd w:id="409"/>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قضیّة ما تقدّم من الأدلّة علی المختار عدم الفرق بین کون المیّت صغیراً أو کبیراً، حرّاً أو عبداً بعد فرض الإسلام أو حکمه</w:t>
      </w:r>
      <w:r>
        <w:rPr>
          <w:rFonts w:eastAsia="IRNazanin" w:cs="IRNazanin"/>
          <w:color w:val="111111"/>
          <w:sz w:val="28"/>
          <w:szCs w:val="28"/>
          <w:rtl w:val="true"/>
          <w:lang w:bidi="fa-IR"/>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جملة من المتأخّرین</w:t>
      </w:r>
      <w:r>
        <w:rPr>
          <w:rStyle w:val="FootnoteAnchor"/>
          <w:rtl w:val="true"/>
        </w:rPr>
        <w:footnoteReference w:id="1389"/>
      </w:r>
      <w:r>
        <w:rPr>
          <w:rFonts w:ascii="IRNazanin" w:hAnsi="IRNazanin" w:eastAsia="IRNazanin"/>
          <w:color w:val="111111"/>
          <w:sz w:val="28"/>
          <w:sz w:val="28"/>
          <w:szCs w:val="28"/>
          <w:rtl w:val="true"/>
          <w:lang w:bidi="fa-IR"/>
        </w:rPr>
        <w:t>و بعض أعلام العصر</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یجب کفایة علی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یخلو من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الاحتضار و النزع توجیه المحتضر المسلم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کان أو امرأة، صغیراً کان أو کبیراً</w:t>
      </w:r>
      <w:r>
        <w:rPr>
          <w:rFonts w:eastAsia="IRNazanin" w:cs="IRNazanin"/>
          <w:color w:val="111111"/>
          <w:sz w:val="28"/>
          <w:szCs w:val="28"/>
          <w:rtl w:val="true"/>
          <w:lang w:bidi="fa-IR"/>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0" w:name="__RefHeading___Toc9587560_73709187"/>
      <w:bookmarkStart w:id="411" w:name="_Toc154"/>
      <w:bookmarkEnd w:id="410"/>
      <w:r>
        <w:rPr>
          <w:rtl w:val="true"/>
        </w:rPr>
        <w:t>أدلّة وجوب توجیه الصبیّ إلی القبلة</w:t>
      </w:r>
      <w:bookmarkEnd w:id="411"/>
    </w:p>
    <w:p>
      <w:pPr>
        <w:pStyle w:val="BookText"/>
        <w:rPr/>
      </w:pPr>
      <w:r>
        <w:rPr>
          <w:rFonts w:ascii="IRNazanin" w:hAnsi="IRNazanin" w:eastAsia="IRNazanin"/>
          <w:color w:val="111111"/>
          <w:sz w:val="28"/>
          <w:sz w:val="28"/>
          <w:szCs w:val="28"/>
          <w:rtl w:val="true"/>
          <w:lang w:bidi="fa-IR"/>
        </w:rPr>
        <w:t>یدلّ علی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الأخبار الواردة فی الباب؛ لأنّ الحکم فیها مترتّب علی عنوان المیّت، و المراد به المشرف علی الموت، و هو مطلق یشمل الصغیر و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لأحدکم میّت فسجّوه تجاه القبلة</w:t>
      </w:r>
      <w:r>
        <w:rPr>
          <w:rFonts w:eastAsia="IRNazanin" w:cs="IRNazanin"/>
          <w:color w:val="111111"/>
          <w:sz w:val="28"/>
          <w:szCs w:val="28"/>
          <w:rtl w:val="true"/>
          <w:lang w:bidi="fa-IR"/>
        </w:rPr>
        <w:t>»</w:t>
      </w:r>
      <w:r>
        <w:rPr>
          <w:rStyle w:val="FootnoteAnchor"/>
          <w:rtl w:val="true"/>
        </w:rPr>
        <w:footnoteReference w:id="1392"/>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المیّت، فقال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 بباطن قدمیه القبلة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bookmarkStart w:id="412" w:name="pg11755_254763"/>
    </w:p>
    <w:p>
      <w:pPr>
        <w:pStyle w:val="BookText"/>
        <w:rPr/>
      </w:pPr>
      <w:bookmarkEnd w:id="412"/>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 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رسول اللّه صلی الله علیه و آله علی رجل من ولد عبد المطلب و هو فی السوق،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وجّهوه إلی القبلة، فإنّکم إذا فعلتم ذلک أقبلت علیه الملائکة، و أقبل اللّه عزّ و جلّ علیه بوجهه، فلم یزل کذلک حتّی یقبض</w:t>
      </w:r>
      <w:r>
        <w:rPr>
          <w:rFonts w:eastAsia="IRNazanin" w:cs="IRNazanin"/>
          <w:color w:val="111111"/>
          <w:sz w:val="28"/>
          <w:szCs w:val="28"/>
          <w:rtl w:val="true"/>
          <w:lang w:bidi="fa-IR"/>
        </w:rPr>
        <w:t>»</w:t>
      </w:r>
      <w:r>
        <w:rPr>
          <w:rStyle w:val="FootnoteAnchor"/>
          <w:rtl w:val="true"/>
        </w:rPr>
        <w:footnoteReference w:id="1393"/>
      </w:r>
      <w:r>
        <w:rPr>
          <w:rFonts w:ascii="IRNazanin" w:hAnsi="IRNazanin" w:eastAsia="IRNazanin"/>
          <w:color w:val="111111"/>
          <w:sz w:val="28"/>
          <w:sz w:val="28"/>
          <w:szCs w:val="28"/>
          <w:rtl w:val="true"/>
          <w:lang w:bidi="fa-IR"/>
        </w:rPr>
        <w:t>فإنّ عموم تعلیله یشمل الکبیر و الصغیر، و غیرها</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من الأخبار التی فیها صحیحة و ضعیفة، و الشهرة المستفیضة جابرة لضعافها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الاشتراک المعتضدة بإطلاق فتاوی الأصحاب</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 w:name="__RefHeading___Toc9587562_73709187"/>
      <w:bookmarkStart w:id="414" w:name="_Toc155"/>
      <w:bookmarkEnd w:id="413"/>
      <w:r>
        <w:rPr>
          <w:rtl w:val="true"/>
        </w:rPr>
        <w:t>رأی أهل السنّة فی المسألة</w:t>
      </w:r>
      <w:bookmarkEnd w:id="414"/>
    </w:p>
    <w:p>
      <w:pPr>
        <w:pStyle w:val="BookText"/>
        <w:rPr/>
      </w:pPr>
      <w:r>
        <w:rPr>
          <w:rFonts w:ascii="IRNazanin" w:hAnsi="IRNazanin" w:eastAsia="IRNazanin"/>
          <w:color w:val="111111"/>
          <w:sz w:val="28"/>
          <w:sz w:val="28"/>
          <w:szCs w:val="28"/>
          <w:rtl w:val="true"/>
          <w:lang w:bidi="fa-IR"/>
        </w:rPr>
        <w:t>بحسب تتبّعنا لم نجد فی کلمات فقهاء أهل السنّة نصّاً فی توجیه الصبیّ المحتضر إلی القبلة خاصّاً، و الظاهر اتّفاقهم علی مندوبیّة ذلک الحکم بالنسبة إلی البالغین، و یستفاد من إطلاق کلامهم عدم الفرق فیه بین البالغ و الصبیّ و الصبیّة</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اختلفوا فی مشروعیّة تلقین الصبیّ، جاء فی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یلقّن غیر المکلّف؟ وجهان، و هذا الخلاف مبنیّ علی نزول الملکین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الراجح نزول الملکین إلی غیر المکلّف، فیرجّح تلقینه</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الجواز مختار المالکیّة</w:t>
      </w:r>
      <w:r>
        <w:rPr>
          <w:rStyle w:val="FootnoteAnchor"/>
          <w:rtl w:val="true"/>
        </w:rPr>
        <w:footnoteReference w:id="1398"/>
      </w:r>
      <w:r>
        <w:rPr>
          <w:rFonts w:ascii="IRNazanin" w:hAnsi="IRNazanin" w:eastAsia="IRNazanin"/>
          <w:color w:val="111111"/>
          <w:sz w:val="28"/>
          <w:sz w:val="28"/>
          <w:szCs w:val="28"/>
          <w:rtl w:val="true"/>
          <w:lang w:bidi="fa-IR"/>
        </w:rPr>
        <w:t>أیضاً، و صرّح الشافعیّة بعدم تشریع تلقین الصبیّ،</w:t>
      </w:r>
      <w:r>
        <w:rPr>
          <w:rStyle w:val="FootnoteAnchor"/>
          <w:rtl w:val="true"/>
        </w:rPr>
        <w:footnoteReference w:id="1399"/>
      </w:r>
      <w:r>
        <w:rPr>
          <w:rFonts w:ascii="IRNazanin" w:hAnsi="IRNazanin" w:eastAsia="IRNazanin"/>
          <w:color w:val="111111"/>
          <w:sz w:val="28"/>
          <w:sz w:val="28"/>
          <w:szCs w:val="28"/>
          <w:rtl w:val="true"/>
          <w:lang w:bidi="fa-IR"/>
        </w:rPr>
        <w:t>و ظاهر کلام الحنفیّة التردید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حاشیة ردّ المحتار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لا یسأل ینبغی أن لا یلقّن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یلقّن الرضیع الملک، و قیل لا، بل یلهمه اللّه تعالی کما ألهم عیسی فی المهد</w:t>
      </w:r>
      <w:r>
        <w:rPr>
          <w:rFonts w:eastAsia="IRNazanin" w:cs="IRNazanin"/>
          <w:color w:val="111111"/>
          <w:sz w:val="28"/>
          <w:szCs w:val="28"/>
          <w:rtl w:val="true"/>
          <w:lang w:bidi="fa-IR"/>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bookmarkStart w:id="415" w:name="pg11755_254768"/>
    </w:p>
    <w:p>
      <w:pPr>
        <w:pStyle w:val="Heading4"/>
        <w:numPr>
          <w:ilvl w:val="3"/>
          <w:numId w:val="1"/>
        </w:numPr>
        <w:rPr/>
      </w:pPr>
      <w:bookmarkStart w:id="416" w:name="__RefHeading___Toc9587564_73709187"/>
      <w:bookmarkStart w:id="417" w:name="_Toc156"/>
      <w:bookmarkEnd w:id="415"/>
      <w:bookmarkEnd w:id="416"/>
      <w:r>
        <w:rPr>
          <w:rtl w:val="true"/>
        </w:rPr>
        <w:t>المبحث الثانی</w:t>
      </w:r>
      <w:r>
        <w:rPr>
          <w:rtl w:val="true"/>
        </w:rPr>
        <w:t xml:space="preserve">: </w:t>
      </w:r>
      <w:r>
        <w:rPr>
          <w:rtl w:val="true"/>
        </w:rPr>
        <w:t>وجوب تغسیله</w:t>
      </w:r>
      <w:bookmarkEnd w:id="417"/>
    </w:p>
    <w:p>
      <w:pPr>
        <w:pStyle w:val="Heading5"/>
        <w:numPr>
          <w:ilvl w:val="4"/>
          <w:numId w:val="1"/>
        </w:numPr>
        <w:rPr/>
      </w:pPr>
      <w:bookmarkStart w:id="418" w:name="__RefHeading___Toc9587566_73709187"/>
      <w:bookmarkStart w:id="419" w:name="_Toc157"/>
      <w:bookmarkEnd w:id="418"/>
      <w:r>
        <w:rPr>
          <w:rtl w:val="true"/>
        </w:rPr>
        <w:t>اشارة</w:t>
      </w:r>
      <w:bookmarkEnd w:id="419"/>
    </w:p>
    <w:p>
      <w:pPr>
        <w:pStyle w:val="BookText"/>
        <w:rPr/>
      </w:pPr>
      <w:r>
        <w:rPr>
          <w:rFonts w:ascii="IRNazanin" w:hAnsi="IRNazanin" w:eastAsia="IRNazanin"/>
          <w:color w:val="111111"/>
          <w:sz w:val="28"/>
          <w:sz w:val="28"/>
          <w:szCs w:val="28"/>
          <w:rtl w:val="true"/>
          <w:lang w:bidi="fa-IR"/>
        </w:rPr>
        <w:t xml:space="preserve">الغسل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من غسلت الشیء غسلاً، و بالضمّ اسم مصدر</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إفاضة ماء طهور علی جمیع البدن علی وجه مخصوص بشروط و أرکان</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اتّفق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جمیع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تغسیل المیّت المسلم من الرجال و النساء و الأطفال واجب کفایة، بحیث إذا قام به البعض سقط عن الباقین، و المقصود بالبحث فی المقام هو تغسیل الطفل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تغسیله یقع فی مقامین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تغسیل الطفل الذی ولد حیّاً ثمّ مات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تغسیل السقط</w:t>
      </w:r>
      <w:r>
        <w:rPr>
          <w:rFonts w:eastAsia="IRNazanin" w:cs="IRNazanin"/>
          <w:color w:val="111111"/>
          <w:sz w:val="28"/>
          <w:szCs w:val="28"/>
          <w:rtl w:val="true"/>
          <w:lang w:bidi="fa-IR"/>
        </w:rPr>
        <w:t>.</w:t>
      </w:r>
      <w:bookmarkStart w:id="420" w:name="pg11755_254770"/>
    </w:p>
    <w:p>
      <w:pPr>
        <w:pStyle w:val="Heading5"/>
        <w:numPr>
          <w:ilvl w:val="4"/>
          <w:numId w:val="1"/>
        </w:numPr>
        <w:rPr/>
      </w:pPr>
      <w:bookmarkStart w:id="421" w:name="__RefHeading___Toc9587568_73709187"/>
      <w:bookmarkStart w:id="422" w:name="_Toc158"/>
      <w:bookmarkEnd w:id="420"/>
      <w:bookmarkEnd w:id="421"/>
      <w:r>
        <w:rPr>
          <w:rtl w:val="true"/>
        </w:rPr>
        <w:t>المقام الأوّل</w:t>
      </w:r>
      <w:r>
        <w:rPr>
          <w:rtl w:val="true"/>
        </w:rPr>
        <w:t xml:space="preserve">: </w:t>
      </w:r>
      <w:r>
        <w:rPr>
          <w:rtl w:val="true"/>
        </w:rPr>
        <w:t>تغسیل الطفل الذی ولد حیّاً ثمّ مات</w:t>
      </w:r>
      <w:bookmarkEnd w:id="422"/>
    </w:p>
    <w:p>
      <w:pPr>
        <w:pStyle w:val="Heading6"/>
        <w:numPr>
          <w:ilvl w:val="5"/>
          <w:numId w:val="1"/>
        </w:numPr>
        <w:rPr/>
      </w:pPr>
      <w:bookmarkStart w:id="423" w:name="__RefHeading___Toc9587570_73709187"/>
      <w:bookmarkStart w:id="424" w:name="_Toc159"/>
      <w:bookmarkEnd w:id="423"/>
      <w:r>
        <w:rPr>
          <w:rtl w:val="true"/>
        </w:rPr>
        <w:t>اشارة</w:t>
      </w:r>
      <w:bookmarkEnd w:id="424"/>
    </w:p>
    <w:p>
      <w:pPr>
        <w:pStyle w:val="BookText"/>
        <w:rPr/>
      </w:pPr>
      <w:r>
        <w:rPr>
          <w:rFonts w:ascii="IRNazanin" w:hAnsi="IRNazanin" w:eastAsia="IRNazanin"/>
          <w:color w:val="111111"/>
          <w:sz w:val="28"/>
          <w:sz w:val="28"/>
          <w:szCs w:val="28"/>
          <w:rtl w:val="true"/>
          <w:lang w:bidi="fa-IR"/>
        </w:rPr>
        <w:t>لا خلاف نصّاً و فتوی فی أنّه إذا کان المیّت صبیّاً یجب تغسیله کتغسیل 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تغسیل الأموات من الرجال و النساء و الأطفال مفترض فی ملّة الإسلام</w:t>
      </w:r>
      <w:r>
        <w:rPr>
          <w:rFonts w:eastAsia="IRNazanin" w:cs="IRNazanin"/>
          <w:color w:val="111111"/>
          <w:sz w:val="28"/>
          <w:szCs w:val="28"/>
          <w:rtl w:val="true"/>
          <w:lang w:bidi="fa-IR"/>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النهایة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 المیّت صبیّاً غُسِّلَ کتغسیل الرجال، و یکفّن و یُحنّط کتکفینهم و تحنیطهم</w:t>
      </w:r>
      <w:r>
        <w:rPr>
          <w:rFonts w:eastAsia="Amiri" w:cs="Amiri" w:ascii="Amiri" w:hAnsi="Amiri"/>
          <w:color w:val="111111"/>
          <w:sz w:val="28"/>
          <w:szCs w:val="28"/>
          <w:rtl w:val="true"/>
          <w:lang w:bidi="ar-SA"/>
        </w:rPr>
        <w:t>»</w:t>
      </w:r>
      <w:r>
        <w:rPr>
          <w:rStyle w:val="FootnoteAnchor"/>
          <w:rtl w:val="true"/>
        </w:rPr>
        <w:footnoteReference w:id="1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المبسوط‌</w:t>
      </w:r>
      <w:r>
        <w:rPr>
          <w:rStyle w:val="FootnoteAnchor"/>
          <w:rtl w:val="true"/>
        </w:rPr>
        <w:footnoteReference w:id="1405"/>
      </w:r>
      <w:r>
        <w:rPr>
          <w:rFonts w:ascii="IRNazanin" w:hAnsi="IRNazanin" w:eastAsia="IRNazanin"/>
          <w:color w:val="111111"/>
          <w:sz w:val="28"/>
          <w:sz w:val="28"/>
          <w:szCs w:val="28"/>
          <w:rtl w:val="true"/>
          <w:lang w:bidi="fa-IR"/>
        </w:rPr>
        <w:t>و السرائر</w:t>
      </w:r>
      <w:r>
        <w:rPr>
          <w:rStyle w:val="FootnoteAnchor"/>
          <w:rtl w:val="true"/>
        </w:rPr>
        <w:footnoteReference w:id="1406"/>
      </w:r>
      <w:r>
        <w:rPr>
          <w:rFonts w:ascii="IRNazanin" w:hAnsi="IRNazanin" w:eastAsia="IRNazanin"/>
          <w:color w:val="111111"/>
          <w:sz w:val="28"/>
          <w:sz w:val="28"/>
          <w:szCs w:val="28"/>
          <w:rtl w:val="true"/>
          <w:lang w:bidi="fa-IR"/>
        </w:rPr>
        <w:t>و الوسیلة</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و الدروس</w:t>
      </w:r>
      <w:r>
        <w:rPr>
          <w:rStyle w:val="FootnoteAnchor"/>
          <w:rtl w:val="true"/>
        </w:rPr>
        <w:footnoteReference w:id="1408"/>
      </w:r>
      <w:r>
        <w:rPr>
          <w:rFonts w:ascii="IRNazanin" w:hAnsi="IRNazanin" w:eastAsia="IRNazanin"/>
          <w:color w:val="111111"/>
          <w:sz w:val="28"/>
          <w:sz w:val="28"/>
          <w:szCs w:val="28"/>
          <w:rtl w:val="true"/>
          <w:lang w:bidi="fa-IR"/>
        </w:rPr>
        <w:t>و الذکری</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کلّ مسلم علی الکفایة تغسیل المسلم و من هو بحکمه و إن کان سقطاً له أربعة أشهر</w:t>
      </w:r>
      <w:r>
        <w:rPr>
          <w:rFonts w:eastAsia="IRNazanin" w:cs="IRNazanin"/>
          <w:color w:val="111111"/>
          <w:sz w:val="28"/>
          <w:szCs w:val="28"/>
          <w:rtl w:val="true"/>
          <w:lang w:bidi="fa-IR"/>
        </w:rPr>
        <w:t>»</w:t>
      </w:r>
      <w:r>
        <w:rPr>
          <w:rStyle w:val="FootnoteAnchor"/>
          <w:rtl w:val="true"/>
        </w:rPr>
        <w:footnoteReference w:id="1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التذکرة</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الثانی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بمن فی حکم المسلم من الحق شرعاً بالمسلمین، و جُعِلَ بمنزلتهم کالصبیّ، و من بلغ مجنوناً إذا کان أحد أبویه مسلماً، و کذا لقیط دار الإسلام و دار الکفر و فیها مسلم یمکن إلحاقه</w:t>
      </w:r>
      <w:bookmarkStart w:id="425" w:name="pg11755_254772"/>
    </w:p>
    <w:p>
      <w:pPr>
        <w:pStyle w:val="BookText"/>
        <w:rPr/>
      </w:pPr>
      <w:bookmarkEnd w:id="425"/>
      <w:r>
        <w:rPr>
          <w:rFonts w:ascii="Amiri" w:hAnsi="Amiri" w:eastAsia="Amiri" w:cs="Amiri"/>
          <w:color w:val="111111"/>
          <w:sz w:val="28"/>
          <w:sz w:val="28"/>
          <w:szCs w:val="28"/>
          <w:rtl w:val="true"/>
          <w:lang w:bidi="ar-SA"/>
        </w:rPr>
        <w:t>به تغلیباً</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جماعة من المتأخّرین</w:t>
      </w:r>
      <w:r>
        <w:rPr>
          <w:rStyle w:val="FootnoteAnchor"/>
          <w:rtl w:val="true"/>
        </w:rPr>
        <w:footnoteReference w:id="1413"/>
      </w:r>
      <w:r>
        <w:rPr>
          <w:rFonts w:ascii="Amiri" w:hAnsi="Amiri" w:eastAsia="Amiri" w:cs="Amiri"/>
          <w:color w:val="111111"/>
          <w:sz w:val="28"/>
          <w:sz w:val="28"/>
          <w:szCs w:val="28"/>
          <w:rtl w:val="true"/>
          <w:lang w:bidi="ar-SA"/>
        </w:rPr>
        <w:t>و متأخِّریهم</w:t>
      </w:r>
      <w:r>
        <w:rPr>
          <w:rStyle w:val="FootnoteAnchor"/>
          <w:rtl w:val="true"/>
        </w:rPr>
        <w:footnoteReference w:id="1414"/>
      </w:r>
      <w:r>
        <w:rPr>
          <w:rFonts w:ascii="Amiri" w:hAnsi="Amiri" w:eastAsia="Amiri" w:cs="Amiri"/>
          <w:color w:val="111111"/>
          <w:sz w:val="28"/>
          <w:sz w:val="28"/>
          <w:szCs w:val="28"/>
          <w:rtl w:val="true"/>
          <w:lang w:bidi="ar-SA"/>
        </w:rPr>
        <w:t>و عدّة من فقهاء العصر</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6" w:name="__RefHeading___Toc9587572_73709187"/>
      <w:bookmarkStart w:id="427" w:name="_Toc160"/>
      <w:bookmarkEnd w:id="426"/>
      <w:r>
        <w:rPr>
          <w:rtl w:val="true"/>
        </w:rPr>
        <w:t>أدلّة وجوب تغسیل الطفل المیّت</w:t>
      </w:r>
      <w:bookmarkEnd w:id="427"/>
    </w:p>
    <w:p>
      <w:pPr>
        <w:pStyle w:val="BookText"/>
        <w:rPr/>
      </w:pPr>
      <w:r>
        <w:rPr>
          <w:rFonts w:ascii="IRNazanin" w:hAnsi="IRNazanin" w:eastAsia="IRNazanin"/>
          <w:color w:val="111111"/>
          <w:sz w:val="28"/>
          <w:sz w:val="28"/>
          <w:szCs w:val="28"/>
          <w:rtl w:val="true"/>
          <w:lang w:bidi="fa-IR"/>
        </w:rPr>
        <w:t>و یمکن أن یستدلّ لهذا الحکم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فی الخلاف</w:t>
      </w:r>
      <w:r>
        <w:rPr>
          <w:rStyle w:val="FootnoteAnchor"/>
          <w:rtl w:val="true"/>
        </w:rPr>
        <w:footnoteReference w:id="1416"/>
      </w:r>
      <w:r>
        <w:rPr>
          <w:rFonts w:ascii="IRNazanin" w:hAnsi="IRNazanin" w:eastAsia="IRNazanin"/>
          <w:color w:val="111111"/>
          <w:sz w:val="28"/>
          <w:sz w:val="28"/>
          <w:szCs w:val="28"/>
          <w:rtl w:val="true"/>
          <w:lang w:bidi="fa-IR"/>
        </w:rPr>
        <w:t>، و 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تغسیل أطفال المسلمین و مجانینهم بالإجماع</w:t>
      </w:r>
      <w:r>
        <w:rPr>
          <w:rFonts w:eastAsia="IRNazanin" w:cs="IRNazanin"/>
          <w:color w:val="111111"/>
          <w:sz w:val="28"/>
          <w:szCs w:val="28"/>
          <w:rtl w:val="true"/>
          <w:lang w:bidi="fa-IR"/>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الواردة فی وجوب تغسیل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عن أبی عبد اللّه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غسل الجنابة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المیّت واجب</w:t>
      </w:r>
      <w:r>
        <w:rPr>
          <w:rFonts w:eastAsia="IRNazanin" w:cs="IRNazanin"/>
          <w:color w:val="111111"/>
          <w:sz w:val="28"/>
          <w:szCs w:val="28"/>
          <w:rtl w:val="true"/>
          <w:lang w:bidi="fa-IR"/>
        </w:rPr>
        <w:t>»</w:t>
      </w:r>
      <w:r>
        <w:rPr>
          <w:rStyle w:val="FootnoteAnchor"/>
          <w:rtl w:val="true"/>
        </w:rPr>
        <w:footnoteReference w:id="1418"/>
      </w:r>
      <w:r>
        <w:rPr>
          <w:rFonts w:ascii="IRNazanin" w:hAnsi="IRNazanin" w:eastAsia="IRNazanin"/>
          <w:color w:val="111111"/>
          <w:sz w:val="28"/>
          <w:sz w:val="28"/>
          <w:szCs w:val="28"/>
          <w:rtl w:val="true"/>
          <w:lang w:bidi="fa-IR"/>
        </w:rPr>
        <w:t>، و فی إطلاقه تأمّل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مکتوبة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 علیه السلام کتب إلیه فی جواب مسائله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غسل المیّت أنّه یغسّل؛ لأنّه یطهّر و ینظف من أدناس أمراضه و ما أصابه من صنوف علله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سلیمان الدیلمی عن أبی عبد اللّه علیه السلام قال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w:t>
      </w:r>
      <w:bookmarkStart w:id="428" w:name="pg11755_254774"/>
    </w:p>
    <w:p>
      <w:pPr>
        <w:pStyle w:val="BookText"/>
        <w:rPr/>
      </w:pPr>
      <w:bookmarkEnd w:id="428"/>
      <w:r>
        <w:rPr>
          <w:rFonts w:ascii="IRNazanin" w:hAnsi="IRNazanin" w:eastAsia="IRNazanin"/>
          <w:color w:val="111111"/>
          <w:sz w:val="28"/>
          <w:sz w:val="28"/>
          <w:szCs w:val="28"/>
          <w:rtl w:val="true"/>
          <w:lang w:bidi="fa-IR"/>
        </w:rPr>
        <w:t>سأل أبا جعفر علیه السلام عن المیّت، لِمَ یغسّل غسل الجنابة؟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الرّوح من البدن خرجت النطفة التی خلق منها بعینها منه کائناً ما کان، صغیراً أو کبیراً، ذکراً أو أنثی، فلذلک یغسّل غسل الجنابة</w:t>
      </w:r>
      <w:r>
        <w:rPr>
          <w:rFonts w:eastAsia="IRNazanin" w:cs="IRNazanin"/>
          <w:color w:val="111111"/>
          <w:sz w:val="28"/>
          <w:szCs w:val="28"/>
          <w:rtl w:val="true"/>
          <w:lang w:bidi="fa-IR"/>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هذه الأخبار أنّ الوجه فی غسل المیّت تنظیفه و جعله أقرب إلی رحمة اللّه، و ألیق بشفاعة الملائکة، و أنّه تطهیر للمیّت عن الجنابة الحاصلة له عند الموت، فتشمل البالغ و غیر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مضمرة أبی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کلّ الموتی</w:t>
      </w:r>
      <w:r>
        <w:rPr>
          <w:rFonts w:eastAsia="IRNazanin" w:cs="IRNazanin"/>
          <w:color w:val="111111"/>
          <w:sz w:val="28"/>
          <w:szCs w:val="28"/>
          <w:rtl w:val="true"/>
          <w:lang w:bidi="fa-IR"/>
        </w:rPr>
        <w:t>»</w:t>
      </w:r>
      <w:r>
        <w:rPr>
          <w:rStyle w:val="FootnoteAnchor"/>
          <w:rtl w:val="true"/>
        </w:rPr>
        <w:footnoteReference w:id="142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عمومه بالنسبة إلی جمیع الأفراد تأمّل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یأتی من الأخبار الواردة فی تغسیل الصبیّ و الصبیّة</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فحوی الأخبار التی تدلّ علی وجوب تغسیل السقط لأربعة أشهر</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فمقتضی هذه الأدلّة أنّه لا فرق فی وجوب تغسیل المسلم بین الصغیر و الکبیر، و أنّه متسالم علیه، بل ضروریّ</w:t>
      </w:r>
      <w:r>
        <w:rPr>
          <w:rFonts w:eastAsia="IRNazanin" w:cs="IRNazanin"/>
          <w:color w:val="111111"/>
          <w:sz w:val="28"/>
          <w:szCs w:val="28"/>
          <w:rtl w:val="true"/>
          <w:lang w:bidi="fa-IR"/>
        </w:rPr>
        <w:t>.</w:t>
      </w:r>
    </w:p>
    <w:p>
      <w:pPr>
        <w:pStyle w:val="Heading6"/>
        <w:numPr>
          <w:ilvl w:val="5"/>
          <w:numId w:val="1"/>
        </w:numPr>
        <w:rPr/>
      </w:pPr>
      <w:bookmarkStart w:id="429" w:name="__RefHeading___Toc9587574_73709187"/>
      <w:bookmarkStart w:id="430" w:name="_Toc161"/>
      <w:bookmarkEnd w:id="429"/>
      <w:r>
        <w:rPr>
          <w:rtl w:val="true"/>
        </w:rPr>
        <w:t>فروع</w:t>
      </w:r>
      <w:bookmarkEnd w:id="430"/>
    </w:p>
    <w:p>
      <w:pPr>
        <w:pStyle w:val="Heading6"/>
        <w:numPr>
          <w:ilvl w:val="5"/>
          <w:numId w:val="1"/>
        </w:numPr>
        <w:rPr/>
      </w:pPr>
      <w:bookmarkStart w:id="431" w:name="__RefHeading___Toc9587576_73709187"/>
      <w:bookmarkStart w:id="432" w:name="_Toc162"/>
      <w:bookmarkEnd w:id="431"/>
      <w:r>
        <w:rPr>
          <w:rtl w:val="true"/>
        </w:rPr>
        <w:t>الأوّل</w:t>
      </w:r>
      <w:r>
        <w:rPr>
          <w:rtl w:val="true"/>
        </w:rPr>
        <w:t xml:space="preserve">: </w:t>
      </w:r>
      <w:r>
        <w:rPr>
          <w:rtl w:val="true"/>
        </w:rPr>
        <w:t>وجوب تغسیل لقیط دار الإسلام</w:t>
      </w:r>
      <w:bookmarkEnd w:id="43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 الفقهاء أنّ لقیط دار الإسلام بحکم المسلم فی وجوب الغسل،</w:t>
      </w:r>
      <w:bookmarkStart w:id="433" w:name="pg11755_254776"/>
    </w:p>
    <w:p>
      <w:pPr>
        <w:pStyle w:val="BookText"/>
        <w:rPr/>
      </w:pPr>
      <w:bookmarkEnd w:id="433"/>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المسألة إجماعیّة، لعدم نقل الخلاف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تغسیل کلّ میّت مسلم أو بحکمه کالطفل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لقیط دار الإسلام، أو دار الکفر و فیها مسلم یمکن تولّده منه</w:t>
      </w:r>
      <w:r>
        <w:rPr>
          <w:rFonts w:eastAsia="IRNazanin" w:cs="IRNazanin"/>
          <w:color w:val="111111"/>
          <w:sz w:val="28"/>
          <w:szCs w:val="28"/>
          <w:rtl w:val="true"/>
          <w:lang w:bidi="fa-IR"/>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لقیط دار الإسلام و دار الکفر و فیها مسلم یمکن إلحاقه به تغلیباً</w:t>
      </w:r>
      <w:r>
        <w:rPr>
          <w:rFonts w:eastAsia="IRNazanin" w:cs="IRNazanin"/>
          <w:color w:val="111111"/>
          <w:sz w:val="28"/>
          <w:szCs w:val="28"/>
          <w:rtl w:val="true"/>
          <w:lang w:bidi="fa-IR"/>
        </w:rPr>
        <w:t>»</w:t>
      </w:r>
      <w:r>
        <w:rPr>
          <w:rStyle w:val="FootnoteAnchor"/>
          <w:rtl w:val="true"/>
        </w:rPr>
        <w:footnoteReference w:id="1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الذخیرة</w:t>
      </w:r>
      <w:r>
        <w:rPr>
          <w:rStyle w:val="FootnoteAnchor"/>
          <w:rtl w:val="true"/>
        </w:rPr>
        <w:footnoteReference w:id="1426"/>
      </w:r>
      <w:r>
        <w:rPr>
          <w:rFonts w:ascii="IRNazanin" w:hAnsi="IRNazanin" w:eastAsia="IRNazanin"/>
          <w:color w:val="111111"/>
          <w:sz w:val="28"/>
          <w:sz w:val="28"/>
          <w:szCs w:val="28"/>
          <w:rtl w:val="true"/>
          <w:lang w:bidi="fa-IR"/>
        </w:rPr>
        <w:t>و الغنائم</w:t>
      </w:r>
      <w:r>
        <w:rPr>
          <w:rStyle w:val="FootnoteAnchor"/>
          <w:rtl w:val="true"/>
        </w:rPr>
        <w:footnoteReference w:id="1427"/>
      </w:r>
      <w:r>
        <w:rPr>
          <w:rFonts w:ascii="Amiri" w:hAnsi="Amiri" w:eastAsia="Amiri" w:cs="Amiri"/>
          <w:color w:val="111111"/>
          <w:sz w:val="28"/>
          <w:sz w:val="28"/>
          <w:szCs w:val="28"/>
          <w:rtl w:val="true"/>
          <w:lang w:bidi="ar-SA"/>
        </w:rPr>
        <w:t>و العروة</w:t>
      </w:r>
      <w:r>
        <w:rPr>
          <w:rStyle w:val="FootnoteAnchor"/>
          <w:rtl w:val="true"/>
        </w:rPr>
        <w:footnoteReference w:id="1428"/>
      </w:r>
      <w:r>
        <w:rPr>
          <w:rFonts w:ascii="IRNazanin" w:hAnsi="IRNazanin" w:eastAsia="IRNazanin"/>
          <w:color w:val="111111"/>
          <w:sz w:val="28"/>
          <w:sz w:val="28"/>
          <w:szCs w:val="28"/>
          <w:rtl w:val="true"/>
          <w:lang w:bidi="fa-IR"/>
        </w:rPr>
        <w:t>و غیرها</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4" w:name="__RefHeading___Toc9587578_73709187"/>
      <w:bookmarkStart w:id="435" w:name="_Toc163"/>
      <w:bookmarkEnd w:id="434"/>
      <w:r>
        <w:rPr>
          <w:rtl w:val="true"/>
        </w:rPr>
        <w:t>دلیل وجوب تغسیل اللقیط‌</w:t>
      </w:r>
      <w:bookmarkEnd w:id="435"/>
    </w:p>
    <w:p>
      <w:pPr>
        <w:pStyle w:val="BookText"/>
        <w:rPr/>
      </w:pPr>
      <w:r>
        <w:rPr>
          <w:rFonts w:ascii="IRNazanin" w:hAnsi="IRNazanin" w:eastAsia="IRNazanin"/>
          <w:color w:val="111111"/>
          <w:sz w:val="28"/>
          <w:sz w:val="28"/>
          <w:szCs w:val="28"/>
          <w:rtl w:val="true"/>
          <w:lang w:bidi="fa-IR"/>
        </w:rPr>
        <w:t>و استدلّ له فی الجواهر بأنّ المدار فی وجوب التغسیل علی عدم ثبوت الکفر، و اللقیط لا یحکم بکفره، فحینئذ تشمله العمومات الدالّة علی تغسیل کلّ میّت</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وافقه فی ذلک السیّد الخوئی،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الشرعی قد یترتّب علی عنوان الإسلام، کما فی اشتراط جواز التزویج بالکفاءة من حیث الإسلام، و قد یترتّب علی عنوان الکفر، کالنجاسة و عدم وجوب الغسل؛ لأنّ العموم و الإطلاق یدلّان علی الطهارة فی کلّ شخص، و وجوب التغسیل لکلّ میّت</w:t>
      </w:r>
      <w:r>
        <w:rPr>
          <w:rStyle w:val="FootnoteAnchor"/>
          <w:rtl w:val="true"/>
        </w:rPr>
        <w:footnoteReference w:id="14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خرج عنهما عنوان الکافر، و اللقیط لا یتّصف بالکفر؛ لأنّ النجاسة و عدم وجوب الغسل مترتّبان علی الکفر، و یجری فیه استصحاب عدم الاتّصاف بالکفر، و به یثبت عدم کفره، فیشمله ما دلّ علی وجوب تغسیل کلّ میّت</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مناقشة 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التغسیل یترتّب علی عنوان المسلم أو من هو بحکمه، لا علی أمر عدمیّ، أی عدم کونه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المیّت حتف أنفه لا یغسّل، إلّا المسلم أو من کان فی حکمه من الطفل و المجنون</w:t>
      </w:r>
      <w:r>
        <w:rPr>
          <w:rFonts w:eastAsia="IRNazanin" w:cs="IRNazanin"/>
          <w:color w:val="111111"/>
          <w:sz w:val="28"/>
          <w:szCs w:val="28"/>
          <w:rtl w:val="true"/>
          <w:lang w:bidi="fa-IR"/>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سلّار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تغسیل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فیه واجب علی نفسه قبل موته،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غیره بعد موته إذا کان المیّت معتقداً للحقّ</w:t>
      </w:r>
      <w:r>
        <w:rPr>
          <w:rFonts w:eastAsia="IRNazanin" w:cs="IRNazanin"/>
          <w:color w:val="111111"/>
          <w:sz w:val="28"/>
          <w:szCs w:val="28"/>
          <w:rtl w:val="true"/>
          <w:lang w:bidi="fa-IR"/>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قال العلّامة</w:t>
      </w:r>
      <w:r>
        <w:rPr>
          <w:rStyle w:val="FootnoteAnchor"/>
          <w:rtl w:val="true"/>
        </w:rPr>
        <w:footnoteReference w:id="1435"/>
      </w:r>
      <w:r>
        <w:rPr>
          <w:rFonts w:ascii="IRNazanin" w:hAnsi="IRNazanin" w:eastAsia="IRNazanin"/>
          <w:color w:val="111111"/>
          <w:sz w:val="28"/>
          <w:sz w:val="28"/>
          <w:szCs w:val="28"/>
          <w:rtl w:val="true"/>
          <w:lang w:bidi="fa-IR"/>
        </w:rPr>
        <w:t>و الشهیدان</w:t>
      </w:r>
      <w:r>
        <w:rPr>
          <w:rStyle w:val="FootnoteAnchor"/>
          <w:rtl w:val="true"/>
        </w:rPr>
        <w:footnoteReference w:id="1436"/>
      </w:r>
      <w:r>
        <w:rPr>
          <w:rFonts w:ascii="IRNazanin" w:hAnsi="IRNazanin" w:eastAsia="IRNazanin"/>
          <w:color w:val="111111"/>
          <w:sz w:val="28"/>
          <w:sz w:val="28"/>
          <w:szCs w:val="28"/>
          <w:rtl w:val="true"/>
          <w:lang w:bidi="fa-IR"/>
        </w:rPr>
        <w:t>و المحقّق الثانی</w:t>
      </w:r>
      <w:r>
        <w:rPr>
          <w:rStyle w:val="FootnoteAnchor"/>
          <w:rtl w:val="true"/>
        </w:rPr>
        <w:footnoteReference w:id="1437"/>
      </w:r>
      <w:r>
        <w:rPr>
          <w:rFonts w:ascii="IRNazanin" w:hAnsi="IRNazanin" w:eastAsia="IRNazanin"/>
          <w:color w:val="111111"/>
          <w:sz w:val="28"/>
          <w:sz w:val="28"/>
          <w:szCs w:val="28"/>
          <w:rtl w:val="true"/>
          <w:lang w:bidi="fa-IR"/>
        </w:rPr>
        <w:t>و غیرهم</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فظاهر کلمات الأصحاب قدیماً و حدیثاً هو أنّ الحکم مترتّب علی عنوان المسلم، أو من بحکمه، من الصبیّ و المجنون و اللقیط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مقتضی النصوص، کما یأتی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استدلّ به فی الجواهر</w:t>
      </w:r>
      <w:r>
        <w:rPr>
          <w:rStyle w:val="FootnoteAnchor"/>
          <w:rtl w:val="true"/>
        </w:rPr>
        <w:footnoteReference w:id="1439"/>
      </w:r>
      <w:r>
        <w:rPr>
          <w:rFonts w:ascii="IRNazanin" w:hAnsi="IRNazanin" w:eastAsia="IRNazanin"/>
          <w:color w:val="111111"/>
          <w:sz w:val="28"/>
          <w:sz w:val="28"/>
          <w:szCs w:val="28"/>
          <w:rtl w:val="true"/>
          <w:lang w:bidi="fa-IR"/>
        </w:rPr>
        <w:t>و غیرها</w:t>
      </w:r>
      <w:r>
        <w:rPr>
          <w:rStyle w:val="FootnoteAnchor"/>
          <w:rtl w:val="true"/>
        </w:rPr>
        <w:footnoteReference w:id="1440"/>
      </w:r>
      <w:r>
        <w:rPr>
          <w:rFonts w:ascii="IRNazanin" w:hAnsi="IRNazanin" w:eastAsia="IRNazanin"/>
          <w:color w:val="111111"/>
          <w:sz w:val="28"/>
          <w:sz w:val="28"/>
          <w:szCs w:val="28"/>
          <w:rtl w:val="true"/>
          <w:lang w:bidi="fa-IR"/>
        </w:rPr>
        <w:t>من التمسّک بعموم بعض الأخبار أو إطلاقه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العموم فمثل مضمرة أبی خالد المتقدّمة، و إن اشتمل علی عموم لغویّ إلّا أنّ عمومه إنّما هو بالنسبة إلی أنواع أسباب الموت، کما یشهد لذلک تفصیل بعض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کالغرق 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استثنی الشهادة منها، و لا عموم له بالنسبة إلی أنواع المیّت و أفراده، کما أشار إلیه فی المستمسک</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الإطلاقات الواردة فی الباب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المیّت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Style w:val="FootnoteAnchor"/>
          <w:rtl w:val="true"/>
        </w:rPr>
        <w:footnoteReference w:id="1442"/>
      </w:r>
      <w:r>
        <w:rPr>
          <w:rFonts w:ascii="IRNazanin" w:hAnsi="IRNazanin" w:eastAsia="IRNazanin"/>
          <w:color w:val="111111"/>
          <w:sz w:val="28"/>
          <w:sz w:val="28"/>
          <w:szCs w:val="28"/>
          <w:rtl w:val="true"/>
          <w:lang w:bidi="fa-IR"/>
        </w:rPr>
        <w:t>، فالظاهر أنّها مسوقة لبیان أصل تشریع وجوب غسل المیّت، و لا إطلاق لها بالنسبة إلی جمیع أفراد المیّت، من المؤمن و الکافر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التمسّک بالإطلاق یتوقّف علی إعمال مقدّمات الحکمة، و هی مرکّبة من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المتکلِّم فی مقام البیان، لا فی مقام الإجمال و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ما یوجب التعیین من القرینة المتّصلة أو المنفصلة؛ لأنّه مع ذکر القرینة لا یمکن أن یکون للکلام إطلاق</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 من عدم وجود القدر المتیقّن فی مقام التخاطب، و المراد منه هو ثبوت القدر المتیقّن بحسب دلالة اللفظ و ظهوره</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المطلقة الواردة فی هذا المقام لا تکون فی مقام بیان أنواع المیّت أو أفراده، بل وردت لبیان أصل تشریع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 المتیقّن من المطلقات هو المیّت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روایات اخری</w:t>
      </w:r>
      <w:r>
        <w:rPr>
          <w:rStyle w:val="FootnoteAnchor"/>
          <w:rtl w:val="true"/>
        </w:rPr>
        <w:footnoteReference w:id="1444"/>
      </w:r>
      <w:r>
        <w:rPr>
          <w:rFonts w:ascii="IRNazanin" w:hAnsi="IRNazanin" w:eastAsia="IRNazanin"/>
          <w:color w:val="111111"/>
          <w:sz w:val="28"/>
          <w:sz w:val="28"/>
          <w:szCs w:val="28"/>
          <w:rtl w:val="true"/>
          <w:lang w:bidi="fa-IR"/>
        </w:rPr>
        <w:t>تکون قرینة علی أنّ المراد من المیّت فی الأخبار هو المیّت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عمّار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مسلم یموت فی السفر و لیس معه رجل مسلم، و معه رجال نصاری، و معه عمّته و خالته مسلمتان، کیف یصنع فی غسله؟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عمّته و خالته فی قمیصه، و لا تقربه النصاری</w:t>
      </w:r>
      <w:r>
        <w:rPr>
          <w:rFonts w:eastAsia="IRNazanin" w:cs="IRNazanin"/>
          <w:color w:val="111111"/>
          <w:sz w:val="28"/>
          <w:szCs w:val="28"/>
          <w:rtl w:val="true"/>
          <w:lang w:bidi="fa-IR"/>
        </w:rPr>
        <w:t>»</w:t>
      </w:r>
      <w:r>
        <w:rPr>
          <w:rStyle w:val="FootnoteAnchor"/>
          <w:rtl w:val="true"/>
        </w:rPr>
        <w:footnoteReference w:id="144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الحکم فیها مترتّب سؤالاً و جواباً علی المیّت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صحیحة إبراهیم بن عمر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یُغسِّل میّتاً مؤمناً و یقول و هو یُغسِّله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عفوک عفوک إلّا عفا اللّه عنه</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سعد الإسکاف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مؤمن غسّل مؤمناً فقال إذا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هذا بدن عبدک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غفر اللّه له ذنوب سنة، إلّا الکبائر</w:t>
      </w:r>
      <w:r>
        <w:rPr>
          <w:rFonts w:eastAsia="IRNazanin" w:cs="IRNazanin"/>
          <w:color w:val="111111"/>
          <w:sz w:val="28"/>
          <w:szCs w:val="28"/>
          <w:rtl w:val="true"/>
          <w:lang w:bidi="fa-IR"/>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مؤمناً میّتاً فأدّی فیه الأمانة غفر اللّه له</w:t>
      </w:r>
      <w:r>
        <w:rPr>
          <w:rFonts w:eastAsia="Amiri" w:cs="Amiri" w:ascii="Amiri" w:hAnsi="Amiri"/>
          <w:color w:val="111111"/>
          <w:sz w:val="28"/>
          <w:szCs w:val="28"/>
          <w:rtl w:val="true"/>
          <w:lang w:bidi="ar-SA"/>
        </w:rPr>
        <w:t>»</w:t>
      </w:r>
      <w:r>
        <w:rPr>
          <w:rStyle w:val="FootnoteAnchor"/>
          <w:rtl w:val="true"/>
        </w:rPr>
        <w:footnoteReference w:id="1448"/>
      </w:r>
      <w:r>
        <w:rPr>
          <w:rFonts w:ascii="IRNazanin" w:hAnsi="IRNazanin" w:eastAsia="IRNazanin"/>
          <w:color w:val="111111"/>
          <w:sz w:val="28"/>
          <w:sz w:val="28"/>
          <w:szCs w:val="28"/>
          <w:rtl w:val="true"/>
          <w:lang w:bidi="fa-IR"/>
        </w:rPr>
        <w:t>، الحدیث، و کذا غیرها</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فالأظهر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للمشهور، و خلافاً لصاحب الجواهر و للسیّد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التغسیل یترتّب علی المیّت المسلم و من بحکمه، کما هو ظاهر کلمات الأصحاب و مقتضی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أیضاً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أدلّة وجوب الصلاة علی کلّ مسلم،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علی من مات من أهل القبلة، و حسابه علی اللّه</w:t>
      </w:r>
      <w:r>
        <w:rPr>
          <w:rFonts w:eastAsia="IRNazanin" w:cs="IRNazanin"/>
          <w:color w:val="111111"/>
          <w:sz w:val="28"/>
          <w:szCs w:val="28"/>
          <w:rtl w:val="true"/>
          <w:lang w:bidi="fa-IR"/>
        </w:rPr>
        <w:t>»</w:t>
      </w:r>
      <w:r>
        <w:rPr>
          <w:rStyle w:val="FootnoteAnchor"/>
          <w:rtl w:val="true"/>
        </w:rPr>
        <w:footnoteReference w:id="1450"/>
      </w:r>
      <w:r>
        <w:rPr>
          <w:rFonts w:ascii="IRNazanin" w:hAnsi="IRNazanin" w:eastAsia="IRNazanin"/>
          <w:color w:val="111111"/>
          <w:sz w:val="28"/>
          <w:sz w:val="28"/>
          <w:szCs w:val="28"/>
          <w:rtl w:val="true"/>
          <w:lang w:bidi="fa-IR"/>
        </w:rPr>
        <w:t>، بضمیمة عدم القول بالفصل، و اشتراط‌</w:t>
      </w:r>
      <w:r>
        <w:rPr>
          <w:rStyle w:val="FootnoteAnchor"/>
          <w:rtl w:val="true"/>
        </w:rPr>
        <w:footnoteReference w:id="1451"/>
      </w:r>
      <w:r>
        <w:rPr>
          <w:rFonts w:ascii="IRNazanin" w:hAnsi="IRNazanin" w:eastAsia="IRNazanin"/>
          <w:color w:val="111111"/>
          <w:sz w:val="28"/>
          <w:sz w:val="28"/>
          <w:szCs w:val="28"/>
          <w:rtl w:val="true"/>
          <w:lang w:bidi="fa-IR"/>
        </w:rPr>
        <w:t>مشروعیّة الصلاة علی تقدّم الغسل</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الأخبار </w:t>
      </w:r>
      <w:r>
        <w:rPr>
          <w:rStyle w:val="FootnoteAnchor"/>
          <w:rtl w:val="true"/>
        </w:rPr>
        <w:footnoteReference w:id="1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أنّ الوجه فی غسل المیّت تنظیفه، و جعله أقرب إلی رحمة اللّه، و ألیق بشفاعة الملائکة، و أنّه تطهیر للمیّت عن الجنابة الحاصلة له عند الموت، إلی غیر ذلک ممّا یفهم منه استحقاق المؤمن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w:t>
      </w:r>
      <w:r>
        <w:rPr>
          <w:rStyle w:val="FootnoteAnchor"/>
          <w:rtl w:val="true"/>
        </w:rPr>
        <w:footnoteReference w:id="1454"/>
      </w:r>
      <w:r>
        <w:rPr>
          <w:rFonts w:ascii="IRNazanin" w:hAnsi="IRNazanin" w:eastAsia="IRNazanin"/>
          <w:color w:val="111111"/>
          <w:sz w:val="28"/>
          <w:sz w:val="28"/>
          <w:szCs w:val="28"/>
          <w:rtl w:val="true"/>
          <w:lang w:bidi="fa-IR"/>
        </w:rPr>
        <w:t>علی أنّ وجوب الغسل یختصّ بالمیّت المسلم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العمدة فی وجه وجوب تغسیل اللقیط المیّت هو ما تقدّم من الأدلّة التی</w:t>
      </w:r>
      <w:bookmarkStart w:id="436" w:name="pg11755_254787"/>
    </w:p>
    <w:p>
      <w:pPr>
        <w:pStyle w:val="BookText"/>
        <w:rPr/>
      </w:pPr>
      <w:bookmarkEnd w:id="436"/>
      <w:r>
        <w:rPr>
          <w:rFonts w:ascii="IRNazanin" w:hAnsi="IRNazanin" w:eastAsia="IRNazanin"/>
          <w:color w:val="111111"/>
          <w:sz w:val="28"/>
          <w:sz w:val="28"/>
          <w:szCs w:val="28"/>
          <w:rtl w:val="true"/>
          <w:lang w:bidi="fa-IR"/>
        </w:rPr>
        <w:t>دلّت علی أنّ اللقیط محکوم بالإسلام</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توقّف فی وجوب تغسیل لقیط دار الکفر جماعة من الأصحاب</w:t>
      </w:r>
      <w:r>
        <w:rPr>
          <w:rStyle w:val="FootnoteAnchor"/>
          <w:rtl w:val="true"/>
        </w:rPr>
        <w:footnoteReference w:id="1456"/>
      </w:r>
      <w:r>
        <w:rPr>
          <w:rFonts w:ascii="IRNazanin" w:hAnsi="IRNazanin" w:eastAsia="IRNazanin"/>
          <w:color w:val="111111"/>
          <w:sz w:val="28"/>
          <w:sz w:val="28"/>
          <w:szCs w:val="28"/>
          <w:rtl w:val="true"/>
          <w:lang w:bidi="fa-IR"/>
        </w:rPr>
        <w:t>؛ لعدم وفاء الدلیل به، إلّا توهّم السیرة، و هو ممنوع فی المقام و إن کانت ثابتة فی لقیط دار الإسلام</w:t>
      </w:r>
      <w:r>
        <w:rPr>
          <w:rFonts w:eastAsia="IRNazanin" w:cs="IRNazanin"/>
          <w:color w:val="111111"/>
          <w:sz w:val="28"/>
          <w:szCs w:val="28"/>
          <w:rtl w:val="true"/>
          <w:lang w:bidi="fa-IR"/>
        </w:rPr>
        <w:t>.</w:t>
      </w:r>
    </w:p>
    <w:p>
      <w:pPr>
        <w:pStyle w:val="Heading6"/>
        <w:numPr>
          <w:ilvl w:val="5"/>
          <w:numId w:val="1"/>
        </w:numPr>
        <w:rPr/>
      </w:pPr>
      <w:bookmarkStart w:id="437" w:name="__RefHeading___Toc9587580_73709187"/>
      <w:bookmarkStart w:id="438" w:name="_Toc164"/>
      <w:bookmarkEnd w:id="437"/>
      <w:r>
        <w:rPr>
          <w:rtl w:val="true"/>
        </w:rPr>
        <w:t>الفرع الثانی</w:t>
      </w:r>
      <w:r>
        <w:rPr>
          <w:rtl w:val="true"/>
        </w:rPr>
        <w:t xml:space="preserve">: </w:t>
      </w:r>
      <w:r>
        <w:rPr>
          <w:rtl w:val="true"/>
        </w:rPr>
        <w:t>وجوب تغسیل الطفل المولود من الزنی</w:t>
      </w:r>
      <w:bookmarkEnd w:id="438"/>
    </w:p>
    <w:p>
      <w:pPr>
        <w:pStyle w:val="BookText"/>
        <w:rPr/>
      </w:pPr>
      <w:r>
        <w:rPr>
          <w:rFonts w:ascii="IRNazanin" w:hAnsi="IRNazanin" w:eastAsia="IRNazanin"/>
          <w:color w:val="111111"/>
          <w:sz w:val="28"/>
          <w:sz w:val="28"/>
          <w:szCs w:val="28"/>
          <w:rtl w:val="true"/>
          <w:lang w:bidi="fa-IR"/>
        </w:rPr>
        <w:t>المشهور بین الفقهاء أنّه یُلحق بالمسلم أیضاً الطفل المولود من زنی المسلم و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 الزنی إذا مات یغسّل و یصلّی علیه</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قال جمیع الفقهاء، و 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 عموم الأخبار</w:t>
      </w:r>
      <w:r>
        <w:rPr>
          <w:rFonts w:eastAsia="IRNazanin" w:cs="IRNazanin"/>
          <w:color w:val="111111"/>
          <w:sz w:val="28"/>
          <w:szCs w:val="28"/>
          <w:rtl w:val="true"/>
          <w:lang w:bidi="fa-IR"/>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الزنی یغسّل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قال من أصحابنا بکفره</w:t>
      </w:r>
      <w:r>
        <w:rPr>
          <w:rStyle w:val="FootnoteAnchor"/>
          <w:rtl w:val="true"/>
        </w:rPr>
        <w:footnoteReference w:id="1459"/>
      </w:r>
      <w:r>
        <w:rPr>
          <w:rFonts w:ascii="IRNazanin" w:hAnsi="IRNazanin" w:eastAsia="IRNazanin"/>
          <w:color w:val="111111"/>
          <w:sz w:val="28"/>
          <w:sz w:val="28"/>
          <w:szCs w:val="28"/>
          <w:rtl w:val="true"/>
          <w:lang w:bidi="fa-IR"/>
        </w:rPr>
        <w:t>منع من غسله</w:t>
      </w:r>
      <w:r>
        <w:rPr>
          <w:rFonts w:eastAsia="IRNazanin" w:cs="IRNazanin"/>
          <w:color w:val="111111"/>
          <w:sz w:val="28"/>
          <w:szCs w:val="28"/>
          <w:rtl w:val="true"/>
          <w:lang w:bidi="fa-IR"/>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الزنی من المسلم بحکمه، و من الکافر بحکمه</w:t>
      </w:r>
      <w:r>
        <w:rPr>
          <w:rFonts w:eastAsia="IRNazanin" w:cs="IRNazanin"/>
          <w:color w:val="111111"/>
          <w:sz w:val="28"/>
          <w:szCs w:val="28"/>
          <w:rtl w:val="true"/>
          <w:lang w:bidi="fa-IR"/>
        </w:rPr>
        <w:t>»</w:t>
      </w:r>
      <w:r>
        <w:rPr>
          <w:rStyle w:val="FootnoteAnchor"/>
          <w:rtl w:val="true"/>
        </w:rPr>
        <w:footnoteReference w:id="1461"/>
      </w:r>
      <w:r>
        <w:rPr>
          <w:rFonts w:ascii="IRNazanin" w:hAnsi="IRNazanin" w:eastAsia="IRNazanin"/>
          <w:color w:val="111111"/>
          <w:sz w:val="28"/>
          <w:sz w:val="28"/>
          <w:szCs w:val="28"/>
          <w:rtl w:val="true"/>
          <w:lang w:bidi="fa-IR"/>
        </w:rPr>
        <w:t>، و کذا غیرها</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استشکل فیه المحقّق الثانی،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المتولّد من الزنی المسلم نظر ینشأ من عدم الإلحاق شرعاً، و یمکن تبعیّة الإسلام هنا لکونه ولداً لغة کالتحریم</w:t>
      </w:r>
      <w:r>
        <w:rPr>
          <w:rFonts w:eastAsia="IRNazanin" w:cs="IRNazanin"/>
          <w:color w:val="111111"/>
          <w:sz w:val="28"/>
          <w:szCs w:val="28"/>
          <w:rtl w:val="true"/>
          <w:lang w:bidi="fa-IR"/>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المتخلّق من ماء الزانی المسلم نظر، من انتفاء التبعیّة شرعاً، و من تولّده منه حقیقة و کونه ولداً لغة، فیتبعه فی الإسلام، کما یحرم نکاحه</w:t>
      </w:r>
      <w:r>
        <w:rPr>
          <w:rFonts w:eastAsia="IRNazanin" w:cs="IRNazanin"/>
          <w:color w:val="111111"/>
          <w:sz w:val="28"/>
          <w:szCs w:val="28"/>
          <w:rtl w:val="true"/>
          <w:lang w:bidi="fa-IR"/>
        </w:rPr>
        <w:t>»</w:t>
      </w:r>
      <w:r>
        <w:rPr>
          <w:rStyle w:val="FootnoteAnchor"/>
          <w:rtl w:val="true"/>
        </w:rPr>
        <w:footnoteReference w:id="1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استجوده فی الحدائق</w:t>
      </w:r>
      <w:r>
        <w:rPr>
          <w:rStyle w:val="FootnoteAnchor"/>
          <w:rtl w:val="true"/>
        </w:rPr>
        <w:footnoteReference w:id="1465"/>
      </w:r>
      <w:r>
        <w:rPr>
          <w:rFonts w:ascii="IRNazanin" w:hAnsi="IRNazanin" w:eastAsia="IRNazanin"/>
          <w:color w:val="111111"/>
          <w:sz w:val="28"/>
          <w:sz w:val="28"/>
          <w:szCs w:val="28"/>
          <w:rtl w:val="true"/>
          <w:lang w:bidi="fa-IR"/>
        </w:rPr>
        <w:t>، و کذا فی المدارک</w:t>
      </w:r>
      <w:r>
        <w:rPr>
          <w:rStyle w:val="FootnoteAnchor"/>
          <w:rtl w:val="true"/>
        </w:rPr>
        <w:footnoteReference w:id="1466"/>
      </w:r>
      <w:r>
        <w:rPr>
          <w:rFonts w:ascii="IRNazanin" w:hAnsi="IRNazanin" w:eastAsia="IRNazanin"/>
          <w:color w:val="111111"/>
          <w:sz w:val="28"/>
          <w:sz w:val="28"/>
          <w:szCs w:val="28"/>
          <w:rtl w:val="true"/>
          <w:lang w:bidi="fa-IR"/>
        </w:rPr>
        <w:t>و الذخیرة</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و الغنائم</w:t>
      </w:r>
      <w:r>
        <w:rPr>
          <w:rStyle w:val="FootnoteAnchor"/>
          <w:rtl w:val="true"/>
        </w:rPr>
        <w:footnoteReference w:id="1468"/>
      </w:r>
      <w:r>
        <w:rPr>
          <w:rFonts w:ascii="IRNazanin" w:hAnsi="IRNazanin" w:eastAsia="IRNazanin"/>
          <w:color w:val="111111"/>
          <w:sz w:val="28"/>
          <w:sz w:val="28"/>
          <w:szCs w:val="28"/>
          <w:rtl w:val="true"/>
          <w:lang w:bidi="fa-IR"/>
        </w:rPr>
        <w:t>و غیرها</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یدل علی إلحاق الطفل الذی تخلّق من الزنی المسلم به فی وجوب تغسیله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تقدّم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ولد الزنی ولد عرفاً و شرعاً و حقیقة، و من ثمّ لا یجوز له أن یتزوّج امّه أو اخته أو عمّته أو خالته، أو نحو هنّ، و لا یجوز للأب أن یتزوّج</w:t>
      </w:r>
    </w:p>
    <w:p>
      <w:pPr>
        <w:pStyle w:val="BookText"/>
        <w:rPr/>
      </w:pPr>
      <w:r>
        <w:rPr>
          <w:rFonts w:ascii="IRNazanin" w:hAnsi="IRNazanin" w:eastAsia="IRNazanin"/>
          <w:color w:val="111111"/>
          <w:sz w:val="28"/>
          <w:sz w:val="28"/>
          <w:szCs w:val="28"/>
          <w:rtl w:val="true"/>
          <w:lang w:bidi="fa-IR"/>
        </w:rPr>
        <w:t>بها علی تقدیر الاُنوثة، فیترتّب علی ولد الزنی جمیع الآثار المترتّبة علی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یرث من أبیه، و هذا تخصیص فی أدلّة الإرث، و لم یرد فی دلیل أنّ ولد الزنی لیس بولد، حتی یکون نافیاً للولدیّة، فولد الزنا من المسلم کغیره من أولاده کلّهم محکومون بأحکام الإسلام الّتی منها وجوب التغسیل تبعاً</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العراقی فی تعلیقته علی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دلیل نفی الولد مختصّ بباب الإرث و لیس له إطلاق یشمل هذه الأحکام، فإطلاق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إسلامه إسلام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یشمله</w:t>
      </w:r>
      <w:r>
        <w:rPr>
          <w:rFonts w:eastAsia="IRNazanin" w:cs="IRNazanin"/>
          <w:color w:val="111111"/>
          <w:sz w:val="28"/>
          <w:szCs w:val="28"/>
          <w:rtl w:val="true"/>
          <w:lang w:bidi="fa-IR"/>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کلام الجواهر أنّ ولد الزنی من المسلم و الکافر یجب تغسیلهما، لا للحکم بإسلامهما، بل لعدم الحکم بکفرهما، فتشملهما حینئذٍ العمومات الدالّة علی تغسیل کلّ میّت</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ظهر ضعفه ممّا تقدّم، لا سیما بالنسبة إلی ولد الزنی من الکافر؛ لصدق التبعیّة عقلاً و عرفاً، لکون المتولّد من الزنی ولداً للزانی حقیقة و عرفاً، و لا ینافیه نفیه عنه شرعاً؛ لأنّ النفی یتعلّق بما یکون فی إثباته الامتنان کالتوارث و نحوه، لا ما کان فی نفیه الامتنان، و نفی الإلحاق بالکافر فیه الامتنان، فلا یکون مرفوعاً بدلیل النفی شرعاً</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 الزنی من الکافر بحکمه، فیترتّب علیه أحکام</w:t>
      </w:r>
      <w:bookmarkStart w:id="439" w:name="pg11755_254793"/>
    </w:p>
    <w:p>
      <w:pPr>
        <w:pStyle w:val="BookText"/>
        <w:rPr/>
      </w:pPr>
      <w:bookmarkEnd w:id="439"/>
      <w:r>
        <w:rPr>
          <w:rFonts w:ascii="IRNazanin" w:hAnsi="IRNazanin" w:eastAsia="IRNazanin"/>
          <w:color w:val="111111"/>
          <w:sz w:val="28"/>
          <w:sz w:val="28"/>
          <w:szCs w:val="28"/>
          <w:rtl w:val="true"/>
          <w:lang w:bidi="fa-IR"/>
        </w:rPr>
        <w:t>الکفر تبعاً، کیف و لو کان الولد حلالاً للکافر لقلنا بعدم وجوب تغسیله مع أنّ خسّته من جهة واحدة و هی کفره، فکیف بولده من الزنی الذی خسّته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کفره و کونه من زنی، فولد الکافر من الزنی لیس بأولی للإرفاق من ولده الحلال</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0" w:name="__RefHeading___Toc9587582_73709187"/>
      <w:bookmarkStart w:id="441" w:name="_Toc165"/>
      <w:bookmarkEnd w:id="440"/>
      <w:r>
        <w:rPr>
          <w:rtl w:val="true"/>
        </w:rPr>
        <w:t>الفرع الثالث</w:t>
      </w:r>
      <w:r>
        <w:rPr>
          <w:rtl w:val="true"/>
        </w:rPr>
        <w:t xml:space="preserve">: </w:t>
      </w:r>
      <w:r>
        <w:rPr>
          <w:rtl w:val="true"/>
        </w:rPr>
        <w:t>وجوب تغسیل الطفل الأسیر</w:t>
      </w:r>
      <w:bookmarkEnd w:id="441"/>
    </w:p>
    <w:p>
      <w:pPr>
        <w:pStyle w:val="BookText"/>
        <w:rPr/>
      </w:pPr>
      <w:r>
        <w:rPr>
          <w:rFonts w:ascii="IRNazanin" w:hAnsi="IRNazanin" w:eastAsia="IRNazanin"/>
          <w:color w:val="111111"/>
          <w:sz w:val="28"/>
          <w:sz w:val="28"/>
          <w:szCs w:val="28"/>
          <w:rtl w:val="true"/>
          <w:lang w:bidi="fa-IR"/>
        </w:rPr>
        <w:t>المشهور بین الفقهاء أنّ الطفل الأسیر تابع لآسره فی الحکم المزبور؛ لأنّ المسبیّ یتبع السابی المسلم فی الإسلام، کما تقدّم</w:t>
      </w:r>
      <w:r>
        <w:rPr>
          <w:rStyle w:val="FootnoteAnchor"/>
          <w:rtl w:val="true"/>
        </w:rPr>
        <w:footnoteReference w:id="1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w:t>
      </w:r>
      <w:r>
        <w:rPr>
          <w:rStyle w:val="FootnoteAnchor"/>
          <w:rtl w:val="true"/>
        </w:rPr>
        <w:footnoteReference w:id="1476"/>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المدار فی وجوب التغسیل علی الإسلام، فیترتّب علیه جمیع أحکام المسلمین، و منها وجوب التغسیل، کما ذهب إلیه الإسکافی</w:t>
      </w:r>
      <w:r>
        <w:rPr>
          <w:rStyle w:val="FootnoteAnchor"/>
          <w:rtl w:val="true"/>
        </w:rPr>
        <w:footnoteReference w:id="1477"/>
      </w:r>
      <w:r>
        <w:rPr>
          <w:rFonts w:ascii="IRNazanin" w:hAnsi="IRNazanin" w:eastAsia="IRNazanin"/>
          <w:color w:val="111111"/>
          <w:sz w:val="28"/>
          <w:sz w:val="28"/>
          <w:szCs w:val="28"/>
          <w:rtl w:val="true"/>
          <w:lang w:bidi="fa-IR"/>
        </w:rPr>
        <w:t>و الشیخ</w:t>
      </w:r>
      <w:r>
        <w:rPr>
          <w:rStyle w:val="FootnoteAnchor"/>
          <w:rtl w:val="true"/>
        </w:rPr>
        <w:footnoteReference w:id="1478"/>
      </w:r>
      <w:r>
        <w:rPr>
          <w:rFonts w:ascii="IRNazanin" w:hAnsi="IRNazanin" w:eastAsia="IRNazanin"/>
          <w:color w:val="111111"/>
          <w:sz w:val="28"/>
          <w:sz w:val="28"/>
          <w:szCs w:val="28"/>
          <w:rtl w:val="true"/>
          <w:lang w:bidi="fa-IR"/>
        </w:rPr>
        <w:t>و القاضی</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و الشهید</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التحریر و التذکرة نقله عن الشیخ</w:t>
      </w:r>
      <w:r>
        <w:rPr>
          <w:rStyle w:val="FootnoteAnchor"/>
          <w:rtl w:val="true"/>
        </w:rPr>
        <w:footnoteReference w:id="1481"/>
      </w:r>
      <w:r>
        <w:rPr>
          <w:rFonts w:ascii="IRNazanin" w:hAnsi="IRNazanin" w:eastAsia="IRNazanin"/>
          <w:color w:val="111111"/>
          <w:sz w:val="28"/>
          <w:sz w:val="28"/>
          <w:szCs w:val="28"/>
          <w:rtl w:val="true"/>
          <w:lang w:bidi="fa-IR"/>
        </w:rPr>
        <w:t>، و فی القواعد جعله رأیاً</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العروة و جملة من التعلیقات علیها</w:t>
      </w:r>
      <w:r>
        <w:rPr>
          <w:rStyle w:val="FootnoteAnchor"/>
          <w:rtl w:val="true"/>
        </w:rPr>
        <w:footnoteReference w:id="1483"/>
      </w:r>
      <w:r>
        <w:rPr>
          <w:rFonts w:ascii="IRNazanin" w:hAnsi="IRNazanin" w:eastAsia="IRNazanin"/>
          <w:color w:val="111111"/>
          <w:sz w:val="28"/>
          <w:sz w:val="28"/>
          <w:szCs w:val="28"/>
          <w:rtl w:val="true"/>
          <w:lang w:bidi="fa-IR"/>
        </w:rPr>
        <w:t>و التنقیح</w:t>
      </w:r>
    </w:p>
    <w:p>
      <w:pPr>
        <w:pStyle w:val="BookText"/>
        <w:rPr/>
      </w:pPr>
      <w:r>
        <w:rPr>
          <w:rFonts w:ascii="IRNazanin" w:hAnsi="IRNazanin" w:eastAsia="IRNazanin"/>
          <w:color w:val="111111"/>
          <w:sz w:val="28"/>
          <w:sz w:val="28"/>
          <w:szCs w:val="28"/>
          <w:rtl w:val="true"/>
          <w:lang w:bidi="fa-IR"/>
        </w:rPr>
        <w:t>فی شرح العروة</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مصباح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تجهیزه للسیرة المستمرّة فی الأعصار و الأمصار علی ترتیب أحکام المسلم علیه حیّاً و میّتاً، التی منها تجهیزه و دفنه فی مقابر المسلمین</w:t>
      </w:r>
      <w:r>
        <w:rPr>
          <w:rFonts w:eastAsia="IRNazanin" w:cs="IRNazanin"/>
          <w:color w:val="111111"/>
          <w:sz w:val="28"/>
          <w:szCs w:val="28"/>
          <w:rtl w:val="true"/>
          <w:lang w:bidi="fa-IR"/>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عمدة الأدلّة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السیرة المستمرّة علی إجراء حکم المسلم علیه حیّاً و میّتاً فی الطهارة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استشکل المحقّق و الشهید الثانیان فی تبعیّة طفل المسبیّ إذا کان السابی مسلماً؛ نظراً إلی الشکّ، فی تبعیة المسبی فی جمیع الأحکام، و إنّما المعلوم تبعیّته فی الطهارة فقط‌</w:t>
      </w:r>
      <w:r>
        <w:rPr>
          <w:rStyle w:val="FootnoteAnchor"/>
          <w:rtl w:val="true"/>
        </w:rPr>
        <w:footnoteReference w:id="1486"/>
      </w:r>
      <w:r>
        <w:rPr>
          <w:rFonts w:ascii="IRNazanin" w:hAnsi="IRNazanin" w:eastAsia="IRNazanin"/>
          <w:color w:val="111111"/>
          <w:sz w:val="28"/>
          <w:sz w:val="28"/>
          <w:szCs w:val="28"/>
          <w:rtl w:val="true"/>
          <w:lang w:bidi="fa-IR"/>
        </w:rPr>
        <w:t>، و استجوده فی الحدائق</w:t>
      </w:r>
      <w:r>
        <w:rPr>
          <w:rStyle w:val="FootnoteAnchor"/>
          <w:rtl w:val="true"/>
        </w:rPr>
        <w:footnoteReference w:id="1487"/>
      </w:r>
      <w:r>
        <w:rPr>
          <w:rFonts w:ascii="IRNazanin" w:hAnsi="IRNazanin" w:eastAsia="IRNazanin"/>
          <w:color w:val="111111"/>
          <w:sz w:val="28"/>
          <w:sz w:val="28"/>
          <w:szCs w:val="28"/>
          <w:rtl w:val="true"/>
          <w:lang w:bidi="fa-IR"/>
        </w:rPr>
        <w:t>و کذا فی الذخیرة</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الغنائم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اختلفوا فی تبعیّته للمسلم فی الإسلام بمعنی ثبوت أحکام المسلم له، فإن ثبت الإجماع فهو، و إلّا ففیه إشکال للاستصحاب</w:t>
      </w:r>
      <w:r>
        <w:rPr>
          <w:rFonts w:eastAsia="IRNazanin" w:cs="IRNazanin"/>
          <w:color w:val="111111"/>
          <w:sz w:val="28"/>
          <w:szCs w:val="28"/>
          <w:rtl w:val="true"/>
          <w:lang w:bidi="fa-IR"/>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العراقی فی تعلیقته علی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تبعیّة الأسیر نظر، و قیام السیرة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فی جملة من التعلیقات</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bookmarkStart w:id="442" w:name="pg11755_254798"/>
    </w:p>
    <w:p>
      <w:pPr>
        <w:pStyle w:val="Heading5"/>
        <w:numPr>
          <w:ilvl w:val="4"/>
          <w:numId w:val="1"/>
        </w:numPr>
        <w:rPr/>
      </w:pPr>
      <w:bookmarkStart w:id="443" w:name="__RefHeading___Toc9587584_73709187"/>
      <w:bookmarkStart w:id="444" w:name="_Toc166"/>
      <w:bookmarkEnd w:id="442"/>
      <w:bookmarkEnd w:id="443"/>
      <w:r>
        <w:rPr>
          <w:rtl w:val="true"/>
        </w:rPr>
        <w:t>المقام الثانی</w:t>
      </w:r>
      <w:r>
        <w:rPr>
          <w:rtl w:val="true"/>
        </w:rPr>
        <w:t xml:space="preserve">: </w:t>
      </w:r>
      <w:r>
        <w:rPr>
          <w:rtl w:val="true"/>
        </w:rPr>
        <w:t>تغسیل السقط‌</w:t>
      </w:r>
      <w:bookmarkEnd w:id="444"/>
    </w:p>
    <w:p>
      <w:pPr>
        <w:pStyle w:val="Heading6"/>
        <w:numPr>
          <w:ilvl w:val="5"/>
          <w:numId w:val="1"/>
        </w:numPr>
        <w:rPr/>
      </w:pPr>
      <w:bookmarkStart w:id="445" w:name="__RefHeading___Toc9587586_73709187"/>
      <w:bookmarkStart w:id="446" w:name="_Toc167"/>
      <w:bookmarkEnd w:id="445"/>
      <w:r>
        <w:rPr>
          <w:rtl w:val="true"/>
        </w:rPr>
        <w:t>اشارة</w:t>
      </w:r>
      <w:bookmarkEnd w:id="446"/>
    </w:p>
    <w:p>
      <w:pPr>
        <w:pStyle w:val="BookText"/>
        <w:rPr/>
      </w:pPr>
      <w:r>
        <w:rPr>
          <w:rFonts w:ascii="IRNazanin" w:hAnsi="IRNazanin" w:eastAsia="IRNazanin"/>
          <w:color w:val="111111"/>
          <w:sz w:val="28"/>
          <w:sz w:val="28"/>
          <w:szCs w:val="28"/>
          <w:rtl w:val="true"/>
          <w:lang w:bidi="fa-IR"/>
        </w:rPr>
        <w:t>یقع الکلام فیه أیضاً فی مقامین</w:t>
      </w:r>
      <w:r>
        <w:rPr>
          <w:rFonts w:eastAsia="IRNazanin" w:cs="IRNazanin"/>
          <w:color w:val="111111"/>
          <w:sz w:val="28"/>
          <w:szCs w:val="28"/>
          <w:rtl w:val="true"/>
          <w:lang w:bidi="fa-IR"/>
        </w:rPr>
        <w:t>:</w:t>
      </w:r>
    </w:p>
    <w:p>
      <w:pPr>
        <w:pStyle w:val="Heading6"/>
        <w:numPr>
          <w:ilvl w:val="5"/>
          <w:numId w:val="1"/>
        </w:numPr>
        <w:rPr/>
      </w:pPr>
      <w:bookmarkStart w:id="447" w:name="__RefHeading___Toc9587588_73709187"/>
      <w:bookmarkStart w:id="448" w:name="_Toc168"/>
      <w:bookmarkEnd w:id="447"/>
      <w:r>
        <w:rPr>
          <w:rtl w:val="true"/>
        </w:rPr>
        <w:t>الأوّل</w:t>
      </w:r>
      <w:r>
        <w:rPr>
          <w:rtl w:val="true"/>
        </w:rPr>
        <w:t xml:space="preserve">: </w:t>
      </w:r>
      <w:r>
        <w:rPr>
          <w:rtl w:val="true"/>
        </w:rPr>
        <w:t>تغسیل السقط الذی بلغ أربعة أشهر</w:t>
      </w:r>
      <w:bookmarkEnd w:id="448"/>
    </w:p>
    <w:p>
      <w:pPr>
        <w:pStyle w:val="BookText"/>
        <w:rPr/>
      </w:pPr>
      <w:r>
        <w:rPr>
          <w:rFonts w:ascii="IRNazanin" w:hAnsi="IRNazanin" w:eastAsia="IRNazanin"/>
          <w:color w:val="111111"/>
          <w:sz w:val="28"/>
          <w:sz w:val="28"/>
          <w:szCs w:val="28"/>
          <w:rtl w:val="true"/>
          <w:lang w:bidi="fa-IR"/>
        </w:rPr>
        <w:t>لا خلاف بین الأصحاب فی وجوب تغسیل السقط الذی بلغ أربعة أشهر فما زاد، بل ثبت فیه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سقطاً و قد بلغ أربعة أشهر أو ما زاد علیه غُسِّلَ و کُفِّنَ و حُنِّطَ، و إن کان لأقلّ من ذلک دُفِنَ کما هو بدمه</w:t>
      </w:r>
      <w:r>
        <w:rPr>
          <w:rFonts w:eastAsia="Amiri" w:cs="Amiri" w:ascii="Amiri" w:hAnsi="Amiri"/>
          <w:color w:val="111111"/>
          <w:sz w:val="28"/>
          <w:szCs w:val="28"/>
          <w:rtl w:val="true"/>
          <w:lang w:bidi="ar-SA"/>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أسقطت المرأة و کان السقط تامّاً لأربعة أشهر، فما زاد غُسّل و کُفِّنَ و دفن، و إن کان لأقلّ من أربعة أشهر لفّ فی خرقة و دفن من غیر تغسیل</w:t>
      </w:r>
      <w:r>
        <w:rPr>
          <w:rFonts w:eastAsia="IRNazanin" w:cs="IRNazanin"/>
          <w:color w:val="111111"/>
          <w:sz w:val="28"/>
          <w:szCs w:val="28"/>
          <w:rtl w:val="true"/>
          <w:lang w:bidi="fa-IR"/>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الفاضلان</w:t>
      </w:r>
      <w:r>
        <w:rPr>
          <w:rStyle w:val="FootnoteAnchor"/>
          <w:rtl w:val="true"/>
        </w:rPr>
        <w:footnoteReference w:id="1493"/>
      </w:r>
      <w:r>
        <w:rPr>
          <w:rFonts w:ascii="IRNazanin" w:hAnsi="IRNazanin" w:eastAsia="IRNazanin"/>
          <w:color w:val="111111"/>
          <w:sz w:val="28"/>
          <w:sz w:val="28"/>
          <w:szCs w:val="28"/>
          <w:rtl w:val="true"/>
          <w:lang w:bidi="fa-IR"/>
        </w:rPr>
        <w:t>و الشهیدان</w:t>
      </w:r>
      <w:r>
        <w:rPr>
          <w:rStyle w:val="FootnoteAnchor"/>
          <w:rtl w:val="true"/>
        </w:rPr>
        <w:footnoteReference w:id="1494"/>
      </w:r>
      <w:r>
        <w:rPr>
          <w:rFonts w:ascii="IRNazanin" w:hAnsi="IRNazanin" w:eastAsia="IRNazanin"/>
          <w:color w:val="111111"/>
          <w:sz w:val="28"/>
          <w:sz w:val="28"/>
          <w:szCs w:val="28"/>
          <w:rtl w:val="true"/>
          <w:lang w:bidi="fa-IR"/>
        </w:rPr>
        <w:t>و جماعة من المتأخّرین و متأخِّریهم و فقهاء العصر</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تغسیل السقط إذا تمّ له أربعة أشهر، و یکفّن</w:t>
      </w:r>
      <w:bookmarkStart w:id="449" w:name="pg11755_254800"/>
    </w:p>
    <w:p>
      <w:pPr>
        <w:pStyle w:val="BookText"/>
        <w:rPr/>
      </w:pPr>
      <w:bookmarkEnd w:id="449"/>
      <w:r>
        <w:rPr>
          <w:rFonts w:ascii="IRNazanin" w:hAnsi="IRNazanin" w:eastAsia="IRNazanin"/>
          <w:color w:val="111111"/>
          <w:sz w:val="28"/>
          <w:sz w:val="28"/>
          <w:szCs w:val="28"/>
          <w:rtl w:val="true"/>
          <w:lang w:bidi="fa-IR"/>
        </w:rPr>
        <w:t>و یدفن علی المتعارف</w:t>
      </w:r>
      <w:r>
        <w:rPr>
          <w:rFonts w:eastAsia="IRNazanin" w:cs="IRNazanin"/>
          <w:color w:val="111111"/>
          <w:sz w:val="28"/>
          <w:szCs w:val="28"/>
          <w:rtl w:val="true"/>
          <w:lang w:bidi="fa-IR"/>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0" w:name="__RefHeading___Toc9587590_73709187"/>
      <w:bookmarkStart w:id="451" w:name="_Toc169"/>
      <w:bookmarkEnd w:id="450"/>
      <w:r>
        <w:rPr>
          <w:rtl w:val="true"/>
        </w:rPr>
        <w:t>أدلّة وجوب تغسیل السقط‌</w:t>
      </w:r>
      <w:bookmarkEnd w:id="451"/>
    </w:p>
    <w:p>
      <w:pPr>
        <w:pStyle w:val="BookText"/>
        <w:rPr/>
      </w:pPr>
      <w:r>
        <w:rPr>
          <w:rFonts w:ascii="IRNazanin" w:hAnsi="IRNazanin" w:eastAsia="IRNazanin"/>
          <w:color w:val="111111"/>
          <w:sz w:val="28"/>
          <w:sz w:val="28"/>
          <w:szCs w:val="28"/>
          <w:rtl w:val="true"/>
          <w:lang w:bidi="fa-IR"/>
        </w:rPr>
        <w:t>و استدل للحکم المذکور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فی الخلاف</w:t>
      </w:r>
      <w:r>
        <w:rPr>
          <w:rStyle w:val="FootnoteAnchor"/>
          <w:rtl w:val="true"/>
        </w:rPr>
        <w:footnoteReference w:id="1497"/>
      </w:r>
      <w:r>
        <w:rPr>
          <w:rFonts w:ascii="IRNazanin" w:hAnsi="IRNazanin" w:eastAsia="IRNazanin"/>
          <w:color w:val="111111"/>
          <w:sz w:val="28"/>
          <w:sz w:val="28"/>
          <w:szCs w:val="28"/>
          <w:rtl w:val="true"/>
          <w:lang w:bidi="fa-IR"/>
        </w:rPr>
        <w:t>و جامع المقاصد</w:t>
      </w:r>
      <w:r>
        <w:rPr>
          <w:rStyle w:val="FootnoteAnchor"/>
          <w:rtl w:val="true"/>
        </w:rPr>
        <w:footnoteReference w:id="1498"/>
      </w:r>
      <w:r>
        <w:rPr>
          <w:rFonts w:ascii="IRNazanin" w:hAnsi="IRNazanin" w:eastAsia="IRNazanin"/>
          <w:color w:val="111111"/>
          <w:sz w:val="28"/>
          <w:sz w:val="28"/>
          <w:szCs w:val="28"/>
          <w:rtl w:val="true"/>
          <w:lang w:bidi="fa-IR"/>
        </w:rPr>
        <w:t>، و فی المعتبر</w:t>
      </w:r>
      <w:r>
        <w:rPr>
          <w:rStyle w:val="FootnoteAnchor"/>
          <w:rtl w:val="true"/>
        </w:rPr>
        <w:footnoteReference w:id="1499"/>
      </w:r>
      <w:r>
        <w:rPr>
          <w:rFonts w:ascii="IRNazanin" w:hAnsi="IRNazanin" w:eastAsia="IRNazanin"/>
          <w:color w:val="111111"/>
          <w:sz w:val="28"/>
          <w:sz w:val="28"/>
          <w:szCs w:val="28"/>
          <w:rtl w:val="true"/>
          <w:lang w:bidi="fa-IR"/>
        </w:rPr>
        <w:t>نسبه إلی علمائنا، و فی المنتهی</w:t>
      </w:r>
      <w:r>
        <w:rPr>
          <w:rStyle w:val="FootnoteAnchor"/>
          <w:rtl w:val="true"/>
        </w:rPr>
        <w:footnoteReference w:id="1500"/>
      </w:r>
      <w:r>
        <w:rPr>
          <w:rFonts w:ascii="IRNazanin" w:hAnsi="IRNazanin" w:eastAsia="IRNazanin"/>
          <w:color w:val="111111"/>
          <w:sz w:val="28"/>
          <w:sz w:val="28"/>
          <w:szCs w:val="28"/>
          <w:rtl w:val="true"/>
          <w:lang w:bidi="fa-IR"/>
        </w:rPr>
        <w:t>إلی أکثر أهل العلم، و فی الذکری</w:t>
      </w:r>
      <w:r>
        <w:rPr>
          <w:rStyle w:val="FootnoteAnchor"/>
          <w:rtl w:val="true"/>
        </w:rPr>
        <w:footnoteReference w:id="1501"/>
      </w:r>
      <w:r>
        <w:rPr>
          <w:rFonts w:ascii="IRNazanin" w:hAnsi="IRNazanin" w:eastAsia="IRNazanin"/>
          <w:color w:val="111111"/>
          <w:sz w:val="28"/>
          <w:sz w:val="28"/>
          <w:szCs w:val="28"/>
          <w:rtl w:val="true"/>
          <w:lang w:bidi="fa-IR"/>
        </w:rPr>
        <w:t>إلی الأصحاب، و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نعرف فیه خلافاً إلّا من العامّة</w:t>
      </w:r>
      <w:r>
        <w:rPr>
          <w:rFonts w:eastAsia="IRNazanin" w:cs="IRNazanin"/>
          <w:color w:val="111111"/>
          <w:sz w:val="28"/>
          <w:szCs w:val="28"/>
          <w:rtl w:val="true"/>
          <w:lang w:bidi="fa-IR"/>
        </w:rPr>
        <w:t>»</w:t>
      </w:r>
      <w:r>
        <w:rPr>
          <w:rStyle w:val="FootnoteAnchor"/>
          <w:rtl w:val="true"/>
        </w:rPr>
        <w:footnoteReference w:id="1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المهذّب البارع</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فی الأمر بغسل السقط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السقط إذا تمّ له أربعة أشهر غسّل</w:t>
      </w:r>
      <w:r>
        <w:rPr>
          <w:rFonts w:eastAsia="IRNazanin" w:cs="IRNazanin"/>
          <w:color w:val="111111"/>
          <w:sz w:val="28"/>
          <w:szCs w:val="28"/>
          <w:rtl w:val="true"/>
          <w:lang w:bidi="fa-IR"/>
        </w:rPr>
        <w:t>»</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مقطوعة أحمد بن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تمّ السقط أربعة أشهر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تمّ له ستّة أشهر فهو تامّ، و ذلک أنّ الحسین بن علیّ ولد و هو ابن ستّة أشهر</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یقدح فی ذلک ما فی سندهما من الطعن بعد الانجبار بالإجماع و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السقط إذا استوت خلقته یجب علیه الغسل و اللحد و الکفن؟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کلّ ذلک یجب علیه إذا استوی</w:t>
      </w:r>
      <w:r>
        <w:rPr>
          <w:rFonts w:eastAsia="IRNazanin" w:cs="IRNazanin"/>
          <w:color w:val="111111"/>
          <w:sz w:val="28"/>
          <w:szCs w:val="28"/>
          <w:rtl w:val="true"/>
          <w:lang w:bidi="fa-IR"/>
        </w:rPr>
        <w:t>»</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استشکل فی المدارک بأنّ الحکم فی الموثّقة علّق علی الاستواء، لا علی بلوغ الأربعة</w:t>
      </w:r>
      <w:r>
        <w:rPr>
          <w:rStyle w:val="FootnoteAnchor"/>
          <w:rtl w:val="true"/>
        </w:rPr>
        <w:footnoteReference w:id="1506"/>
      </w:r>
      <w:r>
        <w:rPr>
          <w:rFonts w:ascii="IRNazanin" w:hAnsi="IRNazanin" w:eastAsia="IRNazanin"/>
          <w:color w:val="111111"/>
          <w:sz w:val="28"/>
          <w:sz w:val="28"/>
          <w:szCs w:val="28"/>
          <w:rtl w:val="true"/>
          <w:lang w:bidi="fa-IR"/>
        </w:rPr>
        <w:t>، اللّهمّ إلّا أن یدّعی التلازم بین الأمرین، و إثباته مشکل</w:t>
      </w:r>
      <w:r>
        <w:rPr>
          <w:rStyle w:val="FootnoteAnchor"/>
          <w:rtl w:val="true"/>
        </w:rPr>
        <w:footnoteReference w:id="1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فی الذخیرة</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کلامهما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یقع التعارض بین مفهوم موثّقة سماعة و بین خبر زرارة و مرفوعة أحمد بن محمّد، حیث علّق الحکم فی الموثّقة علی الاستواء، و فی الخبرین علی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روایة الکافی خالیة عن هذا القید، و فی التهذیب و إن قُیّدت بالاستواء لکن یحتمل عدم إرادة التقیید، بل هو إعادة لما فی السؤال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باستواء خلقته إنّما هو تمامیّة صورته، و حدّها أربعة أشهر، کما یدلّ علیه جملة من الأخبار المستفیضة التی تدلّ علی أنّ النطفة تبقی فی الرحم أربعین یوماً، ثمّ تصیر علقة أربعین یوماً، ثمّ تصیر مضغة أربعین</w:t>
      </w:r>
    </w:p>
    <w:p>
      <w:pPr>
        <w:pStyle w:val="BookText"/>
        <w:rPr/>
      </w:pPr>
      <w:r>
        <w:rPr>
          <w:rFonts w:ascii="IRNazanin" w:hAnsi="IRNazanin" w:eastAsia="IRNazanin"/>
          <w:color w:val="111111"/>
          <w:sz w:val="28"/>
          <w:sz w:val="28"/>
          <w:szCs w:val="28"/>
          <w:rtl w:val="true"/>
          <w:lang w:bidi="fa-IR"/>
        </w:rPr>
        <w:t>یوماً، فإذا أکمل أربعة أشهر ینفخ فیها الروح</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النطفة تکون فی الرحم أربعین یوماً، ثمّ تصیر علقة أربعین یوماً، ثمّ تصیر مضغة أربعین یوماً، فإذا کمل أربعة أشهر بعث اللّه ملکین خلّاقین،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تخلق ذکراً أو انثی؟ فیؤمران،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شقیّاً أو سعیداً؟ فیؤمران</w:t>
      </w:r>
      <w:r>
        <w:rPr>
          <w:rFonts w:eastAsia="IRNazanin" w:cs="IRNazanin"/>
          <w:color w:val="111111"/>
          <w:sz w:val="28"/>
          <w:szCs w:val="28"/>
          <w:rtl w:val="true"/>
          <w:lang w:bidi="fa-IR"/>
        </w:rPr>
        <w:t>»</w:t>
      </w:r>
      <w:r>
        <w:rPr>
          <w:rStyle w:val="FootnoteAnchor"/>
          <w:rtl w:val="true"/>
        </w:rPr>
        <w:footnoteReference w:id="1510"/>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صحیحة زرارة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فتصل النطفة إلی الرحم، فتُردّد فیه أربعین یوماً، ثمّ تصیر علقة أربعین یوماً، ثمّ تصیر مضغة أربعین یوماً، ثمّ تصیر لحماً تجری فیه عروق مشتبکة، ثمّ یبعث اللّه ملکین خلّاقین یخلقان فی الأرحام ما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فینفخان فیها روح الحیاة و البقاء</w:t>
      </w:r>
      <w:r>
        <w:rPr>
          <w:rFonts w:eastAsia="IRNazanin" w:cs="IRNazanin"/>
          <w:color w:val="111111"/>
          <w:sz w:val="28"/>
          <w:szCs w:val="28"/>
          <w:rtl w:val="true"/>
          <w:lang w:bidi="fa-IR"/>
        </w:rPr>
        <w:t>»</w:t>
      </w:r>
      <w:r>
        <w:rPr>
          <w:rStyle w:val="FootnoteAnchor"/>
          <w:rtl w:val="true"/>
        </w:rPr>
        <w:footnoteReference w:id="1511"/>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النطفة فی الرحم استقرّت فیها أربعین یوماً، و تکون علقة أربعین یوماً، و تکون مضغة أربعین یوماً، ثمّ یبعث اللّه ملکین خلّاقین، یقال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اخلقا کما یرید اللّه ذکراً أو انثی</w:t>
      </w:r>
      <w:r>
        <w:rPr>
          <w:rFonts w:eastAsia="IRNazanin" w:cs="IRNazanin"/>
          <w:color w:val="111111"/>
          <w:sz w:val="28"/>
          <w:szCs w:val="28"/>
          <w:rtl w:val="true"/>
          <w:lang w:bidi="fa-IR"/>
        </w:rPr>
        <w:t>»</w:t>
      </w:r>
      <w:r>
        <w:rPr>
          <w:rStyle w:val="FootnoteAnchor"/>
          <w:rtl w:val="true"/>
        </w:rPr>
        <w:footnoteReference w:id="1512"/>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خبر محمّد بن إسماعیل و غیره</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حدیث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أحدکم یجمع خلقه فی بطن امّه أربعین یوماً، ثمّ یکون علقة مثل ذلک، ثمّ یکون</w:t>
      </w:r>
      <w:bookmarkStart w:id="452" w:name="pg11755_254807"/>
    </w:p>
    <w:p>
      <w:pPr>
        <w:pStyle w:val="BookText"/>
        <w:rPr/>
      </w:pPr>
      <w:bookmarkEnd w:id="452"/>
      <w:r>
        <w:rPr>
          <w:rFonts w:ascii="IRNazanin" w:hAnsi="IRNazanin" w:eastAsia="IRNazanin"/>
          <w:color w:val="111111"/>
          <w:sz w:val="28"/>
          <w:sz w:val="28"/>
          <w:szCs w:val="28"/>
          <w:rtl w:val="true"/>
          <w:lang w:bidi="fa-IR"/>
        </w:rPr>
        <w:t>مضغة مثل ذلک، ثمّ یبعث اللّه ملکاً یؤمر بأربع کلمات،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عمله و رزقه و شقیّ أو سعید، ثمّ ینفخ فیه الروح</w:t>
      </w:r>
      <w:r>
        <w:rPr>
          <w:rFonts w:eastAsia="IRNazanin" w:cs="IRNazanin"/>
          <w:color w:val="111111"/>
          <w:sz w:val="28"/>
          <w:szCs w:val="28"/>
          <w:rtl w:val="true"/>
          <w:lang w:bidi="fa-IR"/>
        </w:rPr>
        <w:t>»</w:t>
      </w:r>
      <w:r>
        <w:rPr>
          <w:rStyle w:val="FootnoteAnchor"/>
          <w:rtl w:val="true"/>
        </w:rPr>
        <w:footnoteReference w:id="1514"/>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الأخبار تدلّ علی أنّ نفخ الروح تکون بعد الأربعین الثالثة، أی فی نهایة الشهر الرابع، و أنّه بتمام الأربعة تمّت خلقته، فالملازمة بین الاستواء و مضیّ أربعة أشهر ثابتة، کما صرّح بذلک فی الفقه الرضوی،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أسقطت المرأة و کان السقط تامّاً غسّل و حنّط و کفّن و دفن، و إن لم یکن تامّاً فلا یغسّل، و یدفن بدمه، و حدّ إتمامه إذا أتی علیه أربعة أشهر</w:t>
      </w:r>
      <w:r>
        <w:rPr>
          <w:rFonts w:eastAsia="IRNazanin" w:cs="IRNazanin"/>
          <w:color w:val="111111"/>
          <w:sz w:val="28"/>
          <w:szCs w:val="28"/>
          <w:rtl w:val="true"/>
          <w:lang w:bidi="fa-IR"/>
        </w:rPr>
        <w:t>»</w:t>
      </w:r>
      <w:r>
        <w:rPr>
          <w:rStyle w:val="FootnoteAnchor"/>
          <w:rtl w:val="true"/>
        </w:rPr>
        <w:footnoteReference w:id="1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الصدوق فی الفقیه</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3" w:name="__RefHeading___Toc9587592_73709187"/>
      <w:bookmarkStart w:id="454" w:name="_Toc170"/>
      <w:bookmarkEnd w:id="453"/>
      <w:r>
        <w:rPr>
          <w:rtl w:val="true"/>
        </w:rPr>
        <w:t>إیهام و دفعه</w:t>
      </w:r>
      <w:bookmarkEnd w:id="454"/>
    </w:p>
    <w:p>
      <w:pPr>
        <w:pStyle w:val="BookText"/>
        <w:rPr/>
      </w:pPr>
      <w:r>
        <w:rPr>
          <w:rFonts w:ascii="Amiri" w:hAnsi="Amiri" w:eastAsia="Amiri" w:cs="Amiri"/>
          <w:color w:val="111111"/>
          <w:sz w:val="28"/>
          <w:sz w:val="28"/>
          <w:szCs w:val="28"/>
          <w:rtl w:val="true"/>
          <w:lang w:bidi="ar-SA"/>
        </w:rPr>
        <w:t>ربّما یتوهّم أنّ ظاهر بعض الأخبار</w:t>
      </w:r>
      <w:r>
        <w:rPr>
          <w:rStyle w:val="FootnoteAnchor"/>
          <w:rtl w:val="true"/>
        </w:rPr>
        <w:footnoteReference w:id="1517"/>
      </w:r>
      <w:r>
        <w:rPr>
          <w:rFonts w:ascii="IRNazanin" w:hAnsi="IRNazanin" w:eastAsia="IRNazanin"/>
          <w:color w:val="111111"/>
          <w:sz w:val="28"/>
          <w:sz w:val="28"/>
          <w:szCs w:val="28"/>
          <w:rtl w:val="true"/>
          <w:lang w:bidi="fa-IR"/>
        </w:rPr>
        <w:t>أنّه إذا تمّ للجنین ستّة أشهر فهو تامّ، و أفتی به السیّد الصدر فی الفتاوی الواضحة</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التوهّم فاسد؛ لأنّ المراد من تمامیّة الولد بستّة أشهر صیرورته کاملاً حیّاً صالحاً لأن یعیش، و فی مقابله الجنین الذی إذا ولد لم یبق، و یشهد بذلک استشهاده علیه السلام بولادة الحسین علیه السلام و هو ابن ستّة أشهر، و أنّ المراد باستواء الخلقة بأربعة أشهر تمامیّة صورته</w:t>
      </w:r>
      <w:bookmarkStart w:id="455" w:name="pg11755_254809"/>
    </w:p>
    <w:p>
      <w:pPr>
        <w:pStyle w:val="BookText"/>
        <w:rPr/>
      </w:pPr>
      <w:bookmarkEnd w:id="455"/>
      <w:r>
        <w:rPr>
          <w:rFonts w:ascii="IRNazanin" w:hAnsi="IRNazanin" w:eastAsia="IRNazanin"/>
          <w:color w:val="111111"/>
          <w:sz w:val="28"/>
          <w:sz w:val="28"/>
          <w:szCs w:val="28"/>
          <w:rtl w:val="true"/>
          <w:lang w:bidi="fa-IR"/>
        </w:rPr>
        <w:t>و إتمام خلقته</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وجوب التغسیل یعلّق علی أربعة أشهر؛ للأخبار المستفیضة المعتضدة بالفتوی و الشهرة، بل الإجماع، و علیه فلا وجه لما فی الذکری من التردّد</w:t>
      </w:r>
      <w:r>
        <w:rPr>
          <w:rStyle w:val="FootnoteAnchor"/>
          <w:rtl w:val="true"/>
        </w:rPr>
        <w:footnoteReference w:id="1520"/>
      </w:r>
      <w:r>
        <w:rPr>
          <w:rFonts w:ascii="IRNazanin" w:hAnsi="IRNazanin" w:eastAsia="IRNazanin"/>
          <w:color w:val="111111"/>
          <w:sz w:val="28"/>
          <w:sz w:val="28"/>
          <w:szCs w:val="28"/>
          <w:rtl w:val="true"/>
          <w:lang w:bidi="fa-IR"/>
        </w:rPr>
        <w:t>، کما هو ظاهر المدارک</w:t>
      </w:r>
      <w:r>
        <w:rPr>
          <w:rStyle w:val="FootnoteAnchor"/>
          <w:rtl w:val="true"/>
        </w:rPr>
        <w:footnoteReference w:id="1521"/>
      </w:r>
      <w:r>
        <w:rPr>
          <w:rFonts w:ascii="IRNazanin" w:hAnsi="IRNazanin" w:eastAsia="IRNazanin"/>
          <w:color w:val="111111"/>
          <w:sz w:val="28"/>
          <w:sz w:val="28"/>
          <w:szCs w:val="28"/>
          <w:rtl w:val="true"/>
          <w:lang w:bidi="fa-IR"/>
        </w:rPr>
        <w:t>، و صریح مجمع البرهان</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ممّا ذکرنا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الحیاة الإنسانیّة إنّما تتمّ بعد نفخ الروح فی الجنین، و إذا نفخت الروح أصبح خلقاً آخر، کما نصّت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 فَتَبارَکَ اللّهُ أَحْسَنُ الْخالِقِینَ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سورة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الروح تنفخ فی الجنین بعد تمام الأشهر الأربعة من بدء تخلّقه داخل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الإنسان فی مصطلح الشرع یکون نطفة و علقة و مضغة إلی أن تنفخ فیه الروح، و إذا نفخت الروح یکون حیّاً بالحیاة الإنسانیّة، فإذا سقط لأربعة أشهر یجب تغسیله و تکفینه و تدفینه</w:t>
      </w:r>
      <w:r>
        <w:rPr>
          <w:rFonts w:eastAsia="IRNazanin" w:cs="IRNazanin"/>
          <w:color w:val="111111"/>
          <w:sz w:val="28"/>
          <w:szCs w:val="28"/>
          <w:rtl w:val="true"/>
          <w:lang w:bidi="fa-IR"/>
        </w:rPr>
        <w:t>.</w:t>
      </w:r>
    </w:p>
    <w:p>
      <w:pPr>
        <w:pStyle w:val="Heading6"/>
        <w:numPr>
          <w:ilvl w:val="5"/>
          <w:numId w:val="1"/>
        </w:numPr>
        <w:rPr/>
      </w:pPr>
      <w:bookmarkStart w:id="456" w:name="__RefHeading___Toc9587594_73709187"/>
      <w:bookmarkStart w:id="457" w:name="_Toc171"/>
      <w:bookmarkEnd w:id="456"/>
      <w:r>
        <w:rPr>
          <w:rtl w:val="true"/>
        </w:rPr>
        <w:t>الثانی</w:t>
      </w:r>
      <w:r>
        <w:rPr>
          <w:rtl w:val="true"/>
        </w:rPr>
        <w:t xml:space="preserve">: </w:t>
      </w:r>
      <w:r>
        <w:rPr>
          <w:rtl w:val="true"/>
        </w:rPr>
        <w:t>تغسیل السقط الذی لم یمض علیه أربعة أشهر</w:t>
      </w:r>
      <w:bookmarkEnd w:id="45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بین الأصحاب، بل ثبت الإجماع أیضاً فی أنّه لا یجب تغسیل</w:t>
      </w:r>
    </w:p>
    <w:p>
      <w:pPr>
        <w:pStyle w:val="BookText"/>
        <w:rPr/>
      </w:pPr>
      <w:r>
        <w:rPr>
          <w:rFonts w:ascii="IRNazanin" w:hAnsi="IRNazanin" w:eastAsia="IRNazanin"/>
          <w:color w:val="111111"/>
          <w:sz w:val="28"/>
          <w:sz w:val="28"/>
          <w:szCs w:val="28"/>
          <w:rtl w:val="true"/>
          <w:lang w:bidi="fa-IR"/>
        </w:rPr>
        <w:t>السقط الذی لم یبلغ أربعة أشهر، بل یلفّ فی خرقة و یدفن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لأقلّ من أربعة أشهر لفّ فی خرقة و دفن بدمه من غیر تغسیل</w:t>
      </w:r>
      <w:r>
        <w:rPr>
          <w:rFonts w:eastAsia="IRNazanin" w:cs="IRNazanin"/>
          <w:color w:val="111111"/>
          <w:sz w:val="28"/>
          <w:szCs w:val="28"/>
          <w:rtl w:val="true"/>
          <w:lang w:bidi="fa-IR"/>
        </w:rPr>
        <w:t>»</w:t>
      </w:r>
      <w:r>
        <w:rPr>
          <w:rStyle w:val="FootnoteAnchor"/>
          <w:rtl w:val="true"/>
        </w:rPr>
        <w:footnoteReference w:id="1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النهایة</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فیه عظم اقتصر علی لفّه فی خرقة و دفنه، و کذا السقط إذا لم تلجه الروح</w:t>
      </w:r>
      <w:r>
        <w:rPr>
          <w:rFonts w:eastAsia="IRNazanin" w:cs="IRNazanin"/>
          <w:color w:val="111111"/>
          <w:sz w:val="28"/>
          <w:szCs w:val="28"/>
          <w:rtl w:val="true"/>
          <w:lang w:bidi="fa-IR"/>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مذهب العلماء</w:t>
      </w:r>
      <w:r>
        <w:rPr>
          <w:rFonts w:eastAsia="IRNazanin" w:cs="IRNazanin"/>
          <w:color w:val="111111"/>
          <w:sz w:val="28"/>
          <w:szCs w:val="28"/>
          <w:rtl w:val="true"/>
          <w:lang w:bidi="fa-IR"/>
        </w:rPr>
        <w:t>»</w:t>
      </w:r>
      <w:r>
        <w:rPr>
          <w:rStyle w:val="FootnoteAnchor"/>
          <w:rtl w:val="true"/>
        </w:rPr>
        <w:footnoteReference w:id="1526"/>
      </w:r>
      <w:r>
        <w:rPr>
          <w:rFonts w:ascii="IRNazanin" w:hAnsi="IRNazanin" w:eastAsia="IRNazanin"/>
          <w:color w:val="111111"/>
          <w:sz w:val="28"/>
          <w:sz w:val="28"/>
          <w:szCs w:val="28"/>
          <w:rtl w:val="true"/>
          <w:lang w:bidi="fa-IR"/>
        </w:rPr>
        <w:t>، و زاد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w:t>
      </w:r>
      <w:r>
        <w:rPr>
          <w:rStyle w:val="FootnoteAnchor"/>
          <w:rtl w:val="true"/>
        </w:rPr>
        <w:footnoteReference w:id="1527"/>
      </w:r>
      <w:r>
        <w:rPr>
          <w:rFonts w:ascii="IRNazanin" w:hAnsi="IRNazanin" w:eastAsia="IRNazanin"/>
          <w:color w:val="111111"/>
          <w:sz w:val="28"/>
          <w:sz w:val="28"/>
          <w:szCs w:val="28"/>
          <w:rtl w:val="true"/>
          <w:lang w:bidi="fa-IR"/>
        </w:rPr>
        <w:t>، و کذا فی القواعد</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 به أیضاً جماعة من المتأخّرین</w:t>
      </w:r>
      <w:r>
        <w:rPr>
          <w:rStyle w:val="FootnoteAnchor"/>
          <w:rtl w:val="true"/>
        </w:rPr>
        <w:footnoteReference w:id="1529"/>
      </w:r>
      <w:r>
        <w:rPr>
          <w:rFonts w:ascii="Amiri" w:hAnsi="Amiri" w:eastAsia="Amiri" w:cs="Amiri"/>
          <w:color w:val="111111"/>
          <w:sz w:val="28"/>
          <w:sz w:val="28"/>
          <w:szCs w:val="28"/>
          <w:rtl w:val="true"/>
          <w:lang w:bidi="ar-SA"/>
        </w:rPr>
        <w:t>، و عدّة من فقهاء العصر</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له أقلّ من أربعة أشهر لا یجب غسله، بل یلفّ فی خرقة و یدفن</w:t>
      </w:r>
      <w:r>
        <w:rPr>
          <w:rFonts w:eastAsia="IRNazanin" w:cs="IRNazanin"/>
          <w:color w:val="111111"/>
          <w:sz w:val="28"/>
          <w:szCs w:val="28"/>
          <w:rtl w:val="true"/>
          <w:lang w:bidi="fa-IR"/>
        </w:rPr>
        <w:t>»</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للحکم المذکور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ادّعاه غیر واحد، کما تقدّم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لأنّ الأخبار الدالّة علی وجوب غسل المیّت لا تشمل</w:t>
      </w:r>
      <w:bookmarkStart w:id="458" w:name="pg11755_254813"/>
    </w:p>
    <w:p>
      <w:pPr>
        <w:pStyle w:val="BookText"/>
        <w:rPr/>
      </w:pPr>
      <w:bookmarkEnd w:id="458"/>
      <w:r>
        <w:rPr>
          <w:rFonts w:ascii="IRNazanin" w:hAnsi="IRNazanin" w:eastAsia="IRNazanin"/>
          <w:color w:val="111111"/>
          <w:sz w:val="28"/>
          <w:sz w:val="28"/>
          <w:szCs w:val="28"/>
          <w:rtl w:val="true"/>
          <w:lang w:bidi="fa-IR"/>
        </w:rPr>
        <w:t>السقط؛ إذ المراد بالمیّت هو الحیّ الذی زهقت روحه، و السقط قبل أربعة أشهر لم تلجه الروح لیتّصف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المعنی الموجب للغسل هو الموت، و هو مفقود هنا</w:t>
      </w:r>
      <w:r>
        <w:rPr>
          <w:rFonts w:eastAsia="IRNazanin" w:cs="IRNazanin"/>
          <w:color w:val="111111"/>
          <w:sz w:val="28"/>
          <w:szCs w:val="28"/>
          <w:rtl w:val="true"/>
          <w:lang w:bidi="fa-IR"/>
        </w:rPr>
        <w:t>»</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الأخبار المتقدّمة</w:t>
      </w:r>
      <w:r>
        <w:rPr>
          <w:rStyle w:val="FootnoteAnchor"/>
          <w:rtl w:val="true"/>
        </w:rPr>
        <w:footnoteReference w:id="1533"/>
      </w:r>
      <w:r>
        <w:rPr>
          <w:rFonts w:ascii="IRNazanin" w:hAnsi="IRNazanin" w:eastAsia="IRNazanin"/>
          <w:color w:val="111111"/>
          <w:sz w:val="28"/>
          <w:sz w:val="28"/>
          <w:szCs w:val="28"/>
          <w:rtl w:val="true"/>
          <w:lang w:bidi="fa-IR"/>
        </w:rPr>
        <w:t>التی تدلّ علی وجوب التغسیل بعد أن مضی علیه أربعة أشهر و ما زاد، فإنّها تدلّ بمفهومها علی أنّه لو لم یمض علیه أربعة أشهر لم یجب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 علیه السلام أسأله عن السقط کیف یصنع به؟ فکتب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السقط یدفن بدمه فی موضعه</w:t>
      </w:r>
      <w:r>
        <w:rPr>
          <w:rFonts w:eastAsia="IRNazanin" w:cs="IRNazanin"/>
          <w:color w:val="111111"/>
          <w:sz w:val="28"/>
          <w:szCs w:val="28"/>
          <w:rtl w:val="true"/>
          <w:lang w:bidi="fa-IR"/>
        </w:rPr>
        <w:t>»</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و إن کانت مطلقة تشمل السقط الذی مضی علیه أربعة أشهر، لکنّها تحمل علی ما لم تتمّ له أربعة أشهر؛ جمعاً بینها و بین الروایات التی صرّحت بوجوب تغسیل السقط بعد أن مضی علیه أربعة أشهر</w:t>
      </w:r>
      <w:r>
        <w:rPr>
          <w:rFonts w:eastAsia="IRNazanin" w:cs="IRNazanin"/>
          <w:color w:val="111111"/>
          <w:sz w:val="28"/>
          <w:szCs w:val="28"/>
          <w:rtl w:val="true"/>
          <w:lang w:bidi="fa-IR"/>
        </w:rPr>
        <w:t>.</w:t>
      </w:r>
    </w:p>
    <w:p>
      <w:pPr>
        <w:pStyle w:val="Heading6"/>
        <w:numPr>
          <w:ilvl w:val="5"/>
          <w:numId w:val="1"/>
        </w:numPr>
        <w:rPr/>
      </w:pPr>
      <w:bookmarkStart w:id="459" w:name="__RefHeading___Toc9587596_73709187"/>
      <w:bookmarkStart w:id="460" w:name="_Toc172"/>
      <w:bookmarkEnd w:id="459"/>
      <w:r>
        <w:rPr>
          <w:rtl w:val="true"/>
        </w:rPr>
        <w:t>تغسیل الصبیّ المیّت عند أهل السنّة</w:t>
      </w:r>
      <w:bookmarkEnd w:id="460"/>
    </w:p>
    <w:p>
      <w:pPr>
        <w:pStyle w:val="BookText"/>
        <w:rPr/>
      </w:pPr>
      <w:r>
        <w:rPr>
          <w:rFonts w:ascii="IRNazanin" w:hAnsi="IRNazanin" w:eastAsia="IRNazanin"/>
          <w:color w:val="111111"/>
          <w:sz w:val="28"/>
          <w:sz w:val="28"/>
          <w:szCs w:val="28"/>
          <w:rtl w:val="true"/>
          <w:lang w:bidi="fa-IR"/>
        </w:rPr>
        <w:t>اتّفق الفقهاء علی أنّه یجب تغسیل الصبیّ المیّت حتّی الجنین إذا خرج حیّاً، أو حصل منه ما یدلّ علی حیاته، من بکاء أو تحریک عضو أو طرف و غیر ذلک، فإنّه یغسّل بالإجماع</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أهل العلم علی أنّ الطفل إذا عُرِفَت حیاته و استهلّ</w:t>
      </w:r>
      <w:bookmarkStart w:id="461" w:name="pg11755_254816"/>
    </w:p>
    <w:p>
      <w:pPr>
        <w:pStyle w:val="BookText"/>
        <w:rPr/>
      </w:pPr>
      <w:bookmarkEnd w:id="461"/>
      <w:r>
        <w:rPr>
          <w:rFonts w:ascii="Amiri" w:hAnsi="Amiri" w:eastAsia="Amiri" w:cs="Amiri"/>
          <w:color w:val="111111"/>
          <w:sz w:val="28"/>
          <w:sz w:val="28"/>
          <w:szCs w:val="28"/>
          <w:rtl w:val="true"/>
          <w:lang w:bidi="ar-SA"/>
        </w:rPr>
        <w:t>یغسّل و یصلّی علیه</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 یری جمهور الفقهاء عدم تغسیل من لم یأت له أربعة أشهر و لم یتبیّن خلقه، إلّا ما روی عن ابن 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اختلفوا فی الطفل الذی ولد لأربعة أشهر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فالأصحّ عند الحنفیّة و هو المذهب للشافعیّة و الحنابلة أنّه یغسّل، و ذهب الحنفیّة فی روایة إلی أنّه لا یغسّل، بل یغسل دمه، و یلفّ فی خرقة و یدفن، و کذا المالکیّة</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بعضهم بإجزاء غسل المیّت بفعل الصبیّ الممیّز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المغنی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الصبیّ إذا غسّل المیّت، فإن کان عاقلاً صحّ غسله صغیراً کان أو کبیراً؛ لأنّه یصحّ طهارته، فصحّ أن یطهّر غیره کالکبیر</w:t>
      </w:r>
      <w:r>
        <w:rPr>
          <w:rFonts w:eastAsia="Amiri" w:cs="Amiri" w:ascii="Amiri" w:hAnsi="Amiri"/>
          <w:color w:val="111111"/>
          <w:sz w:val="28"/>
          <w:szCs w:val="28"/>
          <w:rtl w:val="true"/>
          <w:lang w:bidi="ar-SA"/>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2" w:name="__RefHeading___Toc9587598_73709187"/>
      <w:bookmarkStart w:id="463" w:name="_Toc173"/>
      <w:bookmarkEnd w:id="462"/>
      <w:r>
        <w:rPr>
          <w:rtl w:val="true"/>
        </w:rPr>
        <w:t>الطفل الشهید لا یغسّل</w:t>
      </w:r>
      <w:bookmarkEnd w:id="463"/>
    </w:p>
    <w:p>
      <w:pPr>
        <w:pStyle w:val="BookText"/>
        <w:rPr/>
      </w:pPr>
      <w:r>
        <w:rPr>
          <w:rFonts w:ascii="IRNazanin" w:hAnsi="IRNazanin" w:eastAsia="IRNazanin"/>
          <w:color w:val="111111"/>
          <w:sz w:val="28"/>
          <w:sz w:val="28"/>
          <w:szCs w:val="28"/>
          <w:rtl w:val="true"/>
          <w:lang w:bidi="fa-IR"/>
        </w:rPr>
        <w:t>و استثنی من وجوب التغسیل الصبیّ الشهید، فإنّه لا یغسّل و لا یکفّن، بل یدفن بثیابه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قتل فی معرکة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یغسّل و لا یکفّن، بل یصلّی علیه و یدفن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إجماع أهل العلم، خلا سعید بن المسیّب و الحسن البصری</w:t>
      </w:r>
      <w:r>
        <w:rPr>
          <w:rFonts w:eastAsia="IRNazanin" w:cs="IRNazanin"/>
          <w:color w:val="111111"/>
          <w:sz w:val="28"/>
          <w:szCs w:val="28"/>
          <w:rtl w:val="true"/>
          <w:lang w:bidi="fa-IR"/>
        </w:rPr>
        <w:t>»</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إلیه علمائنا أجمع، و لا نعرف فیه خلافاً بین علماء الأمصار، إلّا الحسن البصری و سعید بن المسیّب</w:t>
      </w:r>
      <w:r>
        <w:rPr>
          <w:rFonts w:eastAsia="IRNazanin" w:cs="IRNazanin"/>
          <w:color w:val="111111"/>
          <w:sz w:val="28"/>
          <w:szCs w:val="28"/>
          <w:rtl w:val="true"/>
          <w:lang w:bidi="fa-IR"/>
        </w:rPr>
        <w:t>»</w:t>
      </w:r>
      <w:r>
        <w:rPr>
          <w:rStyle w:val="FootnoteAnchor"/>
          <w:rtl w:val="true"/>
        </w:rPr>
        <w:footnoteReference w:id="1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التذکرة</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تدلّ علیه أخبار مستفیضة</w:t>
      </w:r>
      <w:r>
        <w:rPr>
          <w:rStyle w:val="FootnoteAnchor"/>
          <w:rtl w:val="true"/>
        </w:rPr>
        <w:footnoteReference w:id="1541"/>
      </w:r>
      <w:r>
        <w:rPr>
          <w:rFonts w:ascii="IRNazanin" w:hAnsi="IRNazanin" w:eastAsia="IRNazanin"/>
          <w:color w:val="111111"/>
          <w:sz w:val="28"/>
          <w:sz w:val="28"/>
          <w:szCs w:val="28"/>
          <w:rtl w:val="true"/>
          <w:lang w:bidi="fa-IR"/>
        </w:rPr>
        <w:t>، و التحقیق فیه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جدیر بالذکر فی المقام البحث عن الصبیّ الشهید،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أکثر الأصحاب إلی أنّه لا فرق فی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الحکم بعدم تغسیله و تکفینه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الصغیر و الکبیر، بل ادّعی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الصغیر و الکبیر و الذکر و الاُنثی إذا استشهدوا فی المعرکة سواء</w:t>
      </w:r>
      <w:r>
        <w:rPr>
          <w:rFonts w:eastAsia="IRNazanin" w:cs="IRNazanin"/>
          <w:color w:val="111111"/>
          <w:sz w:val="28"/>
          <w:szCs w:val="28"/>
          <w:rtl w:val="true"/>
          <w:lang w:bidi="fa-IR"/>
        </w:rPr>
        <w:t>»</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الصبیّ و المجنون إذا قُتِلا شهیدین حکم البالغ العاقل</w:t>
      </w:r>
      <w:r>
        <w:rPr>
          <w:rFonts w:eastAsia="IRNazanin" w:cs="IRNazanin"/>
          <w:color w:val="111111"/>
          <w:sz w:val="28"/>
          <w:szCs w:val="28"/>
          <w:rtl w:val="true"/>
          <w:lang w:bidi="fa-IR"/>
        </w:rPr>
        <w:t>»</w:t>
      </w:r>
      <w:r>
        <w:rPr>
          <w:rStyle w:val="FootnoteAnchor"/>
          <w:rtl w:val="true"/>
        </w:rPr>
        <w:footnoteReference w:id="1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القواعد</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و البالغ متساویان فی الشهادة، فلا یغسّل الصبیّ، بل یدفن بثیابه</w:t>
      </w:r>
      <w:r>
        <w:rPr>
          <w:rFonts w:eastAsia="IRNazanin" w:cs="IRNazanin"/>
          <w:color w:val="111111"/>
          <w:sz w:val="28"/>
          <w:szCs w:val="28"/>
          <w:rtl w:val="true"/>
          <w:lang w:bidi="fa-IR"/>
        </w:rPr>
        <w:t>»</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bookmarkStart w:id="464" w:name="pg11755_254820"/>
    </w:p>
    <w:p>
      <w:pPr>
        <w:pStyle w:val="BookText"/>
        <w:rPr/>
      </w:pPr>
      <w:bookmarkEnd w:id="464"/>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الصبیّ کالبالغ و إن کان رضیعاً</w:t>
      </w:r>
      <w:r>
        <w:rPr>
          <w:rFonts w:eastAsia="IRNazanin" w:cs="IRNazanin"/>
          <w:color w:val="111111"/>
          <w:sz w:val="28"/>
          <w:szCs w:val="28"/>
          <w:rtl w:val="true"/>
          <w:lang w:bidi="fa-IR"/>
        </w:rPr>
        <w:t>»</w:t>
      </w:r>
      <w:r>
        <w:rPr>
          <w:rStyle w:val="FootnoteAnchor"/>
          <w:rtl w:val="true"/>
        </w:rPr>
        <w:footnoteReference w:id="1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جملة من المتأخّرین و متأخِّریهم و فقهاء العصر</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یستثنی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وجوب التغسیل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غیر فرق بین الحرّ 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أو امرأة، صبیّاً أو مجنوناً</w:t>
      </w:r>
      <w:r>
        <w:rPr>
          <w:rFonts w:eastAsia="Amiri" w:cs="Amiri" w:ascii="Amiri" w:hAnsi="Amiri"/>
          <w:color w:val="111111"/>
          <w:sz w:val="28"/>
          <w:szCs w:val="28"/>
          <w:rtl w:val="true"/>
          <w:lang w:bidi="ar-SA"/>
        </w:rPr>
        <w:t>»</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5" w:name="__RefHeading___Toc9587600_73709187"/>
      <w:bookmarkStart w:id="466" w:name="_Toc174"/>
      <w:bookmarkEnd w:id="465"/>
      <w:r>
        <w:rPr>
          <w:rtl w:val="true"/>
        </w:rPr>
        <w:t>أدلّة عدم وجوب تغسیل الصبیّ الشهید</w:t>
      </w:r>
      <w:bookmarkEnd w:id="466"/>
    </w:p>
    <w:p>
      <w:pPr>
        <w:pStyle w:val="BookText"/>
        <w:rPr/>
      </w:pPr>
      <w:r>
        <w:rPr>
          <w:rFonts w:ascii="IRNazanin" w:hAnsi="IRNazanin" w:eastAsia="IRNazanin"/>
          <w:color w:val="111111"/>
          <w:sz w:val="28"/>
          <w:sz w:val="28"/>
          <w:szCs w:val="28"/>
          <w:rtl w:val="true"/>
          <w:lang w:bidi="fa-IR"/>
        </w:rPr>
        <w:t>و استدلّوا لهذا الحکم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أخبار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مریم الأنصاری، التی رواها المشایخ الثلاثة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الشهید إذا کان به رمق غسّل و کفّن و حنّط و صلّی علیه، و إن لم یکن به رمق کفّن فی أثوابه</w:t>
      </w:r>
      <w:r>
        <w:rPr>
          <w:rFonts w:eastAsia="IRNazanin" w:cs="IRNazanin"/>
          <w:color w:val="111111"/>
          <w:sz w:val="28"/>
          <w:szCs w:val="28"/>
          <w:rtl w:val="true"/>
          <w:lang w:bidi="fa-IR"/>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و إسماعیل بن جابر عن أبی جعفر علیه السلام قال 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رأیت الشهید یدفن بدمائه؟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فی ثیابه بدمائه، لا یحنّط و لا یغسّل و یدفن کما هو</w:t>
      </w:r>
      <w:r>
        <w:rPr>
          <w:rFonts w:eastAsia="IRNazanin" w:cs="IRNazanin"/>
          <w:color w:val="111111"/>
          <w:sz w:val="28"/>
          <w:szCs w:val="28"/>
          <w:rtl w:val="true"/>
          <w:lang w:bidi="fa-IR"/>
        </w:rPr>
        <w:t>»</w:t>
      </w:r>
      <w:r>
        <w:rPr>
          <w:rStyle w:val="FootnoteAnchor"/>
          <w:rtl w:val="true"/>
        </w:rPr>
        <w:footnoteReference w:id="1550"/>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أنّ لفظة الشهید تصدق علی الصبیّ الذی قتل فی معرکة القتال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اسم الشهید یقع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مسلم قتل</w:t>
      </w:r>
    </w:p>
    <w:p>
      <w:pPr>
        <w:pStyle w:val="BookText"/>
        <w:rPr/>
      </w:pPr>
      <w:r>
        <w:rPr>
          <w:rFonts w:ascii="IRNazanin" w:hAnsi="IRNazanin" w:eastAsia="IRNazanin"/>
          <w:color w:val="111111"/>
          <w:sz w:val="28"/>
          <w:sz w:val="28"/>
          <w:szCs w:val="28"/>
          <w:rtl w:val="true"/>
          <w:lang w:bidi="fa-IR"/>
        </w:rPr>
        <w:t>فی المعترک</w:t>
      </w:r>
      <w:r>
        <w:rPr>
          <w:rFonts w:eastAsia="IRNazanin" w:cs="IRNazanin"/>
          <w:color w:val="111111"/>
          <w:sz w:val="28"/>
          <w:szCs w:val="28"/>
          <w:rtl w:val="true"/>
          <w:lang w:bidi="fa-IR"/>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مسلم قتل فی معرکة المشرکین، فکان کالبالغ</w:t>
      </w:r>
      <w:r>
        <w:rPr>
          <w:rFonts w:eastAsia="IRNazanin" w:cs="IRNazanin"/>
          <w:color w:val="111111"/>
          <w:sz w:val="28"/>
          <w:szCs w:val="28"/>
          <w:rtl w:val="true"/>
          <w:lang w:bidi="fa-IR"/>
        </w:rPr>
        <w:t>»</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یقتل فی سبیل اللّه یدفن فی ثیابه و لا یغسّل، إلّا أن یدرکه المسلمون و به رمق، ثمّ یموت بعد، فإنّه یغسّل و یکفّن و یحنّط، إنّ رسول اللّه صلی الله علیه و آله کفّن حمزة فی ثیابه و لم یغسّله و لکنّه صلّی علیه</w:t>
      </w:r>
      <w:r>
        <w:rPr>
          <w:rFonts w:eastAsia="IRNazanin" w:cs="IRNazanin"/>
          <w:color w:val="111111"/>
          <w:sz w:val="28"/>
          <w:szCs w:val="28"/>
          <w:rtl w:val="true"/>
          <w:lang w:bidi="fa-IR"/>
        </w:rPr>
        <w:t>»</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الصحیحة الثانیة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الذی یقتل فی سبیل اللّه، أ یغسّل و یکفّن و یحنّط؟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یدفن کما هو فی ثیابه، إلّا أن یکون به رمق،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یغسّل و یکفّن و یحنّط و یصلّی علیه؛ لأنّ رسول اللّه صلی الله علیه و آله صلّی علی حمزة و کفّنه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کان قد جرّد</w:t>
      </w:r>
      <w:r>
        <w:rPr>
          <w:rFonts w:eastAsia="IRNazanin" w:cs="IRNazanin"/>
          <w:color w:val="111111"/>
          <w:sz w:val="28"/>
          <w:szCs w:val="28"/>
          <w:rtl w:val="true"/>
          <w:lang w:bidi="fa-IR"/>
        </w:rPr>
        <w:t>»</w:t>
      </w:r>
      <w:r>
        <w:rPr>
          <w:rStyle w:val="FootnoteAnchor"/>
          <w:rtl w:val="true"/>
        </w:rPr>
        <w:footnoteReference w:id="1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مضمرة خالد</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استدلّ بإطلاقها جماعة من المتأخّرین و متأخِّریهم و بعض المعاصرین</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فظاهر الأخبار و کلمات الأصحاب یقتضی عدم الفرق فی هذا</w:t>
      </w:r>
    </w:p>
    <w:p>
      <w:pPr>
        <w:pStyle w:val="BookText"/>
        <w:rPr/>
      </w:pPr>
      <w:r>
        <w:rPr>
          <w:rFonts w:ascii="IRNazanin" w:hAnsi="IRNazanin" w:eastAsia="IRNazanin"/>
          <w:color w:val="111111"/>
          <w:sz w:val="28"/>
          <w:sz w:val="28"/>
          <w:szCs w:val="28"/>
          <w:rtl w:val="true"/>
          <w:lang w:bidi="fa-IR"/>
        </w:rPr>
        <w:t>الحکم بین البالغ و غیر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استشکل صاحب الجواهر بأنّ من لم یکن مخاطباً بالجهاد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کالصبیّ و المجنون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یصدق علیه أنّه قتل فی سبیل اللّه،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فللنظر فی کلّ من لم یکن مخاطباً بالجهاد مجال للشکّ فی تناول الأدلّة</w:t>
      </w:r>
      <w:r>
        <w:rPr>
          <w:rFonts w:eastAsia="IRNazanin" w:cs="IRNazanin"/>
          <w:color w:val="111111"/>
          <w:sz w:val="28"/>
          <w:szCs w:val="28"/>
          <w:rtl w:val="true"/>
          <w:lang w:bidi="fa-IR"/>
        </w:rPr>
        <w:t>»</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ناقش فی ذلک أیضاً الشیخ الأعظم الأنصاری بأنّ الظاهر من حسنة أبان</w:t>
      </w:r>
      <w:r>
        <w:rPr>
          <w:rStyle w:val="FootnoteAnchor"/>
          <w:rtl w:val="true"/>
        </w:rPr>
        <w:footnoteReference w:id="1558"/>
      </w:r>
      <w:r>
        <w:rPr>
          <w:rFonts w:ascii="IRNazanin" w:hAnsi="IRNazanin" w:eastAsia="IRNazanin"/>
          <w:color w:val="111111"/>
          <w:sz w:val="28"/>
          <w:sz w:val="28"/>
          <w:szCs w:val="28"/>
          <w:rtl w:val="true"/>
          <w:lang w:bidi="fa-IR"/>
        </w:rPr>
        <w:t>و صحیحته</w:t>
      </w:r>
      <w:r>
        <w:rPr>
          <w:rFonts w:eastAsia="IRNazanin" w:cs="IRNazanin"/>
          <w:color w:val="111111"/>
          <w:sz w:val="28"/>
          <w:szCs w:val="28"/>
          <w:rtl w:val="true"/>
          <w:lang w:bidi="fa-IR"/>
        </w:rPr>
        <w:t xml:space="preserve">: </w:t>
      </w:r>
      <w:r>
        <w:rPr>
          <w:rStyle w:val="FootnoteAnchor"/>
          <w:rtl w:val="true"/>
        </w:rPr>
        <w:footnoteReference w:id="1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المقتول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فیختصّ بمن کان الجهاد راجحاً فی حقّه</w:t>
      </w:r>
      <w:r>
        <w:rPr>
          <w:rStyle w:val="FootnoteAnchor"/>
          <w:rtl w:val="true"/>
        </w:rPr>
        <w:footnoteReference w:id="1560"/>
      </w:r>
      <w:r>
        <w:rPr>
          <w:rFonts w:ascii="IRNazanin" w:hAnsi="IRNazanin" w:eastAsia="IRNazanin"/>
          <w:color w:val="111111"/>
          <w:sz w:val="28"/>
          <w:sz w:val="28"/>
          <w:szCs w:val="28"/>
          <w:rtl w:val="true"/>
          <w:lang w:bidi="fa-IR"/>
        </w:rPr>
        <w:t>، فالصبیّ حیث لم یجب علیه الجهاد لم یصدق أنّه مقتول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فی محلّه، و إطلاق الشهید و ما قتل بین الصفّین لا یخلو من إشکال</w:t>
      </w:r>
      <w:r>
        <w:rPr>
          <w:rFonts w:eastAsia="IRNazanin" w:cs="IRNazanin"/>
          <w:color w:val="111111"/>
          <w:sz w:val="28"/>
          <w:szCs w:val="28"/>
          <w:rtl w:val="true"/>
          <w:lang w:bidi="fa-IR"/>
        </w:rPr>
        <w:t>»</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اجیب عن هذه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أن یکون المسلمون مخاطبین بمحاربة العدوّ بأطفالهم و نسائهم و مجانینهم، کما إذا عظم أمر الکافرین، و توقّف دفع العدوّ علی الاستعانة بالأطفال و غیرهم، فیصدق حینئذ علی الصبیّ قتیل فی سبیل اللّه، کما أشار إلی ذلک المحقّق النجفی</w:t>
      </w:r>
      <w:r>
        <w:rPr>
          <w:rStyle w:val="FootnoteAnchor"/>
          <w:rtl w:val="true"/>
        </w:rPr>
        <w:footnoteReference w:id="1562"/>
      </w:r>
      <w:r>
        <w:rPr>
          <w:rFonts w:ascii="IRNazanin" w:hAnsi="IRNazanin" w:eastAsia="IRNazanin"/>
          <w:color w:val="111111"/>
          <w:sz w:val="28"/>
          <w:sz w:val="28"/>
          <w:szCs w:val="28"/>
          <w:rtl w:val="true"/>
          <w:lang w:bidi="fa-IR"/>
        </w:rPr>
        <w:t>و غیره</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القول بأنّ مقتضی النصوص سیّما صحیحتا أبان بن تغلب أنّ مجرّد القتل فی المعرکة التی اقیمت لإعلاء کلمة الإسلام موجب لسقوط التغسیل مطلقاً، کانت مقاتلة المقتول أیضاً بأمر من الشارع أم لم تکن، و ذلک</w:t>
      </w:r>
    </w:p>
    <w:p>
      <w:pPr>
        <w:pStyle w:val="BookText"/>
        <w:rPr/>
      </w:pPr>
      <w:r>
        <w:rPr>
          <w:rFonts w:ascii="IRNazanin" w:hAnsi="IRNazanin" w:eastAsia="IRNazanin"/>
          <w:color w:val="111111"/>
          <w:sz w:val="28"/>
          <w:sz w:val="28"/>
          <w:szCs w:val="28"/>
          <w:rtl w:val="true"/>
          <w:lang w:bidi="fa-IR"/>
        </w:rPr>
        <w:t>لإطلاق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یقتل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المفروض أنّ الجهاد أو الدفاع إنّما هو فی سبیل اللّه، فالقتل فیه یکفی فی سقوط الغسل؛ لصدق أنّه مقتول فی سبیل اللّه و لم یقتل فی سبیل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فی ثبوت الحکم إلّا تحقّق العنوان</w:t>
      </w:r>
      <w:r>
        <w:rPr>
          <w:rStyle w:val="FootnoteAnchor"/>
          <w:rtl w:val="true"/>
        </w:rPr>
        <w:footnoteReference w:id="1564"/>
      </w:r>
      <w:r>
        <w:rPr>
          <w:rFonts w:ascii="IRNazanin" w:hAnsi="IRNazanin" w:eastAsia="IRNazanin"/>
          <w:color w:val="111111"/>
          <w:sz w:val="28"/>
          <w:sz w:val="28"/>
          <w:szCs w:val="28"/>
          <w:rtl w:val="true"/>
          <w:lang w:bidi="fa-IR"/>
        </w:rPr>
        <w:t>، فمجرّد القتل فی هذه المعرکة موجب لسقوط التغسیل و إن کان القتیل غیر بالغ؛ لصدق العنوان و أنّه مقتول فی سبیل اللّه، کما أشار إلی ذلک الفقیه الهمدانی</w:t>
      </w:r>
      <w:r>
        <w:rPr>
          <w:rStyle w:val="FootnoteAnchor"/>
          <w:rtl w:val="true"/>
        </w:rPr>
        <w:footnoteReference w:id="1565"/>
      </w:r>
      <w:r>
        <w:rPr>
          <w:rFonts w:ascii="IRNazanin" w:hAnsi="IRNazanin" w:eastAsia="IRNazanin"/>
          <w:color w:val="111111"/>
          <w:sz w:val="28"/>
          <w:sz w:val="28"/>
          <w:szCs w:val="28"/>
          <w:rtl w:val="true"/>
          <w:lang w:bidi="fa-IR"/>
        </w:rPr>
        <w:t>و غیره</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هو ظاهر المعتبر، حیث نسب المخالفة إلی أبی حنیفة، و ردّه بالإطلاق،</w:t>
      </w:r>
      <w:r>
        <w:rPr>
          <w:rStyle w:val="FootnoteAnchor"/>
          <w:rtl w:val="true"/>
        </w:rPr>
        <w:footnoteReference w:id="1567"/>
      </w:r>
      <w:r>
        <w:rPr>
          <w:rFonts w:ascii="IRNazanin" w:hAnsi="IRNazanin" w:eastAsia="IRNazanin"/>
          <w:color w:val="111111"/>
          <w:sz w:val="28"/>
          <w:sz w:val="28"/>
          <w:szCs w:val="28"/>
          <w:rtl w:val="true"/>
          <w:lang w:bidi="fa-IR"/>
        </w:rPr>
        <w:t>و ظاهر کشف اللثام أیضاً الاتّفاق علیه</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کان فی قتلی بدر و احُد أطفال کحارثة بن النعمان و عمیر بن أبی وقاص، و لم ینقل أنّ النبیّ صلی الله علیه و آله غسّلهم</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التذکرة</w:t>
      </w:r>
      <w:r>
        <w:rPr>
          <w:rStyle w:val="FootnoteAnchor"/>
          <w:rtl w:val="true"/>
        </w:rPr>
        <w:footnoteReference w:id="1570"/>
      </w:r>
      <w:r>
        <w:rPr>
          <w:rFonts w:ascii="IRNazanin" w:hAnsi="IRNazanin" w:eastAsia="IRNazanin"/>
          <w:color w:val="111111"/>
          <w:sz w:val="28"/>
          <w:sz w:val="28"/>
          <w:szCs w:val="28"/>
          <w:rtl w:val="true"/>
          <w:lang w:bidi="fa-IR"/>
        </w:rPr>
        <w:t>و المدارک</w:t>
      </w:r>
      <w:r>
        <w:rPr>
          <w:rStyle w:val="FootnoteAnchor"/>
          <w:rtl w:val="true"/>
        </w:rPr>
        <w:footnoteReference w:id="1571"/>
      </w:r>
      <w:r>
        <w:rPr>
          <w:rFonts w:ascii="IRNazanin" w:hAnsi="IRNazanin" w:eastAsia="IRNazanin"/>
          <w:color w:val="111111"/>
          <w:sz w:val="28"/>
          <w:sz w:val="28"/>
          <w:szCs w:val="28"/>
          <w:rtl w:val="true"/>
          <w:lang w:bidi="fa-IR"/>
        </w:rPr>
        <w:t>و الذکری</w:t>
      </w:r>
      <w:r>
        <w:rPr>
          <w:rStyle w:val="FootnoteAnchor"/>
          <w:rtl w:val="true"/>
        </w:rPr>
        <w:footnoteReference w:id="1572"/>
      </w:r>
      <w:r>
        <w:rPr>
          <w:rFonts w:ascii="IRNazanin" w:hAnsi="IRNazanin" w:eastAsia="IRNazanin"/>
          <w:color w:val="111111"/>
          <w:sz w:val="28"/>
          <w:sz w:val="28"/>
          <w:szCs w:val="28"/>
          <w:rtl w:val="true"/>
          <w:lang w:bidi="fa-IR"/>
        </w:rPr>
        <w:t>، و زاد فی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قتل فی الطفّ مع الحسین علیه السلام ولده الرضیع، و لم ینقل فی ذلک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فی غیرها</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الاستدلال بشهادة حارثة بن النعمان و عمیر بن أبی وقّاص إشکالاً؛ أمّا حارثة بن النعمان فالظاهر أنّه من سهو القلم؛ لأنّه قد حقّق فی التواریخ و التراجم أنّ حارثة بن النعمان الأنصاری کان من فضلاء الصحابة و شهد بدراً و احداً و الخندق و المشاهد کلّها مع رسول اللّه صلی الله علیه و آله و کان قد ذهب بصره، فاتّخذ خیطاً فی مصلّاه إلی باب حجرته، و توفّی فی عهد معاویة بن أبی سفیان</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حارثة الذی استشهد یوم بدر هو حارثة بن سراقة و عمّه أنس بن مالک، شهد بدراً، و قتل یومئذ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أنس بن مالک اصیب حارثة بن سراقة یوم بدر، و هو غلام، فجاءت امّه إلی النبیّ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علمتَ منزلة حارثة منّی، فإن یک فی الجنّة أصبر و أحتسب، و إن تکن الاُخری تَرَ ما أصنع،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أ وَ جنّة واحدة؟ إنّما هی جنان کثیرة، و إنّه فی جنّة الفردوس</w:t>
      </w:r>
      <w:r>
        <w:rPr>
          <w:rFonts w:eastAsia="IRNazanin" w:cs="IRNazanin"/>
          <w:color w:val="111111"/>
          <w:sz w:val="28"/>
          <w:szCs w:val="28"/>
          <w:rtl w:val="true"/>
          <w:lang w:bidi="fa-IR"/>
        </w:rPr>
        <w:t>»</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عبّر عنه تارة بلفظة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تارة بلفظة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الغلام أعمّ من البالغ و غیر البالغ، و الشابّ لا یشمل الصبیّ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عمیر بن أبی وقّاص فهو أخو سعد بن أبی وقّاص قتل یوم بدر شهیداً، قتله عمرو بن عبد ودّ، و کان قدیم الإسلام مهاجری، و استصغره</w:t>
      </w:r>
      <w:bookmarkStart w:id="467" w:name="pg11755_254831"/>
    </w:p>
    <w:p>
      <w:pPr>
        <w:pStyle w:val="BookText"/>
        <w:rPr/>
      </w:pPr>
      <w:bookmarkEnd w:id="467"/>
      <w:r>
        <w:rPr>
          <w:rFonts w:ascii="IRNazanin" w:hAnsi="IRNazanin" w:eastAsia="IRNazanin"/>
          <w:color w:val="111111"/>
          <w:sz w:val="28"/>
          <w:sz w:val="28"/>
          <w:szCs w:val="28"/>
          <w:rtl w:val="true"/>
          <w:lang w:bidi="fa-IR"/>
        </w:rPr>
        <w:t>النبیّ صلی الله علیه و آله لمّا أراد المسیر إلی بدر، فبکی فأجازه، و کان عمره حین قتل ستّ عشرة سنة</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کان فی الطفّ أطفال مع الحسین علیه السلام و قتلوا بین یدیه کقاسم بن الحسن، و عبد اللّه بن الحسن، و الطفل الرضیع و غیرهم، و لم ینقل أنّهم غسّلوا، بل دفنوا کسائر الشهداء، بل جاء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قتل الطفل الرضیع نزل الحسین علیه السلام عن فرسه و حفر للصبیّ بجفن سیفه و زمّله بدمه، و صلّی علیه</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التمسّک بإطلاق بعض النصوص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المؤیّد ذلک فی الأطفال بما ورد من قتل بعض الصبیان فی بدر و احد و کربلاء، و لم ینقل عن أحد تغسیلهم</w:t>
      </w:r>
      <w:r>
        <w:rPr>
          <w:rFonts w:eastAsia="IRNazanin" w:cs="IRNazanin"/>
          <w:color w:val="111111"/>
          <w:sz w:val="28"/>
          <w:szCs w:val="28"/>
          <w:rtl w:val="true"/>
          <w:lang w:bidi="fa-IR"/>
        </w:rPr>
        <w:t>»</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8" w:name="__RefHeading___Toc9587602_73709187"/>
      <w:bookmarkStart w:id="469" w:name="_Toc175"/>
      <w:bookmarkEnd w:id="468"/>
      <w:r>
        <w:rPr>
          <w:rtl w:val="true"/>
        </w:rPr>
        <w:t>قول أهل السنّة فی عدم تغسیل الصبیّ الشهید</w:t>
      </w:r>
      <w:bookmarkEnd w:id="469"/>
    </w:p>
    <w:p>
      <w:pPr>
        <w:pStyle w:val="BookText"/>
        <w:rPr/>
      </w:pPr>
      <w:r>
        <w:rPr>
          <w:rFonts w:ascii="IRNazanin" w:hAnsi="IRNazanin" w:eastAsia="IRNazanin"/>
          <w:color w:val="111111"/>
          <w:sz w:val="28"/>
          <w:sz w:val="28"/>
          <w:szCs w:val="28"/>
          <w:rtl w:val="true"/>
          <w:lang w:bidi="fa-IR"/>
        </w:rPr>
        <w:t>ذهب جمهور فقهاء أهل السنّة إلی أنّ الصبیّ إذا استشهد فی المعرکة لا یغسّل، إلّا أنّ أبا حنیفة قال یغسّل؛ لأنّه لیس من أهل القتال</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0" w:name="__RefHeading___Toc9587604_73709187"/>
      <w:bookmarkStart w:id="471" w:name="_Toc176"/>
      <w:bookmarkEnd w:id="470"/>
      <w:r>
        <w:rPr>
          <w:rtl w:val="true"/>
        </w:rPr>
        <w:t>فروع</w:t>
      </w:r>
      <w:bookmarkEnd w:id="47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الجدیر بالذکر أن نتعرّض لفروع ذکرها الأصحاب فی هذا المقام</w:t>
      </w:r>
    </w:p>
    <w:p>
      <w:pPr>
        <w:pStyle w:val="BookText"/>
        <w:rPr/>
      </w:pPr>
      <w:r>
        <w:rPr>
          <w:rFonts w:ascii="Amiri" w:hAnsi="Amiri" w:eastAsia="Amiri" w:cs="Amiri"/>
          <w:color w:val="111111"/>
          <w:sz w:val="28"/>
          <w:sz w:val="28"/>
          <w:szCs w:val="28"/>
          <w:rtl w:val="true"/>
          <w:lang w:bidi="ar-SA"/>
        </w:rPr>
        <w:t>توطئةً للمبحث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ماتت امرأة و فی جوفها ولد حیّ یتحرّک، فإن أمکن إخراجه بدون الشقّ وجب ذلک، و إلّا وجب شقّ بطنها من الجانب الأیسر، و اخرِجَ الولد منه،</w:t>
      </w:r>
      <w:r>
        <w:rPr>
          <w:rStyle w:val="FootnoteAnchor"/>
          <w:rtl w:val="true"/>
        </w:rPr>
        <w:footnoteReference w:id="1580"/>
      </w:r>
      <w:r>
        <w:rPr>
          <w:rFonts w:ascii="IRNazanin" w:hAnsi="IRNazanin" w:eastAsia="IRNazanin"/>
          <w:color w:val="111111"/>
          <w:sz w:val="28"/>
          <w:sz w:val="28"/>
          <w:szCs w:val="28"/>
          <w:rtl w:val="true"/>
          <w:lang w:bidi="fa-IR"/>
        </w:rPr>
        <w:t>ثمّ خیط الموضع و تغسّل المرأة بعد ذلک، سواء رجی بقاء الولد مدّة طویلة، أو لم یعلم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العقل حاکم بوجوب حفظ النفس المحترمة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ادّعاه غیر واحد من الفقهاء</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أبی عمیر عن بعض أصحابه،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تموت و یتحرّک الولد فی بطنها، أ یشقّ بطنها و یخرج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یخاط بطنها</w:t>
      </w:r>
      <w:r>
        <w:rPr>
          <w:rFonts w:eastAsia="IRNazanin" w:cs="IRNazanin"/>
          <w:color w:val="111111"/>
          <w:sz w:val="28"/>
          <w:szCs w:val="28"/>
          <w:rtl w:val="true"/>
          <w:lang w:bidi="fa-IR"/>
        </w:rPr>
        <w:t>»</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العبد الصالح علیه السلام عن المرأة تموت و ولدها فی بطنها،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بطنها و یخرج ولدها</w:t>
      </w:r>
      <w:r>
        <w:rPr>
          <w:rFonts w:eastAsia="IRNazanin" w:cs="IRNazanin"/>
          <w:color w:val="111111"/>
          <w:sz w:val="28"/>
          <w:szCs w:val="28"/>
          <w:rtl w:val="true"/>
          <w:lang w:bidi="fa-IR"/>
        </w:rPr>
        <w:t>»</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علیّ بن أبی حمزة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تموت و یتحرّک الولد فی بطنها، أ یشقّ بطنها و یستخرج ولدها؟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584"/>
      </w:r>
      <w:r>
        <w:rPr>
          <w:rFonts w:ascii="IRNazanin" w:hAnsi="IRNazanin" w:eastAsia="IRNazanin"/>
          <w:color w:val="111111"/>
          <w:sz w:val="28"/>
          <w:sz w:val="28"/>
          <w:szCs w:val="28"/>
          <w:rtl w:val="true"/>
          <w:lang w:bidi="fa-IR"/>
        </w:rPr>
        <w:t>، و غیرها</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تدلّ علی وجوب شقّ البطن و إخراج الجنین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التقیید بالأیسر فلیس له ذکر فی شیء من الأخبار، و أطلقه فی الخلاف،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ماتت امرأة و فی بطنها ولد یتحرّک شُقّ جوفها و اخرج الولد</w:t>
      </w:r>
      <w:r>
        <w:rPr>
          <w:rFonts w:eastAsia="IRNazanin" w:cs="IRNazanin"/>
          <w:color w:val="111111"/>
          <w:sz w:val="28"/>
          <w:szCs w:val="28"/>
          <w:rtl w:val="true"/>
          <w:lang w:bidi="fa-IR"/>
        </w:rPr>
        <w:t>»</w:t>
      </w:r>
      <w:r>
        <w:rPr>
          <w:rStyle w:val="FootnoteAnchor"/>
          <w:rtl w:val="true"/>
        </w:rPr>
        <w:footnoteReference w:id="1586"/>
      </w:r>
      <w:r>
        <w:rPr>
          <w:rFonts w:ascii="IRNazanin" w:hAnsi="IRNazanin" w:eastAsia="IRNazanin"/>
          <w:color w:val="111111"/>
          <w:sz w:val="28"/>
          <w:sz w:val="28"/>
          <w:szCs w:val="28"/>
          <w:rtl w:val="true"/>
          <w:lang w:bidi="fa-IR"/>
        </w:rPr>
        <w:t>، و کذا فی بعض نسخ الشرائع</w:t>
      </w:r>
      <w:r>
        <w:rPr>
          <w:rStyle w:val="FootnoteAnchor"/>
          <w:rtl w:val="true"/>
        </w:rPr>
        <w:footnoteReference w:id="1587"/>
      </w:r>
      <w:r>
        <w:rPr>
          <w:rFonts w:ascii="IRNazanin" w:hAnsi="IRNazanin" w:eastAsia="IRNazanin"/>
          <w:color w:val="111111"/>
          <w:sz w:val="28"/>
          <w:sz w:val="28"/>
          <w:szCs w:val="28"/>
          <w:rtl w:val="true"/>
          <w:lang w:bidi="fa-IR"/>
        </w:rPr>
        <w:t>، و مقتضاه عدم الفرق فی ذلک بین الجانب الأیمن و الأیسر، و مال إلیه فی المعتبر</w:t>
      </w:r>
      <w:r>
        <w:rPr>
          <w:rStyle w:val="FootnoteAnchor"/>
          <w:rtl w:val="true"/>
        </w:rPr>
        <w:footnoteReference w:id="1588"/>
      </w:r>
      <w:r>
        <w:rPr>
          <w:rFonts w:ascii="IRNazanin" w:hAnsi="IRNazanin" w:eastAsia="IRNazanin"/>
          <w:color w:val="111111"/>
          <w:sz w:val="28"/>
          <w:sz w:val="28"/>
          <w:szCs w:val="28"/>
          <w:rtl w:val="true"/>
          <w:lang w:bidi="fa-IR"/>
        </w:rPr>
        <w:t>و الذکری</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إطلاق الروایات یقتضی عدم الفرق فی الجانب بین الأیمن و الأیسر</w:t>
      </w:r>
      <w:r>
        <w:rPr>
          <w:rFonts w:eastAsia="IRNazanin" w:cs="IRNazanin"/>
          <w:color w:val="111111"/>
          <w:sz w:val="28"/>
          <w:szCs w:val="28"/>
          <w:rtl w:val="true"/>
          <w:lang w:bidi="fa-IR"/>
        </w:rPr>
        <w:t>»</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الفقیه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شیء من الأخبار التصریح بکون شقّ الجوف من الجانب الأیسر، عدا ما عن الفقه الرضوی من التقیید بذلک</w:t>
      </w:r>
      <w:r>
        <w:rPr>
          <w:rFonts w:eastAsia="IRNazanin" w:cs="IRNazanin"/>
          <w:color w:val="111111"/>
          <w:sz w:val="28"/>
          <w:szCs w:val="28"/>
          <w:rtl w:val="true"/>
          <w:lang w:bidi="fa-IR"/>
        </w:rPr>
        <w:t>»</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الأخبار الآمرة بالشقّ مطلقة، و لا مقیّد للشقّ بالجانب الأیسر، و لا دلیل علیه سوی الفقه الرضوی، حیث صرّح به فیه، إلّا أنّه لم یثبت کونه روایة فضلاً عن اعتبارها</w:t>
      </w:r>
      <w:r>
        <w:rPr>
          <w:rFonts w:eastAsia="IRNazanin" w:cs="IRNazanin"/>
          <w:color w:val="111111"/>
          <w:sz w:val="28"/>
          <w:szCs w:val="28"/>
          <w:rtl w:val="true"/>
          <w:lang w:bidi="fa-IR"/>
        </w:rPr>
        <w:t>»</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الأحوط شقّ جنبها الأیسر مع عدم الفرق بینه و بین غیره من المواضع، و إلّا فیشقّ الموضع الّذی یکون الخروج عنه أسلم</w:t>
      </w:r>
      <w:r>
        <w:rPr>
          <w:rFonts w:eastAsia="IRNazanin" w:cs="IRNazanin"/>
          <w:color w:val="111111"/>
          <w:sz w:val="28"/>
          <w:szCs w:val="28"/>
          <w:rtl w:val="true"/>
          <w:lang w:bidi="fa-IR"/>
        </w:rPr>
        <w:t>»</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لکن صرّح غیر واحدٍ من الأصحاب بأنّه یُشَقُّ جوفها من الجانب الأیسر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ماتت امرأة و فی جوفها ولدٌ حیٌّ یتحرّک شُقّ بطنها ممّا یلی جنبها الأیسر، و اخرج الولد منه، ثمّ خیط الموضع، و غُسّلت و کفّنت و حُنّطت بعد ذلک و دُفنت</w:t>
      </w:r>
      <w:r>
        <w:rPr>
          <w:rFonts w:eastAsia="Amiri" w:cs="Amiri" w:ascii="Amiri" w:hAnsi="Amiri"/>
          <w:color w:val="111111"/>
          <w:sz w:val="28"/>
          <w:szCs w:val="28"/>
          <w:rtl w:val="true"/>
          <w:lang w:bidi="ar-SA"/>
        </w:rPr>
        <w:t>»</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ماتت المرأة و هی حامل و ولدها یتحرّک فی بطنها، شُقّ بطنها من الجانب الأیسر، و اخرج الولد</w:t>
      </w:r>
      <w:r>
        <w:rPr>
          <w:rFonts w:eastAsia="IRNazanin" w:cs="IRNazanin"/>
          <w:color w:val="111111"/>
          <w:sz w:val="28"/>
          <w:szCs w:val="28"/>
          <w:rtl w:val="true"/>
          <w:lang w:bidi="fa-IR"/>
        </w:rPr>
        <w:t>»</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ماتت المرأة و لم یَمُت وَلَدها شقّ بطنها من الجانب الأیسر، و اخرج الولد</w:t>
      </w:r>
      <w:r>
        <w:rPr>
          <w:rFonts w:eastAsia="IRNazanin" w:cs="IRNazanin"/>
          <w:color w:val="111111"/>
          <w:sz w:val="28"/>
          <w:szCs w:val="28"/>
          <w:rtl w:val="true"/>
          <w:lang w:bidi="fa-IR"/>
        </w:rPr>
        <w:t>»</w:t>
      </w:r>
      <w:r>
        <w:rPr>
          <w:rStyle w:val="FootnoteAnchor"/>
          <w:rtl w:val="true"/>
        </w:rPr>
        <w:footnoteReference w:id="1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المبسوط‌</w:t>
      </w:r>
      <w:r>
        <w:rPr>
          <w:rStyle w:val="FootnoteAnchor"/>
          <w:rtl w:val="true"/>
        </w:rPr>
        <w:footnoteReference w:id="1597"/>
      </w:r>
      <w:r>
        <w:rPr>
          <w:rFonts w:ascii="Amiri" w:hAnsi="Amiri" w:eastAsia="Amiri" w:cs="Amiri"/>
          <w:color w:val="111111"/>
          <w:sz w:val="28"/>
          <w:sz w:val="28"/>
          <w:szCs w:val="28"/>
          <w:rtl w:val="true"/>
          <w:lang w:bidi="ar-SA"/>
        </w:rPr>
        <w:t>و المهذّب</w:t>
      </w:r>
      <w:r>
        <w:rPr>
          <w:rStyle w:val="FootnoteAnchor"/>
          <w:rtl w:val="true"/>
        </w:rPr>
        <w:footnoteReference w:id="1598"/>
      </w:r>
      <w:r>
        <w:rPr>
          <w:rFonts w:ascii="IRNazanin" w:hAnsi="IRNazanin" w:eastAsia="IRNazanin"/>
          <w:color w:val="111111"/>
          <w:sz w:val="28"/>
          <w:sz w:val="28"/>
          <w:szCs w:val="28"/>
          <w:rtl w:val="true"/>
          <w:lang w:bidi="fa-IR"/>
        </w:rPr>
        <w:t>و السرائر</w:t>
      </w:r>
      <w:r>
        <w:rPr>
          <w:rStyle w:val="FootnoteAnchor"/>
          <w:rtl w:val="true"/>
        </w:rPr>
        <w:footnoteReference w:id="159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المنتهی</w:t>
      </w:r>
      <w:r>
        <w:rPr>
          <w:rStyle w:val="FootnoteAnchor"/>
          <w:rtl w:val="true"/>
        </w:rPr>
        <w:footnoteReference w:id="1600"/>
      </w:r>
      <w:r>
        <w:rPr>
          <w:rFonts w:ascii="IRNazanin" w:hAnsi="IRNazanin" w:eastAsia="IRNazanin"/>
          <w:color w:val="111111"/>
          <w:sz w:val="28"/>
          <w:sz w:val="28"/>
          <w:szCs w:val="28"/>
          <w:rtl w:val="true"/>
          <w:lang w:bidi="fa-IR"/>
        </w:rPr>
        <w:t>و التذکرة</w:t>
      </w:r>
      <w:r>
        <w:rPr>
          <w:rStyle w:val="FootnoteAnchor"/>
          <w:rtl w:val="true"/>
        </w:rPr>
        <w:footnoteReference w:id="1601"/>
      </w:r>
      <w:r>
        <w:rPr>
          <w:rFonts w:ascii="IRNazanin" w:hAnsi="IRNazanin" w:eastAsia="IRNazanin"/>
          <w:color w:val="111111"/>
          <w:sz w:val="28"/>
          <w:sz w:val="28"/>
          <w:szCs w:val="28"/>
          <w:rtl w:val="true"/>
          <w:lang w:bidi="fa-IR"/>
        </w:rPr>
        <w:t>و نهایة الإحکام</w:t>
      </w:r>
      <w:r>
        <w:rPr>
          <w:rStyle w:val="FootnoteAnchor"/>
          <w:rtl w:val="true"/>
        </w:rPr>
        <w:footnoteReference w:id="1602"/>
      </w:r>
      <w:r>
        <w:rPr>
          <w:rFonts w:ascii="IRNazanin" w:hAnsi="IRNazanin" w:eastAsia="IRNazanin"/>
          <w:color w:val="111111"/>
          <w:sz w:val="28"/>
          <w:sz w:val="28"/>
          <w:szCs w:val="28"/>
          <w:rtl w:val="true"/>
          <w:lang w:bidi="fa-IR"/>
        </w:rPr>
        <w:t>و التحریر</w:t>
      </w:r>
      <w:r>
        <w:rPr>
          <w:rStyle w:val="FootnoteAnchor"/>
          <w:rtl w:val="true"/>
        </w:rPr>
        <w:footnoteReference w:id="1603"/>
      </w:r>
      <w:r>
        <w:rPr>
          <w:rFonts w:ascii="IRNazanin" w:hAnsi="IRNazanin" w:eastAsia="IRNazanin"/>
          <w:color w:val="111111"/>
          <w:sz w:val="28"/>
          <w:sz w:val="28"/>
          <w:szCs w:val="28"/>
          <w:rtl w:val="true"/>
          <w:lang w:bidi="fa-IR"/>
        </w:rPr>
        <w:t>و البیان</w:t>
      </w:r>
      <w:r>
        <w:rPr>
          <w:rStyle w:val="FootnoteAnchor"/>
          <w:rtl w:val="true"/>
        </w:rPr>
        <w:footnoteReference w:id="1604"/>
      </w:r>
      <w:r>
        <w:rPr>
          <w:rFonts w:ascii="IRNazanin" w:hAnsi="IRNazanin" w:eastAsia="IRNazanin"/>
          <w:color w:val="111111"/>
          <w:sz w:val="28"/>
          <w:sz w:val="28"/>
          <w:szCs w:val="28"/>
          <w:rtl w:val="true"/>
          <w:lang w:bidi="fa-IR"/>
        </w:rPr>
        <w:t>و جامع المقاصد</w:t>
      </w:r>
      <w:r>
        <w:rPr>
          <w:rStyle w:val="FootnoteAnchor"/>
          <w:rtl w:val="true"/>
        </w:rPr>
        <w:footnoteReference w:id="1605"/>
      </w:r>
      <w:r>
        <w:rPr>
          <w:rFonts w:ascii="IRNazanin" w:hAnsi="IRNazanin" w:eastAsia="IRNazanin"/>
          <w:color w:val="111111"/>
          <w:sz w:val="28"/>
          <w:sz w:val="28"/>
          <w:szCs w:val="28"/>
          <w:rtl w:val="true"/>
          <w:lang w:bidi="fa-IR"/>
        </w:rPr>
        <w:t>، و غیرها من کتب المتأخّرین و متأخّریهم</w:t>
      </w:r>
      <w:r>
        <w:rPr>
          <w:rStyle w:val="FootnoteAnchor"/>
          <w:rtl w:val="true"/>
        </w:rPr>
        <w:footnoteReference w:id="1606"/>
      </w:r>
      <w:r>
        <w:rPr>
          <w:rFonts w:ascii="Amiri" w:hAnsi="Amiri" w:eastAsia="Amiri" w:cs="Amiri"/>
          <w:color w:val="111111"/>
          <w:sz w:val="28"/>
          <w:sz w:val="28"/>
          <w:szCs w:val="28"/>
          <w:rtl w:val="true"/>
          <w:lang w:bidi="ar-SA"/>
        </w:rPr>
        <w:t>و عدّة من أعلام</w:t>
      </w:r>
      <w:bookmarkStart w:id="472" w:name="pg11755_254841"/>
    </w:p>
    <w:p>
      <w:pPr>
        <w:pStyle w:val="BookText"/>
        <w:rPr/>
      </w:pPr>
      <w:bookmarkEnd w:id="472"/>
      <w:r>
        <w:rPr>
          <w:rFonts w:ascii="IRNazanin" w:hAnsi="IRNazanin" w:eastAsia="IRNazanin"/>
          <w:color w:val="111111"/>
          <w:sz w:val="28"/>
          <w:sz w:val="28"/>
          <w:szCs w:val="28"/>
          <w:rtl w:val="true"/>
          <w:lang w:bidi="fa-IR"/>
        </w:rPr>
        <w:t>العصر</w:t>
      </w:r>
      <w:r>
        <w:rPr>
          <w:rStyle w:val="FootnoteAnchor"/>
          <w:rtl w:val="true"/>
        </w:rPr>
        <w:footnoteReference w:id="1607"/>
      </w:r>
      <w:r>
        <w:rPr>
          <w:rFonts w:ascii="IRNazanin" w:hAnsi="IRNazanin" w:eastAsia="IRNazanin"/>
          <w:color w:val="111111"/>
          <w:sz w:val="28"/>
          <w:sz w:val="28"/>
          <w:szCs w:val="28"/>
          <w:rtl w:val="true"/>
          <w:lang w:bidi="fa-IR"/>
        </w:rPr>
        <w:t>، بل ظاهر التذکرة اتّفاق الأصحاب علیه</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ذلک کلّه، فهو موافق للاحتیاط و الاقتصار علی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ذکر القید فی مثل الفقیه</w:t>
      </w:r>
      <w:r>
        <w:rPr>
          <w:rStyle w:val="FootnoteAnchor"/>
          <w:rtl w:val="true"/>
        </w:rPr>
        <w:footnoteReference w:id="1609"/>
      </w:r>
      <w:r>
        <w:rPr>
          <w:rFonts w:ascii="Amiri" w:hAnsi="Amiri" w:eastAsia="Amiri" w:cs="Amiri"/>
          <w:color w:val="111111"/>
          <w:sz w:val="28"/>
          <w:sz w:val="28"/>
          <w:szCs w:val="28"/>
          <w:rtl w:val="true"/>
          <w:lang w:bidi="ar-SA"/>
        </w:rPr>
        <w:t>و المقنعة</w:t>
      </w:r>
      <w:r>
        <w:rPr>
          <w:rStyle w:val="FootnoteAnchor"/>
          <w:rtl w:val="true"/>
        </w:rPr>
        <w:footnoteReference w:id="1610"/>
      </w:r>
      <w:r>
        <w:rPr>
          <w:rFonts w:ascii="IRNazanin" w:hAnsi="IRNazanin" w:eastAsia="IRNazanin"/>
          <w:color w:val="111111"/>
          <w:sz w:val="28"/>
          <w:sz w:val="28"/>
          <w:szCs w:val="28"/>
          <w:rtl w:val="true"/>
          <w:lang w:bidi="fa-IR"/>
        </w:rPr>
        <w:t>و النهایة</w:t>
      </w:r>
      <w:r>
        <w:rPr>
          <w:rStyle w:val="FootnoteAnchor"/>
          <w:rtl w:val="true"/>
        </w:rPr>
        <w:footnoteReference w:id="1611"/>
      </w:r>
      <w:r>
        <w:rPr>
          <w:rFonts w:ascii="IRNazanin" w:hAnsi="IRNazanin" w:eastAsia="IRNazanin"/>
          <w:color w:val="111111"/>
          <w:sz w:val="28"/>
          <w:sz w:val="28"/>
          <w:szCs w:val="28"/>
          <w:rtl w:val="true"/>
          <w:lang w:bidi="fa-IR"/>
        </w:rPr>
        <w:t xml:space="preserve">و غیرها </w:t>
      </w:r>
      <w:r>
        <w:rPr>
          <w:rStyle w:val="FootnoteAnchor"/>
          <w:rtl w:val="true"/>
        </w:rPr>
        <w:footnoteReference w:id="1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الّتی هی متون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ذلک، فالقول بالتقیید بالجانب الأیسر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یظهر من المحقّق فی المعتبر، و الشهید فی الذکری، و السیّد صاحب المدارک و غیرهم من المیل إلی العدم لعلّه مخالف لما هو أقوی</w:t>
      </w:r>
      <w:r>
        <w:rPr>
          <w:rFonts w:eastAsia="IRNazanin" w:cs="IRNazanin"/>
          <w:color w:val="111111"/>
          <w:sz w:val="28"/>
          <w:szCs w:val="28"/>
          <w:rtl w:val="true"/>
          <w:lang w:bidi="fa-IR"/>
        </w:rPr>
        <w:t>.</w:t>
      </w:r>
    </w:p>
    <w:p>
      <w:pPr>
        <w:pStyle w:val="Heading6"/>
        <w:numPr>
          <w:ilvl w:val="5"/>
          <w:numId w:val="1"/>
        </w:numPr>
        <w:rPr/>
      </w:pPr>
      <w:bookmarkStart w:id="473" w:name="__RefHeading___Toc9587606_73709187"/>
      <w:bookmarkStart w:id="474" w:name="_Toc177"/>
      <w:bookmarkEnd w:id="473"/>
      <w:r>
        <w:rPr>
          <w:rtl w:val="true"/>
        </w:rPr>
        <w:t>التحقیق فی الفقه المنسوب إلی الرضا علیه السلام</w:t>
      </w:r>
      <w:bookmarkEnd w:id="474"/>
    </w:p>
    <w:p>
      <w:pPr>
        <w:pStyle w:val="BookText"/>
        <w:rPr/>
      </w:pPr>
      <w:r>
        <w:rPr>
          <w:rFonts w:ascii="IRNazanin" w:hAnsi="IRNazanin" w:eastAsia="IRNazanin"/>
          <w:color w:val="111111"/>
          <w:sz w:val="28"/>
          <w:sz w:val="28"/>
          <w:szCs w:val="28"/>
          <w:rtl w:val="true"/>
          <w:lang w:bidi="fa-IR"/>
        </w:rPr>
        <w:t>و حیث انتهی البحث إلی هنا فلا بأس أن نتکلّم فی اعتبار الفقه المنسوب إلی الإمام الرضا علیه السلام علی نحو الإجمال، و هذا و إن کان خارجاً عن موضوع الموسوعة، و لکن فائدته لا تخفی علی القارئ کما ستأتی الإشارة إلیه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کتب الأخبار المشهورة فی تلک الأعصار المتأخّرة کتاب الفقه المنسوب إلی الإمام الرضا علیه السلام و هو غیر منصوص علیه فی کلام قدماء الأصحاب، و إنّما وقف علیه الأصحاب فی عصر المجلسیّین، و اختلفوا فی صحّته و اعتباره غایة الاختلاف، فمنهم من صحّحه و جعله حجّة،</w:t>
      </w:r>
    </w:p>
    <w:p>
      <w:pPr>
        <w:pStyle w:val="BookText"/>
        <w:rPr/>
      </w:pPr>
      <w:r>
        <w:rPr>
          <w:rFonts w:ascii="IRNazanin" w:hAnsi="IRNazanin" w:eastAsia="IRNazanin"/>
          <w:color w:val="111111"/>
          <w:sz w:val="28"/>
          <w:sz w:val="28"/>
          <w:szCs w:val="28"/>
          <w:rtl w:val="true"/>
          <w:lang w:bidi="fa-IR"/>
        </w:rPr>
        <w:t>و منهم من عدّه من الأخبار الضعاف، و منهم من أخرجه من صنوف الأخبار و أدرجه فی مؤلّفات أصحابنا الأخیار، و لا مجال لذکر هذه الأقوال و أدلّتها بالتفصیل، و نشیر إلی بعض أدلّة اعتباره إجمالاً،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الکتاب إمّا للإمام علیه السلام تألیفاً أو إملاء، و إمّا من مؤلّفات بعض الأصحاب، أو من الأخبار الموضوعة أو المظنون وضعها، و إذا تبیّن بطلان الأخیرین فتعیّن الأوّل</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بطلان کونه من مؤلّفات بعض الأصحاب فهو إنّ فی الکتاب ما لا ینبغی صدوره إلّا من المعصومین علیهم السلام و ما هو کالصریح فی أنّه من الإمام الرضا علیه السلام، و هو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أوّل الکتاب،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عبد اللّه علیّ بن موسی الرضا، 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فی أواخره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نداوم به نحن معاشر أهل البیت</w:t>
      </w:r>
      <w:r>
        <w:rPr>
          <w:rFonts w:eastAsia="IRNazanin" w:cs="IRNazanin"/>
          <w:color w:val="111111"/>
          <w:sz w:val="28"/>
          <w:szCs w:val="28"/>
          <w:rtl w:val="true"/>
          <w:lang w:bidi="fa-IR"/>
        </w:rPr>
        <w:t>...»</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باب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w:t>
      </w:r>
    </w:p>
    <w:p>
      <w:pPr>
        <w:pStyle w:val="BookText"/>
        <w:rPr/>
      </w:pPr>
      <w:r>
        <w:rPr>
          <w:rFonts w:ascii="Amiri" w:hAnsi="Amiri" w:eastAsia="Amiri" w:cs="Amiri"/>
          <w:color w:val="111111"/>
          <w:sz w:val="28"/>
          <w:sz w:val="28"/>
          <w:szCs w:val="28"/>
          <w:rtl w:val="true"/>
          <w:lang w:bidi="ar-SA"/>
        </w:rPr>
        <w:t>مِنْ شَیْ‌ءٍ فَأَنَّ لِلّهِ خُمُسَهُ وَ لِلرَّسُولِ وَ لِذِی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إلی آخر الآیة، امتناناً منه و رحمةً</w:t>
      </w:r>
      <w:r>
        <w:rPr>
          <w:rFonts w:eastAsia="Amiri" w:cs="Amiri" w:ascii="Amiri" w:hAnsi="Amiri"/>
          <w:color w:val="111111"/>
          <w:sz w:val="28"/>
          <w:szCs w:val="28"/>
          <w:rtl w:val="true"/>
          <w:lang w:bidi="ar-SA"/>
        </w:rPr>
        <w:t>»</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الاغتسال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لیلة تسعة عشر هی اللیلة الّتی ضُرِب فیها جدّنا أمیر المؤمنین صلوات اللّه علیه، و یستحبُّ فیها الغسل</w:t>
      </w:r>
      <w:r>
        <w:rPr>
          <w:rFonts w:eastAsia="IRNazanin" w:cs="IRNazanin"/>
          <w:color w:val="111111"/>
          <w:sz w:val="28"/>
          <w:szCs w:val="28"/>
          <w:rtl w:val="true"/>
          <w:lang w:bidi="fa-IR"/>
        </w:rPr>
        <w:t>»</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أبی العالم علیه السلام فی تقدیم الزکاة و تأخیرها أربعة أشهر أو ستّة أشهر</w:t>
      </w:r>
      <w:r>
        <w:rPr>
          <w:rFonts w:eastAsia="IRNazanin" w:cs="IRNazanin"/>
          <w:color w:val="111111"/>
          <w:sz w:val="28"/>
          <w:szCs w:val="28"/>
          <w:rtl w:val="true"/>
          <w:lang w:bidi="fa-IR"/>
        </w:rPr>
        <w:t>»</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الربا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أمرنی أبی ففعلت مثل هذا</w:t>
      </w:r>
      <w:r>
        <w:rPr>
          <w:rFonts w:eastAsia="IRNazanin" w:cs="IRNazanin"/>
          <w:color w:val="111111"/>
          <w:sz w:val="28"/>
          <w:szCs w:val="28"/>
          <w:rtl w:val="true"/>
          <w:lang w:bidi="fa-IR"/>
        </w:rPr>
        <w:t>»</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جدّی، عن أبیه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علیّ بن الحسین علیهما السلام یمشی و لا یرمل</w:t>
      </w:r>
      <w:r>
        <w:rPr>
          <w:rFonts w:eastAsia="IRNazanin" w:cs="IRNazanin"/>
          <w:color w:val="111111"/>
          <w:sz w:val="28"/>
          <w:szCs w:val="28"/>
          <w:rtl w:val="true"/>
          <w:lang w:bidi="fa-IR"/>
        </w:rPr>
        <w:t>»</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باب الآداب، و هو آخر الأبواب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أروی عن أبی عبد اللّه علیه السلام</w:t>
      </w:r>
      <w:r>
        <w:rPr>
          <w:rFonts w:eastAsia="IRNazanin" w:cs="IRNazanin"/>
          <w:color w:val="111111"/>
          <w:sz w:val="28"/>
          <w:szCs w:val="28"/>
          <w:rtl w:val="true"/>
          <w:lang w:bidi="fa-IR"/>
        </w:rPr>
        <w:t>»</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کثیر من موارد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العالم، أو أروی عن العالم، أو قال العالم، و العالم من ألقاب الکاظم علیه السلام فی ألسنة المحدّثین و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کونه موضوعاً فبعید غایة البعد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إمّا للإمام أو شیء موضوع علیه، و احتمال</w:t>
      </w:r>
    </w:p>
    <w:p>
      <w:pPr>
        <w:pStyle w:val="BookText"/>
        <w:rPr/>
      </w:pPr>
      <w:r>
        <w:rPr>
          <w:rFonts w:ascii="IRNazanin" w:hAnsi="IRNazanin" w:eastAsia="IRNazanin"/>
          <w:color w:val="111111"/>
          <w:sz w:val="28"/>
          <w:sz w:val="28"/>
          <w:szCs w:val="28"/>
          <w:rtl w:val="true"/>
          <w:lang w:bidi="fa-IR"/>
        </w:rPr>
        <w:t>الوضع فیه بعید؛ لما یلوح من هذا الکتاب من حقیقة الحقّ، و رواء الصدق؛ و لأنّ ما اشتمل علیه من الاُصول و الفروع و الأخلاق مطابق لمذهب الإمامیّة و ما صحّ من الأئمّة، و لا داعی للوضع فی مثله، فإنّ غرض الواضعین تزییف الحقّ و ترویج الباطل، و الغالب وقوعه من الغلاة و المفوّضة، و الکتاب خال عمّا یوهم ذلک</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الوحید البهبهانی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الرضوی، و هو من الکتب الّتی عند الصدوق صحیحة و حجّة بینه و بین اللّه کما لا یخفی علی المطّلع بفتاویه فی الفقیه، و کذا المفید فی المقنعة، فإنّها کثیراً من عبارة فقه الرضا، و الأصحاب أیضاً یعملون بما فیه</w:t>
      </w:r>
      <w:r>
        <w:rPr>
          <w:rFonts w:eastAsia="IRNazanin" w:cs="IRNazanin"/>
          <w:color w:val="111111"/>
          <w:sz w:val="28"/>
          <w:szCs w:val="28"/>
          <w:rtl w:val="true"/>
          <w:lang w:bidi="fa-IR"/>
        </w:rPr>
        <w:t>»</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منهما کلمات الفاضلین المجلسیّین</w:t>
      </w:r>
      <w:r>
        <w:rPr>
          <w:rStyle w:val="FootnoteAnchor"/>
          <w:rtl w:val="true"/>
        </w:rPr>
        <w:footnoteReference w:id="1623"/>
      </w:r>
      <w:r>
        <w:rPr>
          <w:rFonts w:ascii="IRNazanin" w:hAnsi="IRNazanin" w:eastAsia="IRNazanin"/>
          <w:color w:val="111111"/>
          <w:sz w:val="28"/>
          <w:sz w:val="28"/>
          <w:szCs w:val="28"/>
          <w:rtl w:val="true"/>
          <w:lang w:bidi="fa-IR"/>
        </w:rPr>
        <w:t>، و الفاضل الأصفهانی</w:t>
      </w:r>
      <w:r>
        <w:rPr>
          <w:rStyle w:val="FootnoteAnchor"/>
          <w:rtl w:val="true"/>
        </w:rPr>
        <w:footnoteReference w:id="1624"/>
      </w:r>
    </w:p>
    <w:p>
      <w:pPr>
        <w:pStyle w:val="BookText"/>
        <w:rPr/>
      </w:pPr>
      <w:r>
        <w:rPr>
          <w:rFonts w:ascii="IRNazanin" w:hAnsi="IRNazanin" w:eastAsia="IRNazanin"/>
          <w:color w:val="111111"/>
          <w:sz w:val="28"/>
          <w:sz w:val="28"/>
          <w:szCs w:val="28"/>
          <w:rtl w:val="true"/>
          <w:lang w:bidi="fa-IR"/>
        </w:rPr>
        <w:t>و المحدّث البحرانی</w:t>
      </w:r>
      <w:r>
        <w:rPr>
          <w:rStyle w:val="FootnoteAnchor"/>
          <w:rtl w:val="true"/>
        </w:rPr>
        <w:footnoteReference w:id="1625"/>
      </w:r>
      <w:r>
        <w:rPr>
          <w:rFonts w:ascii="IRNazanin" w:hAnsi="IRNazanin" w:eastAsia="IRNazanin"/>
          <w:color w:val="111111"/>
          <w:sz w:val="28"/>
          <w:sz w:val="28"/>
          <w:szCs w:val="28"/>
          <w:rtl w:val="true"/>
          <w:lang w:bidi="fa-IR"/>
        </w:rPr>
        <w:t>و السیّد صاحب الریاض</w:t>
      </w:r>
      <w:r>
        <w:rPr>
          <w:rStyle w:val="FootnoteAnchor"/>
          <w:rtl w:val="true"/>
        </w:rPr>
        <w:footnoteReference w:id="1626"/>
      </w:r>
      <w:r>
        <w:rPr>
          <w:rFonts w:ascii="IRNazanin" w:hAnsi="IRNazanin" w:eastAsia="IRNazanin"/>
          <w:color w:val="111111"/>
          <w:sz w:val="28"/>
          <w:sz w:val="28"/>
          <w:szCs w:val="28"/>
          <w:rtl w:val="true"/>
          <w:lang w:bidi="fa-IR"/>
        </w:rPr>
        <w:t>و الفاضلین النراقیّین</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و المحقّق القمّی</w:t>
      </w:r>
      <w:r>
        <w:rPr>
          <w:rStyle w:val="FootnoteAnchor"/>
          <w:rtl w:val="true"/>
        </w:rPr>
        <w:footnoteReference w:id="1628"/>
      </w:r>
      <w:r>
        <w:rPr>
          <w:rFonts w:ascii="IRNazanin" w:hAnsi="IRNazanin" w:eastAsia="IRNazanin"/>
          <w:color w:val="111111"/>
          <w:sz w:val="28"/>
          <w:sz w:val="28"/>
          <w:szCs w:val="28"/>
          <w:rtl w:val="true"/>
          <w:lang w:bidi="fa-IR"/>
        </w:rPr>
        <w:t>و غیرهم</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فالأقرب أنّ التأمّل فی الأحکام المذکورة فی کتاب فقه الرضا علیه السلام و إمعان النظر فی تضاعیف أبوابه و سیاق عباراته یکشف أنّه لیس</w:t>
      </w:r>
    </w:p>
    <w:p>
      <w:pPr>
        <w:pStyle w:val="BookText"/>
        <w:rPr/>
      </w:pPr>
      <w:r>
        <w:rPr>
          <w:rFonts w:ascii="IRNazanin" w:hAnsi="IRNazanin" w:eastAsia="IRNazanin"/>
          <w:color w:val="111111"/>
          <w:sz w:val="28"/>
          <w:sz w:val="28"/>
          <w:szCs w:val="28"/>
          <w:rtl w:val="true"/>
          <w:lang w:bidi="fa-IR"/>
        </w:rPr>
        <w:t>من المجعولات، و لیس من قبیل کتب الکذّابة و الغالین الذین یصنّفون الکتب لتخریب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هذا الکتاب مندرج تحت کتب الأحادیث و الأخبار؛ لصدق حدّ الحدیث و الخبر علیه، و هو ما یحکی قول المعصوم أو فعله أو تقریره، و یحتمل الصدق، و لا یعلم کذبه أو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فائدته حینئذٍ لمن یعمل بمطلق الأخبار، و کذلک ینجبر ضعف السند بعمل الأصحاب، و یعمل به فی الآداب و السنن و المکروهات، فیتسامح فیها، و نحوها ممّا هو شأن الأخبار الضعیفة الّتی لیست بأنفسها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الولد فی بطن الاُمّ و هی حیّة یجب إخراجه حفظاً لحیاة الاُمّ، فإن أمکن إخراجه سالماً یجب ذلک، و إن لم یمکن إلّا بالتقطیع وجب، مع رعایة الأیسر فالأیسر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إخراجه أوّلاً علی النساء، و مع عدمهنّ أو تعذّرهنّ یجب علی الرجال المحارم، و الزّوج مقدّم حینئذ، و مع عدم المحارم یتولّی ذلک غیرهم</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هذا أیضاً حکم العقل و الإجماع</w:t>
      </w:r>
      <w:r>
        <w:rPr>
          <w:rStyle w:val="FootnoteAnchor"/>
          <w:rtl w:val="true"/>
        </w:rPr>
        <w:footnoteReference w:id="1631"/>
      </w:r>
      <w:r>
        <w:rPr>
          <w:rFonts w:ascii="IRNazanin" w:hAnsi="IRNazanin" w:eastAsia="IRNazanin"/>
          <w:color w:val="111111"/>
          <w:sz w:val="28"/>
          <w:sz w:val="28"/>
          <w:szCs w:val="28"/>
          <w:rtl w:val="true"/>
          <w:lang w:bidi="fa-IR"/>
        </w:rPr>
        <w:t>الذی ادّعاه الشیخ، و کذا بعض النصوص، مثل ما رواه وهب بن وهب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ماتت المرأة و فی بطنها ولد یتحرّک یشقّ بطنها، و یخرج الولد،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یموت فی بطنها الولد، فیتخوّف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w:t>
      </w:r>
    </w:p>
    <w:p>
      <w:pPr>
        <w:pStyle w:val="BookText"/>
        <w:rPr/>
      </w:pPr>
      <w:r>
        <w:rPr>
          <w:rFonts w:ascii="IRNazanin" w:hAnsi="IRNazanin" w:eastAsia="IRNazanin"/>
          <w:color w:val="111111"/>
          <w:sz w:val="28"/>
          <w:sz w:val="28"/>
          <w:szCs w:val="28"/>
          <w:rtl w:val="true"/>
          <w:lang w:bidi="fa-IR"/>
        </w:rPr>
        <w:t>یدخل الرجل یده، فیقطعه و یخرجه</w:t>
      </w:r>
      <w:r>
        <w:rPr>
          <w:rFonts w:eastAsia="IRNazanin" w:cs="IRNazanin"/>
          <w:color w:val="111111"/>
          <w:sz w:val="28"/>
          <w:szCs w:val="28"/>
          <w:rtl w:val="true"/>
          <w:lang w:bidi="fa-IR"/>
        </w:rPr>
        <w:t>»</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فقه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مات الولد فی جوفها و لم یخرج أدخل إنسان یده فی فرجها، و قطع الولد بیده و أخرجه</w:t>
      </w:r>
      <w:r>
        <w:rPr>
          <w:rFonts w:eastAsia="IRNazanin" w:cs="IRNazanin"/>
          <w:color w:val="111111"/>
          <w:sz w:val="28"/>
          <w:szCs w:val="28"/>
          <w:rtl w:val="true"/>
          <w:lang w:bidi="fa-IR"/>
        </w:rPr>
        <w:t>»</w:t>
      </w:r>
      <w:r>
        <w:rPr>
          <w:rStyle w:val="FootnoteAnchor"/>
          <w:rtl w:val="true"/>
        </w:rPr>
        <w:footnoteReference w:id="1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سندهما منجبر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اتّفاق الفقهاء فی الحکم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یعرف من أحد التوقّف فی هذا الحکم</w:t>
      </w:r>
      <w:r>
        <w:rPr>
          <w:rFonts w:eastAsia="IRNazanin" w:cs="IRNazanin"/>
          <w:color w:val="111111"/>
          <w:sz w:val="28"/>
          <w:szCs w:val="28"/>
          <w:rtl w:val="true"/>
          <w:lang w:bidi="fa-IR"/>
        </w:rPr>
        <w:t>»</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ماتت المرأة و مات الولد معها فی بطنها دفن معها، فإن کانت ذمّیّة دفنت فی مقابر المسلمین؛ لحرمة ولدها، و جعل ظهرها إلی القبلة؛ لیکون وجه الولد إلی القبلة إذا کان من مسلم</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هذا الحکم أیضاً موضع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لحرمة ولدها؛ لأنّه یلحق بأبیه فی الإسلام، فیلحقه فی الدفن، و شقّ بطن الاُمّ لإخراجه هتک لحرمة المیّت و إن کان ذمیّاً لغرض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 ظهرها إلی القبلة فی القبر لیکون الجنین مستقبلاً لها؛ لأنّه متوجّه إلی ظهر امّه</w:t>
      </w:r>
      <w:r>
        <w:rPr>
          <w:rFonts w:eastAsia="IRNazanin" w:cs="IRNazanin"/>
          <w:color w:val="111111"/>
          <w:sz w:val="28"/>
          <w:szCs w:val="28"/>
          <w:rtl w:val="true"/>
          <w:lang w:bidi="fa-IR"/>
        </w:rPr>
        <w:t>»</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ما رواه فی التهذیب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الرجل یکون له الجاریة الیهودیّة و النصرانیّة، فیواقعها فتحمل، ثمّ یدعوها إلی أن تسلم، فتأبی علیه، فدنا ولادتها، فماتت و هی تطلق و الولد فی بطنها و مات</w:t>
      </w:r>
    </w:p>
    <w:p>
      <w:pPr>
        <w:pStyle w:val="BookText"/>
        <w:rPr/>
      </w:pPr>
      <w:r>
        <w:rPr>
          <w:rFonts w:ascii="IRNazanin" w:hAnsi="IRNazanin" w:eastAsia="IRNazanin"/>
          <w:color w:val="111111"/>
          <w:sz w:val="28"/>
          <w:sz w:val="28"/>
          <w:szCs w:val="28"/>
          <w:rtl w:val="true"/>
          <w:lang w:bidi="fa-IR"/>
        </w:rPr>
        <w:t xml:space="preserve">الولد، أ یدفن معها علی النصرانیّة أو یخرج منها و یدفن علی فطرة الإسلام؟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یدفن معها</w:t>
      </w:r>
      <w:r>
        <w:rPr>
          <w:rFonts w:eastAsia="IRNazanin" w:cs="IRNazanin"/>
          <w:color w:val="111111"/>
          <w:sz w:val="28"/>
          <w:szCs w:val="28"/>
          <w:rtl w:val="true"/>
          <w:lang w:bidi="fa-IR"/>
        </w:rPr>
        <w:t>»</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استشکل فی المعتبر بأنّ الخبر ضعیف سنداً و دلالة،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الوجه أنّ الولد لمّا کان محکوماً له بأحکام المسلمین لم یجز دفنه فی مقابر أهل الذمّة، و إخراجه مع موتهما غیر جائز، فتعیّن دفنها معه</w:t>
      </w:r>
      <w:r>
        <w:rPr>
          <w:rFonts w:eastAsia="IRNazanin" w:cs="IRNazanin"/>
          <w:color w:val="111111"/>
          <w:sz w:val="28"/>
          <w:szCs w:val="28"/>
          <w:rtl w:val="true"/>
          <w:lang w:bidi="fa-IR"/>
        </w:rPr>
        <w:t>»</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القول مشهور، بل علیه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الحجّة لا الروایة</w:t>
      </w:r>
      <w:r>
        <w:rPr>
          <w:rFonts w:eastAsia="IRNazanin" w:cs="IRNazanin"/>
          <w:color w:val="111111"/>
          <w:sz w:val="28"/>
          <w:szCs w:val="28"/>
          <w:rtl w:val="true"/>
          <w:lang w:bidi="fa-IR"/>
        </w:rPr>
        <w:t>»</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إجزاء تغسیل الصبیّ للمیّت</w:t>
      </w:r>
    </w:p>
    <w:p>
      <w:pPr>
        <w:pStyle w:val="BookText"/>
        <w:rPr/>
      </w:pPr>
      <w:r>
        <w:rPr>
          <w:rFonts w:ascii="IRNazanin" w:hAnsi="IRNazanin" w:eastAsia="IRNazanin"/>
          <w:color w:val="111111"/>
          <w:sz w:val="28"/>
          <w:sz w:val="28"/>
          <w:szCs w:val="28"/>
          <w:rtl w:val="true"/>
          <w:lang w:bidi="fa-IR"/>
        </w:rPr>
        <w:t>جاء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إذا غسل المیّت، فإن کان ممیّزاً فالوجه الجواز؛ لأنّه تصحّ طهارته فصحّ أن یطهّر غیره کالکبیر، و یحتمل المنع؛ لأنّه لیس من أهل التکلیف</w:t>
      </w:r>
      <w:r>
        <w:rPr>
          <w:rFonts w:eastAsia="IRNazanin" w:cs="IRNazanin"/>
          <w:color w:val="111111"/>
          <w:sz w:val="28"/>
          <w:szCs w:val="28"/>
          <w:rtl w:val="true"/>
          <w:lang w:bidi="fa-IR"/>
        </w:rPr>
        <w:t>»</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الممیّز صالح لتغسیل المیّت؛ لصحّة طهارته، و أمره بالعبادة، و یمکن المنع؛ لأنّ فعله تمرین، و النیّة معتبرة</w:t>
      </w:r>
      <w:r>
        <w:rPr>
          <w:rFonts w:eastAsia="IRNazanin" w:cs="IRNazanin"/>
          <w:color w:val="111111"/>
          <w:sz w:val="28"/>
          <w:szCs w:val="28"/>
          <w:rtl w:val="true"/>
          <w:lang w:bidi="fa-IR"/>
        </w:rPr>
        <w:t>»</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 بالمنع فی الدروس</w:t>
      </w:r>
      <w:r>
        <w:rPr>
          <w:rStyle w:val="FootnoteAnchor"/>
          <w:rtl w:val="true"/>
        </w:rPr>
        <w:footnoteReference w:id="1642"/>
      </w:r>
      <w:r>
        <w:rPr>
          <w:rFonts w:ascii="IRNazanin" w:hAnsi="IRNazanin" w:eastAsia="IRNazanin"/>
          <w:color w:val="111111"/>
          <w:sz w:val="28"/>
          <w:sz w:val="28"/>
          <w:szCs w:val="28"/>
          <w:rtl w:val="true"/>
          <w:lang w:bidi="fa-IR"/>
        </w:rPr>
        <w:t>، و کذا فی کشف الغطاء</w:t>
      </w:r>
      <w:r>
        <w:rPr>
          <w:rStyle w:val="FootnoteAnchor"/>
          <w:rtl w:val="true"/>
        </w:rPr>
        <w:footnoteReference w:id="1643"/>
      </w:r>
      <w:r>
        <w:rPr>
          <w:rFonts w:ascii="IRNazanin" w:hAnsi="IRNazanin" w:eastAsia="IRNazanin"/>
          <w:color w:val="111111"/>
          <w:sz w:val="28"/>
          <w:sz w:val="28"/>
          <w:szCs w:val="28"/>
          <w:rtl w:val="true"/>
          <w:lang w:bidi="fa-IR"/>
        </w:rPr>
        <w:t>و المستند</w:t>
      </w:r>
      <w:r>
        <w:rPr>
          <w:rStyle w:val="FootnoteAnchor"/>
          <w:rtl w:val="true"/>
        </w:rPr>
        <w:footnoteReference w:id="16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احتاط فی العروة، و کذا بعض الأعلام الذین علّقوا علیها</w:t>
      </w:r>
      <w:r>
        <w:rPr>
          <w:rStyle w:val="FootnoteAnchor"/>
          <w:rtl w:val="true"/>
        </w:rPr>
        <w:footnoteReference w:id="1645"/>
      </w:r>
      <w:r>
        <w:rPr>
          <w:rFonts w:ascii="IRNazanin" w:hAnsi="IRNazanin" w:eastAsia="IRNazanin"/>
          <w:color w:val="111111"/>
          <w:sz w:val="28"/>
          <w:sz w:val="28"/>
          <w:szCs w:val="28"/>
          <w:rtl w:val="true"/>
          <w:lang w:bidi="fa-IR"/>
        </w:rPr>
        <w:t>، و احتاط أیضاً فی تحریر الوسیلة</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الممیّز ففی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غسل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قولان، و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الصحّة و لو قلنا بشرعیّة عباداته و صحّتها؛ لعدم وجوبه علیه، فصحّته منه و سقوطه عمّن یجب علیه یحتاج إلی الأمر، إلّا أن یکتفی بما ورد من محبوبیّة هذا الفعل و کثرة الثواب فیه، و أنّ من غسّل مؤمناً فله کذا، و غیر ذلک، و التمسّک بها لا یخلو عن تأمّل</w:t>
      </w:r>
      <w:r>
        <w:rPr>
          <w:rFonts w:eastAsia="IRNazanin" w:cs="IRNazanin"/>
          <w:color w:val="111111"/>
          <w:sz w:val="28"/>
          <w:szCs w:val="28"/>
          <w:rtl w:val="true"/>
          <w:lang w:bidi="fa-IR"/>
        </w:rPr>
        <w:t>»</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 أنّ مسقطیة عمل غیر البالغ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شرعیّاً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البالغ یحتاج إلی دلیل، و لیس فی المقام دلیل؛ لأنّ الأمر بتغسیل المیّت خاصّ بالمکلّفین، و الصبیان خارجون عن دائرة التکلیف، و مقتضی إطلاق الأمر فی المکلّفین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تقییده بما إذا لم یغسّل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سقوطه عنهم بتغسیل غیر المکلّفین</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العراقی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کفایة الصبیّ الممیّز عن فعل الغیر حتّی علی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إشکال؛ للشکّ فی وفائه بالغرض المأمور بتحصیله البالغون کفایة</w:t>
      </w:r>
      <w:r>
        <w:rPr>
          <w:rFonts w:eastAsia="IRNazanin" w:cs="IRNazanin"/>
          <w:color w:val="111111"/>
          <w:sz w:val="28"/>
          <w:szCs w:val="28"/>
          <w:rtl w:val="true"/>
          <w:lang w:bidi="fa-IR"/>
        </w:rPr>
        <w:t>»</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bookmarkStart w:id="475" w:name="pg11755_254857"/>
    </w:p>
    <w:p>
      <w:pPr>
        <w:pStyle w:val="Heading4"/>
        <w:numPr>
          <w:ilvl w:val="3"/>
          <w:numId w:val="1"/>
        </w:numPr>
        <w:rPr/>
      </w:pPr>
      <w:bookmarkStart w:id="476" w:name="__RefHeading___Toc9587608_73709187"/>
      <w:bookmarkStart w:id="477" w:name="_Toc178"/>
      <w:bookmarkEnd w:id="475"/>
      <w:bookmarkEnd w:id="476"/>
      <w:r>
        <w:rPr>
          <w:rtl w:val="true"/>
        </w:rPr>
        <w:t>المبحث الثالث</w:t>
      </w:r>
      <w:r>
        <w:rPr>
          <w:rtl w:val="true"/>
        </w:rPr>
        <w:t xml:space="preserve">: </w:t>
      </w:r>
      <w:r>
        <w:rPr>
          <w:rtl w:val="true"/>
        </w:rPr>
        <w:t>حکم المماثلة فی الغاسل بالنسبة إلی الطفل المیّت</w:t>
      </w:r>
      <w:bookmarkEnd w:id="477"/>
    </w:p>
    <w:p>
      <w:pPr>
        <w:pStyle w:val="Heading5"/>
        <w:numPr>
          <w:ilvl w:val="4"/>
          <w:numId w:val="1"/>
        </w:numPr>
        <w:rPr/>
      </w:pPr>
      <w:bookmarkStart w:id="478" w:name="__RefHeading___Toc9587610_73709187"/>
      <w:bookmarkStart w:id="479" w:name="_Toc179"/>
      <w:bookmarkEnd w:id="478"/>
      <w:r>
        <w:rPr>
          <w:rtl w:val="true"/>
        </w:rPr>
        <w:t>اشارة</w:t>
      </w:r>
      <w:bookmarkEnd w:id="479"/>
    </w:p>
    <w:p>
      <w:pPr>
        <w:pStyle w:val="BookText"/>
        <w:rPr/>
      </w:pPr>
      <w:r>
        <w:rPr>
          <w:rFonts w:ascii="IRNazanin" w:hAnsi="IRNazanin" w:eastAsia="IRNazanin"/>
          <w:color w:val="111111"/>
          <w:sz w:val="28"/>
          <w:sz w:val="28"/>
          <w:szCs w:val="28"/>
          <w:rtl w:val="true"/>
          <w:lang w:bidi="fa-IR"/>
        </w:rPr>
        <w:t>لا خلاف بین الأصحاب فی اشتراط المماثلة فی الذکورة و الاُنوثة بین الغاسل و المیّت مع الاختیار، فلا یجوز تغسیل الرجل للمرأة و بالعکس، و لکن استثنی فی ذلک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بالبحث فی المقام ما استثناه أکثر الأصحاب، و هو تغسیل الرجل بنت ثلاث سنین، و المرأة ابن ثلاث سنین، فیقع الکلام فی مقامین</w:t>
      </w:r>
      <w:r>
        <w:rPr>
          <w:rFonts w:eastAsia="IRNazanin" w:cs="IRNazanin"/>
          <w:color w:val="111111"/>
          <w:sz w:val="28"/>
          <w:szCs w:val="28"/>
          <w:rtl w:val="true"/>
          <w:lang w:bidi="fa-IR"/>
        </w:rPr>
        <w:t>:</w:t>
      </w:r>
    </w:p>
    <w:p>
      <w:pPr>
        <w:pStyle w:val="Heading5"/>
        <w:numPr>
          <w:ilvl w:val="4"/>
          <w:numId w:val="1"/>
        </w:numPr>
        <w:rPr/>
      </w:pPr>
      <w:bookmarkStart w:id="480" w:name="__RefHeading___Toc9587612_73709187"/>
      <w:bookmarkStart w:id="481" w:name="_Toc180"/>
      <w:bookmarkEnd w:id="480"/>
      <w:r>
        <w:rPr>
          <w:rtl w:val="true"/>
        </w:rPr>
        <w:t>المقام الأوّل</w:t>
      </w:r>
      <w:r>
        <w:rPr>
          <w:rtl w:val="true"/>
        </w:rPr>
        <w:t xml:space="preserve">: </w:t>
      </w:r>
      <w:r>
        <w:rPr>
          <w:rtl w:val="true"/>
        </w:rPr>
        <w:t>تغسیل الرجل بنت ثلاث سنین</w:t>
      </w:r>
      <w:bookmarkEnd w:id="481"/>
    </w:p>
    <w:p>
      <w:pPr>
        <w:pStyle w:val="Heading6"/>
        <w:numPr>
          <w:ilvl w:val="5"/>
          <w:numId w:val="1"/>
        </w:numPr>
        <w:rPr/>
      </w:pPr>
      <w:bookmarkStart w:id="482" w:name="__RefHeading___Toc9587614_73709187"/>
      <w:bookmarkStart w:id="483" w:name="_Toc181"/>
      <w:bookmarkEnd w:id="482"/>
      <w:r>
        <w:rPr>
          <w:rtl w:val="true"/>
        </w:rPr>
        <w:t>اشارة</w:t>
      </w:r>
      <w:bookmarkEnd w:id="483"/>
    </w:p>
    <w:p>
      <w:pPr>
        <w:pStyle w:val="BookText"/>
        <w:rPr/>
      </w:pPr>
      <w:r>
        <w:rPr>
          <w:rFonts w:ascii="IRNazanin" w:hAnsi="IRNazanin" w:eastAsia="IRNazanin"/>
          <w:color w:val="111111"/>
          <w:sz w:val="28"/>
          <w:sz w:val="28"/>
          <w:szCs w:val="28"/>
          <w:rtl w:val="true"/>
          <w:lang w:bidi="fa-IR"/>
        </w:rPr>
        <w:t xml:space="preserve">الظاهر أنّه لا خلاف بین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ثبت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یجوز للرجل تغسیل بنت ثلاث سنین و أقلّ منها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ماتت صبیّة بین رجال لیس لها فیهم محرم و کانت ابنة أقلّ من ثلاث سنین جرّدوها و غسّلوها</w:t>
      </w:r>
      <w:r>
        <w:rPr>
          <w:rFonts w:eastAsia="IRNazanin" w:cs="IRNazanin"/>
          <w:color w:val="111111"/>
          <w:sz w:val="28"/>
          <w:szCs w:val="28"/>
          <w:rtl w:val="true"/>
          <w:lang w:bidi="fa-IR"/>
        </w:rPr>
        <w:t>»</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bookmarkStart w:id="484" w:name="pg11755_254859"/>
    </w:p>
    <w:p>
      <w:pPr>
        <w:pStyle w:val="BookText"/>
        <w:rPr/>
      </w:pPr>
      <w:bookmarkEnd w:id="484"/>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صبیّة لها ثلاث سنین أو دونها جاز للرجال تغسیلها عند عدم النساء، فإن زادت علی ذلک لم یجز ذلک علی حال</w:t>
      </w:r>
      <w:r>
        <w:rPr>
          <w:rFonts w:eastAsia="IRNazanin" w:cs="IRNazanin"/>
          <w:color w:val="111111"/>
          <w:sz w:val="28"/>
          <w:szCs w:val="28"/>
          <w:rtl w:val="true"/>
          <w:lang w:bidi="fa-IR"/>
        </w:rPr>
        <w:t>»</w:t>
      </w:r>
      <w:r>
        <w:rPr>
          <w:rStyle w:val="FootnoteAnchor"/>
          <w:rtl w:val="true"/>
        </w:rPr>
        <w:footnoteReference w:id="1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المبسوط‌</w:t>
      </w:r>
      <w:r>
        <w:rPr>
          <w:rStyle w:val="FootnoteAnchor"/>
          <w:rtl w:val="true"/>
        </w:rPr>
        <w:footnoteReference w:id="1652"/>
      </w:r>
      <w:r>
        <w:rPr>
          <w:rFonts w:ascii="IRNazanin" w:hAnsi="IRNazanin" w:eastAsia="IRNazanin"/>
          <w:color w:val="111111"/>
          <w:sz w:val="28"/>
          <w:sz w:val="28"/>
          <w:szCs w:val="28"/>
          <w:rtl w:val="true"/>
          <w:lang w:bidi="fa-IR"/>
        </w:rPr>
        <w:t>و السرائر</w:t>
      </w:r>
      <w:r>
        <w:rPr>
          <w:rStyle w:val="FootnoteAnchor"/>
          <w:rtl w:val="true"/>
        </w:rPr>
        <w:footnoteReference w:id="1653"/>
      </w:r>
      <w:r>
        <w:rPr>
          <w:rFonts w:ascii="IRNazanin" w:hAnsi="IRNazanin" w:eastAsia="IRNazanin"/>
          <w:color w:val="111111"/>
          <w:sz w:val="28"/>
          <w:sz w:val="28"/>
          <w:szCs w:val="28"/>
          <w:rtl w:val="true"/>
          <w:lang w:bidi="fa-IR"/>
        </w:rPr>
        <w:t>، و به قال الفاضلان</w:t>
      </w:r>
      <w:r>
        <w:rPr>
          <w:rStyle w:val="FootnoteAnchor"/>
          <w:rtl w:val="true"/>
        </w:rPr>
        <w:footnoteReference w:id="1654"/>
      </w:r>
      <w:r>
        <w:rPr>
          <w:rFonts w:ascii="IRNazanin" w:hAnsi="IRNazanin" w:eastAsia="IRNazanin"/>
          <w:color w:val="111111"/>
          <w:sz w:val="28"/>
          <w:sz w:val="28"/>
          <w:szCs w:val="28"/>
          <w:rtl w:val="true"/>
          <w:lang w:bidi="fa-IR"/>
        </w:rPr>
        <w:t>و الشهیدان</w:t>
      </w:r>
      <w:r>
        <w:rPr>
          <w:rStyle w:val="FootnoteAnchor"/>
          <w:rtl w:val="true"/>
        </w:rPr>
        <w:footnoteReference w:id="1655"/>
      </w:r>
      <w:r>
        <w:rPr>
          <w:rFonts w:ascii="IRNazanin" w:hAnsi="IRNazanin" w:eastAsia="IRNazanin"/>
          <w:color w:val="111111"/>
          <w:sz w:val="28"/>
          <w:sz w:val="28"/>
          <w:szCs w:val="28"/>
          <w:rtl w:val="true"/>
          <w:lang w:bidi="fa-IR"/>
        </w:rPr>
        <w:t>و المحقّق الثانی</w:t>
      </w:r>
      <w:r>
        <w:rPr>
          <w:rStyle w:val="FootnoteAnchor"/>
          <w:rtl w:val="true"/>
        </w:rPr>
        <w:footnoteReference w:id="1656"/>
      </w:r>
      <w:r>
        <w:rPr>
          <w:rFonts w:ascii="IRNazanin" w:hAnsi="IRNazanin" w:eastAsia="IRNazanin"/>
          <w:color w:val="111111"/>
          <w:sz w:val="28"/>
          <w:sz w:val="28"/>
          <w:szCs w:val="28"/>
          <w:rtl w:val="true"/>
          <w:lang w:bidi="fa-IR"/>
        </w:rPr>
        <w:t>و جماعة من المتأخّرین</w:t>
      </w:r>
      <w:r>
        <w:rPr>
          <w:rStyle w:val="FootnoteAnchor"/>
          <w:rtl w:val="true"/>
        </w:rPr>
        <w:footnoteReference w:id="1657"/>
      </w:r>
      <w:r>
        <w:rPr>
          <w:rFonts w:ascii="Amiri" w:hAnsi="Amiri" w:eastAsia="Amiri" w:cs="Amiri"/>
          <w:color w:val="111111"/>
          <w:sz w:val="28"/>
          <w:sz w:val="28"/>
          <w:szCs w:val="28"/>
          <w:rtl w:val="true"/>
          <w:lang w:bidi="ar-SA"/>
        </w:rPr>
        <w:t>، و متأخِّریهم</w:t>
      </w:r>
      <w:r>
        <w:rPr>
          <w:rStyle w:val="FootnoteAnchor"/>
          <w:rtl w:val="true"/>
        </w:rPr>
        <w:footnoteReference w:id="1658"/>
      </w:r>
      <w:r>
        <w:rPr>
          <w:rFonts w:ascii="IRNazanin" w:hAnsi="IRNazanin" w:eastAsia="IRNazanin"/>
          <w:color w:val="111111"/>
          <w:sz w:val="28"/>
          <w:sz w:val="28"/>
          <w:szCs w:val="28"/>
          <w:rtl w:val="true"/>
          <w:lang w:bidi="fa-IR"/>
        </w:rPr>
        <w:t>، و أعلام العصر</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المماثلة بین المغسّل و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الطفل الذی لا یزید عمره من ثلاث سنین، فیجوز لکلّ من الرجل و المرأة تغسیل مخالفه و لو مع التجرّد</w:t>
      </w:r>
      <w:r>
        <w:rPr>
          <w:rFonts w:eastAsia="IRNazanin" w:cs="IRNazanin"/>
          <w:color w:val="111111"/>
          <w:sz w:val="28"/>
          <w:szCs w:val="28"/>
          <w:rtl w:val="true"/>
          <w:lang w:bidi="fa-IR"/>
        </w:rPr>
        <w:t>»</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5" w:name="__RefHeading___Toc9587616_73709187"/>
      <w:bookmarkStart w:id="486" w:name="_Toc182"/>
      <w:bookmarkEnd w:id="485"/>
      <w:r>
        <w:rPr>
          <w:rtl w:val="true"/>
        </w:rPr>
        <w:t>أدلّة جواز تغسیل الرجل بنت ثلاث فما دون</w:t>
      </w:r>
      <w:bookmarkEnd w:id="486"/>
    </w:p>
    <w:p>
      <w:pPr>
        <w:pStyle w:val="BookText"/>
        <w:rPr/>
      </w:pPr>
      <w:r>
        <w:rPr>
          <w:rFonts w:ascii="IRNazanin" w:hAnsi="IRNazanin" w:eastAsia="IRNazanin"/>
          <w:color w:val="111111"/>
          <w:sz w:val="28"/>
          <w:sz w:val="28"/>
          <w:szCs w:val="28"/>
          <w:rtl w:val="true"/>
          <w:lang w:bidi="fa-IR"/>
        </w:rPr>
        <w:t>و ما یمکن أن یستدلّ به فی المقام وجوه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ادّعاه فی التذکرة</w:t>
      </w:r>
      <w:r>
        <w:rPr>
          <w:rStyle w:val="FootnoteAnchor"/>
          <w:rtl w:val="true"/>
        </w:rPr>
        <w:footnoteReference w:id="1661"/>
      </w:r>
      <w:r>
        <w:rPr>
          <w:rFonts w:ascii="IRNazanin" w:hAnsi="IRNazanin" w:eastAsia="IRNazanin"/>
          <w:color w:val="111111"/>
          <w:sz w:val="28"/>
          <w:sz w:val="28"/>
          <w:szCs w:val="28"/>
          <w:rtl w:val="true"/>
          <w:lang w:bidi="fa-IR"/>
        </w:rPr>
        <w:t>و نهایة الإحکام</w:t>
      </w:r>
      <w:r>
        <w:rPr>
          <w:rStyle w:val="FootnoteAnchor"/>
          <w:rtl w:val="true"/>
        </w:rPr>
        <w:footnoteReference w:id="166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الروض</w:t>
      </w:r>
      <w:r>
        <w:rPr>
          <w:rStyle w:val="FootnoteAnchor"/>
          <w:rtl w:val="true"/>
        </w:rPr>
        <w:footnoteReference w:id="1663"/>
      </w:r>
      <w:r>
        <w:rPr>
          <w:rFonts w:ascii="IRNazanin" w:hAnsi="IRNazanin" w:eastAsia="IRNazanin"/>
          <w:color w:val="111111"/>
          <w:sz w:val="28"/>
          <w:sz w:val="28"/>
          <w:szCs w:val="28"/>
          <w:rtl w:val="true"/>
          <w:lang w:bidi="fa-IR"/>
        </w:rPr>
        <w:t>و الذخیرة</w:t>
      </w:r>
      <w:r>
        <w:rPr>
          <w:rStyle w:val="FootnoteAnchor"/>
          <w:rtl w:val="true"/>
        </w:rPr>
        <w:footnoteReference w:id="1664"/>
      </w:r>
      <w:r>
        <w:rPr>
          <w:rFonts w:ascii="IRNazanin" w:hAnsi="IRNazanin" w:eastAsia="IRNazanin"/>
          <w:color w:val="111111"/>
          <w:sz w:val="28"/>
          <w:sz w:val="28"/>
          <w:szCs w:val="28"/>
          <w:rtl w:val="true"/>
          <w:lang w:bidi="fa-IR"/>
        </w:rPr>
        <w:t>و الریاض،</w:t>
      </w:r>
      <w:r>
        <w:rPr>
          <w:rStyle w:val="FootnoteAnchor"/>
          <w:rtl w:val="true"/>
        </w:rPr>
        <w:footnoteReference w:id="1665"/>
      </w:r>
      <w:r>
        <w:rPr>
          <w:rFonts w:ascii="IRNazanin" w:hAnsi="IRNazanin" w:eastAsia="IRNazanin"/>
          <w:color w:val="111111"/>
          <w:sz w:val="28"/>
          <w:sz w:val="28"/>
          <w:szCs w:val="28"/>
          <w:rtl w:val="true"/>
          <w:lang w:bidi="fa-IR"/>
        </w:rPr>
        <w:t>و یشهد له التتبّع فی کلمات الأصحاب؛ إذ لم نجد فیه خلافاً إلّا ما یظهر من المحقّق فی المعتبر</w:t>
      </w:r>
      <w:r>
        <w:rPr>
          <w:rStyle w:val="FootnoteAnchor"/>
          <w:rtl w:val="true"/>
        </w:rPr>
        <w:footnoteReference w:id="1666"/>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البراءة عن اشتراط المماثلة من غیر معارض، کما فی کشف اللثام</w:t>
      </w:r>
      <w:r>
        <w:rPr>
          <w:rStyle w:val="FootnoteAnchor"/>
          <w:rtl w:val="true"/>
        </w:rPr>
        <w:footnoteReference w:id="1667"/>
      </w:r>
      <w:r>
        <w:rPr>
          <w:rFonts w:ascii="IRNazanin" w:hAnsi="IRNazanin" w:eastAsia="IRNazanin"/>
          <w:color w:val="111111"/>
          <w:sz w:val="28"/>
          <w:sz w:val="28"/>
          <w:szCs w:val="28"/>
          <w:rtl w:val="true"/>
          <w:lang w:bidi="fa-IR"/>
        </w:rPr>
        <w:t>و غیره</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إطلاقات الأدلّة الدالّة علی وجوب تغسیل المیّت، السلیمة عن المعارض، سیّما ما دلّ علی وجوب غسل المیّت من غیر تقیید للواجب علیه بشخص خاصّ، کقول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المیّت واجب</w:t>
      </w:r>
      <w:r>
        <w:rPr>
          <w:rFonts w:eastAsia="IRNazanin" w:cs="IRNazanin"/>
          <w:color w:val="111111"/>
          <w:sz w:val="28"/>
          <w:szCs w:val="28"/>
          <w:rtl w:val="true"/>
          <w:lang w:bidi="fa-IR"/>
        </w:rPr>
        <w:t>»</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دلّ علی الترغیب فی غسل المیّت،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غسّل میّتاً فأدّی فیه الأمانة غفر له</w:t>
      </w:r>
      <w:r>
        <w:rPr>
          <w:rFonts w:eastAsia="IRNazanin" w:cs="IRNazanin"/>
          <w:color w:val="111111"/>
          <w:sz w:val="28"/>
          <w:szCs w:val="28"/>
          <w:rtl w:val="true"/>
          <w:lang w:bidi="fa-IR"/>
        </w:rPr>
        <w:t>»</w:t>
      </w:r>
      <w:r>
        <w:rPr>
          <w:rStyle w:val="FootnoteAnchor"/>
          <w:rtl w:val="true"/>
        </w:rPr>
        <w:footnoteReference w:id="1670"/>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غسّلتم المیّت منکم فارفقوا به</w:t>
      </w:r>
      <w:r>
        <w:rPr>
          <w:rFonts w:eastAsia="IRNazanin" w:cs="IRNazanin"/>
          <w:color w:val="111111"/>
          <w:sz w:val="28"/>
          <w:szCs w:val="28"/>
          <w:rtl w:val="true"/>
          <w:lang w:bidi="fa-IR"/>
        </w:rPr>
        <w:t>»</w:t>
      </w:r>
      <w:r>
        <w:rPr>
          <w:rStyle w:val="FootnoteAnchor"/>
          <w:rtl w:val="true"/>
        </w:rPr>
        <w:footnoteReference w:id="1671"/>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مؤمن غسّل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 ذنوب سنة إلّا الکبائر</w:t>
      </w:r>
      <w:r>
        <w:rPr>
          <w:rFonts w:eastAsia="IRNazanin" w:cs="IRNazanin"/>
          <w:color w:val="111111"/>
          <w:sz w:val="28"/>
          <w:szCs w:val="28"/>
          <w:rtl w:val="true"/>
          <w:lang w:bidi="fa-IR"/>
        </w:rPr>
        <w:t>»</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مقتضی إطلاقها عدم اعتبار المماثلة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ینافیها ما دلّ علی عدم جواز تغسیل الرجل امرأة أجنبیّة؛ لعدم صدق المرأة علی الصبیّة؛ لأنّها مؤنّث المرء، و لو سلّم الصدق فلا شبهة فی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ینافیها ما فی موثّقة عمّار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الصبیّ تغسّله امرأة،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یغسّل الصبیان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الصبیّة تموت و لا تصاب امرأة تغسّلها،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یغسّلها رجل أولی الناس بها</w:t>
      </w:r>
      <w:r>
        <w:rPr>
          <w:rFonts w:eastAsia="IRNazanin" w:cs="IRNazanin"/>
          <w:color w:val="111111"/>
          <w:sz w:val="28"/>
          <w:szCs w:val="28"/>
          <w:rtl w:val="true"/>
          <w:lang w:bidi="fa-IR"/>
        </w:rPr>
        <w:t>»</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مجال للأخذ به بعد إعراض الأصحاب عنه، و یمکن التقیید فیه بالأولی علی بیان الأولویّة، لا علی اعتبار</w:t>
      </w:r>
      <w:r>
        <w:rPr>
          <w:rStyle w:val="FootnoteAnchor"/>
          <w:rtl w:val="true"/>
        </w:rPr>
        <w:footnoteReference w:id="1674"/>
      </w:r>
      <w:r>
        <w:rPr>
          <w:rFonts w:ascii="IRNazanin" w:hAnsi="IRNazanin" w:eastAsia="IRNazanin"/>
          <w:color w:val="111111"/>
          <w:sz w:val="28"/>
          <w:sz w:val="28"/>
          <w:szCs w:val="28"/>
          <w:rtl w:val="true"/>
          <w:lang w:bidi="fa-IR"/>
        </w:rPr>
        <w:t>المماثلة فی الغسل</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التهذیب عن محمّد بن أحمد بن یحیی 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الجاریة تموت مع الرجل،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بنت أقلّ من خمس سنین أو ستّ دفنت، و لم تغسّل</w:t>
      </w:r>
      <w:r>
        <w:rPr>
          <w:rFonts w:eastAsia="IRNazanin" w:cs="IRNazanin"/>
          <w:color w:val="111111"/>
          <w:sz w:val="28"/>
          <w:szCs w:val="28"/>
          <w:rtl w:val="true"/>
          <w:lang w:bidi="fa-IR"/>
        </w:rPr>
        <w:t>»</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حکم المحقّق فی المعتبر</w:t>
      </w:r>
      <w:r>
        <w:rPr>
          <w:rStyle w:val="FootnoteAnchor"/>
          <w:rtl w:val="true"/>
        </w:rPr>
        <w:footnoteReference w:id="1677"/>
      </w:r>
      <w:r>
        <w:rPr>
          <w:rFonts w:ascii="IRNazanin" w:hAnsi="IRNazanin" w:eastAsia="IRNazanin"/>
          <w:color w:val="111111"/>
          <w:sz w:val="28"/>
          <w:sz w:val="28"/>
          <w:szCs w:val="28"/>
          <w:rtl w:val="true"/>
          <w:lang w:bidi="fa-IR"/>
        </w:rPr>
        <w:t>و الشهید فی الذکری</w:t>
      </w:r>
      <w:r>
        <w:rPr>
          <w:rStyle w:val="FootnoteAnchor"/>
          <w:rtl w:val="true"/>
        </w:rPr>
        <w:footnoteReference w:id="1678"/>
      </w:r>
      <w:r>
        <w:rPr>
          <w:rFonts w:ascii="IRNazanin" w:hAnsi="IRNazanin" w:eastAsia="IRNazanin"/>
          <w:color w:val="111111"/>
          <w:sz w:val="28"/>
          <w:sz w:val="28"/>
          <w:szCs w:val="28"/>
          <w:rtl w:val="true"/>
          <w:lang w:bidi="fa-IR"/>
        </w:rPr>
        <w:t>بأنّ هذا الحدیث مضطرب الإسناد و المتن، و لکن نقل عن ابن طاوس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وهم، و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جیّد، فالصحیح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فمفهوم الشرط یکون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تکن لها خمس سنین غسّلت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جاز أن یغسّلها الرجل حسب الفرض</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ما رواه فی الفقیه عن محمّد بن الحسن،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شیخنا</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جامعه، فی الجاریة تموت مع الرجال فی السفر،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ابنة أکثر من خمس سنین أو ستّ دفنت و لم تغسّل، و إذا کانت ابنة أقلّ من خمس سنین غسّلت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الحلبی حدیثاً فی معناه عن الصادق علیه السلام</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نقله أیضاً عن جامع محمّد بن الحسن فی الذکری،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أسند الصدوق فی کتاب المدینة ما فی الجامع إلی الحلبی عن الصادق علیه السلام</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الروایتان و إن کانتا ضعیفتی السند، لکنّ ضعفهما منجبر بعمل الأصحاب، بل الإجماع، قال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بالعمل بمضمونهما؛ لاعتضادهما بالأصل و العمومات</w:t>
      </w:r>
      <w:r>
        <w:rPr>
          <w:rFonts w:eastAsia="IRNazanin" w:cs="IRNazanin"/>
          <w:color w:val="111111"/>
          <w:sz w:val="28"/>
          <w:szCs w:val="28"/>
          <w:rtl w:val="true"/>
          <w:lang w:bidi="fa-IR"/>
        </w:rPr>
        <w:t>»</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جواز الغسل تابع لحلّ النظر و اللمس، و لا ریب فی جوازهما إلی الصغیر و الصغیرة حال الحیاة فیکون کذلک حال الموت</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فیظهر بملاحظة ما ذکرنا من الأدلّة فساد ما جاء فی المعتبر من منع ذلک،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روایة التهذیب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الروایة مرسلة و متنها مضطرب، فلا عبرة بها، ثمّ لا نعلم القائل، فالأولی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الصبیّ و الصبیّة أنّ الشرع أذن فی اطّلاع النساء علی الصبیّ؛ لافتقاره إلیهنّ فی التربیة، و لیس کذلک الصبیّة، و الأصل حرمة النظر</w:t>
      </w:r>
      <w:r>
        <w:rPr>
          <w:rFonts w:eastAsia="IRNazanin" w:cs="IRNazanin"/>
          <w:color w:val="111111"/>
          <w:sz w:val="28"/>
          <w:szCs w:val="28"/>
          <w:rtl w:val="true"/>
          <w:lang w:bidi="fa-IR"/>
        </w:rPr>
        <w:t>»</w:t>
      </w:r>
      <w:r>
        <w:rPr>
          <w:rStyle w:val="FootnoteAnchor"/>
          <w:rtl w:val="true"/>
        </w:rPr>
        <w:footnoteReference w:id="1684"/>
      </w:r>
      <w:r>
        <w:rPr>
          <w:rFonts w:ascii="IRNazanin" w:hAnsi="IRNazanin" w:eastAsia="IRNazanin"/>
          <w:color w:val="111111"/>
          <w:sz w:val="28"/>
          <w:sz w:val="28"/>
          <w:szCs w:val="28"/>
          <w:rtl w:val="true"/>
          <w:lang w:bidi="fa-IR"/>
        </w:rPr>
        <w:t>، أی حرمة نظر الأجنبی إلی الصبیّة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من ذلک أنّ الرجل الأجنبی یحرم علیه النظر إلی بدن الصبیّة حتّی وجهها و کفّیها و غیرهما سوی عورتها، فهو مقطوع البطلان؛ للسیرة</w:t>
      </w:r>
      <w:bookmarkStart w:id="487" w:name="pg11755_254867"/>
    </w:p>
    <w:p>
      <w:pPr>
        <w:pStyle w:val="BookText"/>
        <w:rPr/>
      </w:pPr>
      <w:bookmarkEnd w:id="487"/>
      <w:r>
        <w:rPr>
          <w:rFonts w:ascii="IRNazanin" w:hAnsi="IRNazanin" w:eastAsia="IRNazanin"/>
          <w:color w:val="111111"/>
          <w:sz w:val="28"/>
          <w:sz w:val="28"/>
          <w:szCs w:val="28"/>
          <w:rtl w:val="true"/>
          <w:lang w:bidi="fa-IR"/>
        </w:rPr>
        <w:t>القطعیّة علی جواز ذلک، بل جواز النظر إلی الصبیّة غیر الممیّزة من المسائل المتسالم علیها بینهم، و أنّ جواز النظر قبل الوفاة ضروریّ،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 أنّ الرجل یحرم علیه النظر إلی عورة الصبیّة و لمسها فیندفع بأنّه علی تقدیر ثبوته لا ملازمة بین حرمته و عدم جواز التغسیل؛ لإمکانه من غیر نظر و لمس</w:t>
      </w:r>
      <w:r>
        <w:rPr>
          <w:rStyle w:val="FootnoteAnchor"/>
          <w:rtl w:val="true"/>
        </w:rPr>
        <w:footnoteReference w:id="1685"/>
      </w:r>
      <w:r>
        <w:rPr>
          <w:rFonts w:ascii="IRNazanin" w:hAnsi="IRNazanin" w:eastAsia="IRNazanin"/>
          <w:color w:val="111111"/>
          <w:sz w:val="28"/>
          <w:sz w:val="28"/>
          <w:szCs w:val="28"/>
          <w:rtl w:val="true"/>
          <w:lang w:bidi="fa-IR"/>
        </w:rPr>
        <w:t>، فلا دلیل علی هذا الأصل، بل الأصل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الصدوق فی المقنع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ماتت جاریة فی السفر مع الرجال، فلا تغسل و تدفن کما هی بثیابها إن کانت بنت خمس سنین، و ان کانت بنت أقلّ من خمس سنین فلتغسّل و لتدفن</w:t>
      </w:r>
      <w:r>
        <w:rPr>
          <w:rFonts w:eastAsia="IRNazanin" w:cs="IRNazanin"/>
          <w:color w:val="111111"/>
          <w:sz w:val="28"/>
          <w:szCs w:val="28"/>
          <w:rtl w:val="true"/>
          <w:lang w:bidi="fa-IR"/>
        </w:rPr>
        <w:t>»</w:t>
      </w:r>
      <w:r>
        <w:rPr>
          <w:rStyle w:val="FootnoteAnchor"/>
          <w:rtl w:val="true"/>
        </w:rPr>
        <w:footnoteReference w:id="1686"/>
      </w:r>
      <w:r>
        <w:rPr>
          <w:rFonts w:ascii="IRNazanin" w:hAnsi="IRNazanin" w:eastAsia="IRNazanin"/>
          <w:color w:val="111111"/>
          <w:sz w:val="28"/>
          <w:sz w:val="28"/>
          <w:szCs w:val="28"/>
          <w:rtl w:val="true"/>
          <w:lang w:bidi="fa-IR"/>
        </w:rPr>
        <w:t>فإنّها تشمل بنت ثلاث سنین و الدلالة واضحة</w:t>
      </w:r>
      <w:r>
        <w:rPr>
          <w:rFonts w:eastAsia="IRNazanin" w:cs="IRNazanin"/>
          <w:color w:val="111111"/>
          <w:sz w:val="28"/>
          <w:szCs w:val="28"/>
          <w:rtl w:val="true"/>
          <w:lang w:bidi="fa-IR"/>
        </w:rPr>
        <w:t>.</w:t>
      </w:r>
    </w:p>
    <w:p>
      <w:pPr>
        <w:pStyle w:val="Heading5"/>
        <w:numPr>
          <w:ilvl w:val="4"/>
          <w:numId w:val="1"/>
        </w:numPr>
        <w:rPr/>
      </w:pPr>
      <w:bookmarkStart w:id="488" w:name="__RefHeading___Toc9587618_73709187"/>
      <w:bookmarkStart w:id="489" w:name="_Toc183"/>
      <w:bookmarkEnd w:id="488"/>
      <w:r>
        <w:rPr>
          <w:rtl w:val="true"/>
        </w:rPr>
        <w:t>المقام الثانی</w:t>
      </w:r>
      <w:r>
        <w:rPr>
          <w:rtl w:val="true"/>
        </w:rPr>
        <w:t xml:space="preserve">: </w:t>
      </w:r>
      <w:r>
        <w:rPr>
          <w:rtl w:val="true"/>
        </w:rPr>
        <w:t>تغسیل المرأة ابن ثلاث سنین</w:t>
      </w:r>
      <w:bookmarkEnd w:id="489"/>
    </w:p>
    <w:p>
      <w:pPr>
        <w:pStyle w:val="BookText"/>
        <w:rPr/>
      </w:pPr>
      <w:r>
        <w:rPr>
          <w:rFonts w:ascii="IRNazanin" w:hAnsi="IRNazanin" w:eastAsia="IRNazanin"/>
          <w:color w:val="111111"/>
          <w:sz w:val="28"/>
          <w:sz w:val="28"/>
          <w:szCs w:val="28"/>
          <w:rtl w:val="true"/>
          <w:lang w:bidi="fa-IR"/>
        </w:rPr>
        <w:t>لا خلاف بین الأصحاب أیضاً فی أنّه یجوز للمرأة تغسیل ابن ثلاث سنین أو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الصبیّ ابن ثلاث سنین أو أقلّ من ذلک فلا بأس أن تغسّله النساء عند عدم الرجل، مجرّداً من ثیابه</w:t>
      </w:r>
      <w:r>
        <w:rPr>
          <w:rFonts w:eastAsia="IRNazanin" w:cs="IRNazanin"/>
          <w:color w:val="111111"/>
          <w:sz w:val="28"/>
          <w:szCs w:val="28"/>
          <w:rtl w:val="true"/>
          <w:lang w:bidi="fa-IR"/>
        </w:rPr>
        <w:t>»</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السرائر</w:t>
      </w:r>
      <w:r>
        <w:rPr>
          <w:rStyle w:val="FootnoteAnchor"/>
          <w:rtl w:val="true"/>
        </w:rPr>
        <w:footnoteReference w:id="1688"/>
      </w:r>
      <w:r>
        <w:rPr>
          <w:rFonts w:ascii="IRNazanin" w:hAnsi="IRNazanin" w:eastAsia="IRNazanin"/>
          <w:color w:val="111111"/>
          <w:sz w:val="28"/>
          <w:sz w:val="28"/>
          <w:szCs w:val="28"/>
          <w:rtl w:val="true"/>
          <w:lang w:bidi="fa-IR"/>
        </w:rPr>
        <w:t>و إصباح الشیعة</w:t>
      </w:r>
      <w:r>
        <w:rPr>
          <w:rStyle w:val="FootnoteAnchor"/>
          <w:rtl w:val="true"/>
        </w:rPr>
        <w:footnoteReference w:id="1689"/>
      </w:r>
      <w:r>
        <w:rPr>
          <w:rFonts w:ascii="IRNazanin" w:hAnsi="IRNazanin" w:eastAsia="IRNazanin"/>
          <w:color w:val="111111"/>
          <w:sz w:val="28"/>
          <w:sz w:val="28"/>
          <w:szCs w:val="28"/>
          <w:rtl w:val="true"/>
          <w:lang w:bidi="fa-IR"/>
        </w:rPr>
        <w:t>، و به قال القاضی و ابن سعید،</w:t>
      </w:r>
      <w:bookmarkStart w:id="490" w:name="pg11755_254870"/>
    </w:p>
    <w:p>
      <w:pPr>
        <w:pStyle w:val="BookText"/>
        <w:rPr/>
      </w:pPr>
      <w:bookmarkEnd w:id="490"/>
      <w:r>
        <w:rPr>
          <w:rFonts w:ascii="IRNazanin" w:hAnsi="IRNazanin" w:eastAsia="IRNazanin"/>
          <w:color w:val="111111"/>
          <w:sz w:val="28"/>
          <w:sz w:val="28"/>
          <w:szCs w:val="28"/>
          <w:rtl w:val="true"/>
          <w:lang w:bidi="fa-IR"/>
        </w:rPr>
        <w:t>و لکنّهما أضافا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أکثر من ثلاث سنین تغسّله من فوق القمیص، و یصبّ الماء علیه،</w:t>
      </w:r>
      <w:r>
        <w:rPr>
          <w:rStyle w:val="FootnoteAnchor"/>
          <w:rtl w:val="true"/>
        </w:rPr>
        <w:footnoteReference w:id="1690"/>
      </w:r>
      <w:r>
        <w:rPr>
          <w:rFonts w:ascii="IRNazanin" w:hAnsi="IRNazanin" w:eastAsia="IRNazanin"/>
          <w:color w:val="111111"/>
          <w:sz w:val="28"/>
          <w:sz w:val="28"/>
          <w:szCs w:val="28"/>
          <w:rtl w:val="true"/>
          <w:lang w:bidi="fa-IR"/>
        </w:rPr>
        <w:t>و ذهب إلیه الفاضلان</w:t>
      </w:r>
      <w:r>
        <w:rPr>
          <w:rStyle w:val="FootnoteAnchor"/>
          <w:rtl w:val="true"/>
        </w:rPr>
        <w:footnoteReference w:id="1691"/>
      </w:r>
      <w:r>
        <w:rPr>
          <w:rFonts w:ascii="IRNazanin" w:hAnsi="IRNazanin" w:eastAsia="IRNazanin"/>
          <w:color w:val="111111"/>
          <w:sz w:val="28"/>
          <w:sz w:val="28"/>
          <w:szCs w:val="28"/>
          <w:rtl w:val="true"/>
          <w:lang w:bidi="fa-IR"/>
        </w:rPr>
        <w:t>و الشهیدان</w:t>
      </w:r>
      <w:r>
        <w:rPr>
          <w:rStyle w:val="FootnoteAnchor"/>
          <w:rtl w:val="true"/>
        </w:rPr>
        <w:footnoteReference w:id="1692"/>
      </w:r>
      <w:r>
        <w:rPr>
          <w:rFonts w:ascii="Amiri" w:hAnsi="Amiri" w:eastAsia="Amiri" w:cs="Amiri"/>
          <w:color w:val="111111"/>
          <w:sz w:val="28"/>
          <w:sz w:val="28"/>
          <w:szCs w:val="28"/>
          <w:rtl w:val="true"/>
          <w:lang w:bidi="ar-SA"/>
        </w:rPr>
        <w:t>و جملة من المتأخِّرین و متأخِّریهم و المعاصرین</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المماثلة بین الغاسل و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الطفل الذی لا یزید سنّه عن ثلاث سنین، فیجوز لکلّ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و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تغسیل مخالفه و لو مع التجرّد و مع وجود المماثل</w:t>
      </w:r>
      <w:r>
        <w:rPr>
          <w:rFonts w:eastAsia="IRNazanin" w:cs="IRNazanin"/>
          <w:color w:val="111111"/>
          <w:sz w:val="28"/>
          <w:szCs w:val="28"/>
          <w:rtl w:val="true"/>
          <w:lang w:bidi="fa-IR"/>
        </w:rPr>
        <w:t>»</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9587620_73709187"/>
      <w:bookmarkStart w:id="492" w:name="_Toc184"/>
      <w:bookmarkEnd w:id="491"/>
      <w:r>
        <w:rPr>
          <w:rtl w:val="true"/>
        </w:rPr>
        <w:t>أدلّة هذا الحکم</w:t>
      </w:r>
      <w:bookmarkEnd w:id="492"/>
    </w:p>
    <w:p>
      <w:pPr>
        <w:pStyle w:val="BookText"/>
        <w:rPr/>
      </w:pPr>
      <w:r>
        <w:rPr>
          <w:rFonts w:ascii="IRNazanin" w:hAnsi="IRNazanin" w:eastAsia="IRNazanin"/>
          <w:color w:val="111111"/>
          <w:sz w:val="28"/>
          <w:sz w:val="28"/>
          <w:szCs w:val="28"/>
          <w:rtl w:val="true"/>
          <w:lang w:bidi="fa-IR"/>
        </w:rPr>
        <w:t>و استدلّ للحکم المذکور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فی التذکرة</w:t>
      </w:r>
      <w:r>
        <w:rPr>
          <w:rStyle w:val="FootnoteAnchor"/>
          <w:rtl w:val="true"/>
        </w:rPr>
        <w:footnoteReference w:id="1695"/>
      </w:r>
      <w:r>
        <w:rPr>
          <w:rFonts w:ascii="IRNazanin" w:hAnsi="IRNazanin" w:eastAsia="IRNazanin"/>
          <w:color w:val="111111"/>
          <w:sz w:val="28"/>
          <w:sz w:val="28"/>
          <w:szCs w:val="28"/>
          <w:rtl w:val="true"/>
          <w:lang w:bidi="fa-IR"/>
        </w:rPr>
        <w:t>و النهایة</w:t>
      </w:r>
      <w:r>
        <w:rPr>
          <w:rStyle w:val="FootnoteAnchor"/>
          <w:rtl w:val="true"/>
        </w:rPr>
        <w:footnoteReference w:id="1696"/>
      </w:r>
      <w:r>
        <w:rPr>
          <w:rFonts w:ascii="IRNazanin" w:hAnsi="IRNazanin" w:eastAsia="IRNazanin"/>
          <w:color w:val="111111"/>
          <w:sz w:val="28"/>
          <w:sz w:val="28"/>
          <w:szCs w:val="28"/>
          <w:rtl w:val="true"/>
          <w:lang w:bidi="fa-IR"/>
        </w:rPr>
        <w:t>و المنتهی</w:t>
      </w:r>
      <w:r>
        <w:rPr>
          <w:rStyle w:val="FootnoteAnchor"/>
          <w:rtl w:val="true"/>
        </w:rPr>
        <w:footnoteReference w:id="1697"/>
      </w:r>
      <w:r>
        <w:rPr>
          <w:rFonts w:ascii="IRNazanin" w:hAnsi="IRNazanin" w:eastAsia="IRNazanin"/>
          <w:color w:val="111111"/>
          <w:sz w:val="28"/>
          <w:sz w:val="28"/>
          <w:szCs w:val="28"/>
          <w:rtl w:val="true"/>
          <w:lang w:bidi="fa-IR"/>
        </w:rPr>
        <w:t>و غیرها</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نجده فیه هنا فی الجملة، بل الإجماع علیه محصّل فضلاً عن المنقول</w:t>
      </w:r>
      <w:r>
        <w:rPr>
          <w:rFonts w:eastAsia="IRNazanin" w:cs="IRNazanin"/>
          <w:color w:val="111111"/>
          <w:sz w:val="28"/>
          <w:szCs w:val="28"/>
          <w:rtl w:val="true"/>
          <w:lang w:bidi="fa-IR"/>
        </w:rPr>
        <w:t>»</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 علی الحکم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تغسیل المرأة ابن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المحقّق و المنقول</w:t>
      </w:r>
      <w:r>
        <w:rPr>
          <w:rFonts w:eastAsia="IRNazanin" w:cs="IRNazanin"/>
          <w:color w:val="111111"/>
          <w:sz w:val="28"/>
          <w:szCs w:val="28"/>
          <w:rtl w:val="true"/>
          <w:lang w:bidi="fa-IR"/>
        </w:rPr>
        <w:t>»</w:t>
      </w:r>
      <w:r>
        <w:rPr>
          <w:rStyle w:val="FootnoteAnchor"/>
          <w:rtl w:val="true"/>
        </w:rPr>
        <w:footnoteReference w:id="1700"/>
      </w:r>
      <w:r>
        <w:rPr>
          <w:rFonts w:ascii="IRNazanin" w:hAnsi="IRNazanin" w:eastAsia="IRNazanin"/>
          <w:color w:val="111111"/>
          <w:sz w:val="28"/>
          <w:sz w:val="28"/>
          <w:szCs w:val="28"/>
          <w:rtl w:val="true"/>
          <w:lang w:bidi="fa-IR"/>
        </w:rPr>
        <w:t>و 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الحجّة فیه</w:t>
      </w:r>
      <w:r>
        <w:rPr>
          <w:rFonts w:eastAsia="IRNazanin" w:cs="IRNazanin"/>
          <w:color w:val="111111"/>
          <w:sz w:val="28"/>
          <w:szCs w:val="28"/>
          <w:rtl w:val="true"/>
          <w:lang w:bidi="fa-IR"/>
        </w:rPr>
        <w:t>»</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السالم عن المعارض</w:t>
      </w:r>
      <w:r>
        <w:rPr>
          <w:rStyle w:val="FootnoteAnchor"/>
          <w:rtl w:val="true"/>
        </w:rPr>
        <w:footnoteReference w:id="1702"/>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إطلاقات و عمومات أدلّة وجوب الغسل السلیمة عن المعارض؛ لظهور أدلّة اشتراط المماثلة فی الرجل و المرأة الغیر صادقین علی الصبیّ، کما سبق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روایة أبی النمیر،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الصبیّ إلی کم تغسله النساء؟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ثلاث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دلالتها واضحة، و لکن اختلف فی أبی النمیر؛ لأنّه نقلها فی التهذیب</w:t>
      </w:r>
      <w:r>
        <w:rPr>
          <w:rStyle w:val="FootnoteAnchor"/>
          <w:rtl w:val="true"/>
        </w:rPr>
        <w:footnoteReference w:id="1703"/>
      </w:r>
      <w:r>
        <w:rPr>
          <w:rFonts w:ascii="IRNazanin" w:hAnsi="IRNazanin" w:eastAsia="IRNazanin"/>
          <w:color w:val="111111"/>
          <w:sz w:val="28"/>
          <w:sz w:val="28"/>
          <w:szCs w:val="28"/>
          <w:rtl w:val="true"/>
          <w:lang w:bidi="fa-IR"/>
        </w:rPr>
        <w:t>و الفقیه</w:t>
      </w:r>
      <w:r>
        <w:rPr>
          <w:rStyle w:val="FootnoteAnchor"/>
          <w:rtl w:val="true"/>
        </w:rPr>
        <w:footnoteReference w:id="1704"/>
      </w:r>
      <w:r>
        <w:rPr>
          <w:rFonts w:ascii="IRNazanin" w:hAnsi="IRNazanin" w:eastAsia="IRNazanin"/>
          <w:color w:val="111111"/>
          <w:sz w:val="28"/>
          <w:sz w:val="28"/>
          <w:szCs w:val="28"/>
          <w:rtl w:val="true"/>
          <w:lang w:bidi="fa-IR"/>
        </w:rPr>
        <w:t>و کذا فی الوسائل</w:t>
      </w:r>
      <w:r>
        <w:rPr>
          <w:rStyle w:val="FootnoteAnchor"/>
          <w:rtl w:val="true"/>
        </w:rPr>
        <w:footnoteReference w:id="1705"/>
      </w:r>
      <w:r>
        <w:rPr>
          <w:rFonts w:ascii="IRNazanin" w:hAnsi="IRNazanin" w:eastAsia="IRNazanin"/>
          <w:color w:val="111111"/>
          <w:sz w:val="28"/>
          <w:sz w:val="28"/>
          <w:szCs w:val="28"/>
          <w:rtl w:val="true"/>
          <w:lang w:bidi="fa-IR"/>
        </w:rPr>
        <w:t>و جامع أحادیث الشیعة</w:t>
      </w:r>
      <w:r>
        <w:rPr>
          <w:rStyle w:val="FootnoteAnchor"/>
          <w:rtl w:val="true"/>
        </w:rPr>
        <w:footnoteReference w:id="1706"/>
      </w:r>
      <w:r>
        <w:rPr>
          <w:rFonts w:ascii="IRNazanin" w:hAnsi="IRNazanin" w:eastAsia="IRNazanin"/>
          <w:color w:val="111111"/>
          <w:sz w:val="28"/>
          <w:sz w:val="28"/>
          <w:szCs w:val="28"/>
          <w:rtl w:val="true"/>
          <w:lang w:bidi="fa-IR"/>
        </w:rPr>
        <w:t>بعنوان أبی النمیر مولی الحرث بن المغیرة، و لکن فی الکافی</w:t>
      </w:r>
      <w:r>
        <w:rPr>
          <w:rStyle w:val="FootnoteAnchor"/>
          <w:rtl w:val="true"/>
        </w:rPr>
        <w:footnoteReference w:id="1707"/>
      </w:r>
      <w:r>
        <w:rPr>
          <w:rFonts w:ascii="Amiri" w:hAnsi="Amiri" w:eastAsia="Amiri" w:cs="Amiri"/>
          <w:color w:val="111111"/>
          <w:sz w:val="28"/>
          <w:sz w:val="28"/>
          <w:szCs w:val="28"/>
          <w:rtl w:val="true"/>
          <w:lang w:bidi="ar-SA"/>
        </w:rPr>
        <w:t>و المرآة</w:t>
      </w:r>
      <w:r>
        <w:rPr>
          <w:rStyle w:val="FootnoteAnchor"/>
          <w:rtl w:val="true"/>
        </w:rPr>
        <w:footnoteReference w:id="17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النمیر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الظاهر أنّ ابن النمیر هذا هو عبد اللّه بن نمیر الهمدانی، الذی وثّقه ابن معین، کما فی الجرح و التعدیل لابن أبی حاتم الرازی</w:t>
      </w:r>
      <w:r>
        <w:rPr>
          <w:rFonts w:eastAsia="IRNazanin" w:cs="IRNazanin"/>
          <w:color w:val="111111"/>
          <w:sz w:val="28"/>
          <w:szCs w:val="28"/>
          <w:rtl w:val="true"/>
          <w:lang w:bidi="fa-IR"/>
        </w:rPr>
        <w:t>»</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bookmarkStart w:id="493" w:name="pg11755_254874"/>
    </w:p>
    <w:p>
      <w:pPr>
        <w:pStyle w:val="BookText"/>
        <w:rPr/>
      </w:pPr>
      <w:bookmarkEnd w:id="493"/>
      <w:r>
        <w:rPr>
          <w:rFonts w:ascii="IRNazanin" w:hAnsi="IRNazanin" w:eastAsia="IRNazanin"/>
          <w:color w:val="111111"/>
          <w:sz w:val="28"/>
          <w:sz w:val="28"/>
          <w:szCs w:val="28"/>
          <w:rtl w:val="true"/>
          <w:lang w:bidi="fa-IR"/>
        </w:rPr>
        <w:t xml:space="preserve">و بالجملة، ضعف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منجبر بالشهرة المحقّقة، بل الإجماع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عمّار الساباطی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الصبیّ تغسّله امرأة،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تغسّل الصبیان النساء</w:t>
      </w:r>
      <w:r>
        <w:rPr>
          <w:rFonts w:eastAsia="IRNazanin" w:cs="IRNazanin"/>
          <w:color w:val="111111"/>
          <w:sz w:val="28"/>
          <w:szCs w:val="28"/>
          <w:rtl w:val="true"/>
          <w:lang w:bidi="fa-IR"/>
        </w:rPr>
        <w:t>»</w:t>
      </w:r>
      <w:r>
        <w:rPr>
          <w:rStyle w:val="FootnoteAnchor"/>
          <w:rtl w:val="true"/>
        </w:rPr>
        <w:footnoteReference w:id="1710"/>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دلّت علی أنّ غسل النساء للصبیان أمر متعارف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سیرة المتشرّعة قدیماً و حدیثاً علی تغسیل النساء للصبیّ، کما یظهر من موثّقة عمّار</w:t>
      </w:r>
      <w:r>
        <w:rPr>
          <w:rStyle w:val="FootnoteAnchor"/>
          <w:rtl w:val="true"/>
        </w:rPr>
        <w:footnoteReference w:id="1711"/>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9587622_73709187"/>
      <w:bookmarkStart w:id="495" w:name="_Toc185"/>
      <w:bookmarkEnd w:id="494"/>
      <w:r>
        <w:rPr>
          <w:rtl w:val="true"/>
        </w:rPr>
        <w:t>تتمیم</w:t>
      </w:r>
      <w:bookmarkEnd w:id="495"/>
    </w:p>
    <w:p>
      <w:pPr>
        <w:pStyle w:val="BookText"/>
        <w:rPr/>
      </w:pPr>
      <w:r>
        <w:rPr>
          <w:rFonts w:ascii="IRNazanin" w:hAnsi="IRNazanin" w:eastAsia="IRNazanin"/>
          <w:color w:val="111111"/>
          <w:sz w:val="28"/>
          <w:sz w:val="28"/>
          <w:szCs w:val="28"/>
          <w:rtl w:val="true"/>
          <w:lang w:bidi="fa-IR"/>
        </w:rPr>
        <w:t>ظهر ممّا ذکرنا أنّه لا خلاف و لا إشکال فی أصل الحکم، إلّا أنّه قد وقع الاختلاف فی امور نذکرها تتمیماً للبحث</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المشهور بین الأصحاب و المدّعی علیه الإجماع هو تحدید الجواز بثلاث سنین، فیجوز لکلّ من الرجل و المرأة تغسیل مخالفهما إلی تمام ثلاث سنین، و لا یجوز فی الأکثر منها، و لکن ظاهر جماعة أنّ التحدید بما دون الثلاث</w:t>
      </w:r>
      <w:r>
        <w:rPr>
          <w:rStyle w:val="FootnoteAnchor"/>
          <w:rtl w:val="true"/>
        </w:rPr>
        <w:footnoteReference w:id="1712"/>
      </w:r>
      <w:r>
        <w:rPr>
          <w:rFonts w:ascii="IRNazanin" w:hAnsi="IRNazanin" w:eastAsia="IRNazanin"/>
          <w:color w:val="111111"/>
          <w:sz w:val="28"/>
          <w:sz w:val="28"/>
          <w:szCs w:val="28"/>
          <w:rtl w:val="true"/>
          <w:lang w:bidi="fa-IR"/>
        </w:rPr>
        <w:t>، کما فی المبسوط و الشرائع،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یغسّل الرجل من لیست له بمحرم إلّا و لها دون ثلاث سنین، و کذا المرأة</w:t>
      </w:r>
      <w:r>
        <w:rPr>
          <w:rFonts w:eastAsia="IRNazanin" w:cs="IRNazanin"/>
          <w:color w:val="111111"/>
          <w:sz w:val="28"/>
          <w:szCs w:val="28"/>
          <w:rtl w:val="true"/>
          <w:lang w:bidi="fa-IR"/>
        </w:rPr>
        <w:t>»</w:t>
      </w:r>
      <w:r>
        <w:rPr>
          <w:rStyle w:val="FootnoteAnchor"/>
          <w:rtl w:val="true"/>
        </w:rPr>
        <w:footnoteReference w:id="1713"/>
      </w:r>
      <w:r>
        <w:rPr>
          <w:rFonts w:ascii="IRNazanin" w:hAnsi="IRNazanin" w:eastAsia="IRNazanin"/>
          <w:color w:val="111111"/>
          <w:sz w:val="28"/>
          <w:sz w:val="28"/>
          <w:szCs w:val="28"/>
          <w:rtl w:val="true"/>
          <w:lang w:bidi="fa-IR"/>
        </w:rPr>
        <w:t>، و کذا فی الإصباح</w:t>
      </w:r>
      <w:r>
        <w:rPr>
          <w:rStyle w:val="FootnoteAnchor"/>
          <w:rtl w:val="true"/>
        </w:rPr>
        <w:footnoteReference w:id="1714"/>
      </w:r>
    </w:p>
    <w:p>
      <w:pPr>
        <w:pStyle w:val="BookText"/>
        <w:rPr/>
      </w:pPr>
      <w:r>
        <w:rPr>
          <w:rFonts w:ascii="IRNazanin" w:hAnsi="IRNazanin" w:eastAsia="IRNazanin"/>
          <w:color w:val="111111"/>
          <w:sz w:val="28"/>
          <w:sz w:val="28"/>
          <w:szCs w:val="28"/>
          <w:rtl w:val="true"/>
          <w:lang w:bidi="fa-IR"/>
        </w:rPr>
        <w:t>و التحریر</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ماتت صبیّة بین رجال، لیس لها فیهم محرم، و کانت ابنة أقلّ من ثلاث سنین جرّدوها و غسّلوها، و إن کانت لأکثر من ثلاث سنین غسّلوها فی ثیابها و صبّوا علیها الماء صبّاً، و حنّطوها بعد الغسل و دفنوها فی ثیابها</w:t>
      </w:r>
      <w:r>
        <w:rPr>
          <w:rFonts w:eastAsia="IRNazanin" w:cs="IRNazanin"/>
          <w:color w:val="111111"/>
          <w:sz w:val="28"/>
          <w:szCs w:val="28"/>
          <w:rtl w:val="true"/>
          <w:lang w:bidi="fa-IR"/>
        </w:rPr>
        <w:t>»</w:t>
      </w:r>
      <w:r>
        <w:rPr>
          <w:rStyle w:val="FootnoteAnchor"/>
          <w:rtl w:val="true"/>
        </w:rPr>
        <w:footnoteReference w:id="1716"/>
      </w:r>
      <w:r>
        <w:rPr>
          <w:rFonts w:ascii="IRNazanin" w:hAnsi="IRNazanin" w:eastAsia="IRNazanin"/>
          <w:color w:val="111111"/>
          <w:sz w:val="28"/>
          <w:sz w:val="28"/>
          <w:szCs w:val="28"/>
          <w:rtl w:val="true"/>
          <w:lang w:bidi="fa-IR"/>
        </w:rPr>
        <w:t>، و به قال سلّار</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ماتت جاریة فی السفر مع الرجال فلا تغسّل، و تدفن کما هی بثیابها إن کانت بنت خمس سنین، و إن کانت بنت أقل من خمس سنین فلتغسّل و لتدفن</w:t>
      </w:r>
      <w:r>
        <w:rPr>
          <w:rFonts w:eastAsia="IRNazanin" w:cs="IRNazanin"/>
          <w:color w:val="111111"/>
          <w:sz w:val="28"/>
          <w:szCs w:val="28"/>
          <w:rtl w:val="true"/>
          <w:lang w:bidi="fa-IR"/>
        </w:rPr>
        <w:t>»</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قسّم ابن حمزة الصبیّ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ثلاث، و ابن أکثر، و المراهق،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تغسّله النساء مجرّداً من ثیابه، و الثانی تغسّله من فوق ثیابه، و الثالث دفنه من غیر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الصبیّة إلی قسمین،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کانت صبیّة لها ثلاث سنین غسّلها الأجنبی من فوق ثیابها، و إن کانت لأکثر من ذلک دفنوها من غیر غسل</w:t>
      </w:r>
      <w:r>
        <w:rPr>
          <w:rFonts w:eastAsia="IRNazanin" w:cs="IRNazanin"/>
          <w:color w:val="111111"/>
          <w:sz w:val="28"/>
          <w:szCs w:val="28"/>
          <w:rtl w:val="true"/>
          <w:lang w:bidi="fa-IR"/>
        </w:rPr>
        <w:t>»</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جعله فی المدارک دائراً مدار تحریم اللمس و النظر، ثمّ قال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تظهر قوّة القول بالتحدید بالخمس</w:t>
      </w:r>
      <w:r>
        <w:rPr>
          <w:rFonts w:eastAsia="IRNazanin" w:cs="IRNazanin"/>
          <w:color w:val="111111"/>
          <w:sz w:val="28"/>
          <w:szCs w:val="28"/>
          <w:rtl w:val="true"/>
          <w:lang w:bidi="fa-IR"/>
        </w:rPr>
        <w:t>»</w:t>
      </w:r>
      <w:r>
        <w:rPr>
          <w:rStyle w:val="FootnoteAnchor"/>
          <w:rtl w:val="true"/>
        </w:rPr>
        <w:footnoteReference w:id="1720"/>
      </w:r>
      <w:r>
        <w:rPr>
          <w:rFonts w:ascii="IRNazanin" w:hAnsi="IRNazanin" w:eastAsia="IRNazanin"/>
          <w:color w:val="111111"/>
          <w:sz w:val="28"/>
          <w:sz w:val="28"/>
          <w:szCs w:val="28"/>
          <w:rtl w:val="true"/>
          <w:lang w:bidi="fa-IR"/>
        </w:rPr>
        <w:t>، و به قال فی الذخیرة</w:t>
      </w:r>
      <w:r>
        <w:rPr>
          <w:rStyle w:val="FootnoteAnchor"/>
          <w:rtl w:val="true"/>
        </w:rPr>
        <w:footnoteReference w:id="1721"/>
      </w:r>
    </w:p>
    <w:p>
      <w:pPr>
        <w:pStyle w:val="BookText"/>
        <w:rPr/>
      </w:pPr>
      <w:r>
        <w:rPr>
          <w:rFonts w:ascii="IRNazanin" w:hAnsi="IRNazanin" w:eastAsia="IRNazanin"/>
          <w:color w:val="111111"/>
          <w:sz w:val="28"/>
          <w:sz w:val="28"/>
          <w:szCs w:val="28"/>
          <w:rtl w:val="true"/>
          <w:lang w:bidi="fa-IR"/>
        </w:rPr>
        <w:t>و الحدائق</w:t>
      </w:r>
      <w:r>
        <w:rPr>
          <w:rStyle w:val="FootnoteAnchor"/>
          <w:rtl w:val="true"/>
        </w:rPr>
        <w:footnoteReference w:id="1722"/>
      </w:r>
      <w:r>
        <w:rPr>
          <w:rFonts w:ascii="IRNazanin" w:hAnsi="IRNazanin" w:eastAsia="IRNazanin"/>
          <w:color w:val="111111"/>
          <w:sz w:val="28"/>
          <w:sz w:val="28"/>
          <w:szCs w:val="28"/>
          <w:rtl w:val="true"/>
          <w:lang w:bidi="fa-IR"/>
        </w:rPr>
        <w:t>و الجواهر</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ما فی المبسوط و الشرائع و غیرهما راجع إلی القول المشهور من إرادة الثلاث فما دون، کما یرشد إلیه ما فی النهایة من الاتّفاق علی تغسیل ابن ثلاث سنین،</w:t>
      </w:r>
      <w:r>
        <w:rPr>
          <w:rStyle w:val="FootnoteAnchor"/>
          <w:rtl w:val="true"/>
        </w:rPr>
        <w:footnoteReference w:id="1724"/>
      </w:r>
      <w:r>
        <w:rPr>
          <w:rFonts w:ascii="IRNazanin" w:hAnsi="IRNazanin" w:eastAsia="IRNazanin"/>
          <w:color w:val="111111"/>
          <w:sz w:val="28"/>
          <w:sz w:val="28"/>
          <w:szCs w:val="28"/>
          <w:rtl w:val="true"/>
          <w:lang w:bidi="fa-IR"/>
        </w:rPr>
        <w:t>و کذا فی المنتهی</w:t>
      </w:r>
      <w:r>
        <w:rPr>
          <w:rStyle w:val="FootnoteAnchor"/>
          <w:rtl w:val="true"/>
        </w:rPr>
        <w:footnoteReference w:id="1725"/>
      </w:r>
      <w:r>
        <w:rPr>
          <w:rFonts w:ascii="IRNazanin" w:hAnsi="IRNazanin" w:eastAsia="IRNazanin"/>
          <w:color w:val="111111"/>
          <w:sz w:val="28"/>
          <w:sz w:val="28"/>
          <w:szCs w:val="28"/>
          <w:rtl w:val="true"/>
          <w:lang w:bidi="fa-IR"/>
        </w:rPr>
        <w:t>و التذکرة</w:t>
      </w:r>
      <w:r>
        <w:rPr>
          <w:rStyle w:val="FootnoteAnchor"/>
          <w:rtl w:val="true"/>
        </w:rPr>
        <w:footnoteReference w:id="1726"/>
      </w:r>
      <w:r>
        <w:rPr>
          <w:rFonts w:ascii="IRNazanin" w:hAnsi="IRNazanin" w:eastAsia="IRNazanin"/>
          <w:color w:val="111111"/>
          <w:sz w:val="28"/>
          <w:sz w:val="28"/>
          <w:szCs w:val="28"/>
          <w:rtl w:val="true"/>
          <w:lang w:bidi="fa-IR"/>
        </w:rPr>
        <w:t>، حیث أسند إلی الشیخ جواز تغسیل ابن ثلاث سنین للنساء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استثنی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الأقلّ من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بنت ثلاث سنین فما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ظنّی أنّ القول الأوّل راجع إلی الثانی بإرادة الثلاث فما دون</w:t>
      </w:r>
      <w:r>
        <w:rPr>
          <w:rFonts w:eastAsia="IRNazanin" w:cs="IRNazanin"/>
          <w:color w:val="111111"/>
          <w:sz w:val="28"/>
          <w:szCs w:val="28"/>
          <w:rtl w:val="true"/>
          <w:lang w:bidi="fa-IR"/>
        </w:rPr>
        <w:t>»</w:t>
      </w:r>
      <w:r>
        <w:rPr>
          <w:rStyle w:val="FootnoteAnchor"/>
          <w:rtl w:val="true"/>
        </w:rPr>
        <w:footnoteReference w:id="1727"/>
      </w:r>
      <w:r>
        <w:rPr>
          <w:rFonts w:ascii="IRNazanin" w:hAnsi="IRNazanin" w:eastAsia="IRNazanin"/>
          <w:color w:val="111111"/>
          <w:sz w:val="28"/>
          <w:sz w:val="28"/>
          <w:szCs w:val="28"/>
          <w:rtl w:val="true"/>
          <w:lang w:bidi="fa-IR"/>
        </w:rPr>
        <w:t>، و کذا فی المستمسک</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فالتعبیر بما دون الثلاث نظیر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 نساء فوق اثنتین</w:t>
      </w:r>
      <w:r>
        <w:rPr>
          <w:rFonts w:eastAsia="IRNazanin" w:cs="IRNazanin"/>
          <w:color w:val="111111"/>
          <w:sz w:val="28"/>
          <w:szCs w:val="28"/>
          <w:rtl w:val="true"/>
          <w:lang w:bidi="fa-IR"/>
        </w:rPr>
        <w:t>»</w:t>
      </w:r>
      <w:r>
        <w:rPr>
          <w:rStyle w:val="FootnoteAnchor"/>
          <w:rtl w:val="true"/>
        </w:rPr>
        <w:footnoteReference w:id="1729"/>
      </w:r>
      <w:r>
        <w:rPr>
          <w:rFonts w:ascii="IRNazanin" w:hAnsi="IRNazanin" w:eastAsia="IRNazanin"/>
          <w:color w:val="111111"/>
          <w:sz w:val="28"/>
          <w:sz w:val="28"/>
          <w:szCs w:val="28"/>
          <w:rtl w:val="true"/>
          <w:lang w:bidi="fa-IR"/>
        </w:rPr>
        <w:t>، فلا إشکال من هذه الجهة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ما ذهب إلیه المشهور من التحدید بثلاث سنین خبر أبی النمیر المتقدّم،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الصبیّ إلی کم تغسّله النساء؟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ثلاث سنین</w:t>
      </w:r>
      <w:r>
        <w:rPr>
          <w:rFonts w:eastAsia="IRNazanin" w:cs="IRNazanin"/>
          <w:color w:val="111111"/>
          <w:sz w:val="28"/>
          <w:szCs w:val="28"/>
          <w:rtl w:val="true"/>
          <w:lang w:bidi="fa-IR"/>
        </w:rPr>
        <w:t>»</w:t>
      </w:r>
      <w:r>
        <w:rPr>
          <w:rStyle w:val="FootnoteAnchor"/>
          <w:rtl w:val="true"/>
        </w:rPr>
        <w:footnoteReference w:id="1730"/>
      </w:r>
      <w:r>
        <w:rPr>
          <w:rFonts w:ascii="IRNazanin" w:hAnsi="IRNazanin" w:eastAsia="IRNazanin"/>
          <w:color w:val="111111"/>
          <w:sz w:val="28"/>
          <w:sz w:val="28"/>
          <w:szCs w:val="28"/>
          <w:rtl w:val="true"/>
          <w:lang w:bidi="fa-IR"/>
        </w:rPr>
        <w:t>، حیث إنّ الظاهر منها دخول الغایة فی حکم</w:t>
      </w:r>
    </w:p>
    <w:p>
      <w:pPr>
        <w:pStyle w:val="BookText"/>
        <w:rPr/>
      </w:pPr>
      <w:r>
        <w:rPr>
          <w:rFonts w:ascii="IRNazanin" w:hAnsi="IRNazanin" w:eastAsia="IRNazanin"/>
          <w:color w:val="111111"/>
          <w:sz w:val="28"/>
          <w:sz w:val="28"/>
          <w:szCs w:val="28"/>
          <w:rtl w:val="true"/>
          <w:lang w:bidi="fa-IR"/>
        </w:rPr>
        <w:t>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 إن کان وارداً فی الصبیّ، إلّا أنّه یدلّ علی عدم جواز تغسیل الرجل الصبیّة بعد ثلاث سنین بطریق أولی‌</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ضعف الخبر منجبر بعمل الأصحاب علی طبقه، بل الإجماع المتقدّم، و أیضاً رواه المشایخ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یقیّد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الانجبار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الأخبار المتقدّمة کموثّقة عمّار الساباطی و مرسلة محمّد بن أحمد بن یحیی و روایة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ما ذهب إلیه المفید و الصدوق و سلّار لا مستند له ظاهراً</w:t>
      </w:r>
      <w:r>
        <w:rPr>
          <w:rStyle w:val="FootnoteAnchor"/>
          <w:rtl w:val="true"/>
        </w:rPr>
        <w:footnoteReference w:id="1732"/>
      </w:r>
      <w:r>
        <w:rPr>
          <w:rFonts w:ascii="IRNazanin" w:hAnsi="IRNazanin" w:eastAsia="IRNazanin"/>
          <w:color w:val="111111"/>
          <w:sz w:val="28"/>
          <w:sz w:val="28"/>
          <w:szCs w:val="28"/>
          <w:rtl w:val="true"/>
          <w:lang w:bidi="fa-IR"/>
        </w:rPr>
        <w:t>، و هکذا ما ذهب إلیه السیّد الخوئی، من أنّه لا فرق فی عدم اعتبار المماثلة بین الغاسل و الصبیّ و الصبیّة قبل ثلاث سنین و بعدها إلی زمان التمییز</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فی المدارک و غیرها فغیر ظاهر؛ لأنّ حرمة اللمس و النظر تکلیفاً لا ترتبط باعتبار المماثلة فی صحّة الغسل کما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أنّ الاعتبار بالتحدید بثلاث سنین، کما هو المشهور، بل قام علیه الإجماع، و أمّا سائر التحدیدات فلم نجد دلیلاً لها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یخفی أنّ العبرة بزمان الموت دون الاغتسال، بمعنی أنّه لو عاش</w:t>
      </w:r>
    </w:p>
    <w:p>
      <w:pPr>
        <w:pStyle w:val="BookText"/>
        <w:rPr/>
      </w:pPr>
      <w:r>
        <w:rPr>
          <w:rFonts w:ascii="IRNazanin" w:hAnsi="IRNazanin" w:eastAsia="IRNazanin"/>
          <w:color w:val="111111"/>
          <w:sz w:val="28"/>
          <w:sz w:val="28"/>
          <w:szCs w:val="28"/>
          <w:rtl w:val="true"/>
          <w:lang w:bidi="fa-IR"/>
        </w:rPr>
        <w:t>ثلاث سنین ثمّ مات و لکن وقع الغسل بعد ثلاث، فلا یقدح تأخیر الغسل بعد فرض حصول الموت فی الثلاث، و مع ذلک لا یترک الاحتیاط فی أن یغسّل الصبیّ و الصبیّة بعد الثلاث من فوق الثیاب عند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ادّعی علیه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فی جواز تغسیل کلّ من الرجل و المرأة الصبیّة و الصبیّ أن یکون من فوق الثیاب، بل یجوز مجرّداً عنها، کما فی النهایة</w:t>
      </w:r>
      <w:r>
        <w:rPr>
          <w:rStyle w:val="FootnoteAnchor"/>
          <w:rtl w:val="true"/>
        </w:rPr>
        <w:footnoteReference w:id="1734"/>
      </w:r>
      <w:r>
        <w:rPr>
          <w:rFonts w:ascii="IRNazanin" w:hAnsi="IRNazanin" w:eastAsia="IRNazanin"/>
          <w:color w:val="111111"/>
          <w:sz w:val="28"/>
          <w:sz w:val="28"/>
          <w:szCs w:val="28"/>
          <w:rtl w:val="true"/>
          <w:lang w:bidi="fa-IR"/>
        </w:rPr>
        <w:t>و المبسوط‌</w:t>
      </w:r>
      <w:r>
        <w:rPr>
          <w:rStyle w:val="FootnoteAnchor"/>
          <w:rtl w:val="true"/>
        </w:rPr>
        <w:footnoteReference w:id="1735"/>
      </w:r>
      <w:r>
        <w:rPr>
          <w:rFonts w:ascii="Amiri" w:hAnsi="Amiri" w:eastAsia="Amiri" w:cs="Amiri"/>
          <w:color w:val="111111"/>
          <w:sz w:val="28"/>
          <w:sz w:val="28"/>
          <w:szCs w:val="28"/>
          <w:rtl w:val="true"/>
          <w:lang w:bidi="ar-SA"/>
        </w:rPr>
        <w:t>و المهذّب</w:t>
      </w:r>
      <w:r>
        <w:rPr>
          <w:rStyle w:val="FootnoteAnchor"/>
          <w:rtl w:val="true"/>
        </w:rPr>
        <w:footnoteReference w:id="1736"/>
      </w:r>
      <w:r>
        <w:rPr>
          <w:rFonts w:ascii="IRNazanin" w:hAnsi="IRNazanin" w:eastAsia="IRNazanin"/>
          <w:color w:val="111111"/>
          <w:sz w:val="28"/>
          <w:sz w:val="28"/>
          <w:szCs w:val="28"/>
          <w:rtl w:val="true"/>
          <w:lang w:bidi="fa-IR"/>
        </w:rPr>
        <w:t>و الوسیلة</w:t>
      </w:r>
      <w:r>
        <w:rPr>
          <w:rStyle w:val="FootnoteAnchor"/>
          <w:rtl w:val="true"/>
        </w:rPr>
        <w:footnoteReference w:id="1737"/>
      </w:r>
    </w:p>
    <w:p>
      <w:pPr>
        <w:pStyle w:val="BookText"/>
        <w:rPr/>
      </w:pPr>
      <w:r>
        <w:rPr>
          <w:rFonts w:ascii="IRNazanin" w:hAnsi="IRNazanin" w:eastAsia="IRNazanin"/>
          <w:color w:val="111111"/>
          <w:sz w:val="28"/>
          <w:sz w:val="28"/>
          <w:szCs w:val="28"/>
          <w:rtl w:val="true"/>
          <w:lang w:bidi="fa-IR"/>
        </w:rPr>
        <w:t>و السرائر</w:t>
      </w:r>
      <w:r>
        <w:rPr>
          <w:rStyle w:val="FootnoteAnchor"/>
          <w:rtl w:val="true"/>
        </w:rPr>
        <w:footnoteReference w:id="1738"/>
      </w:r>
      <w:r>
        <w:rPr>
          <w:rFonts w:ascii="IRNazanin" w:hAnsi="IRNazanin" w:eastAsia="IRNazanin"/>
          <w:color w:val="111111"/>
          <w:sz w:val="28"/>
          <w:sz w:val="28"/>
          <w:szCs w:val="28"/>
          <w:rtl w:val="true"/>
          <w:lang w:bidi="fa-IR"/>
        </w:rPr>
        <w:t>و الجامع</w:t>
      </w:r>
      <w:r>
        <w:rPr>
          <w:rStyle w:val="FootnoteAnchor"/>
          <w:rtl w:val="true"/>
        </w:rPr>
        <w:footnoteReference w:id="1739"/>
      </w:r>
      <w:r>
        <w:rPr>
          <w:rFonts w:ascii="IRNazanin" w:hAnsi="IRNazanin" w:eastAsia="IRNazanin"/>
          <w:color w:val="111111"/>
          <w:sz w:val="28"/>
          <w:sz w:val="28"/>
          <w:szCs w:val="28"/>
          <w:rtl w:val="true"/>
          <w:lang w:bidi="fa-IR"/>
        </w:rPr>
        <w:t>، و به قال جماعة من المتأخِّرین</w:t>
      </w:r>
      <w:r>
        <w:rPr>
          <w:rStyle w:val="FootnoteAnchor"/>
          <w:rtl w:val="true"/>
        </w:rPr>
        <w:footnoteReference w:id="1740"/>
      </w:r>
      <w:r>
        <w:rPr>
          <w:rFonts w:ascii="IRNazanin" w:hAnsi="IRNazanin" w:eastAsia="IRNazanin"/>
          <w:color w:val="111111"/>
          <w:sz w:val="28"/>
          <w:sz w:val="28"/>
          <w:szCs w:val="28"/>
          <w:rtl w:val="true"/>
          <w:lang w:bidi="fa-IR"/>
        </w:rPr>
        <w:t>و المعاصرین</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 العلماء علی أنّ للنساء غسل الطفل مجرّداً من ثیابه و إن کان أجنبیّاً، اختیاراً و اضطراراً</w:t>
      </w:r>
      <w:r>
        <w:rPr>
          <w:rFonts w:eastAsia="IRNazanin" w:cs="IRNazanin"/>
          <w:color w:val="111111"/>
          <w:sz w:val="28"/>
          <w:szCs w:val="28"/>
          <w:rtl w:val="true"/>
          <w:lang w:bidi="fa-IR"/>
        </w:rPr>
        <w:t>»</w:t>
      </w:r>
      <w:r>
        <w:rPr>
          <w:rStyle w:val="FootnoteAnchor"/>
          <w:rtl w:val="true"/>
        </w:rPr>
        <w:footnoteReference w:id="1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نهایة الإحکام</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 خلاف أجده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تغسیل المرأة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الحجّة</w:t>
      </w:r>
      <w:r>
        <w:rPr>
          <w:rFonts w:eastAsia="IRNazanin" w:cs="IRNazanin"/>
          <w:color w:val="111111"/>
          <w:sz w:val="28"/>
          <w:szCs w:val="28"/>
          <w:rtl w:val="true"/>
          <w:lang w:bidi="fa-IR"/>
        </w:rPr>
        <w:t>»</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أیضاً مقتضی النصوص و الفتاوی، کما أنّه یقتضیه الأصل العملی،</w:t>
      </w:r>
    </w:p>
    <w:p>
      <w:pPr>
        <w:pStyle w:val="BookText"/>
        <w:rPr/>
      </w:pPr>
      <w:r>
        <w:rPr>
          <w:rFonts w:ascii="IRNazanin" w:hAnsi="IRNazanin" w:eastAsia="IRNazanin"/>
          <w:color w:val="111111"/>
          <w:sz w:val="28"/>
          <w:sz w:val="28"/>
          <w:szCs w:val="28"/>
          <w:rtl w:val="true"/>
          <w:lang w:bidi="fa-IR"/>
        </w:rPr>
        <w:t>أعنی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قال ابن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صبیّة لها ثلاث سنین غسّلها الأجنبی من فوق ثیابها</w:t>
      </w:r>
      <w:r>
        <w:rPr>
          <w:rFonts w:eastAsia="IRNazanin" w:cs="IRNazanin"/>
          <w:color w:val="111111"/>
          <w:sz w:val="28"/>
          <w:szCs w:val="28"/>
          <w:rtl w:val="true"/>
          <w:lang w:bidi="fa-IR"/>
        </w:rPr>
        <w:t>»</w:t>
      </w:r>
      <w:r>
        <w:rPr>
          <w:rStyle w:val="FootnoteAnchor"/>
          <w:rtl w:val="true"/>
        </w:rPr>
        <w:footnoteReference w:id="1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سلّار</w:t>
      </w:r>
      <w:r>
        <w:rPr>
          <w:rStyle w:val="FootnoteAnchor"/>
          <w:rtl w:val="true"/>
        </w:rPr>
        <w:footnoteReference w:id="1746"/>
      </w:r>
      <w:r>
        <w:rPr>
          <w:rFonts w:ascii="IRNazanin" w:hAnsi="IRNazanin" w:eastAsia="IRNazanin"/>
          <w:color w:val="111111"/>
          <w:sz w:val="28"/>
          <w:sz w:val="28"/>
          <w:szCs w:val="28"/>
          <w:rtl w:val="true"/>
          <w:lang w:bidi="fa-IR"/>
        </w:rPr>
        <w:t>و ابن سعید</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لا وجه لهذا القول؛ لأنّه مخالف للإجماع و النصوص و 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إطلاق کلام الأصحاب الحکم بجواز غسل الصبیّ و الصبیّة للمرأة و الرجل مجرّداً و عدم وجوب ستر عورتهما، کما استظهر ذلک منهم فی جامع المقاصد</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وجوب ستر عورة الصبیّ تردّد، أقربه أنّه لا یجب، و حدّه ما یجوز للنساء تغسیله مجرّداً؛ لأنّ جواز نظر المرأة یدلّ علی جواز نظر الرجل</w:t>
      </w:r>
      <w:r>
        <w:rPr>
          <w:rFonts w:eastAsia="IRNazanin" w:cs="IRNazanin"/>
          <w:color w:val="111111"/>
          <w:sz w:val="28"/>
          <w:szCs w:val="28"/>
          <w:rtl w:val="true"/>
          <w:lang w:bidi="fa-IR"/>
        </w:rPr>
        <w:t>»</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أصالة عدم وجوب ستر العورة لا نفساً و لا لأجل الغسل، و إطلاق معاقد إجماعاتهم المطلقة لجواز التجرید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روایة أبی النمیر</w:t>
      </w:r>
      <w:r>
        <w:rPr>
          <w:rStyle w:val="FootnoteAnchor"/>
          <w:rtl w:val="true"/>
        </w:rPr>
        <w:footnoteReference w:id="1750"/>
      </w:r>
      <w:r>
        <w:rPr>
          <w:rFonts w:ascii="Amiri" w:hAnsi="Amiri" w:eastAsia="Amiri" w:cs="Amiri"/>
          <w:color w:val="111111"/>
          <w:sz w:val="28"/>
          <w:sz w:val="28"/>
          <w:szCs w:val="28"/>
          <w:rtl w:val="true"/>
          <w:lang w:bidi="ar-SA"/>
        </w:rPr>
        <w:t>و عمّار</w:t>
      </w:r>
      <w:r>
        <w:rPr>
          <w:rStyle w:val="FootnoteAnchor"/>
          <w:rtl w:val="true"/>
        </w:rPr>
        <w:footnoteReference w:id="1751"/>
      </w:r>
      <w:r>
        <w:rPr>
          <w:rFonts w:ascii="IRNazanin" w:hAnsi="IRNazanin" w:eastAsia="IRNazanin"/>
          <w:color w:val="111111"/>
          <w:sz w:val="28"/>
          <w:sz w:val="28"/>
          <w:szCs w:val="28"/>
          <w:rtl w:val="true"/>
          <w:lang w:bidi="fa-IR"/>
        </w:rPr>
        <w:t>المتقدّمتین، مع اقتضاء المقام للبیان، مع أنّ السؤال عن الجواز عاریاً کما هو المتعارف فی غسل الصبیان</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هو جواز تغسیل الرجل للصبیّة و المرأة للصبیّ</w:t>
      </w:r>
    </w:p>
    <w:p>
      <w:pPr>
        <w:pStyle w:val="BookText"/>
        <w:rPr/>
      </w:pPr>
      <w:r>
        <w:rPr>
          <w:rFonts w:ascii="IRNazanin" w:hAnsi="IRNazanin" w:eastAsia="IRNazanin"/>
          <w:color w:val="111111"/>
          <w:sz w:val="28"/>
          <w:sz w:val="28"/>
          <w:szCs w:val="28"/>
          <w:rtl w:val="true"/>
          <w:lang w:bidi="fa-IR"/>
        </w:rPr>
        <w:t>و لو فی حال الاختیار و وجود المماثل، و ادّعی فی التذکرة</w:t>
      </w:r>
      <w:r>
        <w:rPr>
          <w:rStyle w:val="FootnoteAnchor"/>
          <w:rtl w:val="true"/>
        </w:rPr>
        <w:footnoteReference w:id="1753"/>
      </w:r>
      <w:r>
        <w:rPr>
          <w:rFonts w:ascii="IRNazanin" w:hAnsi="IRNazanin" w:eastAsia="IRNazanin"/>
          <w:color w:val="111111"/>
          <w:sz w:val="28"/>
          <w:sz w:val="28"/>
          <w:szCs w:val="28"/>
          <w:rtl w:val="true"/>
          <w:lang w:bidi="fa-IR"/>
        </w:rPr>
        <w:t>و النهایة</w:t>
      </w:r>
      <w:r>
        <w:rPr>
          <w:rStyle w:val="FootnoteAnchor"/>
          <w:rtl w:val="true"/>
        </w:rPr>
        <w:footnoteReference w:id="1754"/>
      </w:r>
      <w:r>
        <w:rPr>
          <w:rFonts w:ascii="IRNazanin" w:hAnsi="IRNazanin" w:eastAsia="IRNazanin"/>
          <w:color w:val="111111"/>
          <w:sz w:val="28"/>
          <w:sz w:val="28"/>
          <w:szCs w:val="28"/>
          <w:rtl w:val="true"/>
          <w:lang w:bidi="fa-IR"/>
        </w:rPr>
        <w:t>الإجماع علیه، و یدلّ علیه إطلاق موثّق عمّار و خبر أبی النمیر المتقدّمین</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خلافاً للشیخ</w:t>
      </w:r>
      <w:r>
        <w:rPr>
          <w:rStyle w:val="FootnoteAnchor"/>
          <w:rtl w:val="true"/>
        </w:rPr>
        <w:footnoteReference w:id="1756"/>
      </w:r>
      <w:r>
        <w:rPr>
          <w:rFonts w:ascii="IRNazanin" w:hAnsi="IRNazanin" w:eastAsia="IRNazanin"/>
          <w:color w:val="111111"/>
          <w:sz w:val="28"/>
          <w:sz w:val="28"/>
          <w:szCs w:val="28"/>
          <w:rtl w:val="true"/>
          <w:lang w:bidi="fa-IR"/>
        </w:rPr>
        <w:t>و المفید</w:t>
      </w:r>
      <w:r>
        <w:rPr>
          <w:rStyle w:val="FootnoteAnchor"/>
          <w:rtl w:val="true"/>
        </w:rPr>
        <w:footnoteReference w:id="1757"/>
      </w:r>
      <w:r>
        <w:rPr>
          <w:rFonts w:ascii="IRNazanin" w:hAnsi="IRNazanin" w:eastAsia="IRNazanin"/>
          <w:color w:val="111111"/>
          <w:sz w:val="28"/>
          <w:sz w:val="28"/>
          <w:szCs w:val="28"/>
          <w:rtl w:val="true"/>
          <w:lang w:bidi="fa-IR"/>
        </w:rPr>
        <w:t>و ابنی إدریس</w:t>
      </w:r>
      <w:r>
        <w:rPr>
          <w:rStyle w:val="FootnoteAnchor"/>
          <w:rtl w:val="true"/>
        </w:rPr>
        <w:footnoteReference w:id="1758"/>
      </w:r>
      <w:r>
        <w:rPr>
          <w:rFonts w:ascii="Amiri" w:hAnsi="Amiri" w:eastAsia="Amiri" w:cs="Amiri"/>
          <w:color w:val="111111"/>
          <w:sz w:val="28"/>
          <w:sz w:val="28"/>
          <w:szCs w:val="28"/>
          <w:rtl w:val="true"/>
          <w:lang w:bidi="ar-SA"/>
        </w:rPr>
        <w:t>و حمزة</w:t>
      </w:r>
      <w:r>
        <w:rPr>
          <w:rStyle w:val="FootnoteAnchor"/>
          <w:rtl w:val="true"/>
        </w:rPr>
        <w:footnoteReference w:id="1759"/>
      </w:r>
      <w:r>
        <w:rPr>
          <w:rFonts w:ascii="IRNazanin" w:hAnsi="IRNazanin" w:eastAsia="IRNazanin"/>
          <w:color w:val="111111"/>
          <w:sz w:val="28"/>
          <w:sz w:val="28"/>
          <w:szCs w:val="28"/>
          <w:rtl w:val="true"/>
          <w:lang w:bidi="fa-IR"/>
        </w:rPr>
        <w:t>، من تخصیصهم الجواز بحال الضرورة و فقد المماثل، و لعلّ وجهه إشعار موثّق عمّار بذلک؛ لأنّه سئل فیه عن الصبیّة تموت و لا تصاب امرأة تغسّلها،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یغسّلها رجل أولی الناس بها</w:t>
      </w:r>
      <w:r>
        <w:rPr>
          <w:rFonts w:eastAsia="IRNazanin" w:cs="IRNazanin"/>
          <w:color w:val="111111"/>
          <w:sz w:val="28"/>
          <w:szCs w:val="28"/>
          <w:rtl w:val="true"/>
          <w:lang w:bidi="fa-IR"/>
        </w:rPr>
        <w:t>»</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مجال لهذا الإشعار؛ لأنّ دلیل الجواز مطلق و ادّعی علیه الإجماع، و أیضاً قامت الشهرة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فرض فقد المماثل فی عبارة السائل و الاعتبار بالإطلاق إنّما هو فی کلام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یقتضیه الاحتیاط وجوباً أن یقیّد جواز تغسیل الصبیّ و الصبیّة للرجل و المرأة بعد الثلاث، بأن یکون من فوق الثیاب عند الضرورة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قبل الثلاث فلا یشترط بالضرورة جزماً، بل یجوز ذلک اختیاراً؛ لإطلاق النصوص و الفتاوی، بل ظهورها فی إرادة ذلک، مضافاً إلی أنّه هو</w:t>
      </w:r>
      <w:bookmarkStart w:id="496" w:name="pg11755_254888"/>
    </w:p>
    <w:p>
      <w:pPr>
        <w:pStyle w:val="BookText"/>
        <w:rPr/>
      </w:pPr>
      <w:bookmarkEnd w:id="496"/>
      <w:r>
        <w:rPr>
          <w:rFonts w:ascii="IRNazanin" w:hAnsi="IRNazanin" w:eastAsia="IRNazanin"/>
          <w:color w:val="111111"/>
          <w:sz w:val="28"/>
          <w:sz w:val="28"/>
          <w:szCs w:val="28"/>
          <w:rtl w:val="true"/>
          <w:lang w:bidi="fa-IR"/>
        </w:rPr>
        <w:t>الذی یقتضیه الأصل و العمومات، کما قال به الفقیه الهمدانی</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الأحوط فی الثلاث و ما دونها أیضاً الاقتصار علی صورة فقد المماثل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الأحوط الاقتصار علی صورة فقد المماثل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وافقه فی ذلک کثیر من الأعلام الذین علّقوا علیها</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 w:name="__RefHeading___Toc9587624_73709187"/>
      <w:bookmarkStart w:id="498" w:name="_Toc186"/>
      <w:bookmarkEnd w:id="497"/>
      <w:r>
        <w:rPr>
          <w:rtl w:val="true"/>
        </w:rPr>
        <w:t>تغسیل الرجل و المرأة للأطفال عند أهل السنّة</w:t>
      </w:r>
      <w:bookmarkEnd w:id="498"/>
    </w:p>
    <w:p>
      <w:pPr>
        <w:pStyle w:val="BookText"/>
        <w:rPr/>
      </w:pPr>
      <w:r>
        <w:rPr>
          <w:rFonts w:ascii="IRNazanin" w:hAnsi="IRNazanin" w:eastAsia="IRNazanin"/>
          <w:color w:val="111111"/>
          <w:sz w:val="28"/>
          <w:sz w:val="28"/>
          <w:szCs w:val="28"/>
          <w:rtl w:val="true"/>
          <w:lang w:bidi="fa-IR"/>
        </w:rPr>
        <w:t>لا خلاف بین المذاهب فی جواز تغسیل الرجل الصبیّة و المرأة الصبیّ، بل ثبت الإجماع عندهم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 کلّ من یحفظ عنه من أهل العلم علی أنّ المرأة تغسّل الصبیّ الصغیر</w:t>
      </w:r>
      <w:r>
        <w:rPr>
          <w:rFonts w:eastAsia="IRNazanin" w:cs="IRNazanin"/>
          <w:color w:val="111111"/>
          <w:sz w:val="28"/>
          <w:szCs w:val="28"/>
          <w:rtl w:val="true"/>
          <w:lang w:bidi="fa-IR"/>
        </w:rPr>
        <w:t>»</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اختلفوا فی تحدید سنّ الصغیر الذی جاز لهما تغسیله، فقیّده بعض الحنفیّة و الشافعیّة بالّذی لا یشتهی، جاء 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الولد الصغیر الذی لا یشتهی یغسّله الرجال و النساء، لحلّ النظر و اللمس له</w:t>
      </w:r>
      <w:r>
        <w:rPr>
          <w:rFonts w:eastAsia="IRNazanin" w:cs="IRNazanin"/>
          <w:color w:val="111111"/>
          <w:sz w:val="28"/>
          <w:szCs w:val="28"/>
          <w:rtl w:val="true"/>
          <w:lang w:bidi="fa-IR"/>
        </w:rPr>
        <w:t>»</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مات الصبیّ الذی لا یشتهی لا بأس أن تغسّله النساء، و کذا الصبیّة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یغسّلها الرجال؛ لأنّ حکم العورة غیر ثابت فی حقّ الصغیر و الصغیرة</w:t>
      </w:r>
      <w:r>
        <w:rPr>
          <w:rFonts w:eastAsia="IRNazanin" w:cs="IRNazanin"/>
          <w:color w:val="111111"/>
          <w:sz w:val="28"/>
          <w:szCs w:val="28"/>
          <w:rtl w:val="true"/>
          <w:lang w:bidi="fa-IR"/>
        </w:rPr>
        <w:t>»</w:t>
      </w:r>
      <w:r>
        <w:rPr>
          <w:rStyle w:val="FootnoteAnchor"/>
          <w:rtl w:val="true"/>
        </w:rPr>
        <w:footnoteReference w:id="1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بعض آخر بأنّه لیس فی سنّه 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الصغیر من الرجال و النساء یجوز للرجال و النساء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سنّه نصّ، و الذی یجیء فی المذهب أنّه ما لم یکن ممیّزاً غسّله الرجال و النساء، و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یفطم، 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دون سبع سنین</w:t>
      </w:r>
      <w:r>
        <w:rPr>
          <w:rFonts w:eastAsia="IRNazanin" w:cs="IRNazanin"/>
          <w:color w:val="111111"/>
          <w:sz w:val="28"/>
          <w:szCs w:val="28"/>
          <w:rtl w:val="true"/>
          <w:lang w:bidi="fa-IR"/>
        </w:rPr>
        <w:t>»</w:t>
      </w:r>
      <w:r>
        <w:rPr>
          <w:rStyle w:val="FootnoteAnchor"/>
          <w:rtl w:val="true"/>
        </w:rPr>
        <w:footnoteReference w:id="1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الکافی، و علّله بأنّ عورته لیست عورة</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مالک 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سبع سنین، و قال الأوزاعی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أربع أو خمس، و 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إلی خمس، و ضبطه أصحاب الرأی بالکلام، فقالوا تغسّله ما لم یتکلّم، و یغسّلها ما لم تتکلّم</w:t>
      </w:r>
      <w:r>
        <w:rPr>
          <w:rFonts w:eastAsia="IRNazanin" w:cs="IRNazanin"/>
          <w:color w:val="111111"/>
          <w:sz w:val="28"/>
          <w:szCs w:val="28"/>
          <w:rtl w:val="true"/>
          <w:lang w:bidi="fa-IR"/>
        </w:rPr>
        <w:t>»</w:t>
      </w:r>
      <w:r>
        <w:rPr>
          <w:rStyle w:val="FootnoteAnchor"/>
          <w:rtl w:val="true"/>
        </w:rPr>
        <w:footnoteReference w:id="1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 فی غیرها</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کلمات بعض 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غسل صبیّة رضیعة و ما قاربها کزیادة شهر علی مدّة الرضاع لا بنت ثلاث سنین، و قال ابن القاسم من المالکیّة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یغسّل الرجل الصبیّة و إن صغرت جدّاً،</w:t>
      </w:r>
      <w:r>
        <w:rPr>
          <w:rStyle w:val="FootnoteAnchor"/>
          <w:rtl w:val="true"/>
        </w:rPr>
        <w:footnoteReference w:id="1770"/>
      </w:r>
      <w:r>
        <w:rPr>
          <w:rFonts w:ascii="IRNazanin" w:hAnsi="IRNazanin" w:eastAsia="IRNazanin"/>
          <w:color w:val="111111"/>
          <w:sz w:val="28"/>
          <w:sz w:val="28"/>
          <w:szCs w:val="28"/>
          <w:rtl w:val="true"/>
          <w:lang w:bidi="fa-IR"/>
        </w:rPr>
        <w:t>و أمّا المرأة جاز لها تغسیل ابن سبع، بل ثمان سنین</w:t>
      </w:r>
      <w:r>
        <w:rPr>
          <w:rFonts w:eastAsia="IRNazanin" w:cs="IRNazanin"/>
          <w:color w:val="111111"/>
          <w:sz w:val="28"/>
          <w:szCs w:val="28"/>
          <w:rtl w:val="true"/>
          <w:lang w:bidi="fa-IR"/>
        </w:rPr>
        <w:t>»</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الصحیح ما علیه السلف من أنّ الرّجل لا یغسّل الجاریة، و التفرقة بین عورة الغلام و الجاریة؛ لأنّ عورة الجاریة أفحش، و لأنّ العادة معاناة المرأة للغلام الصغیر و مباشرة عورته فی حال تربیته، و لم تجر</w:t>
      </w:r>
    </w:p>
    <w:p>
      <w:pPr>
        <w:pStyle w:val="BookText"/>
        <w:rPr/>
      </w:pPr>
      <w:r>
        <w:rPr>
          <w:rFonts w:ascii="IRNazanin" w:hAnsi="IRNazanin" w:eastAsia="IRNazanin"/>
          <w:color w:val="111111"/>
          <w:sz w:val="28"/>
          <w:sz w:val="28"/>
          <w:szCs w:val="28"/>
          <w:rtl w:val="true"/>
          <w:lang w:bidi="fa-IR"/>
        </w:rPr>
        <w:t>العادة بمباشرة الرجل عورة الجاریة فی الحیاة، فکذلک حالة الموت</w:t>
      </w:r>
      <w:r>
        <w:rPr>
          <w:rFonts w:eastAsia="IRNazanin" w:cs="IRNazanin"/>
          <w:color w:val="111111"/>
          <w:sz w:val="28"/>
          <w:szCs w:val="28"/>
          <w:rtl w:val="true"/>
          <w:lang w:bidi="fa-IR"/>
        </w:rPr>
        <w:t>»</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بعضهم بأنّه یجوز للرجل و المرأة غسل الصبیّة و الصبیّ مجرّداً و من غیر 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کشّاف القناع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للرجل و المرأة غسل من له دون سبع سنین من ذکر و انثی؛ لأنّه لا حکم لعورته، بدلیل أنّ إبراهیم ابن النبیّ صلی الله علیه و آله غسّله النساء</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لکلّ منهما مسّ عورته و نظرها؛ لأنّه لا حکم لها، قال ابن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کلّ من نحفظ عنه أنّ المرأة تغسّل الصبیّ الصغیر، فتغسّله مجرّداً من غیر سترة، و تمسّ عورته</w:t>
      </w:r>
      <w:r>
        <w:rPr>
          <w:rFonts w:eastAsia="IRNazanin" w:cs="IRNazanin"/>
          <w:color w:val="111111"/>
          <w:sz w:val="28"/>
          <w:szCs w:val="28"/>
          <w:rtl w:val="true"/>
          <w:lang w:bidi="fa-IR"/>
        </w:rPr>
        <w:t>»</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bookmarkStart w:id="499" w:name="pg11755_254895"/>
    </w:p>
    <w:p>
      <w:pPr>
        <w:pStyle w:val="Heading4"/>
        <w:numPr>
          <w:ilvl w:val="3"/>
          <w:numId w:val="1"/>
        </w:numPr>
        <w:rPr/>
      </w:pPr>
      <w:bookmarkStart w:id="500" w:name="__RefHeading___Toc9587626_73709187"/>
      <w:bookmarkStart w:id="501" w:name="_Toc187"/>
      <w:bookmarkEnd w:id="499"/>
      <w:bookmarkEnd w:id="500"/>
      <w:r>
        <w:rPr>
          <w:rtl w:val="true"/>
        </w:rPr>
        <w:t>المبحث الرابع</w:t>
      </w:r>
      <w:r>
        <w:rPr>
          <w:rtl w:val="true"/>
        </w:rPr>
        <w:t xml:space="preserve">: </w:t>
      </w:r>
      <w:r>
        <w:rPr>
          <w:rtl w:val="true"/>
        </w:rPr>
        <w:t>فی تکفین الصبیّ و تحنیطه و دفنه</w:t>
      </w:r>
      <w:bookmarkEnd w:id="501"/>
    </w:p>
    <w:p>
      <w:pPr>
        <w:pStyle w:val="Heading5"/>
        <w:numPr>
          <w:ilvl w:val="4"/>
          <w:numId w:val="1"/>
        </w:numPr>
        <w:rPr/>
      </w:pPr>
      <w:bookmarkStart w:id="502" w:name="__RefHeading___Toc9587628_73709187"/>
      <w:bookmarkStart w:id="503" w:name="_Toc188"/>
      <w:bookmarkEnd w:id="502"/>
      <w:r>
        <w:rPr>
          <w:rtl w:val="true"/>
        </w:rPr>
        <w:t>اشارة</w:t>
      </w:r>
      <w:bookmarkEnd w:id="503"/>
    </w:p>
    <w:p>
      <w:pPr>
        <w:pStyle w:val="BookText"/>
        <w:rPr/>
      </w:pPr>
      <w:r>
        <w:rPr>
          <w:rFonts w:ascii="IRNazanin" w:hAnsi="IRNazanin" w:eastAsia="IRNazanin"/>
          <w:color w:val="111111"/>
          <w:sz w:val="28"/>
          <w:sz w:val="28"/>
          <w:szCs w:val="28"/>
          <w:rtl w:val="true"/>
          <w:lang w:bidi="fa-IR"/>
        </w:rPr>
        <w:t>الظاهر أنّ الصبیّ المیّت کالبالغ فی جمیع أحکامه من التکفین و التحنیط و التدفین و غیرها إلّا الصلاة، فإنّها لا تجب إلّا إذا بلغ ستّ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أسقطت المرأة و کان السقط تامّاً لأربعة أشهر فما زاد، غسّل و کفّن و دفن</w:t>
      </w:r>
      <w:r>
        <w:rPr>
          <w:rFonts w:eastAsia="IRNazanin" w:cs="IRNazanin"/>
          <w:color w:val="111111"/>
          <w:sz w:val="28"/>
          <w:szCs w:val="28"/>
          <w:rtl w:val="true"/>
          <w:lang w:bidi="fa-IR"/>
        </w:rPr>
        <w:t>..»</w:t>
      </w:r>
      <w:r>
        <w:rPr>
          <w:rStyle w:val="FootnoteAnchor"/>
          <w:rtl w:val="true"/>
        </w:rPr>
        <w:footnoteReference w:id="1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النهایة</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المیّت صبیّاً غسّل کتغسیل الرجال و کفّن کتکفینهم و تحنیطهم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الصبیّ سقطاً و قد بلغ أربعة أشهر فصاعداً وجب غسله و تحنیطه و تکفینه</w:t>
      </w:r>
      <w:r>
        <w:rPr>
          <w:rFonts w:eastAsia="IRNazanin" w:cs="IRNazanin"/>
          <w:color w:val="111111"/>
          <w:sz w:val="28"/>
          <w:szCs w:val="28"/>
          <w:rtl w:val="true"/>
          <w:lang w:bidi="fa-IR"/>
        </w:rPr>
        <w:t>»</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المراسم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مات بعد الولادة و له أقلّ من ستّ سنین فیغسّل و یحنّط و یکفّن</w:t>
      </w:r>
      <w:r>
        <w:rPr>
          <w:rFonts w:eastAsia="IRNazanin" w:cs="IRNazanin"/>
          <w:color w:val="111111"/>
          <w:sz w:val="28"/>
          <w:szCs w:val="28"/>
          <w:rtl w:val="true"/>
          <w:lang w:bidi="fa-IR"/>
        </w:rPr>
        <w:t>»</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bookmarkStart w:id="504" w:name="pg11755_254897"/>
    </w:p>
    <w:p>
      <w:pPr>
        <w:pStyle w:val="BookText"/>
        <w:rPr/>
      </w:pPr>
      <w:bookmarkEnd w:id="504"/>
      <w:r>
        <w:rPr>
          <w:rFonts w:ascii="IRNazanin" w:hAnsi="IRNazanin" w:eastAsia="IRNazanin"/>
          <w:color w:val="111111"/>
          <w:sz w:val="28"/>
          <w:sz w:val="28"/>
          <w:szCs w:val="28"/>
          <w:rtl w:val="true"/>
          <w:lang w:bidi="fa-IR"/>
        </w:rPr>
        <w:t>و قال العلّامة فی 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صدر المیّت کالمیّت فی جمیع أحکامه، و ذات العظم، و السقط لأربعة أشهر کذلک، إلّا فی الصلاة</w:t>
      </w:r>
      <w:r>
        <w:rPr>
          <w:rFonts w:eastAsia="IRNazanin" w:cs="IRNazanin"/>
          <w:color w:val="111111"/>
          <w:sz w:val="28"/>
          <w:szCs w:val="28"/>
          <w:rtl w:val="true"/>
          <w:lang w:bidi="fa-IR"/>
        </w:rPr>
        <w:t>»</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بعض آخر من کتبه،</w:t>
      </w:r>
      <w:r>
        <w:rPr>
          <w:rStyle w:val="FootnoteAnchor"/>
          <w:rtl w:val="true"/>
        </w:rPr>
        <w:footnoteReference w:id="1779"/>
      </w:r>
      <w:r>
        <w:rPr>
          <w:rFonts w:ascii="IRNazanin" w:hAnsi="IRNazanin" w:eastAsia="IRNazanin"/>
          <w:color w:val="111111"/>
          <w:sz w:val="28"/>
          <w:sz w:val="28"/>
          <w:szCs w:val="28"/>
          <w:rtl w:val="true"/>
          <w:lang w:bidi="fa-IR"/>
        </w:rPr>
        <w:t>و صرّح بذلک جملة من المتأخّرین و متأخّریهم</w:t>
      </w:r>
      <w:r>
        <w:rPr>
          <w:rStyle w:val="FootnoteAnchor"/>
          <w:rtl w:val="true"/>
        </w:rPr>
        <w:footnoteReference w:id="1780"/>
      </w:r>
      <w:r>
        <w:rPr>
          <w:rFonts w:ascii="IRNazanin" w:hAnsi="IRNazanin" w:eastAsia="IRNazanin"/>
          <w:color w:val="111111"/>
          <w:sz w:val="28"/>
          <w:sz w:val="28"/>
          <w:szCs w:val="28"/>
          <w:rtl w:val="true"/>
          <w:lang w:bidi="fa-IR"/>
        </w:rPr>
        <w:t>و بعض المعاصرین،</w:t>
      </w:r>
      <w:r>
        <w:rPr>
          <w:rStyle w:val="FootnoteAnchor"/>
          <w:rtl w:val="true"/>
        </w:rPr>
        <w:footnoteReference w:id="1781"/>
      </w:r>
      <w:r>
        <w:rPr>
          <w:rFonts w:ascii="IRNazanin" w:hAnsi="IRNazanin" w:eastAsia="IRNazanin"/>
          <w:color w:val="111111"/>
          <w:sz w:val="28"/>
          <w:sz w:val="28"/>
          <w:szCs w:val="28"/>
          <w:rtl w:val="true"/>
          <w:lang w:bidi="fa-IR"/>
        </w:rPr>
        <w:t>إلّا أنّ عبارات بعضهم خالیة عن ذکر الحنوط‌</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5" w:name="__RefHeading___Toc9587630_73709187"/>
      <w:bookmarkStart w:id="506" w:name="_Toc189"/>
      <w:bookmarkEnd w:id="505"/>
      <w:r>
        <w:rPr>
          <w:rtl w:val="true"/>
        </w:rPr>
        <w:t>أدلّة وجوب تکفین الصبیّ و تحنیطه و دفنه</w:t>
      </w:r>
      <w:bookmarkEnd w:id="506"/>
    </w:p>
    <w:p>
      <w:pPr>
        <w:pStyle w:val="BookText"/>
        <w:rPr/>
      </w:pPr>
      <w:r>
        <w:rPr>
          <w:rFonts w:ascii="IRNazanin" w:hAnsi="IRNazanin" w:eastAsia="IRNazanin"/>
          <w:color w:val="111111"/>
          <w:sz w:val="28"/>
          <w:sz w:val="28"/>
          <w:szCs w:val="28"/>
          <w:rtl w:val="true"/>
          <w:lang w:bidi="fa-IR"/>
        </w:rPr>
        <w:t>و یمکن أن یستدلّ للأحکام المذکورة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فی الکافی عن زرارة فی الصحیح،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ابن لأبی جعفر علیه السلام فاُخبر بموته، فأمر به فغسّل و کفّن، و مشی معه، و 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ثلاث سنین</w:t>
      </w:r>
      <w:r>
        <w:rPr>
          <w:rStyle w:val="FootnoteAnchor"/>
          <w:rtl w:val="true"/>
        </w:rPr>
        <w:footnoteReference w:id="1783"/>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اخری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ابناً لأبی عبد اللّه علیه السلام فطیماً درج مات،</w:t>
      </w:r>
    </w:p>
    <w:p>
      <w:pPr>
        <w:pStyle w:val="BookText"/>
        <w:rPr/>
      </w:pPr>
      <w:r>
        <w:rPr>
          <w:rFonts w:ascii="IRNazanin" w:hAnsi="IRNazanin" w:eastAsia="IRNazanin"/>
          <w:color w:val="111111"/>
          <w:sz w:val="28"/>
          <w:sz w:val="28"/>
          <w:szCs w:val="28"/>
          <w:rtl w:val="true"/>
          <w:lang w:bidi="fa-IR"/>
        </w:rPr>
        <w:t xml:space="preserve">فخرج أبو جعفر علیه السلام فی جنازته و علیه جبّة خزّ صفراء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علیه فکبّر علیه أربعاً، ثمّ أمر به فدفن</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أیضاً فی الکافی عن علیّ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موسی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قبض إبراهیم بن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قم فجهّز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علیّ علیه السلام فغسّل إبراهیم و حنّطه و کفّنه، ثمّ خرج به و مضی رسول اللّه صلی الله علیه و آله حتّی انتهی به إلی قبره</w:t>
      </w:r>
      <w:r>
        <w:rPr>
          <w:rFonts w:eastAsia="IRNazanin" w:cs="IRNazanin"/>
          <w:color w:val="111111"/>
          <w:sz w:val="28"/>
          <w:szCs w:val="28"/>
          <w:rtl w:val="true"/>
          <w:lang w:bidi="fa-IR"/>
        </w:rPr>
        <w:t>»</w:t>
      </w:r>
      <w:r>
        <w:rPr>
          <w:rStyle w:val="FootnoteAnchor"/>
          <w:rtl w:val="true"/>
        </w:rPr>
        <w:footnoteReference w:id="1785"/>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السقط إذا استوت خلقته یجب علیه الغسل و اللحد و الکفن؟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کلّ ذلک یجب علیه إذا استوی</w:t>
      </w:r>
      <w:r>
        <w:rPr>
          <w:rFonts w:eastAsia="IRNazanin" w:cs="IRNazanin"/>
          <w:color w:val="111111"/>
          <w:sz w:val="28"/>
          <w:szCs w:val="28"/>
          <w:rtl w:val="true"/>
          <w:lang w:bidi="fa-IR"/>
        </w:rPr>
        <w:t>»</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الکلینی عن زرعة عن سماعة عن أبی الحسن الأوّل علیه السلام مثله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علیه</w:t>
      </w:r>
      <w:r>
        <w:rPr>
          <w:rFonts w:eastAsia="IRNazanin" w:cs="IRNazanin"/>
          <w:color w:val="111111"/>
          <w:sz w:val="28"/>
          <w:szCs w:val="28"/>
          <w:rtl w:val="true"/>
          <w:lang w:bidi="fa-IR"/>
        </w:rPr>
        <w:t>»</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منجبرة بقبول الأصحاب کما فی المعتبر،</w:t>
      </w:r>
      <w:r>
        <w:rPr>
          <w:rStyle w:val="FootnoteAnchor"/>
          <w:rtl w:val="true"/>
        </w:rPr>
        <w:footnoteReference w:id="1788"/>
      </w:r>
      <w:r>
        <w:rPr>
          <w:rFonts w:ascii="IRNazanin" w:hAnsi="IRNazanin" w:eastAsia="IRNazanin"/>
          <w:color w:val="111111"/>
          <w:sz w:val="28"/>
          <w:sz w:val="28"/>
          <w:szCs w:val="28"/>
          <w:rtl w:val="true"/>
          <w:lang w:bidi="fa-IR"/>
        </w:rPr>
        <w:t>و قال فی الذخیرة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معارض لها مع قبول الأصحاب، فیستقیم التعویل علیها</w:t>
      </w:r>
      <w:r>
        <w:rPr>
          <w:rFonts w:eastAsia="IRNazanin" w:cs="IRNazanin"/>
          <w:color w:val="111111"/>
          <w:sz w:val="28"/>
          <w:szCs w:val="28"/>
          <w:rtl w:val="true"/>
          <w:lang w:bidi="fa-IR"/>
        </w:rPr>
        <w:t>»</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المستفاد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السقط بعد الاستواء أو تمامیّة أربعة أشهر یدفن و یکفّن کما یدفن و یکفّن غیره من الأموات المکلّفین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اندراجه تحت إطلاقات الأدلّة التی تدلّ علی وجوب</w:t>
      </w:r>
    </w:p>
    <w:p>
      <w:pPr>
        <w:pStyle w:val="BookText"/>
        <w:rPr/>
      </w:pPr>
      <w:r>
        <w:rPr>
          <w:rFonts w:ascii="IRNazanin" w:hAnsi="IRNazanin" w:eastAsia="IRNazanin"/>
          <w:color w:val="111111"/>
          <w:sz w:val="28"/>
          <w:sz w:val="28"/>
          <w:szCs w:val="28"/>
          <w:rtl w:val="true"/>
          <w:lang w:bidi="fa-IR"/>
        </w:rPr>
        <w:t>الکفن</w:t>
      </w:r>
      <w:r>
        <w:rPr>
          <w:rStyle w:val="FootnoteAnchor"/>
          <w:rtl w:val="true"/>
        </w:rPr>
        <w:footnoteReference w:id="1790"/>
      </w:r>
      <w:r>
        <w:rPr>
          <w:rFonts w:ascii="IRNazanin" w:hAnsi="IRNazanin" w:eastAsia="IRNazanin"/>
          <w:color w:val="111111"/>
          <w:sz w:val="28"/>
          <w:sz w:val="28"/>
          <w:szCs w:val="28"/>
          <w:rtl w:val="true"/>
          <w:lang w:bidi="fa-IR"/>
        </w:rPr>
        <w:t>، سیما علی القول بحلول الحیاة فی الجنین و نفخ الروح فیه بعد أربعة أشهر بحیث یصدق علیه المیّت؛ لأنّ الموت هو عدم الحیاة عن محلّ اتّصف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یؤیّدها ما فی الفقه الرضوی،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أسقطت المرأة و کان السقط تامّاً غُسِّل و حُنِّط و کفِّن و دُفن، و إن لم یکن تامّاً فلا یغسّل و یُدفن بدمه، و حدّ إتمامه إذا أتی علیه أربعة أشهر</w:t>
      </w:r>
      <w:r>
        <w:rPr>
          <w:rFonts w:eastAsia="Amiri" w:cs="Amiri" w:ascii="Amiri" w:hAnsi="Amiri"/>
          <w:color w:val="111111"/>
          <w:sz w:val="28"/>
          <w:szCs w:val="28"/>
          <w:rtl w:val="true"/>
          <w:lang w:bidi="ar-SA"/>
        </w:rPr>
        <w:t>»</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التقیید بالرجل أو المرأة فی بعض النصوص لا اعتبار له؛ لأنّ التقیید بهما غالبی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فی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تکفین الصبیّ کالبالغ بلا خلاف</w:t>
      </w:r>
      <w:r>
        <w:rPr>
          <w:rFonts w:eastAsia="IRNazanin" w:cs="IRNazanin"/>
          <w:color w:val="111111"/>
          <w:sz w:val="28"/>
          <w:szCs w:val="28"/>
          <w:rtl w:val="true"/>
          <w:lang w:bidi="fa-IR"/>
        </w:rPr>
        <w:t>»</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الفقیه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یُغسّل و یُکفّن و یُدفن بلا خلاف فی شیء منها علی الظاهر</w:t>
      </w:r>
      <w:r>
        <w:rPr>
          <w:rFonts w:eastAsia="IRNazanin" w:cs="IRNazanin"/>
          <w:color w:val="111111"/>
          <w:sz w:val="28"/>
          <w:szCs w:val="28"/>
          <w:rtl w:val="true"/>
          <w:lang w:bidi="fa-IR"/>
        </w:rPr>
        <w:t>»</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الظاهر أنّ المراد من الکفن هو القطع الثلاث، لأنّه المتبادر من اللفظ، کما أنّ المراد من الغسل هو الغسل المعهود، کما صرّح به جماعة</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التعبیر باللفّ بخرقة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الشرائع</w:t>
      </w:r>
      <w:r>
        <w:rPr>
          <w:rStyle w:val="FootnoteAnchor"/>
          <w:rtl w:val="true"/>
        </w:rPr>
        <w:footnoteReference w:id="1795"/>
      </w:r>
      <w:r>
        <w:rPr>
          <w:rFonts w:ascii="IRNazanin" w:hAnsi="IRNazanin" w:eastAsia="IRNazanin"/>
          <w:color w:val="111111"/>
          <w:sz w:val="28"/>
          <w:sz w:val="28"/>
          <w:szCs w:val="28"/>
          <w:rtl w:val="true"/>
          <w:lang w:bidi="fa-IR"/>
        </w:rPr>
        <w:t xml:space="preserve">و التحریر </w:t>
      </w:r>
      <w:r>
        <w:rPr>
          <w:rStyle w:val="FootnoteAnchor"/>
          <w:rtl w:val="true"/>
        </w:rPr>
        <w:footnoteReference w:id="1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w:t>
      </w:r>
    </w:p>
    <w:p>
      <w:p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السقط إذا کان له أربعة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حکمه حکم ما فیه الصدر، فیجب تغسیله ثلاثاً و تکفینه و تحنیطه، لکن لا تشرع الصلاة علیه؛ لأنّ شرطها کون المولود حیّاً، ففی العبارة التباس فی الحکم و العطف</w:t>
      </w:r>
      <w:r>
        <w:rPr>
          <w:rFonts w:eastAsia="IRNazanin" w:cs="IRNazanin"/>
          <w:color w:val="111111"/>
          <w:sz w:val="28"/>
          <w:szCs w:val="28"/>
          <w:rtl w:val="true"/>
          <w:lang w:bidi="fa-IR"/>
        </w:rPr>
        <w:t>»</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تحنیط السقط ففیه إشکال و إن صرّح بإیجابه جماعة من الأصحاب</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الدلیل علیه، إلّا أن یثبت حلول الحیاة فیه بحیث یصدق علیه المیّت، فیدخل فی العمومات</w:t>
      </w:r>
      <w:r>
        <w:rPr>
          <w:rStyle w:val="FootnoteAnchor"/>
          <w:rtl w:val="true"/>
        </w:rPr>
        <w:footnoteReference w:id="1799"/>
      </w:r>
      <w:r>
        <w:rPr>
          <w:rFonts w:ascii="IRNazanin" w:hAnsi="IRNazanin" w:eastAsia="IRNazanin"/>
          <w:color w:val="111111"/>
          <w:sz w:val="28"/>
          <w:sz w:val="28"/>
          <w:szCs w:val="28"/>
          <w:rtl w:val="true"/>
          <w:lang w:bidi="fa-IR"/>
        </w:rPr>
        <w:t>، و الاحتیاط لا یترک</w:t>
      </w:r>
      <w:r>
        <w:rPr>
          <w:rFonts w:eastAsia="IRNazanin" w:cs="IRNazanin"/>
          <w:color w:val="111111"/>
          <w:sz w:val="28"/>
          <w:szCs w:val="28"/>
          <w:rtl w:val="true"/>
          <w:lang w:bidi="fa-IR"/>
        </w:rPr>
        <w:t>»</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أفاده قدس سره هو الأقوی؛ لأنّ التحنیط فی الأخبار قد ترتّب علی المیّت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یستفاد من الأخبار کون العبرة فی وجوب التغسیل و التکفین و التحنیط و الدفن هو تمامیّة الصورة و تحقّق الحیاة، و هی تحصل غالباً بمضیّ أربعة أشهر، و الاختلاف إنّما هو فی من بلغ أربعة أشهر، و أمّا إن تمّ له ستّة أشهر فصاعداً فحکمه حکم غیره من الأموات</w:t>
      </w:r>
      <w:r>
        <w:rPr>
          <w:rStyle w:val="FootnoteAnchor"/>
          <w:rtl w:val="true"/>
        </w:rPr>
        <w:footnoteReference w:id="1801"/>
      </w:r>
      <w:r>
        <w:rPr>
          <w:rFonts w:ascii="IRNazanin" w:hAnsi="IRNazanin" w:eastAsia="IRNazanin"/>
          <w:color w:val="111111"/>
          <w:sz w:val="28"/>
          <w:sz w:val="28"/>
          <w:szCs w:val="28"/>
          <w:rtl w:val="true"/>
          <w:lang w:bidi="fa-IR"/>
        </w:rPr>
        <w:t>؛ لأنّه یتحقّق فیه الموت الذی هو موضوع الأحکام، و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الحیاة عن محلّ اتّصف بها</w:t>
      </w:r>
      <w:r>
        <w:rPr>
          <w:rFonts w:eastAsia="IRNazanin" w:cs="IRNazanin"/>
          <w:color w:val="111111"/>
          <w:sz w:val="28"/>
          <w:szCs w:val="28"/>
          <w:rtl w:val="true"/>
          <w:lang w:bidi="fa-IR"/>
        </w:rPr>
        <w:t>.</w:t>
      </w:r>
      <w:bookmarkStart w:id="507" w:name="pg11755_254905"/>
    </w:p>
    <w:p>
      <w:pPr>
        <w:pStyle w:val="Heading5"/>
        <w:numPr>
          <w:ilvl w:val="4"/>
          <w:numId w:val="1"/>
        </w:numPr>
        <w:rPr/>
      </w:pPr>
      <w:bookmarkStart w:id="508" w:name="__RefHeading___Toc9587632_73709187"/>
      <w:bookmarkStart w:id="509" w:name="_Toc190"/>
      <w:bookmarkEnd w:id="507"/>
      <w:bookmarkEnd w:id="508"/>
      <w:r>
        <w:rPr>
          <w:rtl w:val="true"/>
        </w:rPr>
        <w:t>وضع الجریدتین مع الصبیّ‌</w:t>
      </w:r>
      <w:bookmarkEnd w:id="509"/>
    </w:p>
    <w:p>
      <w:pPr>
        <w:pStyle w:val="Heading6"/>
        <w:numPr>
          <w:ilvl w:val="5"/>
          <w:numId w:val="1"/>
        </w:numPr>
        <w:rPr/>
      </w:pPr>
      <w:bookmarkStart w:id="510" w:name="__RefHeading___Toc9587634_73709187"/>
      <w:bookmarkStart w:id="511" w:name="_Toc191"/>
      <w:bookmarkEnd w:id="510"/>
      <w:r>
        <w:rPr>
          <w:rtl w:val="true"/>
        </w:rPr>
        <w:t>اشارة</w:t>
      </w:r>
      <w:bookmarkEnd w:id="511"/>
    </w:p>
    <w:p>
      <w:pPr>
        <w:pStyle w:val="BookText"/>
        <w:rPr/>
      </w:pPr>
      <w:r>
        <w:rPr>
          <w:rFonts w:ascii="IRNazanin" w:hAnsi="IRNazanin" w:eastAsia="IRNazanin"/>
          <w:color w:val="111111"/>
          <w:sz w:val="28"/>
          <w:sz w:val="28"/>
          <w:szCs w:val="28"/>
          <w:rtl w:val="true"/>
          <w:lang w:bidi="fa-IR"/>
        </w:rPr>
        <w:t>اتّفق الأصحاب علی أنّه یستحبّ وضع جریدتین خضراوین مع المیّت، و الجریدة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عود النخل الذی یجرّد عنه الخُوصُ، و ما دام الخُوصُ‌</w:t>
      </w:r>
      <w:r>
        <w:rPr>
          <w:rStyle w:val="FootnoteAnchor"/>
          <w:rtl w:val="true"/>
        </w:rPr>
        <w:footnoteReference w:id="1802"/>
      </w:r>
      <w:r>
        <w:rPr>
          <w:rFonts w:ascii="Amiri" w:hAnsi="Amiri" w:eastAsia="Amiri" w:cs="Amiri"/>
          <w:color w:val="111111"/>
          <w:sz w:val="28"/>
          <w:sz w:val="28"/>
          <w:szCs w:val="28"/>
          <w:rtl w:val="true"/>
          <w:lang w:bidi="ar-SA"/>
        </w:rPr>
        <w:t>فیه یسمّی سَعَفاً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الأصل فی وضع الجریدة مع المیّت أنّ اللّه تعالی لمّا أهبط آدم علیه السلام من الجنّة استوحش فی الأرض، فسأل اللّه تعالی أن ینزل إلیه شیئاً من أشجار الجنّة یأنس به، فاُنزلت علیه النخلة، فلمّا رآها عرفها و آنس بها و آوی إلیها، فلمّا جمع اللّه بینه و بین زوجته حوّاء و أقام معها ما شاء اللّه أن یقیم، و أولدها، ثمّ حضرته الوفاة، جمع ولده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إنی کنت قد استوحشت عند نزولی هذه الأرض، فآنسنی اللّه بهذه النخلة المبارکة، و أنا أرجو الاُنس بها فی قبری، فإذا قضیت نحبی فخذوا منها جریداً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 جریدة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فشقّوها باثنتین وضعوها معی فی أکفانی، ففعل ولده ذلک بعد موته، و فعلته الأنبیاء علیهم السلام بعده ثمّ اندرس أثره فی الجاهلیّة، فأحیاه النبیّ صلی الله علیه و آله و شرّعه و وصّی أهل بیته علیهم السلام باستعماله، فهو سنّة إلی أن تقوم الساعة</w:t>
      </w:r>
      <w:r>
        <w:rPr>
          <w:rFonts w:eastAsia="IRNazanin" w:cs="IRNazanin"/>
          <w:color w:val="111111"/>
          <w:sz w:val="28"/>
          <w:szCs w:val="28"/>
          <w:rtl w:val="true"/>
          <w:lang w:bidi="fa-IR"/>
        </w:rPr>
        <w:t>»</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الشیخ فی التهذیب ملخّصاً</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بفضل الجریدتین فی هذا المقام مستفیضة من طرق</w:t>
      </w:r>
    </w:p>
    <w:p>
      <w:pPr>
        <w:pStyle w:val="BookText"/>
        <w:rPr/>
      </w:pPr>
      <w:r>
        <w:rPr>
          <w:rFonts w:ascii="Amiri" w:hAnsi="Amiri" w:eastAsia="Amiri" w:cs="Amiri"/>
          <w:color w:val="111111"/>
          <w:sz w:val="28"/>
          <w:sz w:val="28"/>
          <w:szCs w:val="28"/>
          <w:rtl w:val="true"/>
          <w:lang w:bidi="ar-SA"/>
        </w:rPr>
        <w:t>الخاصّة</w:t>
      </w:r>
      <w:r>
        <w:rPr>
          <w:rStyle w:val="FootnoteAnchor"/>
          <w:rtl w:val="true"/>
        </w:rPr>
        <w:footnoteReference w:id="1805"/>
      </w:r>
      <w:r>
        <w:rPr>
          <w:rFonts w:ascii="IRNazanin" w:hAnsi="IRNazanin" w:eastAsia="IRNazanin"/>
          <w:color w:val="111111"/>
          <w:sz w:val="28"/>
          <w:sz w:val="28"/>
          <w:szCs w:val="28"/>
          <w:rtl w:val="true"/>
          <w:lang w:bidi="fa-IR"/>
        </w:rPr>
        <w:t>و أهل السنّة، فقد روی البخاری فی صحیحه عن ابن عباس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 بقبرین یُعذّبان،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لیعذّبان، و ما یعذّبان فی کبیر، أمّا أحدهما فکان لا یستتر من البول، و أمّا الآخر فکان یمشی بالنّمیمة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جریدة رطبة، فشقّها بنصفین، ثمّ غرز</w:t>
      </w:r>
      <w:r>
        <w:rPr>
          <w:rStyle w:val="FootnoteAnchor"/>
          <w:rtl w:val="true"/>
        </w:rPr>
        <w:footnoteReference w:id="1806"/>
      </w:r>
      <w:r>
        <w:rPr>
          <w:rFonts w:ascii="IRNazanin" w:hAnsi="IRNazanin" w:eastAsia="IRNazanin"/>
          <w:color w:val="111111"/>
          <w:sz w:val="28"/>
          <w:sz w:val="28"/>
          <w:szCs w:val="28"/>
          <w:rtl w:val="true"/>
          <w:lang w:bidi="fa-IR"/>
        </w:rPr>
        <w:t>فی کلّ قبر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لِمَ صنعت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أن یخفّف عنهما، ما لم ییبسا</w:t>
      </w:r>
      <w:r>
        <w:rPr>
          <w:rFonts w:eastAsia="IRNazanin" w:cs="IRNazanin"/>
          <w:color w:val="111111"/>
          <w:sz w:val="28"/>
          <w:szCs w:val="28"/>
          <w:rtl w:val="true"/>
          <w:lang w:bidi="fa-IR"/>
        </w:rPr>
        <w:t>»</w:t>
      </w:r>
      <w:r>
        <w:rPr>
          <w:rStyle w:val="FootnoteAnchor"/>
          <w:rtl w:val="true"/>
        </w:rPr>
        <w:footnoteReference w:id="1807"/>
      </w:r>
      <w:r>
        <w:rPr>
          <w:rFonts w:ascii="IRNazanin" w:hAnsi="IRNazanin" w:eastAsia="IRNazanin"/>
          <w:color w:val="111111"/>
          <w:sz w:val="28"/>
          <w:sz w:val="28"/>
          <w:szCs w:val="28"/>
          <w:rtl w:val="true"/>
          <w:lang w:bidi="fa-IR"/>
        </w:rPr>
        <w:t>، و کذا فی غیره</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من جهة العامّة فی فضل التخضیر شیء کثیر</w:t>
      </w:r>
      <w:r>
        <w:rPr>
          <w:rFonts w:eastAsia="IRNazanin" w:cs="IRNazanin"/>
          <w:color w:val="111111"/>
          <w:sz w:val="28"/>
          <w:szCs w:val="28"/>
          <w:rtl w:val="true"/>
          <w:lang w:bidi="fa-IR"/>
        </w:rPr>
        <w:t>»</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أهل السنّة لمزید تعصّبهم علی الشیعة، و السعی فی خلافهم قد عدلوا عن کثیر من السنن مراغمة للشیعة، حیث إنّهم یواظبون علیها، و یؤکّدون العمل بها، و منها هذا الموضع، کما فی الحدائق</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الحکم مجمع علیه بین الأصحاب و من متفرّدات الإمامیّة، و أهل السنّة لا یعرفون ذلک، کما فی الانتصار</w:t>
      </w:r>
      <w:r>
        <w:rPr>
          <w:rStyle w:val="FootnoteAnchor"/>
          <w:rtl w:val="true"/>
        </w:rPr>
        <w:footnoteReference w:id="1811"/>
      </w:r>
      <w:r>
        <w:rPr>
          <w:rFonts w:ascii="IRNazanin" w:hAnsi="IRNazanin" w:eastAsia="IRNazanin"/>
          <w:color w:val="111111"/>
          <w:sz w:val="28"/>
          <w:sz w:val="28"/>
          <w:szCs w:val="28"/>
          <w:rtl w:val="true"/>
          <w:lang w:bidi="fa-IR"/>
        </w:rPr>
        <w:t>و غیره</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إطلاق الأخبار و کلمات الأصحاب یقتضی عدم الفرق فی استحباب وضع الجریدتین مع المیّت بین کونه صغیراً أو کبیراً، عاقلاً أو مجنوناً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الجریدة تجعل مع جمیع الأموات من المسلمین، کبارهم و صغارهم،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فضیلة</w:t>
      </w:r>
      <w:r>
        <w:rPr>
          <w:rFonts w:eastAsia="IRNazanin" w:cs="IRNazanin"/>
          <w:color w:val="111111"/>
          <w:sz w:val="28"/>
          <w:szCs w:val="28"/>
          <w:rtl w:val="true"/>
          <w:lang w:bidi="fa-IR"/>
        </w:rPr>
        <w:t>»</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الجریدة توضع مع جمیع الأموات من الرجال و النساء و الصبیان و الأطفال مع التمکّن</w:t>
      </w:r>
      <w:r>
        <w:rPr>
          <w:rFonts w:eastAsia="IRNazanin" w:cs="IRNazanin"/>
          <w:color w:val="111111"/>
          <w:sz w:val="28"/>
          <w:szCs w:val="28"/>
          <w:rtl w:val="true"/>
          <w:lang w:bidi="fa-IR"/>
        </w:rPr>
        <w:t>»</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توضع مع جمیع الأموات المسلمین حتّی الصغار</w:t>
      </w:r>
      <w:r>
        <w:rPr>
          <w:rFonts w:eastAsia="IRNazanin" w:cs="IRNazanin"/>
          <w:color w:val="111111"/>
          <w:sz w:val="28"/>
          <w:szCs w:val="28"/>
          <w:rtl w:val="true"/>
          <w:lang w:bidi="fa-IR"/>
        </w:rPr>
        <w:t>»</w:t>
      </w:r>
      <w:r>
        <w:rPr>
          <w:rStyle w:val="FootnoteAnchor"/>
          <w:rtl w:val="true"/>
        </w:rPr>
        <w:footnoteReference w:id="1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الدروس</w:t>
      </w:r>
      <w:r>
        <w:rPr>
          <w:rStyle w:val="FootnoteAnchor"/>
          <w:rtl w:val="true"/>
        </w:rPr>
        <w:footnoteReference w:id="1816"/>
      </w:r>
      <w:r>
        <w:rPr>
          <w:rFonts w:ascii="IRNazanin" w:hAnsi="IRNazanin" w:eastAsia="IRNazanin"/>
          <w:color w:val="111111"/>
          <w:sz w:val="28"/>
          <w:sz w:val="28"/>
          <w:szCs w:val="28"/>
          <w:rtl w:val="true"/>
          <w:lang w:bidi="fa-IR"/>
        </w:rPr>
        <w:t>و البیان</w:t>
      </w:r>
      <w:r>
        <w:rPr>
          <w:rStyle w:val="FootnoteAnchor"/>
          <w:rtl w:val="true"/>
        </w:rPr>
        <w:footnoteReference w:id="1817"/>
      </w:r>
      <w:r>
        <w:rPr>
          <w:rFonts w:ascii="IRNazanin" w:hAnsi="IRNazanin" w:eastAsia="IRNazanin"/>
          <w:color w:val="111111"/>
          <w:sz w:val="28"/>
          <w:sz w:val="28"/>
          <w:szCs w:val="28"/>
          <w:rtl w:val="true"/>
          <w:lang w:bidi="fa-IR"/>
        </w:rPr>
        <w:t>، و به قال جملة من المتأخّرین و متأخّریهم</w:t>
      </w:r>
      <w:r>
        <w:rPr>
          <w:rStyle w:val="FootnoteAnchor"/>
          <w:rtl w:val="true"/>
        </w:rPr>
        <w:footnoteReference w:id="1818"/>
      </w:r>
    </w:p>
    <w:p>
      <w:pPr>
        <w:pStyle w:val="BookText"/>
        <w:rPr/>
      </w:pPr>
      <w:r>
        <w:rPr>
          <w:rFonts w:ascii="IRNazanin" w:hAnsi="IRNazanin" w:eastAsia="IRNazanin"/>
          <w:color w:val="111111"/>
          <w:sz w:val="28"/>
          <w:sz w:val="28"/>
          <w:szCs w:val="28"/>
          <w:rtl w:val="true"/>
          <w:lang w:bidi="fa-IR"/>
        </w:rPr>
        <w:t>و المعاصرین</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السنن الأکیدة وضع عودین رطبین مع المیّت، صغیراً أو کبیراً، ذکراً أو انثی، و یوضع مع الصغیر رجاءً</w:t>
      </w:r>
      <w:r>
        <w:rPr>
          <w:rFonts w:eastAsia="IRNazanin" w:cs="IRNazanin"/>
          <w:color w:val="111111"/>
          <w:sz w:val="28"/>
          <w:szCs w:val="28"/>
          <w:rtl w:val="true"/>
          <w:lang w:bidi="fa-IR"/>
        </w:rPr>
        <w:t>»</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bookmarkStart w:id="512" w:name="pg11755_254912"/>
    </w:p>
    <w:p>
      <w:pPr>
        <w:pStyle w:val="Heading6"/>
        <w:numPr>
          <w:ilvl w:val="5"/>
          <w:numId w:val="1"/>
        </w:numPr>
        <w:rPr/>
      </w:pPr>
      <w:bookmarkStart w:id="513" w:name="__RefHeading___Toc9587636_73709187"/>
      <w:bookmarkStart w:id="514" w:name="_Toc192"/>
      <w:bookmarkEnd w:id="512"/>
      <w:bookmarkEnd w:id="513"/>
      <w:r>
        <w:rPr>
          <w:rtl w:val="true"/>
        </w:rPr>
        <w:t>الدلیل علی وضع الجریدتین مع الصبیّ‌</w:t>
      </w:r>
      <w:bookmarkEnd w:id="514"/>
    </w:p>
    <w:p>
      <w:pPr>
        <w:pStyle w:val="BookText"/>
        <w:rPr/>
      </w:pPr>
      <w:r>
        <w:rPr>
          <w:rFonts w:ascii="IRNazanin" w:hAnsi="IRNazanin" w:eastAsia="IRNazanin"/>
          <w:color w:val="111111"/>
          <w:sz w:val="28"/>
          <w:sz w:val="28"/>
          <w:szCs w:val="28"/>
          <w:rtl w:val="true"/>
          <w:lang w:bidi="fa-IR"/>
        </w:rPr>
        <w:t>و استدلّ للحکم المذکور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مقتضی إطلاق</w:t>
      </w:r>
      <w:r>
        <w:rPr>
          <w:rStyle w:val="FootnoteAnchor"/>
          <w:rtl w:val="true"/>
        </w:rPr>
        <w:footnoteReference w:id="1821"/>
      </w:r>
      <w:r>
        <w:rPr>
          <w:rFonts w:ascii="IRNazanin" w:hAnsi="IRNazanin" w:eastAsia="IRNazanin"/>
          <w:color w:val="111111"/>
          <w:sz w:val="28"/>
          <w:sz w:val="28"/>
          <w:szCs w:val="28"/>
          <w:rtl w:val="true"/>
          <w:lang w:bidi="fa-IR"/>
        </w:rPr>
        <w:t>الأخبار عدم الفرق بین الصغیر و الکبیر، کما صرّح بذلک الشهیدان</w:t>
      </w:r>
      <w:r>
        <w:rPr>
          <w:rStyle w:val="FootnoteAnchor"/>
          <w:rtl w:val="true"/>
        </w:rPr>
        <w:footnoteReference w:id="1822"/>
      </w:r>
      <w:r>
        <w:rPr>
          <w:rFonts w:ascii="IRNazanin" w:hAnsi="IRNazanin" w:eastAsia="IRNazanin"/>
          <w:color w:val="111111"/>
          <w:sz w:val="28"/>
          <w:sz w:val="28"/>
          <w:szCs w:val="28"/>
          <w:rtl w:val="true"/>
          <w:lang w:bidi="fa-IR"/>
        </w:rPr>
        <w:t>و الفاضل النراقی</w:t>
      </w:r>
      <w:r>
        <w:rPr>
          <w:rStyle w:val="FootnoteAnchor"/>
          <w:rtl w:val="true"/>
        </w:rPr>
        <w:footnoteReference w:id="1823"/>
      </w:r>
      <w:r>
        <w:rPr>
          <w:rFonts w:ascii="IRNazanin" w:hAnsi="IRNazanin" w:eastAsia="IRNazanin"/>
          <w:color w:val="111111"/>
          <w:sz w:val="28"/>
          <w:sz w:val="28"/>
          <w:szCs w:val="28"/>
          <w:rtl w:val="true"/>
          <w:lang w:bidi="fa-IR"/>
        </w:rPr>
        <w:t>و غیرهم</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معاقد الإجماعات من القدماء و المتأخّرین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علّل بأنّه إقامة للشعار</w:t>
      </w:r>
      <w:r>
        <w:rPr>
          <w:rStyle w:val="FootnoteAnchor"/>
          <w:rtl w:val="true"/>
        </w:rPr>
        <w:footnoteReference w:id="1825"/>
      </w:r>
      <w:r>
        <w:rPr>
          <w:rFonts w:ascii="IRNazanin" w:hAnsi="IRNazanin" w:eastAsia="IRNazanin"/>
          <w:color w:val="111111"/>
          <w:sz w:val="28"/>
          <w:sz w:val="28"/>
          <w:szCs w:val="28"/>
          <w:rtl w:val="true"/>
          <w:lang w:bidi="fa-IR"/>
        </w:rPr>
        <w:t>؛ لأنّه عمل بذلک الأنبیاء علیهم السلام من لدن آدم إلی خاتمهم صلی الله علیه و آله فصارت سنّة متّبعة</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کشف الغطاء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یستحبّ وضع الجریدتین مع من لم یبلغ حدّ التکلیف أو أبعاضه؛ إقامة لرسم السنّة</w:t>
      </w:r>
      <w:r>
        <w:rPr>
          <w:rFonts w:eastAsia="IRNazanin" w:cs="IRNazanin"/>
          <w:color w:val="111111"/>
          <w:sz w:val="28"/>
          <w:szCs w:val="28"/>
          <w:rtl w:val="true"/>
          <w:lang w:bidi="fa-IR"/>
        </w:rPr>
        <w:t>»</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توهّم أنّ ظاهر التعلیل الذی ورد فی صحیحة زرارة</w:t>
      </w:r>
      <w:r>
        <w:rPr>
          <w:rStyle w:val="FootnoteAnchor"/>
          <w:rtl w:val="true"/>
        </w:rPr>
        <w:footnoteReference w:id="1828"/>
      </w:r>
      <w:r>
        <w:rPr>
          <w:rFonts w:ascii="IRNazanin" w:hAnsi="IRNazanin" w:eastAsia="IRNazanin"/>
          <w:color w:val="111111"/>
          <w:sz w:val="28"/>
          <w:sz w:val="28"/>
          <w:szCs w:val="28"/>
          <w:rtl w:val="true"/>
          <w:lang w:bidi="fa-IR"/>
        </w:rPr>
        <w:t>و غیرها</w:t>
      </w:r>
      <w:r>
        <w:rPr>
          <w:rStyle w:val="FootnoteAnchor"/>
          <w:rtl w:val="true"/>
        </w:rPr>
        <w:footnoteReference w:id="182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تخفیف العذاب بالجریدتین ینافی استحبابه للصبیّ، فاسد؛ لأنّه لا یراد منها</w:t>
      </w:r>
      <w:bookmarkStart w:id="515" w:name="pg11755_254914"/>
    </w:p>
    <w:p>
      <w:pPr>
        <w:pStyle w:val="BookText"/>
        <w:rPr/>
      </w:pPr>
      <w:bookmarkEnd w:id="515"/>
      <w:r>
        <w:rPr>
          <w:rFonts w:ascii="IRNazanin" w:hAnsi="IRNazanin" w:eastAsia="IRNazanin"/>
          <w:color w:val="111111"/>
          <w:sz w:val="28"/>
          <w:sz w:val="28"/>
          <w:szCs w:val="28"/>
          <w:rtl w:val="true"/>
          <w:lang w:bidi="fa-IR"/>
        </w:rPr>
        <w:t>إلّا بیان حکمة الحکم لا العلّة و الاطّراد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لحسن فی وضعهما یفید فی مستحقّ العذاب دفعه عنه، و فی حقّ غیره راحة اخری، و قد تقدّم فعل الأنبیاء</w:t>
      </w:r>
      <w:r>
        <w:rPr>
          <w:rStyle w:val="FootnoteAnchor"/>
          <w:rtl w:val="true"/>
        </w:rPr>
        <w:footnoteReference w:id="1830"/>
      </w:r>
      <w:r>
        <w:rPr>
          <w:rFonts w:ascii="IRNazanin" w:hAnsi="IRNazanin" w:eastAsia="IRNazanin"/>
          <w:color w:val="111111"/>
          <w:sz w:val="28"/>
          <w:sz w:val="28"/>
          <w:szCs w:val="28"/>
          <w:rtl w:val="true"/>
          <w:lang w:bidi="fa-IR"/>
        </w:rPr>
        <w:t>ذلک من لدن آدم إلی الخاتم صلوات اللّه و سلامه علیه و علی آله و علیهم أجمعین</w:t>
      </w:r>
      <w:r>
        <w:rPr>
          <w:rFonts w:eastAsia="IRNazanin" w:cs="IRNazanin"/>
          <w:color w:val="111111"/>
          <w:sz w:val="28"/>
          <w:szCs w:val="28"/>
          <w:rtl w:val="true"/>
          <w:lang w:bidi="fa-IR"/>
        </w:rPr>
        <w:t>»</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6" w:name="__RefHeading___Toc9587638_73709187"/>
      <w:bookmarkStart w:id="517" w:name="_Toc193"/>
      <w:bookmarkEnd w:id="516"/>
      <w:r>
        <w:rPr>
          <w:rtl w:val="true"/>
        </w:rPr>
        <w:t>فرعان</w:t>
      </w:r>
      <w:bookmarkEnd w:id="517"/>
    </w:p>
    <w:p>
      <w:pPr>
        <w:pStyle w:val="Heading6"/>
        <w:numPr>
          <w:ilvl w:val="5"/>
          <w:numId w:val="1"/>
        </w:numPr>
        <w:rPr/>
      </w:pPr>
      <w:bookmarkStart w:id="518" w:name="__RefHeading___Toc9587640_73709187"/>
      <w:bookmarkStart w:id="519" w:name="_Toc194"/>
      <w:bookmarkEnd w:id="518"/>
      <w:r>
        <w:rPr>
          <w:rtl w:val="true"/>
        </w:rPr>
        <w:t>الأوّل</w:t>
      </w:r>
      <w:r>
        <w:rPr>
          <w:rtl w:val="true"/>
        </w:rPr>
        <w:t xml:space="preserve">: </w:t>
      </w:r>
      <w:r>
        <w:rPr>
          <w:rtl w:val="true"/>
        </w:rPr>
        <w:t>مباشرة الصبیّ تحنیط المیّت</w:t>
      </w:r>
      <w:bookmarkEnd w:id="519"/>
    </w:p>
    <w:p>
      <w:pPr>
        <w:pStyle w:val="BookText"/>
        <w:rPr/>
      </w:pPr>
      <w:r>
        <w:rPr>
          <w:rFonts w:ascii="IRNazanin" w:hAnsi="IRNazanin" w:eastAsia="IRNazanin"/>
          <w:color w:val="111111"/>
          <w:sz w:val="28"/>
          <w:sz w:val="28"/>
          <w:szCs w:val="28"/>
          <w:rtl w:val="true"/>
          <w:lang w:bidi="fa-IR"/>
        </w:rPr>
        <w:t>هل یصحّ أن یباشر الصبیّ الممیّز تحنیط المیّت، و یجزی عن المکلّفین لو فعل ذلک؟ فیه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الإجزاء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رحمه الله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یعتبر فی التحنیط قصد القربة</w:t>
      </w:r>
      <w:r>
        <w:rPr>
          <w:rStyle w:val="FootnoteAnchor"/>
          <w:rtl w:val="true"/>
        </w:rPr>
        <w:footnoteReference w:id="1832"/>
      </w:r>
      <w:r>
        <w:rPr>
          <w:rFonts w:ascii="IRNazanin" w:hAnsi="IRNazanin" w:eastAsia="IRNazanin"/>
          <w:color w:val="111111"/>
          <w:sz w:val="28"/>
          <w:sz w:val="28"/>
          <w:szCs w:val="28"/>
          <w:rtl w:val="true"/>
          <w:lang w:bidi="fa-IR"/>
        </w:rPr>
        <w:t>، فیجوز أن یباشره الصبیّ الممیّز أیضاً</w:t>
      </w:r>
      <w:r>
        <w:rPr>
          <w:rFonts w:eastAsia="IRNazanin" w:cs="IRNazanin"/>
          <w:color w:val="111111"/>
          <w:sz w:val="28"/>
          <w:szCs w:val="28"/>
          <w:rtl w:val="true"/>
          <w:lang w:bidi="fa-IR"/>
        </w:rPr>
        <w:t>»</w:t>
      </w:r>
      <w:r>
        <w:rPr>
          <w:rStyle w:val="FootnoteAnchor"/>
          <w:rtl w:val="true"/>
        </w:rPr>
        <w:footnoteReference w:id="1833"/>
      </w:r>
      <w:r>
        <w:rPr>
          <w:rFonts w:ascii="IRNazanin" w:hAnsi="IRNazanin" w:eastAsia="IRNazanin"/>
          <w:color w:val="111111"/>
          <w:sz w:val="28"/>
          <w:sz w:val="28"/>
          <w:szCs w:val="28"/>
          <w:rtl w:val="true"/>
          <w:lang w:bidi="fa-IR"/>
        </w:rPr>
        <w:t>، و وافقه بعض المعلّقین علیها</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علّله فی المهذّب و المستمسک بأنّ الأصل و الإطلاق یقتضی ذلک</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الصحّة، و هو الأظهر</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الخوئی فی المقام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جواز مباشرة الصبیّ للتحنیط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علی عدم اعتبار قصد التقرّب فی التحنیط، و فیه إشکال</w:t>
      </w:r>
    </w:p>
    <w:p>
      <w:pPr>
        <w:pStyle w:val="BookText"/>
        <w:rPr/>
      </w:pPr>
      <w:r>
        <w:rPr>
          <w:rFonts w:ascii="IRNazanin" w:hAnsi="IRNazanin" w:eastAsia="IRNazanin"/>
          <w:color w:val="111111"/>
          <w:sz w:val="28"/>
          <w:sz w:val="28"/>
          <w:szCs w:val="28"/>
          <w:rtl w:val="true"/>
          <w:lang w:bidi="fa-IR"/>
        </w:rPr>
        <w:t>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الذی لم یعتبر فیه قصد التقرّب لو کان یسقط بفعل الغیر، بمعنی عدم اعتبار المباشرة، لم یفرق الحال فیه بین أن یأتی به الصبیّ الممیّز أو غیره، أو المجنون أو تحقّق بغیر ذلک من الأسباب الخارجة عن الاختیار، فلا وجه لتخصیص الاجتزاء بما إذا باشره الصبیّ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ملازمة بین کون الواجب توصّلیّاً و بین عدم اعتبار المباشرة فی سقوطه؛ لأنّ النسبة بینهما عموم من وجه، فقد یکون الواجب تعبّدیّاً و لا تعتبر فیه المباشرة کما فی الزکاة، فإنّ إخراجها واجب تعبّدی، مع أنّه لو أخرجها غیر المالک بأمر منه أجزأ ذلک عن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الواجب توصّلیّاً و لا یسقط بفعل الغیر، مثل ردّ السلام، فإنّه واجب توصّلی و لکن لا یسقط إلّا بردّ من وجب علیه ردّ السلام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تقوم القرینة الخارجیّة علی أنّ الغرض من إیجاب العمل لیس إلّا تحقّقه فی الخارج بأیّة کیفیّة کانت، و حینئذ نلتزم بسقوطه بفعل الغیر، و لکنّه لأجل القرینة لا لأجل أنّه توصّلی، و علیه فالظاهر عدم الاجتزاء فی المقام</w:t>
      </w:r>
      <w:r>
        <w:rPr>
          <w:rStyle w:val="FootnoteAnchor"/>
          <w:rtl w:val="true"/>
        </w:rPr>
        <w:footnoteReference w:id="1836"/>
      </w:r>
      <w:r>
        <w:rPr>
          <w:rFonts w:ascii="IRNazanin" w:hAnsi="IRNazanin" w:eastAsia="IRNazanin"/>
          <w:color w:val="111111"/>
          <w:sz w:val="28"/>
          <w:sz w:val="28"/>
          <w:szCs w:val="28"/>
          <w:rtl w:val="true"/>
          <w:lang w:bidi="fa-IR"/>
        </w:rPr>
        <w:t>، و لا یسقط التحنیط بفعل الصبیّ و لا غیره عن ذمّة المکلّفین و إن کان واجباً توصّلیاً؛ لما دلّ علی أنّ القلم مرفوع عن الصبیّ و المجنون</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bookmarkStart w:id="520" w:name="pg11755_254919"/>
    </w:p>
    <w:p>
      <w:pPr>
        <w:pStyle w:val="BookText"/>
        <w:rPr/>
      </w:pPr>
      <w:bookmarkEnd w:id="520"/>
      <w:r>
        <w:rPr>
          <w:rFonts w:ascii="IRNazanin" w:hAnsi="IRNazanin" w:eastAsia="IRNazanin"/>
          <w:color w:val="111111"/>
          <w:sz w:val="28"/>
          <w:sz w:val="28"/>
          <w:szCs w:val="28"/>
          <w:rtl w:val="true"/>
          <w:lang w:bidi="fa-IR"/>
        </w:rPr>
        <w:t>و فی مصباح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تقدیر 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التحنیط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تعبّدیّاً، فاللازم عدم جواز الاکتفاء بفعل الصبیّ الممیّز؛ لعدم إحراز اشتمال أفعاله علی المصلحة الملزمة مع أدلّة رفع القلم عنه، و علیه فلا یکتفی بفعله</w:t>
      </w:r>
      <w:r>
        <w:rPr>
          <w:rFonts w:eastAsia="IRNazanin" w:cs="IRNazanin"/>
          <w:color w:val="111111"/>
          <w:sz w:val="28"/>
          <w:szCs w:val="28"/>
          <w:rtl w:val="true"/>
          <w:lang w:bidi="fa-IR"/>
        </w:rPr>
        <w:t>»</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1" w:name="__RefHeading___Toc9587642_73709187"/>
      <w:bookmarkStart w:id="522" w:name="_Toc195"/>
      <w:bookmarkEnd w:id="521"/>
      <w:r>
        <w:rPr>
          <w:rtl w:val="true"/>
        </w:rPr>
        <w:t>الفرع الثانی</w:t>
      </w:r>
      <w:r>
        <w:rPr>
          <w:rtl w:val="true"/>
        </w:rPr>
        <w:t xml:space="preserve">: </w:t>
      </w:r>
      <w:r>
        <w:rPr>
          <w:rtl w:val="true"/>
        </w:rPr>
        <w:t>کراهة نزول الأب فی قبر ولده</w:t>
      </w:r>
      <w:bookmarkEnd w:id="522"/>
    </w:p>
    <w:p>
      <w:pPr>
        <w:pStyle w:val="BookText"/>
        <w:rPr/>
      </w:pPr>
      <w:r>
        <w:rPr>
          <w:rFonts w:ascii="IRNazanin" w:hAnsi="IRNazanin" w:eastAsia="IRNazanin"/>
          <w:color w:val="111111"/>
          <w:sz w:val="28"/>
          <w:sz w:val="28"/>
          <w:szCs w:val="28"/>
          <w:rtl w:val="true"/>
          <w:lang w:bidi="fa-IR"/>
        </w:rPr>
        <w:t>من جملة مکروهات الدفن نزول الأب فی قبر ولده، سواء کان الولد صغیراً أو کبیراً، کما صرّح به کثیر من الفقهاء</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الأب فی قبر ولده خوفاً عن جزعه و فوات أجره، بل إذا خیف من ذلک فی سائر الأرحام أیضاً</w:t>
      </w:r>
      <w:r>
        <w:rPr>
          <w:rFonts w:eastAsia="IRNazanin" w:cs="IRNazanin"/>
          <w:color w:val="111111"/>
          <w:sz w:val="28"/>
          <w:szCs w:val="28"/>
          <w:rtl w:val="true"/>
          <w:lang w:bidi="fa-IR"/>
        </w:rPr>
        <w:t>»</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یکره للأب أن یهیل التراب علی ولده إذ أقبره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للأب أن یحثوا</w:t>
      </w:r>
      <w:r>
        <w:rPr>
          <w:rStyle w:val="FootnoteAnchor"/>
          <w:rtl w:val="true"/>
        </w:rPr>
        <w:footnoteReference w:id="1841"/>
      </w:r>
      <w:r>
        <w:rPr>
          <w:rFonts w:ascii="IRNazanin" w:hAnsi="IRNazanin" w:eastAsia="IRNazanin"/>
          <w:color w:val="111111"/>
          <w:sz w:val="28"/>
          <w:sz w:val="28"/>
          <w:szCs w:val="28"/>
          <w:rtl w:val="true"/>
          <w:lang w:bidi="fa-IR"/>
        </w:rPr>
        <w:t>علی ابنه إذ أقبره التراب، و کذلک یکره للابن أن یحثو علی أبیه</w:t>
      </w:r>
      <w:r>
        <w:rPr>
          <w:rFonts w:eastAsia="IRNazanin" w:cs="IRNazanin"/>
          <w:color w:val="111111"/>
          <w:sz w:val="28"/>
          <w:szCs w:val="28"/>
          <w:rtl w:val="true"/>
          <w:lang w:bidi="fa-IR"/>
        </w:rPr>
        <w:t>»</w:t>
      </w:r>
      <w:r>
        <w:rPr>
          <w:rStyle w:val="FootnoteAnchor"/>
          <w:rtl w:val="true"/>
        </w:rPr>
        <w:footnoteReference w:id="1842"/>
      </w:r>
      <w:r>
        <w:rPr>
          <w:rFonts w:ascii="IRNazanin" w:hAnsi="IRNazanin" w:eastAsia="IRNazanin"/>
          <w:color w:val="111111"/>
          <w:sz w:val="28"/>
          <w:sz w:val="28"/>
          <w:szCs w:val="28"/>
          <w:rtl w:val="true"/>
          <w:lang w:bidi="fa-IR"/>
        </w:rPr>
        <w:t>، و کذا فی غیره</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لشدّة حبّ الأب لولده، لو نزل فی القبر ربما جزع و اضطرب، و فات أجره، أو بأنّه یوجب قساوة القلب، أو 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المستند فی ذلک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عن علیّ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قبض إبراهیم بن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انزل فألحد ابنی، فنزل علیه السلام فألحد إبراهیم فی لحد،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ینبغی لأحد أن ینزل فی قبر ولده إذ لم یفعل رسول اللّه صلی الله علیه و آله فقال لهم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إنّه لیس علیکم بحرام أن تنزلوا فی قبور أولادکم، و لکنّی لست آمن إذا حلّ أحدکم الکفن عن ولده أن یلعب به الشیطان، فیدخله عند ذلک من الجزع ما یحبط أجره، ثمّ انصرف علیه السلام</w:t>
      </w:r>
      <w:r>
        <w:rPr>
          <w:rFonts w:eastAsia="IRNazanin" w:cs="IRNazanin"/>
          <w:color w:val="111111"/>
          <w:sz w:val="28"/>
          <w:szCs w:val="28"/>
          <w:rtl w:val="true"/>
          <w:lang w:bidi="fa-IR"/>
        </w:rPr>
        <w:t>»</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التهذیب عن عبد اللّه بن محمّد بن خالد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الوالد لا ینزل فی قبر ولده، و الولد ینزل فی قبر والده</w:t>
      </w:r>
      <w:r>
        <w:rPr>
          <w:rFonts w:eastAsia="IRNazanin" w:cs="IRNazanin"/>
          <w:color w:val="111111"/>
          <w:sz w:val="28"/>
          <w:szCs w:val="28"/>
          <w:rtl w:val="true"/>
          <w:lang w:bidi="fa-IR"/>
        </w:rPr>
        <w:t>»</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 الکافی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للرجل أن ینزل فی قبر ولده</w:t>
      </w:r>
      <w:r>
        <w:rPr>
          <w:rFonts w:eastAsia="IRNazanin" w:cs="IRNazanin"/>
          <w:color w:val="111111"/>
          <w:sz w:val="28"/>
          <w:szCs w:val="28"/>
          <w:rtl w:val="true"/>
          <w:lang w:bidi="fa-IR"/>
        </w:rPr>
        <w:t>»</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لبعض أصحاب أبی عبد اللّه علیه السلام ولد، فحضر أبو عبد اللّه علیه السلام فلمّا الحد تقدّم أبوه، فطرح علیه التراب، فأخذ أبو عبد اللّه بکفّیه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تطرح علیه التراب، و من کان منه ذا رحم فلا یطرح علیه التراب، فإنّ رسول اللّه صلی الله علیه و آله نهی أن یطرح الوالد أو ذو رحم علی میّته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 تنهانا عن هذا وحده؟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أنهاکم أن تطرحوا التراب علی ذوی أرحامکم، فإنّ ذلک یورث</w:t>
      </w:r>
      <w:bookmarkStart w:id="523" w:name="pg11755_254923"/>
    </w:p>
    <w:p>
      <w:pPr>
        <w:pStyle w:val="BookText"/>
        <w:rPr/>
      </w:pPr>
      <w:bookmarkEnd w:id="523"/>
      <w:r>
        <w:rPr>
          <w:rFonts w:ascii="Amiri" w:hAnsi="Amiri" w:eastAsia="Amiri" w:cs="Amiri"/>
          <w:color w:val="111111"/>
          <w:sz w:val="28"/>
          <w:sz w:val="28"/>
          <w:szCs w:val="28"/>
          <w:rtl w:val="true"/>
          <w:lang w:bidi="ar-SA"/>
        </w:rPr>
        <w:t>القسوة فی القلب، و من قسا قلبه بَعُدَ من ربّه</w:t>
      </w:r>
      <w:r>
        <w:rPr>
          <w:rFonts w:eastAsia="Amiri" w:cs="Amiri" w:ascii="Amiri" w:hAnsi="Amiri"/>
          <w:color w:val="111111"/>
          <w:sz w:val="28"/>
          <w:szCs w:val="28"/>
          <w:rtl w:val="true"/>
          <w:lang w:bidi="ar-SA"/>
        </w:rPr>
        <w:t>»</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4" w:name="__RefHeading___Toc9587644_73709187"/>
      <w:bookmarkStart w:id="525" w:name="_Toc196"/>
      <w:bookmarkEnd w:id="524"/>
      <w:r>
        <w:rPr>
          <w:rtl w:val="true"/>
        </w:rPr>
        <w:t>مذهب أهل السنّة فی تکفین الطفل و تحنیطه</w:t>
      </w:r>
      <w:bookmarkEnd w:id="525"/>
    </w:p>
    <w:p>
      <w:pPr>
        <w:pStyle w:val="BookText"/>
        <w:rPr/>
      </w:pPr>
      <w:r>
        <w:rPr>
          <w:rFonts w:ascii="IRNazanin" w:hAnsi="IRNazanin" w:eastAsia="IRNazanin"/>
          <w:color w:val="111111"/>
          <w:sz w:val="28"/>
          <w:sz w:val="28"/>
          <w:szCs w:val="28"/>
          <w:rtl w:val="true"/>
          <w:lang w:bidi="fa-IR"/>
        </w:rPr>
        <w:t>اتّفق أهل السنّة علی أنّه یجب تکفین السقط الذی بلغ أربعة أشهر و ما زاد، و کذا تحنیطه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فللسقط أحوال،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یستهلّ‌</w:t>
      </w:r>
      <w:r>
        <w:rPr>
          <w:rStyle w:val="FootnoteAnchor"/>
          <w:rtl w:val="true"/>
        </w:rPr>
        <w:footnoteReference w:id="1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کفنه ککفن البالغ،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فیه حرکة و لا اختلاج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یبلغ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فوجب دفنه بالاتّفاق، و الخرقة التی تواریه، و هی لفّافة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ظهور خلقة الآدمی حکم التکفین حکم الغسل</w:t>
      </w:r>
      <w:r>
        <w:rPr>
          <w:rFonts w:eastAsia="IRNazanin" w:cs="IRNazanin"/>
          <w:color w:val="111111"/>
          <w:sz w:val="28"/>
          <w:szCs w:val="28"/>
          <w:rtl w:val="true"/>
          <w:lang w:bidi="fa-IR"/>
        </w:rPr>
        <w:t>»</w:t>
      </w:r>
      <w:r>
        <w:rPr>
          <w:rStyle w:val="FootnoteAnchor"/>
          <w:rtl w:val="true"/>
        </w:rPr>
        <w:footnoteReference w:id="1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روضة الطالبین</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بدائع الصنائع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السقط الذی استبان خلقه، إنّه یغسّل و یکفّن و یحنّط</w:t>
      </w:r>
      <w:r>
        <w:rPr>
          <w:rFonts w:eastAsia="IRNazanin" w:cs="IRNazanin"/>
          <w:color w:val="111111"/>
          <w:sz w:val="28"/>
          <w:szCs w:val="28"/>
          <w:rtl w:val="true"/>
          <w:lang w:bidi="fa-IR"/>
        </w:rPr>
        <w:t>»</w:t>
      </w:r>
      <w:r>
        <w:rPr>
          <w:rStyle w:val="FootnoteAnchor"/>
          <w:rtl w:val="true"/>
        </w:rPr>
        <w:footnoteReference w:id="1851"/>
      </w:r>
      <w:r>
        <w:rPr>
          <w:rFonts w:ascii="IRNazanin" w:hAnsi="IRNazanin" w:eastAsia="IRNazanin"/>
          <w:color w:val="111111"/>
          <w:sz w:val="28"/>
          <w:sz w:val="28"/>
          <w:szCs w:val="28"/>
          <w:rtl w:val="true"/>
          <w:lang w:bidi="fa-IR"/>
        </w:rPr>
        <w:t>، و قریب من هذا فی الإنصاف</w:t>
      </w:r>
      <w:r>
        <w:rPr>
          <w:rStyle w:val="FootnoteAnchor"/>
          <w:rtl w:val="true"/>
        </w:rPr>
        <w:footnoteReference w:id="1852"/>
      </w:r>
      <w:r>
        <w:rPr>
          <w:rFonts w:ascii="IRNazanin" w:hAnsi="IRNazanin" w:eastAsia="IRNazanin"/>
          <w:color w:val="111111"/>
          <w:sz w:val="28"/>
          <w:sz w:val="28"/>
          <w:szCs w:val="28"/>
          <w:rtl w:val="true"/>
          <w:lang w:bidi="fa-IR"/>
        </w:rPr>
        <w:t>و کشّاف القناع</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شاس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السقط الذی لم یستهلّ صارخاً و لا دلّت أمارة علی حیاته لا یغسّل، و لکن یواری بخرقة و یدفن، فإن دلّت أمارة علی حیاته</w:t>
      </w:r>
    </w:p>
    <w:p>
      <w:pPr>
        <w:pStyle w:val="BookText"/>
        <w:rPr/>
      </w:pPr>
      <w:r>
        <w:rPr>
          <w:rFonts w:ascii="IRNazanin" w:hAnsi="IRNazanin" w:eastAsia="IRNazanin"/>
          <w:color w:val="111111"/>
          <w:sz w:val="28"/>
          <w:sz w:val="28"/>
          <w:szCs w:val="28"/>
          <w:rtl w:val="true"/>
          <w:lang w:bidi="fa-IR"/>
        </w:rPr>
        <w:t>من صراخ أو ارتضاع أو دوام الحرکة أیّاماً أو وجود الإحساس و شبه ذلک فهو کالکبیر</w:t>
      </w:r>
      <w:r>
        <w:rPr>
          <w:rFonts w:eastAsia="IRNazanin" w:cs="IRNazanin"/>
          <w:color w:val="111111"/>
          <w:sz w:val="28"/>
          <w:szCs w:val="28"/>
          <w:rtl w:val="true"/>
          <w:lang w:bidi="fa-IR"/>
        </w:rPr>
        <w:t>»</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الظاهر من المغنی</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مواهب الجلیل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علی المولود و لا یغسّل و لا یحنّط و لا یسمّی و لا یورث و لا یرث حتّی یستهلّ صارخاً بالصوت</w:t>
      </w:r>
      <w:r>
        <w:rPr>
          <w:rFonts w:eastAsia="IRNazanin" w:cs="IRNazanin"/>
          <w:color w:val="111111"/>
          <w:sz w:val="28"/>
          <w:szCs w:val="28"/>
          <w:rtl w:val="true"/>
          <w:lang w:bidi="fa-IR"/>
        </w:rPr>
        <w:t>»</w:t>
      </w:r>
      <w:r>
        <w:rPr>
          <w:rStyle w:val="FootnoteAnchor"/>
          <w:rtl w:val="true"/>
        </w:rPr>
        <w:footnoteReference w:id="1856"/>
      </w:r>
      <w:r>
        <w:rPr>
          <w:rFonts w:ascii="IRNazanin" w:hAnsi="IRNazanin" w:eastAsia="IRNazanin"/>
          <w:color w:val="111111"/>
          <w:sz w:val="28"/>
          <w:sz w:val="28"/>
          <w:szCs w:val="28"/>
          <w:rtl w:val="true"/>
          <w:lang w:bidi="fa-IR"/>
        </w:rPr>
        <w:t>، و کذا فی أسهل المدارک</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bookmarkStart w:id="526" w:name="pg11755_254927"/>
    </w:p>
    <w:p>
      <w:pPr>
        <w:pStyle w:val="Heading4"/>
        <w:numPr>
          <w:ilvl w:val="3"/>
          <w:numId w:val="1"/>
        </w:numPr>
        <w:rPr/>
      </w:pPr>
      <w:bookmarkStart w:id="527" w:name="__RefHeading___Toc9587646_73709187"/>
      <w:bookmarkStart w:id="528" w:name="_Toc197"/>
      <w:bookmarkEnd w:id="526"/>
      <w:bookmarkEnd w:id="527"/>
      <w:r>
        <w:rPr>
          <w:rtl w:val="true"/>
        </w:rPr>
        <w:t>المبحث الخامس</w:t>
      </w:r>
      <w:r>
        <w:rPr>
          <w:rtl w:val="true"/>
        </w:rPr>
        <w:t xml:space="preserve">: </w:t>
      </w:r>
      <w:r>
        <w:rPr>
          <w:rtl w:val="true"/>
        </w:rPr>
        <w:t>فی الصلاة علی المیّت الصغیر</w:t>
      </w:r>
      <w:bookmarkEnd w:id="528"/>
    </w:p>
    <w:p>
      <w:pPr>
        <w:pStyle w:val="Heading5"/>
        <w:numPr>
          <w:ilvl w:val="4"/>
          <w:numId w:val="1"/>
        </w:numPr>
        <w:rPr/>
      </w:pPr>
      <w:bookmarkStart w:id="529" w:name="__RefHeading___Toc9587648_73709187"/>
      <w:bookmarkStart w:id="530" w:name="_Toc198"/>
      <w:bookmarkEnd w:id="529"/>
      <w:r>
        <w:rPr>
          <w:rtl w:val="true"/>
        </w:rPr>
        <w:t>اشارة</w:t>
      </w:r>
      <w:bookmarkEnd w:id="530"/>
    </w:p>
    <w:p>
      <w:pPr>
        <w:pStyle w:val="BookText"/>
        <w:rPr/>
      </w:pPr>
      <w:r>
        <w:rPr>
          <w:rFonts w:ascii="IRNazanin" w:hAnsi="IRNazanin" w:eastAsia="IRNazanin"/>
          <w:color w:val="111111"/>
          <w:sz w:val="28"/>
          <w:sz w:val="28"/>
          <w:szCs w:val="28"/>
          <w:rtl w:val="true"/>
          <w:lang w:bidi="fa-IR"/>
        </w:rPr>
        <w:t>اتّفق الأصحاب علی أنّ الصلاة علی الجنازة فرض علی الکفایة، و إذا قام به البعض سقط عن الآخرین، کما هو الشأن فی الواجبات الکفائیّة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هنا یقتصر علی الصلاة علی الصبیّ المیّت، و ینقسم بالنسبة إلی وجوب الصلاة علیه إلی ثلاثة أقسام؛ لأنّ المولود إمّا أن یخرج میّتاً و یسمّی سقطاً</w:t>
      </w:r>
      <w:r>
        <w:rPr>
          <w:rStyle w:val="FootnoteAnchor"/>
          <w:rtl w:val="true"/>
        </w:rPr>
        <w:footnoteReference w:id="1858"/>
      </w:r>
      <w:r>
        <w:rPr>
          <w:rFonts w:ascii="Amiri" w:hAnsi="Amiri" w:eastAsia="Amiri" w:cs="Amiri"/>
          <w:color w:val="111111"/>
          <w:sz w:val="28"/>
          <w:sz w:val="28"/>
          <w:szCs w:val="28"/>
          <w:rtl w:val="true"/>
          <w:lang w:bidi="ar-SA"/>
        </w:rPr>
        <w:t>، و إمّا أن یخرج حیّاً و یموت بعد الولادة قبل أن یبلغ ستّ سنین، و إمّا أن یولد حیّاً و یبلغ ستّ سنین أو أکثر ثمّ یموت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للبحث عن هذه المسائل و غیرها ممّا یرتبط بالطفل فی المقام عقدنا هذا المبحث، و فیه مطالب</w:t>
      </w:r>
      <w:r>
        <w:rPr>
          <w:rFonts w:eastAsia="IRNazanin" w:cs="IRNazanin"/>
          <w:color w:val="111111"/>
          <w:sz w:val="28"/>
          <w:szCs w:val="28"/>
          <w:rtl w:val="true"/>
          <w:lang w:bidi="fa-IR"/>
        </w:rPr>
        <w:t>:</w:t>
      </w:r>
    </w:p>
    <w:p>
      <w:pPr>
        <w:pStyle w:val="Heading5"/>
        <w:numPr>
          <w:ilvl w:val="4"/>
          <w:numId w:val="1"/>
        </w:numPr>
        <w:rPr/>
      </w:pPr>
      <w:bookmarkStart w:id="531" w:name="__RefHeading___Toc9587650_73709187"/>
      <w:bookmarkStart w:id="532" w:name="_Toc199"/>
      <w:bookmarkEnd w:id="531"/>
      <w:r>
        <w:rPr>
          <w:rtl w:val="true"/>
        </w:rPr>
        <w:t>المطلب الأوّل</w:t>
      </w:r>
      <w:r>
        <w:rPr>
          <w:rtl w:val="true"/>
        </w:rPr>
        <w:t xml:space="preserve">: </w:t>
      </w:r>
      <w:r>
        <w:rPr>
          <w:rtl w:val="true"/>
        </w:rPr>
        <w:t>الصلاة علی السقط‌</w:t>
      </w:r>
      <w:bookmarkEnd w:id="532"/>
    </w:p>
    <w:p>
      <w:pPr>
        <w:pStyle w:val="Heading6"/>
        <w:numPr>
          <w:ilvl w:val="5"/>
          <w:numId w:val="1"/>
        </w:numPr>
        <w:rPr/>
      </w:pPr>
      <w:bookmarkStart w:id="533" w:name="__RefHeading___Toc9587652_73709187"/>
      <w:bookmarkStart w:id="534" w:name="_Toc200"/>
      <w:bookmarkEnd w:id="533"/>
      <w:r>
        <w:rPr>
          <w:rtl w:val="true"/>
        </w:rPr>
        <w:t>اشارة</w:t>
      </w:r>
      <w:bookmarkEnd w:id="53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خرج الجنین میّتاً و لم یستهلّ فلا خلاف بین الأصحاب علی أنّه لا یصلّی</w:t>
      </w:r>
    </w:p>
    <w:p>
      <w:pPr>
        <w:pStyle w:val="BookText"/>
        <w:rPr/>
      </w:pPr>
      <w:r>
        <w:rPr>
          <w:rFonts w:ascii="IRNazanin" w:hAnsi="IRNazanin" w:eastAsia="IRNazanin"/>
          <w:color w:val="111111"/>
          <w:sz w:val="28"/>
          <w:sz w:val="28"/>
          <w:szCs w:val="28"/>
          <w:rtl w:val="true"/>
          <w:lang w:bidi="fa-IR"/>
        </w:rPr>
        <w:t>علیه، سواء ولجته الروح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غسل السقط إذا ولد و فیه حیاة، فأمّا الصلاة علیه فعندنا لا تجب الصلاة علیه إلّا بعد أن تصیر له ستّ سنین بحیث یعقل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وُلِدَ لدون أربعة أشهر لا یجب غسله، و یدفن بدمه، و إن کان لأربعة فصاعداً غسّل و لا تجب الصلاة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دلیلنا الإجماع</w:t>
      </w:r>
      <w:r>
        <w:rPr>
          <w:rFonts w:eastAsia="IRNazanin" w:cs="IRNazanin"/>
          <w:color w:val="111111"/>
          <w:sz w:val="28"/>
          <w:szCs w:val="28"/>
          <w:rtl w:val="true"/>
          <w:lang w:bidi="fa-IR"/>
        </w:rPr>
        <w:t>»</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ظاهر المبسوط‌</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وقع سقطاً لم یصلّ علیه و لو ولجته الروح</w:t>
      </w:r>
      <w:r>
        <w:rPr>
          <w:rFonts w:eastAsia="IRNazanin" w:cs="IRNazanin"/>
          <w:color w:val="111111"/>
          <w:sz w:val="28"/>
          <w:szCs w:val="28"/>
          <w:rtl w:val="true"/>
          <w:lang w:bidi="fa-IR"/>
        </w:rPr>
        <w:t>»</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علی السقط إذا لم یستهلّ و إن ولجته الروح أو مضی علیه الأربعة أشهر</w:t>
      </w:r>
      <w:r>
        <w:rPr>
          <w:rFonts w:eastAsia="IRNazanin" w:cs="IRNazanin"/>
          <w:color w:val="111111"/>
          <w:sz w:val="28"/>
          <w:szCs w:val="28"/>
          <w:rtl w:val="true"/>
          <w:lang w:bidi="fa-IR"/>
        </w:rPr>
        <w:t>»</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التذکرة</w:t>
      </w:r>
      <w:r>
        <w:rPr>
          <w:rStyle w:val="FootnoteAnchor"/>
          <w:rtl w:val="true"/>
        </w:rPr>
        <w:footnoteReference w:id="1863"/>
      </w:r>
      <w:r>
        <w:rPr>
          <w:rFonts w:ascii="IRNazanin" w:hAnsi="IRNazanin" w:eastAsia="IRNazanin"/>
          <w:color w:val="111111"/>
          <w:sz w:val="28"/>
          <w:sz w:val="28"/>
          <w:szCs w:val="28"/>
          <w:rtl w:val="true"/>
          <w:lang w:bidi="fa-IR"/>
        </w:rPr>
        <w:t>و القواعد</w:t>
      </w:r>
      <w:r>
        <w:rPr>
          <w:rStyle w:val="FootnoteAnchor"/>
          <w:rtl w:val="true"/>
        </w:rPr>
        <w:footnoteReference w:id="1864"/>
      </w:r>
      <w:r>
        <w:rPr>
          <w:rFonts w:ascii="IRNazanin" w:hAnsi="IRNazanin" w:eastAsia="IRNazanin"/>
          <w:color w:val="111111"/>
          <w:sz w:val="28"/>
          <w:sz w:val="28"/>
          <w:szCs w:val="28"/>
          <w:rtl w:val="true"/>
          <w:lang w:bidi="fa-IR"/>
        </w:rPr>
        <w:t>و التحریر</w:t>
      </w:r>
      <w:r>
        <w:rPr>
          <w:rStyle w:val="FootnoteAnchor"/>
          <w:rtl w:val="true"/>
        </w:rPr>
        <w:footnoteReference w:id="1865"/>
      </w: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تستحبّ الصلاة علی السقط</w:t>
      </w:r>
      <w:r>
        <w:rPr>
          <w:rFonts w:eastAsia="IRNazanin" w:cs="IRNazanin"/>
          <w:color w:val="111111"/>
          <w:sz w:val="28"/>
          <w:szCs w:val="28"/>
          <w:rtl w:val="true"/>
          <w:lang w:bidi="fa-IR"/>
        </w:rPr>
        <w:t>»</w:t>
      </w:r>
      <w:r>
        <w:rPr>
          <w:rStyle w:val="FootnoteAnchor"/>
          <w:rtl w:val="true"/>
        </w:rPr>
        <w:footnoteReference w:id="1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الروض؛ لأنّه قیّد الاستحباب بولادته حیّاً</w:t>
      </w:r>
      <w:r>
        <w:rPr>
          <w:rStyle w:val="FootnoteAnchor"/>
          <w:rtl w:val="true"/>
        </w:rPr>
        <w:footnoteReference w:id="1867"/>
      </w:r>
      <w:r>
        <w:rPr>
          <w:rFonts w:ascii="IRNazanin" w:hAnsi="IRNazanin" w:eastAsia="IRNazanin"/>
          <w:color w:val="111111"/>
          <w:sz w:val="28"/>
          <w:sz w:val="28"/>
          <w:szCs w:val="28"/>
          <w:rtl w:val="true"/>
          <w:lang w:bidi="fa-IR"/>
        </w:rPr>
        <w:t>، و به قال جملة من المتأخّرین و متأخّریهم</w:t>
      </w:r>
      <w:r>
        <w:rPr>
          <w:rStyle w:val="FootnoteAnchor"/>
          <w:rtl w:val="true"/>
        </w:rPr>
        <w:footnoteReference w:id="1868"/>
      </w:r>
      <w:bookmarkStart w:id="535" w:name="pg11755_254931"/>
    </w:p>
    <w:p>
      <w:pPr>
        <w:pStyle w:val="BookText"/>
        <w:rPr/>
      </w:pPr>
      <w:bookmarkEnd w:id="535"/>
      <w:r>
        <w:rPr>
          <w:rFonts w:ascii="IRNazanin" w:hAnsi="IRNazanin" w:eastAsia="IRNazanin"/>
          <w:color w:val="111111"/>
          <w:sz w:val="28"/>
          <w:sz w:val="28"/>
          <w:szCs w:val="28"/>
          <w:rtl w:val="true"/>
          <w:lang w:bidi="fa-IR"/>
        </w:rPr>
        <w:t>و المعاصرین</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6" w:name="__RefHeading___Toc9587654_73709187"/>
      <w:bookmarkStart w:id="537" w:name="_Toc201"/>
      <w:bookmarkEnd w:id="536"/>
      <w:r>
        <w:rPr>
          <w:rtl w:val="true"/>
        </w:rPr>
        <w:t>أدلّة عدم مشروعیّة الصلاة علی السقط‌</w:t>
      </w:r>
      <w:bookmarkEnd w:id="537"/>
    </w:p>
    <w:p>
      <w:pPr>
        <w:pStyle w:val="BookText"/>
        <w:rPr/>
      </w:pPr>
      <w:r>
        <w:rPr>
          <w:rFonts w:ascii="IRNazanin" w:hAnsi="IRNazanin" w:eastAsia="IRNazanin"/>
          <w:color w:val="111111"/>
          <w:sz w:val="28"/>
          <w:sz w:val="28"/>
          <w:szCs w:val="28"/>
          <w:rtl w:val="true"/>
          <w:lang w:bidi="fa-IR"/>
        </w:rPr>
        <w:t>و استدلّ لهذا الحکم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هو البراءة من وجوب الصلاة علی السقط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یصلّ علیه ندباً فضلاً عن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خلاف أجده فیه</w:t>
      </w:r>
      <w:r>
        <w:rPr>
          <w:rFonts w:eastAsia="IRNazanin" w:cs="IRNazanin"/>
          <w:color w:val="111111"/>
          <w:sz w:val="28"/>
          <w:szCs w:val="28"/>
          <w:rtl w:val="true"/>
          <w:lang w:bidi="fa-IR"/>
        </w:rPr>
        <w:t>»</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الغنائم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غیر المستهلّ فلا صلاة علیه قولاً واحداً</w:t>
      </w:r>
      <w:r>
        <w:rPr>
          <w:rFonts w:eastAsia="IRNazanin" w:cs="IRNazanin"/>
          <w:color w:val="111111"/>
          <w:sz w:val="28"/>
          <w:szCs w:val="28"/>
          <w:rtl w:val="true"/>
          <w:lang w:bidi="fa-IR"/>
        </w:rPr>
        <w:t>»</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یصلّی علی المنفوس، و هو المولود الذی لم یستهلّ و لم یصح، و لم یورّث من الدّیة و لا من غیرها، و إذا استهلّ فصلّ علیه و ورّثه</w:t>
      </w:r>
      <w:r>
        <w:rPr>
          <w:rFonts w:eastAsia="IRNazanin" w:cs="IRNazanin"/>
          <w:color w:val="111111"/>
          <w:sz w:val="28"/>
          <w:szCs w:val="28"/>
          <w:rtl w:val="true"/>
          <w:lang w:bidi="fa-IR"/>
        </w:rPr>
        <w:t>»</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دلّت علی الملازمة بین إرثه و وجوب الصلاة علیه، فلا تشرع الصلاة علی المولود الذی لم یستهلّ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السکونی، عن جعفر،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یورّث الصبیّ، و یصلّی علیه إذا سقط من بطن امّه فاستهلّ صارخاً، و إذا لم یستهلّ صارخاً لم یورّث و لم یصلّ علیه</w:t>
      </w:r>
      <w:r>
        <w:rPr>
          <w:rFonts w:eastAsia="IRNazanin" w:cs="IRNazanin"/>
          <w:color w:val="111111"/>
          <w:sz w:val="28"/>
          <w:szCs w:val="28"/>
          <w:rtl w:val="true"/>
          <w:lang w:bidi="fa-IR"/>
        </w:rPr>
        <w:t>»</w:t>
      </w:r>
      <w:r>
        <w:rPr>
          <w:rStyle w:val="FootnoteAnchor"/>
          <w:rtl w:val="true"/>
        </w:rPr>
        <w:footnoteReference w:id="1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دلالتها کسابقتها</w:t>
      </w:r>
      <w:r>
        <w:rPr>
          <w:rFonts w:eastAsia="IRNazanin" w:cs="IRNazanin"/>
          <w:color w:val="111111"/>
          <w:sz w:val="28"/>
          <w:szCs w:val="28"/>
          <w:rtl w:val="true"/>
          <w:lang w:bidi="fa-IR"/>
        </w:rPr>
        <w:t>.</w:t>
      </w:r>
      <w:bookmarkStart w:id="538" w:name="pg11755_254933"/>
    </w:p>
    <w:p>
      <w:pPr>
        <w:pStyle w:val="BookText"/>
        <w:rPr/>
      </w:pPr>
      <w:bookmarkEnd w:id="538"/>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لکم یصلّی علی الصبیّ إذا بلغ من السنین و الشهور؟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علیه علی کلّ حال، إلّا أن یسقط لغیر تمام</w:t>
      </w:r>
      <w:r>
        <w:rPr>
          <w:rFonts w:eastAsia="IRNazanin" w:cs="IRNazanin"/>
          <w:color w:val="111111"/>
          <w:sz w:val="28"/>
          <w:szCs w:val="28"/>
          <w:rtl w:val="true"/>
          <w:lang w:bidi="fa-IR"/>
        </w:rPr>
        <w:t>»</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مرسلة أحمد بن محمّد عن أبی الحسن الماضی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یصلّی علی الصبیّ إذا بلغ من السنین و الشهور؟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علیه علی کلّ حال، إلّا أن یسقط لغیر تمام</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9" w:name="__RefHeading___Toc9587656_73709187"/>
      <w:bookmarkStart w:id="540" w:name="_Toc202"/>
      <w:bookmarkEnd w:id="539"/>
      <w:r>
        <w:rPr>
          <w:rtl w:val="true"/>
        </w:rPr>
        <w:t>تتمیم</w:t>
      </w:r>
      <w:bookmarkEnd w:id="540"/>
    </w:p>
    <w:p>
      <w:pPr>
        <w:pStyle w:val="BookText"/>
        <w:rPr/>
      </w:pPr>
      <w:r>
        <w:rPr>
          <w:rFonts w:ascii="IRNazanin" w:hAnsi="IRNazanin" w:eastAsia="IRNazanin"/>
          <w:color w:val="111111"/>
          <w:sz w:val="28"/>
          <w:sz w:val="28"/>
          <w:szCs w:val="28"/>
          <w:rtl w:val="true"/>
          <w:lang w:bidi="fa-IR"/>
        </w:rPr>
        <w:t>لو خرج بعض الجنین فاستهلّ، ثمّ سقط میّتاً، فظاهر القواعد</w:t>
      </w:r>
      <w:r>
        <w:rPr>
          <w:rStyle w:val="FootnoteAnchor"/>
          <w:rtl w:val="true"/>
        </w:rPr>
        <w:footnoteReference w:id="1876"/>
      </w:r>
    </w:p>
    <w:p>
      <w:pPr>
        <w:pStyle w:val="BookText"/>
        <w:rPr/>
      </w:pPr>
      <w:r>
        <w:rPr>
          <w:rFonts w:ascii="IRNazanin" w:hAnsi="IRNazanin" w:eastAsia="IRNazanin"/>
          <w:color w:val="111111"/>
          <w:sz w:val="28"/>
          <w:sz w:val="28"/>
          <w:szCs w:val="28"/>
          <w:rtl w:val="true"/>
          <w:lang w:bidi="fa-IR"/>
        </w:rPr>
        <w:t>و التحریر</w:t>
      </w:r>
      <w:r>
        <w:rPr>
          <w:rStyle w:val="FootnoteAnchor"/>
          <w:rtl w:val="true"/>
        </w:rPr>
        <w:footnoteReference w:id="1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یصلّ علیه، و لکن صرّح فی المعتبر</w:t>
      </w:r>
      <w:r>
        <w:rPr>
          <w:rStyle w:val="FootnoteAnchor"/>
          <w:rtl w:val="true"/>
        </w:rPr>
        <w:footnoteReference w:id="1878"/>
      </w:r>
      <w:r>
        <w:rPr>
          <w:rFonts w:ascii="IRNazanin" w:hAnsi="IRNazanin" w:eastAsia="IRNazanin"/>
          <w:color w:val="111111"/>
          <w:sz w:val="28"/>
          <w:sz w:val="28"/>
          <w:szCs w:val="28"/>
          <w:rtl w:val="true"/>
          <w:lang w:bidi="fa-IR"/>
        </w:rPr>
        <w:t>و المنتهی</w:t>
      </w:r>
      <w:r>
        <w:rPr>
          <w:rStyle w:val="FootnoteAnchor"/>
          <w:rtl w:val="true"/>
        </w:rPr>
        <w:footnoteReference w:id="1879"/>
      </w:r>
      <w:r>
        <w:rPr>
          <w:rFonts w:ascii="IRNazanin" w:hAnsi="IRNazanin" w:eastAsia="IRNazanin"/>
          <w:color w:val="111111"/>
          <w:sz w:val="28"/>
          <w:sz w:val="28"/>
          <w:szCs w:val="28"/>
          <w:rtl w:val="true"/>
          <w:lang w:bidi="fa-IR"/>
        </w:rPr>
        <w:t>و نهایة الإحکام</w:t>
      </w:r>
      <w:r>
        <w:rPr>
          <w:rStyle w:val="FootnoteAnchor"/>
          <w:rtl w:val="true"/>
        </w:rPr>
        <w:footnoteReference w:id="1880"/>
      </w:r>
      <w:r>
        <w:rPr>
          <w:rFonts w:ascii="IRNazanin" w:hAnsi="IRNazanin" w:eastAsia="IRNazanin"/>
          <w:color w:val="111111"/>
          <w:sz w:val="28"/>
          <w:sz w:val="28"/>
          <w:szCs w:val="28"/>
          <w:rtl w:val="true"/>
          <w:lang w:bidi="fa-IR"/>
        </w:rPr>
        <w:t>و التذکرة</w:t>
      </w:r>
      <w:r>
        <w:rPr>
          <w:rStyle w:val="FootnoteAnchor"/>
          <w:rtl w:val="true"/>
        </w:rPr>
        <w:footnoteReference w:id="1881"/>
      </w:r>
      <w:r>
        <w:rPr>
          <w:rFonts w:ascii="IRNazanin" w:hAnsi="IRNazanin" w:eastAsia="IRNazanin"/>
          <w:color w:val="111111"/>
          <w:sz w:val="28"/>
          <w:sz w:val="28"/>
          <w:szCs w:val="28"/>
          <w:rtl w:val="true"/>
          <w:lang w:bidi="fa-IR"/>
        </w:rPr>
        <w:t>بأنّه یستحبّ الصلاة علیه لو خرج بعضه و استهلّ ثمّ مات و لو کان بعض الخارج أقلّه</w:t>
      </w:r>
      <w:r>
        <w:rPr>
          <w:rFonts w:eastAsia="IRNazanin" w:cs="IRNazanin"/>
          <w:color w:val="111111"/>
          <w:sz w:val="28"/>
          <w:szCs w:val="28"/>
          <w:rtl w:val="true"/>
          <w:lang w:bidi="fa-IR"/>
        </w:rPr>
        <w:t>.</w:t>
      </w:r>
    </w:p>
    <w:p>
      <w:pPr>
        <w:pStyle w:val="Heading5"/>
        <w:numPr>
          <w:ilvl w:val="4"/>
          <w:numId w:val="1"/>
        </w:numPr>
        <w:rPr/>
      </w:pPr>
      <w:bookmarkStart w:id="541" w:name="__RefHeading___Toc9587658_73709187"/>
      <w:bookmarkStart w:id="542" w:name="_Toc203"/>
      <w:bookmarkEnd w:id="541"/>
      <w:r>
        <w:rPr>
          <w:rtl w:val="true"/>
        </w:rPr>
        <w:t>المطلب الثانی</w:t>
      </w:r>
      <w:r>
        <w:rPr>
          <w:rtl w:val="true"/>
        </w:rPr>
        <w:t xml:space="preserve">: </w:t>
      </w:r>
      <w:r>
        <w:rPr>
          <w:rtl w:val="true"/>
        </w:rPr>
        <w:t>فی الصلاة علی الطفل الذی لم یبلغ الستّ‌</w:t>
      </w:r>
      <w:bookmarkEnd w:id="542"/>
    </w:p>
    <w:p>
      <w:pPr>
        <w:pStyle w:val="Heading6"/>
        <w:numPr>
          <w:ilvl w:val="5"/>
          <w:numId w:val="1"/>
        </w:numPr>
        <w:rPr/>
      </w:pPr>
      <w:bookmarkStart w:id="543" w:name="__RefHeading___Toc9587660_73709187"/>
      <w:bookmarkStart w:id="544" w:name="_Toc204"/>
      <w:bookmarkEnd w:id="543"/>
      <w:r>
        <w:rPr>
          <w:rtl w:val="true"/>
        </w:rPr>
        <w:t>اشارة</w:t>
      </w:r>
      <w:bookmarkEnd w:id="54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خرج المولود حیّاً أو حصل منه ما یدلّ علی حیاته من بکاء أو تحریک</w:t>
      </w:r>
    </w:p>
    <w:p>
      <w:pPr>
        <w:pStyle w:val="BookText"/>
        <w:rPr/>
      </w:pPr>
      <w:r>
        <w:rPr>
          <w:rFonts w:ascii="IRNazanin" w:hAnsi="IRNazanin" w:eastAsia="IRNazanin"/>
          <w:color w:val="111111"/>
          <w:sz w:val="28"/>
          <w:sz w:val="28"/>
          <w:szCs w:val="28"/>
          <w:rtl w:val="true"/>
          <w:lang w:bidi="fa-IR"/>
        </w:rPr>
        <w:t>عضو أو طرف، أو غیر ذلک، ثمّ مات و هکذا إلی أن یبلغ عمره أقلّ من ستّ سنین، فهل تستحبّ الصلاة علیه أم لا؟ 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المشهور بین الأصحاب لا سیّما المتأخّرین منهم، کما فی المختلف</w:t>
      </w:r>
      <w:r>
        <w:rPr>
          <w:rStyle w:val="FootnoteAnchor"/>
          <w:rtl w:val="true"/>
        </w:rPr>
        <w:footnoteReference w:id="1882"/>
      </w:r>
      <w:r>
        <w:rPr>
          <w:rFonts w:ascii="IRNazanin" w:hAnsi="IRNazanin" w:eastAsia="IRNazanin"/>
          <w:color w:val="111111"/>
          <w:sz w:val="28"/>
          <w:sz w:val="28"/>
          <w:szCs w:val="28"/>
          <w:rtl w:val="true"/>
          <w:lang w:bidi="fa-IR"/>
        </w:rPr>
        <w:t>و جامع المقاصد</w:t>
      </w:r>
      <w:r>
        <w:rPr>
          <w:rStyle w:val="FootnoteAnchor"/>
          <w:rtl w:val="true"/>
        </w:rPr>
        <w:footnoteReference w:id="1883"/>
      </w:r>
      <w:r>
        <w:rPr>
          <w:rFonts w:ascii="IRNazanin" w:hAnsi="IRNazanin" w:eastAsia="IRNazanin"/>
          <w:color w:val="111111"/>
          <w:sz w:val="28"/>
          <w:sz w:val="28"/>
          <w:szCs w:val="28"/>
          <w:rtl w:val="true"/>
          <w:lang w:bidi="fa-IR"/>
        </w:rPr>
        <w:t>و الکفایة</w:t>
      </w:r>
      <w:r>
        <w:rPr>
          <w:rStyle w:val="FootnoteAnchor"/>
          <w:rtl w:val="true"/>
        </w:rPr>
        <w:footnoteReference w:id="1884"/>
      </w:r>
      <w:r>
        <w:rPr>
          <w:rFonts w:ascii="IRNazanin" w:hAnsi="IRNazanin" w:eastAsia="IRNazanin"/>
          <w:color w:val="111111"/>
          <w:sz w:val="28"/>
          <w:sz w:val="28"/>
          <w:szCs w:val="28"/>
          <w:rtl w:val="true"/>
          <w:lang w:bidi="fa-IR"/>
        </w:rPr>
        <w:t>و غیرها</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نقص سنّه عن ستّ سنین لم تجب الصلاة علیه، بل یصلّی علیه استحباباً و تقیّة</w:t>
      </w:r>
      <w:r>
        <w:rPr>
          <w:rFonts w:eastAsia="IRNazanin" w:cs="IRNazanin"/>
          <w:color w:val="111111"/>
          <w:sz w:val="28"/>
          <w:szCs w:val="28"/>
          <w:rtl w:val="true"/>
          <w:lang w:bidi="fa-IR"/>
        </w:rPr>
        <w:t>»</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الغنائم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النهایة یصلّی علی من نقص عن ستّ سنین استحباباً أو تقیّة، و الظاهر أنّه أراد استحبابه فی نفسه، و إرادة الفعل وجوباً للتقیّة</w:t>
      </w:r>
      <w:r>
        <w:rPr>
          <w:rFonts w:eastAsia="IRNazanin" w:cs="IRNazanin"/>
          <w:color w:val="111111"/>
          <w:sz w:val="28"/>
          <w:szCs w:val="28"/>
          <w:rtl w:val="true"/>
          <w:lang w:bidi="fa-IR"/>
        </w:rPr>
        <w:t>»</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نقص عن ذلک الحدّ لا تجب الصلاة علیه، بل تستحبّ الصلاة علیه، إلّا أن یکون هناک تقیّة</w:t>
      </w:r>
      <w:r>
        <w:rPr>
          <w:rFonts w:eastAsia="IRNazanin" w:cs="IRNazanin"/>
          <w:color w:val="111111"/>
          <w:sz w:val="28"/>
          <w:szCs w:val="28"/>
          <w:rtl w:val="true"/>
          <w:lang w:bidi="fa-IR"/>
        </w:rPr>
        <w:t>»</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المراسم</w:t>
      </w:r>
      <w:r>
        <w:rPr>
          <w:rStyle w:val="FootnoteAnchor"/>
          <w:rtl w:val="true"/>
        </w:rPr>
        <w:footnoteReference w:id="1889"/>
      </w:r>
      <w:r>
        <w:rPr>
          <w:rFonts w:ascii="Amiri" w:hAnsi="Amiri" w:eastAsia="Amiri" w:cs="Amiri"/>
          <w:color w:val="111111"/>
          <w:sz w:val="28"/>
          <w:sz w:val="28"/>
          <w:szCs w:val="28"/>
          <w:rtl w:val="true"/>
          <w:lang w:bidi="ar-SA"/>
        </w:rPr>
        <w:t>و المهذّب</w:t>
      </w:r>
      <w:r>
        <w:rPr>
          <w:rStyle w:val="FootnoteAnchor"/>
          <w:rtl w:val="true"/>
        </w:rPr>
        <w:footnoteReference w:id="1890"/>
      </w:r>
      <w:r>
        <w:rPr>
          <w:rFonts w:ascii="IRNazanin" w:hAnsi="IRNazanin" w:eastAsia="IRNazanin"/>
          <w:color w:val="111111"/>
          <w:sz w:val="28"/>
          <w:sz w:val="28"/>
          <w:szCs w:val="28"/>
          <w:rtl w:val="true"/>
          <w:lang w:bidi="fa-IR"/>
        </w:rPr>
        <w:t>و الوسیلة،</w:t>
      </w:r>
      <w:r>
        <w:rPr>
          <w:rStyle w:val="FootnoteAnchor"/>
          <w:rtl w:val="true"/>
        </w:rPr>
        <w:footnoteReference w:id="1891"/>
      </w:r>
      <w:r>
        <w:rPr>
          <w:rFonts w:ascii="IRNazanin" w:hAnsi="IRNazanin" w:eastAsia="IRNazanin"/>
          <w:color w:val="111111"/>
          <w:sz w:val="28"/>
          <w:sz w:val="28"/>
          <w:szCs w:val="28"/>
          <w:rtl w:val="true"/>
          <w:lang w:bidi="fa-IR"/>
        </w:rPr>
        <w:t>و اختاره الفاضلان</w:t>
      </w:r>
      <w:r>
        <w:rPr>
          <w:rStyle w:val="FootnoteAnchor"/>
          <w:rtl w:val="true"/>
        </w:rPr>
        <w:footnoteReference w:id="1892"/>
      </w:r>
      <w:bookmarkStart w:id="545" w:name="pg11755_254938"/>
    </w:p>
    <w:p>
      <w:pPr>
        <w:pStyle w:val="BookText"/>
        <w:rPr/>
      </w:pPr>
      <w:bookmarkEnd w:id="545"/>
      <w:r>
        <w:rPr>
          <w:rFonts w:ascii="IRNazanin" w:hAnsi="IRNazanin" w:eastAsia="IRNazanin"/>
          <w:color w:val="111111"/>
          <w:sz w:val="28"/>
          <w:sz w:val="28"/>
          <w:szCs w:val="28"/>
          <w:rtl w:val="true"/>
          <w:lang w:bidi="fa-IR"/>
        </w:rPr>
        <w:t>و ابن سعید</w:t>
      </w:r>
      <w:r>
        <w:rPr>
          <w:rStyle w:val="FootnoteAnchor"/>
          <w:rtl w:val="true"/>
        </w:rPr>
        <w:footnoteReference w:id="1893"/>
      </w:r>
      <w:r>
        <w:rPr>
          <w:rFonts w:ascii="IRNazanin" w:hAnsi="IRNazanin" w:eastAsia="IRNazanin"/>
          <w:color w:val="111111"/>
          <w:sz w:val="28"/>
          <w:sz w:val="28"/>
          <w:szCs w:val="28"/>
          <w:rtl w:val="true"/>
          <w:lang w:bidi="fa-IR"/>
        </w:rPr>
        <w:t>و الکیدری</w:t>
      </w:r>
      <w:r>
        <w:rPr>
          <w:rStyle w:val="FootnoteAnchor"/>
          <w:rtl w:val="true"/>
        </w:rPr>
        <w:footnoteReference w:id="1894"/>
      </w:r>
      <w:r>
        <w:rPr>
          <w:rFonts w:ascii="IRNazanin" w:hAnsi="IRNazanin" w:eastAsia="IRNazanin"/>
          <w:color w:val="111111"/>
          <w:sz w:val="28"/>
          <w:sz w:val="28"/>
          <w:szCs w:val="28"/>
          <w:rtl w:val="true"/>
          <w:lang w:bidi="fa-IR"/>
        </w:rPr>
        <w:t>و المحقّق الثانی</w:t>
      </w:r>
      <w:r>
        <w:rPr>
          <w:rStyle w:val="FootnoteAnchor"/>
          <w:rtl w:val="true"/>
        </w:rPr>
        <w:footnoteReference w:id="1895"/>
      </w:r>
      <w:r>
        <w:rPr>
          <w:rFonts w:ascii="IRNazanin" w:hAnsi="IRNazanin" w:eastAsia="IRNazanin"/>
          <w:color w:val="111111"/>
          <w:sz w:val="28"/>
          <w:sz w:val="28"/>
          <w:szCs w:val="28"/>
          <w:rtl w:val="true"/>
          <w:lang w:bidi="fa-IR"/>
        </w:rPr>
        <w:t>، و هو الظاهر من الروض</w:t>
      </w:r>
      <w:r>
        <w:rPr>
          <w:rStyle w:val="FootnoteAnchor"/>
          <w:rtl w:val="true"/>
        </w:rPr>
        <w:footnoteReference w:id="1896"/>
      </w:r>
      <w:r>
        <w:rPr>
          <w:rFonts w:ascii="IRNazanin" w:hAnsi="IRNazanin" w:eastAsia="IRNazanin"/>
          <w:color w:val="111111"/>
          <w:sz w:val="28"/>
          <w:sz w:val="28"/>
          <w:szCs w:val="28"/>
          <w:rtl w:val="true"/>
          <w:lang w:bidi="fa-IR"/>
        </w:rPr>
        <w:t>؛ لأنّه قیّد الاستحباب بولادته حیّاً، و یظهر أیضاً من استدلاله بصحیحة عبد اللّه بن سنان</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بعض آخر من المتأخّرین</w:t>
      </w:r>
      <w:r>
        <w:rPr>
          <w:rStyle w:val="FootnoteAnchor"/>
          <w:rtl w:val="true"/>
        </w:rPr>
        <w:footnoteReference w:id="1898"/>
      </w:r>
      <w:r>
        <w:rPr>
          <w:rFonts w:ascii="IRNazanin" w:hAnsi="IRNazanin" w:eastAsia="IRNazanin"/>
          <w:color w:val="111111"/>
          <w:sz w:val="28"/>
          <w:sz w:val="28"/>
          <w:szCs w:val="28"/>
          <w:rtl w:val="true"/>
          <w:lang w:bidi="fa-IR"/>
        </w:rPr>
        <w:t>، و جملة من متأخّریهم</w:t>
      </w:r>
      <w:r>
        <w:rPr>
          <w:rStyle w:val="FootnoteAnchor"/>
          <w:rtl w:val="true"/>
        </w:rPr>
        <w:footnoteReference w:id="1899"/>
      </w:r>
      <w:r>
        <w:rPr>
          <w:rFonts w:ascii="IRNazanin" w:hAnsi="IRNazanin" w:eastAsia="IRNazanin"/>
          <w:color w:val="111111"/>
          <w:sz w:val="28"/>
          <w:sz w:val="28"/>
          <w:szCs w:val="28"/>
          <w:rtl w:val="true"/>
          <w:lang w:bidi="fa-IR"/>
        </w:rPr>
        <w:t>و المعاصرین</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6" w:name="__RefHeading___Toc9587662_73709187"/>
      <w:bookmarkStart w:id="547" w:name="_Toc205"/>
      <w:bookmarkEnd w:id="546"/>
      <w:r>
        <w:rPr>
          <w:rtl w:val="true"/>
        </w:rPr>
        <w:t>الدلیل علی استحباب الصلاة علی من کان عمره أقلّ من الستّ‌</w:t>
      </w:r>
      <w:bookmarkEnd w:id="547"/>
    </w:p>
    <w:p>
      <w:pPr>
        <w:pStyle w:val="BookText"/>
        <w:rPr/>
      </w:pPr>
      <w:r>
        <w:rPr>
          <w:rFonts w:ascii="IRNazanin" w:hAnsi="IRNazanin" w:eastAsia="IRNazanin"/>
          <w:color w:val="111111"/>
          <w:sz w:val="28"/>
          <w:sz w:val="28"/>
          <w:szCs w:val="28"/>
          <w:rtl w:val="true"/>
          <w:lang w:bidi="fa-IR"/>
        </w:rPr>
        <w:t>و یدلّ علی ما ذهب إلیه المشهور جملة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یصلّی علی المنفوس، و هو المولود الذی لم یستهلّ و لم یصح، و لم یورّث من الدیة و لا من غیرها، و إذا استهلّ فصلّ علیه و ورّثه</w:t>
      </w:r>
      <w:r>
        <w:rPr>
          <w:rFonts w:eastAsia="IRNazanin" w:cs="IRNazanin"/>
          <w:color w:val="111111"/>
          <w:sz w:val="28"/>
          <w:szCs w:val="28"/>
          <w:rtl w:val="true"/>
          <w:lang w:bidi="fa-IR"/>
        </w:rPr>
        <w:t>»</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السکونی، عن جعفر،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یورّث الصبیّ و یصلّی علیه إذا سقط من بطن امّه فاستهلّ صارخاً، و إذا لم یستهلّ صارخاً لم یورّث و لم یصلّ علیه</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فإنّهما تدلّان علی الملازمة بین توارثه و وجوب الصلاة علیه، فیصلّی علی المولود الذی استهلّ و یورّث، و أمّا المولود الذی لم یستهلّ فلا تشرع الصلاة علیه و لا یورّث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لِکَم یصلّی علی الصبیّ إذا بلغ من السنین و الشهور؟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علیه علی کلّ حال، إلّا أن یسقط لغیر تمام</w:t>
      </w:r>
      <w:r>
        <w:rPr>
          <w:rFonts w:eastAsia="IRNazanin" w:cs="IRNazanin"/>
          <w:color w:val="111111"/>
          <w:sz w:val="28"/>
          <w:szCs w:val="28"/>
          <w:rtl w:val="true"/>
          <w:lang w:bidi="fa-IR"/>
        </w:rPr>
        <w:t>»</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أحمد بن محمّد، عن رجل، عن أبی الحسن الماضی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یصلّی علی الصّبی إذا بلغ من السنین و الشهور؟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علیه علی کلّ حال، إلّا أن یسقط لغیر تمام</w:t>
      </w:r>
      <w:r>
        <w:rPr>
          <w:rFonts w:eastAsia="IRNazanin" w:cs="IRNazanin"/>
          <w:color w:val="111111"/>
          <w:sz w:val="28"/>
          <w:szCs w:val="28"/>
          <w:rtl w:val="true"/>
          <w:lang w:bidi="fa-IR"/>
        </w:rPr>
        <w:t>»</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فإنّهما تدلّان علی وجوب الصلاة علی کلّ طفل، إلّا أن یسقط لغیر تمام، و لکن یحمل فیما کان دون الستّ علی الاستحباب؛ للنصوص التی تدلّ علی عدم الوجوب لأقلّ من الستّ، و سیأتی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یؤیّدها ما رواه فی دعائم الإسلام عن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استهلّ الطفل صلّی علیه</w:t>
      </w:r>
      <w:r>
        <w:rPr>
          <w:rFonts w:eastAsia="IRNazanin" w:cs="IRNazanin"/>
          <w:color w:val="111111"/>
          <w:sz w:val="28"/>
          <w:szCs w:val="28"/>
          <w:rtl w:val="true"/>
          <w:lang w:bidi="fa-IR"/>
        </w:rPr>
        <w:t>»</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الجعفریّات أیضاً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صلّی علی امرأة ماتت فی نفاسها، علیها و علی ولدها</w:t>
      </w:r>
      <w:r>
        <w:rPr>
          <w:rFonts w:eastAsia="IRNazanin" w:cs="IRNazanin"/>
          <w:color w:val="111111"/>
          <w:sz w:val="28"/>
          <w:szCs w:val="28"/>
          <w:rtl w:val="true"/>
          <w:lang w:bidi="fa-IR"/>
        </w:rPr>
        <w:t>»</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ابن بکیر عن قدامة بن زائدة،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صلّی علی ابنه إبراهیم، فکبّر علیه خمساً</w:t>
      </w:r>
      <w:r>
        <w:rPr>
          <w:rFonts w:eastAsia="IRNazanin" w:cs="IRNazanin"/>
          <w:color w:val="111111"/>
          <w:sz w:val="28"/>
          <w:szCs w:val="28"/>
          <w:rtl w:val="true"/>
          <w:lang w:bidi="fa-IR"/>
        </w:rPr>
        <w:t>»</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ورد فی هذه الروایات الأمر بالصلاة علی الطفل الذی لم یبلغ ستّ سنین، و یستفاد منه الاستحباب؛ للترخیص فی ترکها فی الأخبار الدالّة علی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استشکل جملة من الأصحاب</w:t>
      </w:r>
      <w:r>
        <w:rPr>
          <w:rStyle w:val="FootnoteAnchor"/>
          <w:rtl w:val="true"/>
        </w:rPr>
        <w:footnoteReference w:id="1907"/>
      </w:r>
      <w:r>
        <w:rPr>
          <w:rFonts w:ascii="IRNazanin" w:hAnsi="IRNazanin" w:eastAsia="IRNazanin"/>
          <w:color w:val="111111"/>
          <w:sz w:val="28"/>
          <w:sz w:val="28"/>
          <w:szCs w:val="28"/>
          <w:rtl w:val="true"/>
          <w:lang w:bidi="fa-IR"/>
        </w:rPr>
        <w:t>فی دلالة هذه الأخبار بأنّها تحمل علی التقیّة</w:t>
      </w:r>
      <w:r>
        <w:rPr>
          <w:rStyle w:val="FootnoteAnchor"/>
          <w:rtl w:val="true"/>
        </w:rPr>
        <w:footnoteReference w:id="1908"/>
      </w:r>
      <w:r>
        <w:rPr>
          <w:rFonts w:ascii="IRNazanin" w:hAnsi="IRNazanin" w:eastAsia="IRNazanin"/>
          <w:color w:val="111111"/>
          <w:sz w:val="28"/>
          <w:sz w:val="28"/>
          <w:szCs w:val="28"/>
          <w:rtl w:val="true"/>
          <w:lang w:bidi="fa-IR"/>
        </w:rPr>
        <w:t xml:space="preserve">؛ لأنّ مقتضی کثیر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سنذکرها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مشروعیّة الصلاة علی من لم یبلغ ستّ سنین، و سیأتی التحقیق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صلاة عند آل الرسول علیهم السلام علی من لا یعقل الصلاة من الأطفال، و حدّه أن ینقص زمانه عن ستّ سنین، غیر أنّهم أباحوا الصلاة علیهم تقیّة من الجهّال؛ لنفی الشبهة عنهم فی اعتقادهم عند ترکها أنّهم لا یرون الصلاة علی الأموات</w:t>
      </w:r>
      <w:r>
        <w:rPr>
          <w:rFonts w:eastAsia="IRNazanin" w:cs="IRNazanin"/>
          <w:color w:val="111111"/>
          <w:sz w:val="28"/>
          <w:szCs w:val="28"/>
          <w:rtl w:val="true"/>
          <w:lang w:bidi="fa-IR"/>
        </w:rPr>
        <w:t>»</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الظاهر من الکلینی</w:t>
      </w:r>
      <w:r>
        <w:rPr>
          <w:rStyle w:val="FootnoteAnchor"/>
          <w:rtl w:val="true"/>
        </w:rPr>
        <w:footnoteReference w:id="1910"/>
      </w:r>
      <w:r>
        <w:rPr>
          <w:rFonts w:ascii="IRNazanin" w:hAnsi="IRNazanin" w:eastAsia="IRNazanin"/>
          <w:color w:val="111111"/>
          <w:sz w:val="28"/>
          <w:sz w:val="28"/>
          <w:szCs w:val="28"/>
          <w:rtl w:val="true"/>
          <w:lang w:bidi="fa-IR"/>
        </w:rPr>
        <w:t>و الصدوق فی الفقیه</w:t>
      </w:r>
      <w:r>
        <w:rPr>
          <w:rStyle w:val="FootnoteAnchor"/>
          <w:rtl w:val="true"/>
        </w:rPr>
        <w:footnoteReference w:id="1911"/>
      </w:r>
      <w:r>
        <w:rPr>
          <w:rFonts w:ascii="IRNazanin" w:hAnsi="IRNazanin" w:eastAsia="IRNazanin"/>
          <w:color w:val="111111"/>
          <w:sz w:val="28"/>
          <w:sz w:val="28"/>
          <w:szCs w:val="28"/>
          <w:rtl w:val="true"/>
          <w:lang w:bidi="fa-IR"/>
        </w:rPr>
        <w:t>، حیث لم یوردا إلّا الأخبار الواردة الدالّة علی عدم الصلاة لدون ستّ، و کذا فی المقنع</w:t>
      </w:r>
      <w:r>
        <w:rPr>
          <w:rStyle w:val="FootnoteAnchor"/>
          <w:rtl w:val="true"/>
        </w:rPr>
        <w:footnoteReference w:id="1912"/>
      </w:r>
      <w:r>
        <w:rPr>
          <w:rFonts w:ascii="IRNazanin" w:hAnsi="IRNazanin" w:eastAsia="IRNazanin"/>
          <w:color w:val="111111"/>
          <w:sz w:val="28"/>
          <w:sz w:val="28"/>
          <w:szCs w:val="28"/>
          <w:rtl w:val="true"/>
          <w:lang w:bidi="fa-IR"/>
        </w:rPr>
        <w:t>، و یشعر</w:t>
      </w:r>
      <w:bookmarkStart w:id="548" w:name="pg11755_254944"/>
    </w:p>
    <w:p>
      <w:pPr>
        <w:pStyle w:val="BookText"/>
        <w:rPr/>
      </w:pPr>
      <w:bookmarkEnd w:id="548"/>
      <w:r>
        <w:rPr>
          <w:rFonts w:ascii="IRNazanin" w:hAnsi="IRNazanin" w:eastAsia="IRNazanin"/>
          <w:color w:val="111111"/>
          <w:sz w:val="28"/>
          <w:sz w:val="28"/>
          <w:szCs w:val="28"/>
          <w:rtl w:val="true"/>
          <w:lang w:bidi="fa-IR"/>
        </w:rPr>
        <w:t>به کلام الشیخ فی المبسوط‌</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جزم بعدم الندب المحدّث البحرانی و صرّح بأنّه لا مجال للحمل علی الاستحباب</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المجلسی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 کثیر من الأخبار أنّ الصلاة قبل ستّ سنین بدعة، و ما وقع منهم علیهم السلام علیهم کان للتقیّة</w:t>
      </w:r>
      <w:r>
        <w:rPr>
          <w:rFonts w:eastAsia="IRNazanin" w:cs="IRNazanin"/>
          <w:color w:val="111111"/>
          <w:sz w:val="28"/>
          <w:szCs w:val="28"/>
          <w:rtl w:val="true"/>
          <w:lang w:bidi="fa-IR"/>
        </w:rPr>
        <w:t>»</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 الکلینی و المفید و الصدوق نفی الاستحباب، و هو أحوط</w:t>
      </w:r>
      <w:r>
        <w:rPr>
          <w:rFonts w:eastAsia="IRNazanin" w:cs="IRNazanin"/>
          <w:color w:val="111111"/>
          <w:sz w:val="28"/>
          <w:szCs w:val="28"/>
          <w:rtl w:val="true"/>
          <w:lang w:bidi="fa-IR"/>
        </w:rPr>
        <w:t>»</w:t>
      </w:r>
      <w:r>
        <w:rPr>
          <w:rStyle w:val="FootnoteAnchor"/>
          <w:rtl w:val="true"/>
        </w:rPr>
        <w:footnoteReference w:id="1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استقربه فی الذخیرة</w:t>
      </w:r>
      <w:r>
        <w:rPr>
          <w:rStyle w:val="FootnoteAnchor"/>
          <w:rtl w:val="true"/>
        </w:rPr>
        <w:footnoteReference w:id="1917"/>
      </w:r>
      <w:r>
        <w:rPr>
          <w:rFonts w:ascii="IRNazanin" w:hAnsi="IRNazanin" w:eastAsia="IRNazanin"/>
          <w:color w:val="111111"/>
          <w:sz w:val="28"/>
          <w:sz w:val="28"/>
          <w:szCs w:val="28"/>
          <w:rtl w:val="true"/>
          <w:lang w:bidi="fa-IR"/>
        </w:rPr>
        <w:t>، و ذهب إلیه الفاضل النراقی</w:t>
      </w:r>
      <w:r>
        <w:rPr>
          <w:rStyle w:val="FootnoteAnchor"/>
          <w:rtl w:val="true"/>
        </w:rPr>
        <w:footnoteReference w:id="1918"/>
      </w:r>
    </w:p>
    <w:p>
      <w:pPr>
        <w:pStyle w:val="BookText"/>
        <w:rPr/>
      </w:pPr>
      <w:r>
        <w:rPr>
          <w:rFonts w:ascii="IRNazanin" w:hAnsi="IRNazanin" w:eastAsia="IRNazanin"/>
          <w:color w:val="111111"/>
          <w:sz w:val="28"/>
          <w:sz w:val="28"/>
          <w:szCs w:val="28"/>
          <w:rtl w:val="true"/>
          <w:lang w:bidi="fa-IR"/>
        </w:rPr>
        <w:t>و السیّد الخوانساری</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المحدِّث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تستحبّ الصلاة للصبیّ تستحبّ علیه، و متی تجب تجب، و متی لا یعقلها لا تجب و لا تستحبّ</w:t>
      </w:r>
      <w:r>
        <w:rPr>
          <w:rFonts w:eastAsia="IRNazanin" w:cs="IRNazanin"/>
          <w:color w:val="111111"/>
          <w:sz w:val="28"/>
          <w:szCs w:val="28"/>
          <w:rtl w:val="true"/>
          <w:lang w:bidi="fa-IR"/>
        </w:rPr>
        <w:t>»</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9" w:name="__RefHeading___Toc9587664_73709187"/>
      <w:bookmarkStart w:id="550" w:name="_Toc206"/>
      <w:bookmarkEnd w:id="549"/>
      <w:r>
        <w:rPr>
          <w:rtl w:val="true"/>
        </w:rPr>
        <w:t>أدلّة هذا الحکم</w:t>
      </w:r>
      <w:bookmarkEnd w:id="55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لعدم استحباب الصلاة علی الصغیر الذی نقص عمره عن ستّ سنین بجملة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ابن لأبی جعفر علیه السلام فاُخبر بموته، فأمر به فغسّل، و کفّن و مشی معه، و صلّی علیه، و طرحت خمرة</w:t>
      </w:r>
      <w:r>
        <w:rPr>
          <w:rStyle w:val="FootnoteAnchor"/>
          <w:rtl w:val="true"/>
        </w:rPr>
        <w:footnoteReference w:id="1921"/>
      </w:r>
      <w:r>
        <w:rPr>
          <w:rFonts w:ascii="IRNazanin" w:hAnsi="IRNazanin" w:eastAsia="IRNazanin"/>
          <w:color w:val="111111"/>
          <w:sz w:val="28"/>
          <w:sz w:val="28"/>
          <w:szCs w:val="28"/>
          <w:rtl w:val="true"/>
          <w:lang w:bidi="fa-IR"/>
        </w:rPr>
        <w:t>، فقام علیها، ثمّ قام علی قبره حتّی فرغ منه، ثمّ انصرف و انصرفت معه، حتّی أنّی لأمشی معه،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إنّه لم یکن یصلّی علی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ابن ثلاث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یأمر به فیدفن و لا یصلّی علیه، و لکنّ الناس صنعوا شیئاً، فنحن نصنع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تجب علیه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عقل الصلاة و کان ابن ستّ سنین</w:t>
      </w:r>
      <w:r>
        <w:rPr>
          <w:rFonts w:eastAsia="IRNazanin" w:cs="IRNazanin"/>
          <w:color w:val="111111"/>
          <w:sz w:val="28"/>
          <w:szCs w:val="28"/>
          <w:rtl w:val="true"/>
          <w:lang w:bidi="fa-IR"/>
        </w:rPr>
        <w:t>»</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ثانیة لزرارة</w:t>
      </w:r>
      <w:r>
        <w:rPr>
          <w:rStyle w:val="FootnoteAnchor"/>
          <w:rtl w:val="true"/>
        </w:rPr>
        <w:footnoteReference w:id="192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ابناً لأبی عبد اللّه علیه السلام فطیماً درج مات، فخرج أبو جعفر علیه السلام فی جنازته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علیه، فکبّر علیه أربعاً، ثمّ أمر به فدفن، ثمّ أخذ بیدی فتنحّی بی،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یکن یصلّی علی الأطفال إنّما کان أمیر المؤمنین علیه السلام یأمر بهم، فیدفنون من وراه و لا یصلّی علیهم، و إنّما صلّیت علیه من أجل أهل المدینة؛ کراهیة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یصلّون علی أطفالهم</w:t>
      </w:r>
      <w:r>
        <w:rPr>
          <w:rFonts w:eastAsia="IRNazanin" w:cs="IRNazanin"/>
          <w:color w:val="111111"/>
          <w:sz w:val="28"/>
          <w:szCs w:val="28"/>
          <w:rtl w:val="true"/>
          <w:lang w:bidi="fa-IR"/>
        </w:rPr>
        <w:t>»</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أبو جعفر علیه السلام علی ابن له صبیّ صغیر له ثلاث سنین،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هاشم لا یصلّون</w:t>
      </w:r>
    </w:p>
    <w:p>
      <w:pPr>
        <w:pStyle w:val="BookText"/>
        <w:rPr/>
      </w:pPr>
      <w:r>
        <w:rPr>
          <w:rFonts w:ascii="IRNazanin" w:hAnsi="IRNazanin" w:eastAsia="IRNazanin"/>
          <w:color w:val="111111"/>
          <w:sz w:val="28"/>
          <w:sz w:val="28"/>
          <w:szCs w:val="28"/>
          <w:rtl w:val="true"/>
          <w:lang w:bidi="fa-IR"/>
        </w:rPr>
        <w:t>علی الصغار من أولادهم ما صلّیت علیهم</w:t>
      </w:r>
      <w:r>
        <w:rPr>
          <w:rFonts w:eastAsia="IRNazanin" w:cs="IRNazanin"/>
          <w:color w:val="111111"/>
          <w:sz w:val="28"/>
          <w:szCs w:val="28"/>
          <w:rtl w:val="true"/>
          <w:lang w:bidi="fa-IR"/>
        </w:rPr>
        <w:t>»</w:t>
      </w:r>
      <w:r>
        <w:rPr>
          <w:rStyle w:val="FootnoteAnchor"/>
          <w:rtl w:val="true"/>
        </w:rPr>
        <w:footnoteReference w:id="1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رواه الصدوق فی التوحید</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نصّ‌</w:t>
      </w:r>
      <w:r>
        <w:rPr>
          <w:rStyle w:val="FootnoteAnchor"/>
          <w:rtl w:val="true"/>
        </w:rPr>
        <w:footnoteReference w:id="1927"/>
      </w:r>
      <w:r>
        <w:rPr>
          <w:rFonts w:ascii="IRNazanin" w:hAnsi="IRNazanin" w:eastAsia="IRNazanin"/>
          <w:color w:val="111111"/>
          <w:sz w:val="28"/>
          <w:sz w:val="28"/>
          <w:szCs w:val="28"/>
          <w:rtl w:val="true"/>
          <w:lang w:bidi="fa-IR"/>
        </w:rPr>
        <w:t>فی عدم مطلوبیّة الصلاة للصغیر الذی نقص عمره عن ستّ سنین، و إلّا لم یکن علیّ علیه السلام یأمر بدفنه بغیر صلاة، و لا أبو جعفر علیه السلام یعتذر عن فعلها بأنّه صلّی علی الطفل لأجل مجاورة أهل المدینة، و عدم تشنیع الناس و المماشاة معهم، و لو کانت الصلاة علیه مندوبة لم یحتجّ إلی الاعتذار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صلّیت علیه من أجل أهل المدینة؛ کراهیّة أن یقولوا لا یصلّون علی أطفالهم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علیّ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موسی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قُبِض إبراهیم ابن رسول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قم فجهّز ابنی، فقام علیّ علیه السلام فغسّل إبراهیم و حنّطه و کفّنه، ثمّ خرج به، و مضی رسول اللّه حتّی انتهی به إلی قبره،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نسی أن یصلّی علی إبراهیم لِما دخله من الجزع علیه، فانتصب قائماً،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أتانی جبرئیل بما قلتم، زعمتم أنّی نسیت أن اصلّی علی ابنی لِما دخلنی من الجزع، ألا و إنّه لیس کما ظننتم، و لکنّ اللطیف الخبیر فرض علیکم خمس صلوات، و جعل لموتاکم من کلّ صلاة تکبیرة، و أمرنی أن لا اصلّی إلّا علی من صلّی</w:t>
      </w:r>
      <w:r>
        <w:rPr>
          <w:rFonts w:eastAsia="IRNazanin" w:cs="IRNazanin"/>
          <w:color w:val="111111"/>
          <w:sz w:val="28"/>
          <w:szCs w:val="28"/>
          <w:rtl w:val="true"/>
          <w:lang w:bidi="fa-IR"/>
        </w:rPr>
        <w:t>»</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صریحة فی نفی الصلاة إلّا علی من صلّی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یکلّمونا و یردّون</w:t>
      </w:r>
      <w:bookmarkStart w:id="551" w:name="pg11755_254950"/>
    </w:p>
    <w:p>
      <w:pPr>
        <w:pStyle w:val="BookText"/>
        <w:rPr/>
      </w:pPr>
      <w:bookmarkEnd w:id="551"/>
      <w:r>
        <w:rPr>
          <w:rFonts w:ascii="IRNazanin" w:hAnsi="IRNazanin" w:eastAsia="IRNazanin"/>
          <w:color w:val="111111"/>
          <w:sz w:val="28"/>
          <w:sz w:val="28"/>
          <w:szCs w:val="28"/>
          <w:rtl w:val="true"/>
          <w:lang w:bidi="fa-IR"/>
        </w:rPr>
        <w:t>علینا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یصلّی علی الطفل و الروایة 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یصلّی علی من لم تجب علیه الصلاة و لا الحدود</w:t>
      </w:r>
      <w:r>
        <w:rPr>
          <w:rFonts w:eastAsia="IRNazanin" w:cs="IRNazanin"/>
          <w:color w:val="111111"/>
          <w:sz w:val="28"/>
          <w:szCs w:val="28"/>
          <w:rtl w:val="true"/>
          <w:lang w:bidi="fa-IR"/>
        </w:rPr>
        <w:t>»</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عمّار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المولود ما لم یجر علیه القلم، هل یصلّی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الصلاة علی الرجل و المرأة إذا جری علیهما القلم</w:t>
      </w:r>
      <w:r>
        <w:rPr>
          <w:rFonts w:eastAsia="IRNazanin" w:cs="IRNazanin"/>
          <w:color w:val="111111"/>
          <w:sz w:val="28"/>
          <w:szCs w:val="28"/>
          <w:rtl w:val="true"/>
          <w:lang w:bidi="fa-IR"/>
        </w:rPr>
        <w:t>»</w:t>
      </w:r>
      <w:r>
        <w:rPr>
          <w:rStyle w:val="FootnoteAnchor"/>
          <w:rtl w:val="true"/>
        </w:rPr>
        <w:footnoteReference w:id="1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فتدلّان علی وجوب الصلاة علی البالغین خاصّة</w:t>
      </w:r>
      <w:r>
        <w:rPr>
          <w:rFonts w:eastAsia="IRNazanin" w:cs="IRNazanin"/>
          <w:color w:val="111111"/>
          <w:sz w:val="28"/>
          <w:szCs w:val="28"/>
          <w:rtl w:val="true"/>
          <w:lang w:bidi="fa-IR"/>
        </w:rPr>
        <w:t>.</w:t>
      </w:r>
    </w:p>
    <w:p>
      <w:pPr>
        <w:pStyle w:val="Heading6"/>
        <w:numPr>
          <w:ilvl w:val="5"/>
          <w:numId w:val="1"/>
        </w:numPr>
        <w:rPr/>
      </w:pPr>
      <w:bookmarkStart w:id="552" w:name="__RefHeading___Toc9587666_73709187"/>
      <w:bookmarkStart w:id="553" w:name="_Toc207"/>
      <w:bookmarkEnd w:id="552"/>
      <w:r>
        <w:rPr>
          <w:rtl w:val="true"/>
        </w:rPr>
        <w:t>التحقیق فی أدلّة القولین</w:t>
      </w:r>
      <w:bookmarkEnd w:id="553"/>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باعتبار مفاد هذه الأخبار قد یقوی فی النظر جریها مجری التقیّة، کما جزم به فی الحدائق</w:t>
      </w:r>
      <w:r>
        <w:rPr>
          <w:rStyle w:val="FootnoteAnchor"/>
          <w:rtl w:val="true"/>
        </w:rPr>
        <w:footnoteReference w:id="1931"/>
      </w:r>
      <w:r>
        <w:rPr>
          <w:rFonts w:ascii="IRNazanin" w:hAnsi="IRNazanin" w:eastAsia="IRNazanin"/>
          <w:color w:val="111111"/>
          <w:sz w:val="28"/>
          <w:sz w:val="28"/>
          <w:szCs w:val="28"/>
          <w:rtl w:val="true"/>
          <w:lang w:bidi="fa-IR"/>
        </w:rPr>
        <w:t>و المدارک</w:t>
      </w:r>
      <w:r>
        <w:rPr>
          <w:rStyle w:val="FootnoteAnchor"/>
          <w:rtl w:val="true"/>
        </w:rPr>
        <w:footnoteReference w:id="1932"/>
      </w:r>
      <w:r>
        <w:rPr>
          <w:rFonts w:ascii="IRNazanin" w:hAnsi="IRNazanin" w:eastAsia="IRNazanin"/>
          <w:color w:val="111111"/>
          <w:sz w:val="28"/>
          <w:sz w:val="28"/>
          <w:szCs w:val="28"/>
          <w:rtl w:val="true"/>
          <w:lang w:bidi="fa-IR"/>
        </w:rPr>
        <w:t>و غیرهما</w:t>
      </w:r>
      <w:r>
        <w:rPr>
          <w:rStyle w:val="FootnoteAnchor"/>
          <w:rtl w:val="true"/>
        </w:rPr>
        <w:footnoteReference w:id="1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باعتبار جهات اخری فلا مجال للحمل علیها، و لعلّ المراد من الأخبار النافیة هو نفی الوجوب و التأکید، لا نفی الجواز و الاستحباب، و الجهات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لا ریب فی ظهور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التصریح فی النصوص بعدم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الندب الذی هو أشهر المجازات و أقربها إلی الحقیقة</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الشهرة من القدماء و المتأخّرین علی استحباب الصلاة علیه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التصریح فی النصوص و فتوی القدماء علی نفی الاستحباب، بل یدلّ علیه ظاهر کلامهم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التسامح فی أدلّة السنن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إمکان الحمل علی التقیّة فی بعض 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إتیان العبادة من الإمام علیه السلام مع المشقّة و ارتکاب المحرّم بمجرّد قول الناس بعید، مع إمکان عدم ذهابه إلی محلّ القبر و الاکتفاء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علیه و أنا ثقیل ما أقدر اتکلّف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حملها الشیخ فی التهذیب</w:t>
      </w:r>
      <w:r>
        <w:rPr>
          <w:rStyle w:val="FootnoteAnchor"/>
          <w:rtl w:val="true"/>
        </w:rPr>
        <w:footnoteReference w:id="1935"/>
      </w:r>
      <w:r>
        <w:rPr>
          <w:rFonts w:ascii="IRNazanin" w:hAnsi="IRNazanin" w:eastAsia="IRNazanin"/>
          <w:color w:val="111111"/>
          <w:sz w:val="28"/>
          <w:sz w:val="28"/>
          <w:szCs w:val="28"/>
          <w:rtl w:val="true"/>
          <w:lang w:bidi="fa-IR"/>
        </w:rPr>
        <w:t>و الاستبصار</w:t>
      </w:r>
      <w:r>
        <w:rPr>
          <w:rStyle w:val="FootnoteAnchor"/>
          <w:rtl w:val="true"/>
        </w:rPr>
        <w:footnoteReference w:id="1936"/>
      </w:r>
      <w:r>
        <w:rPr>
          <w:rFonts w:ascii="IRNazanin" w:hAnsi="IRNazanin" w:eastAsia="IRNazanin"/>
          <w:color w:val="111111"/>
          <w:sz w:val="28"/>
          <w:sz w:val="28"/>
          <w:szCs w:val="28"/>
          <w:rtl w:val="true"/>
          <w:lang w:bidi="fa-IR"/>
        </w:rPr>
        <w:t>، و کذا من تبعه</w:t>
      </w:r>
      <w:r>
        <w:rPr>
          <w:rStyle w:val="FootnoteAnchor"/>
          <w:rtl w:val="true"/>
        </w:rPr>
        <w:footnoteReference w:id="1937"/>
      </w:r>
    </w:p>
    <w:p>
      <w:pPr>
        <w:pStyle w:val="BookText"/>
        <w:rPr/>
      </w:pPr>
      <w:r>
        <w:rPr>
          <w:rFonts w:ascii="IRNazanin" w:hAnsi="IRNazanin" w:eastAsia="IRNazanin"/>
          <w:color w:val="111111"/>
          <w:sz w:val="28"/>
          <w:sz w:val="28"/>
          <w:szCs w:val="28"/>
          <w:rtl w:val="true"/>
          <w:lang w:bidi="fa-IR"/>
        </w:rPr>
        <w:t>علی الاستحباب أو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 القمّی فی تفسیره</w:t>
      </w:r>
      <w:r>
        <w:rPr>
          <w:rStyle w:val="FootnoteAnchor"/>
          <w:rtl w:val="true"/>
        </w:rPr>
        <w:footnoteReference w:id="19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أنّه أراد استحبابه فی نفسه، و إرادة الفعل وجوباً للتقیّة</w:t>
      </w:r>
      <w:r>
        <w:rPr>
          <w:rFonts w:eastAsia="IRNazanin" w:cs="IRNazanin"/>
          <w:color w:val="111111"/>
          <w:sz w:val="28"/>
          <w:szCs w:val="28"/>
          <w:rtl w:val="true"/>
          <w:lang w:bidi="fa-IR"/>
        </w:rPr>
        <w:t>»</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الفائدة و 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الاستحباب أقرب، و لکن ظاهر الروایة هو التقیّة، إلّا أنّه یبعد فعل العبادة مع المشقّة لمجرّد 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ما یصلّون علی الأطفال، و لعلّ المراد نفی الوجوب و عدم التأکید و المبالغة</w:t>
      </w:r>
      <w:r>
        <w:rPr>
          <w:rFonts w:eastAsia="IRNazanin" w:cs="IRNazanin"/>
          <w:color w:val="111111"/>
          <w:sz w:val="28"/>
          <w:szCs w:val="28"/>
          <w:rtl w:val="true"/>
          <w:lang w:bidi="fa-IR"/>
        </w:rPr>
        <w:t>»</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قد یقال بعد التسامح فی السنن و الشهرة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الندب هو الموافق لمقتضی حجّیّة الأخبار، و إنّ کلامهم علیهم السلام بمنزلة متکلّم واحد، و تقع الکلمة فیه علی وجوه متعدّدة، و إنّ أفقه الناس من یعرف معانی</w:t>
      </w:r>
      <w:bookmarkStart w:id="554" w:name="pg11755_254955"/>
    </w:p>
    <w:p>
      <w:pPr>
        <w:pStyle w:val="BookText"/>
        <w:rPr/>
      </w:pPr>
      <w:bookmarkEnd w:id="554"/>
      <w:r>
        <w:rPr>
          <w:rFonts w:ascii="IRNazanin" w:hAnsi="IRNazanin" w:eastAsia="IRNazanin"/>
          <w:color w:val="111111"/>
          <w:sz w:val="28"/>
          <w:sz w:val="28"/>
          <w:szCs w:val="28"/>
          <w:rtl w:val="true"/>
          <w:lang w:bidi="fa-IR"/>
        </w:rPr>
        <w:t>تلک الکلمات و ما یلحن له فی القول</w:t>
      </w:r>
      <w:r>
        <w:rPr>
          <w:rFonts w:eastAsia="IRNazanin" w:cs="IRNazanin"/>
          <w:color w:val="111111"/>
          <w:sz w:val="28"/>
          <w:szCs w:val="28"/>
          <w:rtl w:val="true"/>
          <w:lang w:bidi="fa-IR"/>
        </w:rPr>
        <w:t>»</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5" w:name="__RefHeading___Toc9587668_73709187"/>
      <w:bookmarkStart w:id="556" w:name="_Toc208"/>
      <w:bookmarkEnd w:id="555"/>
      <w:r>
        <w:rPr>
          <w:rtl w:val="true"/>
        </w:rPr>
        <w:t>استحباب الصلاة علی الطفل بالعنوان الثانوی</w:t>
      </w:r>
      <w:bookmarkEnd w:id="556"/>
    </w:p>
    <w:p>
      <w:pPr>
        <w:pStyle w:val="BookText"/>
        <w:rPr/>
      </w:pPr>
      <w:r>
        <w:rPr>
          <w:rFonts w:ascii="IRNazanin" w:hAnsi="IRNazanin" w:eastAsia="IRNazanin"/>
          <w:color w:val="111111"/>
          <w:sz w:val="28"/>
          <w:sz w:val="28"/>
          <w:szCs w:val="28"/>
          <w:rtl w:val="true"/>
          <w:lang w:bidi="fa-IR"/>
        </w:rPr>
        <w:t>ذکر المحقّق الهمدانی لاستحباب الصلاة علی الصبیّ الذی نقص عمره عن ستّ سنین وجهاً آخر،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الصلاة علی مثل ذلک الصبیّ الذی صلّی علیه أبو جعفر علیه السلام لم تکن ثابتة فی أصل الشرع، فإن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أنّ مثله لم یکن یصلّی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علی علیه السلام یأمر به، فیدفن و لا یصلّی علیه و لکن الناس صنعوا شیئاً فنحن نصنع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فی ذلک، و لکنّه لا منافاة بین أن لا یکون شیء بالذات عبادة، بل مرجوحاً و یعرضه بتعارفه بین الناس جهة محسّنة، فیجعله راجحاً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الجائز أن تکون صلاة أبی جعفر علیه السلام علی أطفالهم بعد تعارفها بین الناس، من هذا الباب، أی حفظ احترام موتاهم و عدم استحقارها، لا من باب التقیّة، کما ربّما یشعر بذلک ما ذکره علیه السلام فی مرسلة الصدوق و الصحیحة للزرارة</w:t>
      </w:r>
      <w:r>
        <w:rPr>
          <w:rFonts w:eastAsia="IRNazanin" w:cs="IRNazanin"/>
          <w:color w:val="111111"/>
          <w:sz w:val="28"/>
          <w:szCs w:val="28"/>
          <w:rtl w:val="true"/>
          <w:lang w:bidi="fa-IR"/>
        </w:rPr>
        <w:t>»</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قدس سره استظهر ذلک من کلام الشیخ فی التهذیب</w:t>
      </w:r>
      <w:r>
        <w:rPr>
          <w:rStyle w:val="FootnoteAnchor"/>
          <w:rtl w:val="true"/>
        </w:rPr>
        <w:footnoteReference w:id="1943"/>
      </w:r>
    </w:p>
    <w:p>
      <w:pPr>
        <w:pStyle w:val="BookText"/>
        <w:rPr/>
      </w:pPr>
      <w:r>
        <w:rPr>
          <w:rFonts w:ascii="IRNazanin" w:hAnsi="IRNazanin" w:eastAsia="IRNazanin"/>
          <w:color w:val="111111"/>
          <w:sz w:val="28"/>
          <w:sz w:val="28"/>
          <w:szCs w:val="28"/>
          <w:rtl w:val="true"/>
          <w:lang w:bidi="fa-IR"/>
        </w:rPr>
        <w:t>و الاستبصار حیث قال فی ذیل صحیحة محمّد بن سنان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الوجه فی هذه الروایة ضرب من الاستحباب أو التقیّة حسب ما تضمّنه الخبر</w:t>
      </w:r>
      <w:r>
        <w:rPr>
          <w:rFonts w:eastAsia="IRNazanin" w:cs="IRNazanin"/>
          <w:color w:val="111111"/>
          <w:sz w:val="28"/>
          <w:szCs w:val="28"/>
          <w:rtl w:val="true"/>
          <w:lang w:bidi="fa-IR"/>
        </w:rPr>
        <w:t>»</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یستفاد من هذه النصوص هو عدم الاستحباب</w:t>
      </w:r>
    </w:p>
    <w:p>
      <w:pPr>
        <w:pStyle w:val="BookText"/>
        <w:rPr/>
      </w:pPr>
      <w:r>
        <w:rPr>
          <w:rFonts w:ascii="IRNazanin" w:hAnsi="IRNazanin" w:eastAsia="IRNazanin"/>
          <w:color w:val="111111"/>
          <w:sz w:val="28"/>
          <w:sz w:val="28"/>
          <w:szCs w:val="28"/>
          <w:rtl w:val="true"/>
          <w:lang w:bidi="fa-IR"/>
        </w:rPr>
        <w:t>بالعنوان الأوّلی، و لکن لا إشکال فی أن یدّعی استحباب الصلاة علیه بالعنوان الثانوی، و أنّ الحکمة فیه المجاراة و المداراة، و هو کاف فی الحکم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وافقه فی مصباح الهدی،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أن تکون الصلاة حینئذ مستحبّة، لکن لا من حیث نفسها بحسب أصل الشرع، بل لأجل طروّ عنوان ثانوی یوجب حسنها، و هو تعارفها بین الناس و صیرورتها کالشعار لهم</w:t>
      </w:r>
      <w:r>
        <w:rPr>
          <w:rFonts w:eastAsia="IRNazanin" w:cs="IRNazanin"/>
          <w:color w:val="111111"/>
          <w:sz w:val="28"/>
          <w:szCs w:val="28"/>
          <w:rtl w:val="true"/>
          <w:lang w:bidi="fa-IR"/>
        </w:rPr>
        <w:t>»</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التنقیح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غایة ما هناک أن تکون الصلاة علی المتولّد حیّاً مستحبّة بالعنوان الثانوی؛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أن یکون شیء محکوماً بحکم بعنوانه الأوّلی، و یکون محکوماً بحکم آخر بملاحظة العنوان الثانوی، و معه لا مانع من أن یکون الصلاة علی الطفل مستحبّة، و یکون الداعی إلی تشریع هذا الحکم و جعله ملاحظة ما یصنعه الناس؛ لئلا یشنّع علی الشیعة بأنّهم لا یصلّون علی أطفالهم</w:t>
      </w:r>
      <w:r>
        <w:rPr>
          <w:rFonts w:eastAsia="IRNazanin" w:cs="IRNazanin"/>
          <w:color w:val="111111"/>
          <w:sz w:val="28"/>
          <w:szCs w:val="28"/>
          <w:rtl w:val="true"/>
          <w:lang w:bidi="fa-IR"/>
        </w:rPr>
        <w:t>»</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أورد علیه فی المستمسک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ذلک خلاف ظاهر الأخبار</w:t>
      </w:r>
      <w:r>
        <w:rPr>
          <w:rStyle w:val="FootnoteAnchor"/>
          <w:rtl w:val="true"/>
        </w:rPr>
        <w:footnoteReference w:id="1947"/>
      </w:r>
      <w:r>
        <w:rPr>
          <w:rFonts w:ascii="IRNazanin" w:hAnsi="IRNazanin" w:eastAsia="IRNazanin"/>
          <w:color w:val="111111"/>
          <w:sz w:val="28"/>
          <w:sz w:val="28"/>
          <w:szCs w:val="28"/>
          <w:rtl w:val="true"/>
          <w:lang w:bidi="fa-IR"/>
        </w:rPr>
        <w:t>، و لا سیّما ما تضمّن أنّ أمیر المؤمنین علیه السلام کان یأمر به فیدفن، 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أمرنی أن لا اصلّی إلّا علی من صلّی</w:t>
      </w:r>
      <w:r>
        <w:rPr>
          <w:rFonts w:eastAsia="IRNazanin" w:cs="IRNazanin"/>
          <w:color w:val="111111"/>
          <w:sz w:val="28"/>
          <w:szCs w:val="28"/>
          <w:rtl w:val="true"/>
          <w:lang w:bidi="fa-IR"/>
        </w:rPr>
        <w:t>»</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طروّ العنوان الثانوی إنّما عرض فی عصر أبی جعفر الباقر علیه السلام، فلا ینافیه ما روی عن النبیّ صلی الله علیه و آله أو عن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للإمام علیه السلام ولایة علی تشریع الحکم، کما للنبیّ صلی الله علیه و آله إذا اقتضت المصلحة ذلک، و المفروض أنّ الداعی إلی تشریع هذا الحکم و 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ما فعله المخالفون و دفع التشنیع عن الشیعة بأنّهم لا یصلّون علی موتی أطفالهم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الصادقین علیهما السلام موجود، فلعلّه یشرّعان الحکم لذلک بالعنوان الثانوی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و التردید فی المسألة، و هو الظاهر من کلام الشیخ کما تقدّم</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فی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علی من لم یبلغ ستّ سنین استحباباً أو تقیّة</w:t>
      </w:r>
      <w:r>
        <w:rPr>
          <w:rFonts w:eastAsia="IRNazanin" w:cs="IRNazanin"/>
          <w:color w:val="111111"/>
          <w:sz w:val="28"/>
          <w:szCs w:val="28"/>
          <w:rtl w:val="true"/>
          <w:lang w:bidi="fa-IR"/>
        </w:rPr>
        <w:t>»</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مقتضی کثیر من الروایات تعیّن الحمل علی التقیّة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المسألة محلّ إشکال، إلّا أنّ المقام مقام استحباب، فالأمر فیه هیّن</w:t>
      </w:r>
      <w:r>
        <w:rPr>
          <w:rFonts w:eastAsia="IRNazanin" w:cs="IRNazanin"/>
          <w:color w:val="111111"/>
          <w:sz w:val="28"/>
          <w:szCs w:val="28"/>
          <w:rtl w:val="true"/>
          <w:lang w:bidi="fa-IR"/>
        </w:rPr>
        <w:t>»</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قد یشکل القول بالاستحباب</w:t>
      </w:r>
      <w:r>
        <w:rPr>
          <w:rFonts w:eastAsia="IRNazanin" w:cs="IRNazanin"/>
          <w:color w:val="111111"/>
          <w:sz w:val="28"/>
          <w:szCs w:val="28"/>
          <w:rtl w:val="true"/>
          <w:lang w:bidi="fa-IR"/>
        </w:rPr>
        <w:t>»</w:t>
      </w:r>
      <w:r>
        <w:rPr>
          <w:rStyle w:val="FootnoteAnchor"/>
          <w:rtl w:val="true"/>
        </w:rPr>
        <w:footnoteReference w:id="1952"/>
      </w:r>
      <w:r>
        <w:rPr>
          <w:rFonts w:ascii="IRNazanin" w:hAnsi="IRNazanin" w:eastAsia="IRNazanin"/>
          <w:color w:val="111111"/>
          <w:sz w:val="28"/>
          <w:sz w:val="28"/>
          <w:szCs w:val="28"/>
          <w:rtl w:val="true"/>
          <w:lang w:bidi="fa-IR"/>
        </w:rPr>
        <w:t>، و کذا فی المنهاج</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أیضاً السیّد الخوئی،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الأحوط الإتیان بها برجاء</w:t>
      </w:r>
    </w:p>
    <w:p>
      <w:pPr>
        <w:pStyle w:val="BookText"/>
        <w:rPr/>
      </w:pPr>
      <w:r>
        <w:rPr>
          <w:rFonts w:ascii="Amiri" w:hAnsi="Amiri" w:eastAsia="Amiri" w:cs="Amiri"/>
          <w:color w:val="111111"/>
          <w:sz w:val="28"/>
          <w:sz w:val="28"/>
          <w:szCs w:val="28"/>
          <w:rtl w:val="true"/>
          <w:lang w:bidi="ar-SA"/>
        </w:rPr>
        <w:t>المطلوبیّة</w:t>
      </w:r>
      <w:r>
        <w:rPr>
          <w:rFonts w:eastAsia="Amiri" w:cs="Amiri" w:ascii="Amiri" w:hAnsi="Amiri"/>
          <w:color w:val="111111"/>
          <w:sz w:val="28"/>
          <w:szCs w:val="28"/>
          <w:rtl w:val="true"/>
          <w:lang w:bidi="ar-SA"/>
        </w:rPr>
        <w:t>»</w:t>
      </w:r>
      <w:r>
        <w:rPr>
          <w:rStyle w:val="FootnoteAnchor"/>
          <w:rtl w:val="true"/>
        </w:rPr>
        <w:footnoteReference w:id="1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وافقه فی ذلک جملة من المحقّقین من تلامذته</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الخمینی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الاستحباب علی من لم یبلغ ذلک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ستّ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حیّاً تأمّل</w:t>
      </w:r>
      <w:r>
        <w:rPr>
          <w:rFonts w:eastAsia="IRNazanin" w:cs="IRNazanin"/>
          <w:color w:val="111111"/>
          <w:sz w:val="28"/>
          <w:szCs w:val="28"/>
          <w:rtl w:val="true"/>
          <w:lang w:bidi="fa-IR"/>
        </w:rPr>
        <w:t>»</w:t>
      </w:r>
      <w:r>
        <w:rPr>
          <w:rStyle w:val="FootnoteAnchor"/>
          <w:rtl w:val="true"/>
        </w:rPr>
        <w:footnoteReference w:id="1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تعلیقات الشیخ الفاضل اللنکرانی علی العروة</w:t>
      </w:r>
      <w:r>
        <w:rPr>
          <w:rStyle w:val="FootnoteAnchor"/>
          <w:rtl w:val="true"/>
        </w:rPr>
        <w:footnoteReference w:id="1957"/>
      </w:r>
      <w:r>
        <w:rPr>
          <w:rFonts w:ascii="IRNazanin" w:hAnsi="IRNazanin" w:eastAsia="IRNazanin"/>
          <w:color w:val="111111"/>
          <w:sz w:val="28"/>
          <w:sz w:val="28"/>
          <w:szCs w:val="28"/>
          <w:rtl w:val="true"/>
          <w:lang w:bidi="fa-IR"/>
        </w:rPr>
        <w:t>،</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إمعان النظر فیما تقدّم فالأحوط إتیان الصلاة علی الطفل الذی نقص عمره عن ستّ سنین برجاء المطلوبیّة، و اللّه هو العالم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ابن الجنید، من أنّه یصلّی علی الطفل وجوباً إذا استهلّ، کما فی المختلف</w:t>
      </w:r>
      <w:r>
        <w:rPr>
          <w:rStyle w:val="FootnoteAnchor"/>
          <w:rtl w:val="true"/>
        </w:rPr>
        <w:footnoteReference w:id="1959"/>
      </w:r>
      <w:r>
        <w:rPr>
          <w:rFonts w:ascii="IRNazanin" w:hAnsi="IRNazanin" w:eastAsia="IRNazanin"/>
          <w:color w:val="111111"/>
          <w:sz w:val="28"/>
          <w:sz w:val="28"/>
          <w:szCs w:val="28"/>
          <w:rtl w:val="true"/>
          <w:lang w:bidi="fa-IR"/>
        </w:rPr>
        <w:t>و الذکری</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احتجّ بصحیحة عبد اللّه بن سنان المتقدِّمة عن أبی عبد اللّه علیه السلام 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إذا استهلّ فصلّ علیه و ورّثه</w:t>
      </w:r>
      <w:r>
        <w:rPr>
          <w:rFonts w:eastAsia="Amiri" w:cs="Amiri" w:ascii="Amiri" w:hAnsi="Amiri"/>
          <w:color w:val="111111"/>
          <w:sz w:val="28"/>
          <w:szCs w:val="28"/>
          <w:rtl w:val="true"/>
          <w:lang w:bidi="ar-SA"/>
        </w:rPr>
        <w:t>»</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بصحیح علیّ بن یقطین المتقدِّم 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علیه</w:t>
      </w:r>
    </w:p>
    <w:p>
      <w:pPr>
        <w:pStyle w:val="BookText"/>
        <w:rPr/>
      </w:pPr>
      <w:r>
        <w:rPr>
          <w:rFonts w:ascii="IRNazanin" w:hAnsi="IRNazanin" w:eastAsia="IRNazanin"/>
          <w:color w:val="111111"/>
          <w:sz w:val="28"/>
          <w:sz w:val="28"/>
          <w:szCs w:val="28"/>
          <w:rtl w:val="true"/>
          <w:lang w:bidi="fa-IR"/>
        </w:rPr>
        <w:t>علی کلّ حال، إلّا أن یسقط لغیر تمام</w:t>
      </w:r>
      <w:r>
        <w:rPr>
          <w:rFonts w:eastAsia="IRNazanin" w:cs="IRNazanin"/>
          <w:color w:val="111111"/>
          <w:sz w:val="28"/>
          <w:szCs w:val="28"/>
          <w:rtl w:val="true"/>
          <w:lang w:bidi="fa-IR"/>
        </w:rPr>
        <w:t>»</w:t>
      </w:r>
      <w:r>
        <w:rPr>
          <w:rStyle w:val="FootnoteAnchor"/>
          <w:rtl w:val="true"/>
        </w:rPr>
        <w:footnoteReference w:id="1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معتبرة السکونی عن جعفر،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یورّث الصبیّ و یصلّی علیه إذا سقط من بطن امّه فاستهلّ صارخاً</w:t>
      </w:r>
      <w:r>
        <w:rPr>
          <w:rFonts w:eastAsia="IRNazanin" w:cs="IRNazanin"/>
          <w:color w:val="111111"/>
          <w:sz w:val="28"/>
          <w:szCs w:val="28"/>
          <w:rtl w:val="true"/>
          <w:lang w:bidi="fa-IR"/>
        </w:rPr>
        <w:t>»</w:t>
      </w:r>
      <w:r>
        <w:rPr>
          <w:rStyle w:val="FootnoteAnchor"/>
          <w:rtl w:val="true"/>
        </w:rPr>
        <w:footnoteReference w:id="1963"/>
      </w:r>
      <w:r>
        <w:rPr>
          <w:rFonts w:ascii="IRNazanin" w:hAnsi="IRNazanin" w:eastAsia="IRNazanin"/>
          <w:color w:val="111111"/>
          <w:sz w:val="28"/>
          <w:sz w:val="28"/>
          <w:szCs w:val="28"/>
          <w:rtl w:val="true"/>
          <w:lang w:bidi="fa-IR"/>
        </w:rPr>
        <w:t>، الحدیث، و کذا مرسلة أحمد بن محمّد</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ظاهرة فی أنّ الطفل إذا استهلّ و صاح فالصلاة علیه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بکلمة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جملة فعلیّة دالّة علی الوجوب علی وجه أبلغ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الأخبار معارضة بما تقدّم، و سیأتی من الأخبار الدالّة علی أنّ الصلاة إنّما تجب فیما إذا بلغ ستّ سنین، و ما ورد أنّ الصلاة لا تجب لدون ستّ، فلا بدّ إمّا أن تحمل علی الاستحباب، کما قال به المشهور؛ جمعاً بین الطائفتین من الأخبار؛ لأنّ مقتضی طائفة منها وجوب الصلاة علیه، و طائفة اخری تدلّ علی عدم وجوب الصلاة بالمطابقة، و تدلّ علی الترخیص فی الترک بالالتزام، فینتزع الاستحباب؛ بمعنی أنّ التحریک إلی الشیء و البعث إلیه مع الترخیص فی الترک یقتضی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تحمل علی التقیّة؛ لدلالة جملة من الأخبار علیها، کما فی الحدائق</w:t>
      </w:r>
      <w:r>
        <w:rPr>
          <w:rStyle w:val="FootnoteAnchor"/>
          <w:rtl w:val="true"/>
        </w:rPr>
        <w:footnoteReference w:id="1965"/>
      </w:r>
    </w:p>
    <w:p>
      <w:pPr>
        <w:pStyle w:val="BookText"/>
        <w:rPr/>
      </w:pPr>
      <w:r>
        <w:rPr>
          <w:rFonts w:ascii="IRNazanin" w:hAnsi="IRNazanin" w:eastAsia="IRNazanin"/>
          <w:color w:val="111111"/>
          <w:sz w:val="28"/>
          <w:sz w:val="28"/>
          <w:szCs w:val="28"/>
          <w:rtl w:val="true"/>
          <w:lang w:bidi="fa-IR"/>
        </w:rPr>
        <w:t>و غیرها</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روایة قدامة بن زائدة،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صلّی علی ابنه إبراهیم، فکبّر علیه خمساً</w:t>
      </w:r>
      <w:r>
        <w:rPr>
          <w:rFonts w:eastAsia="IRNazanin" w:cs="IRNazanin"/>
          <w:color w:val="111111"/>
          <w:sz w:val="28"/>
          <w:szCs w:val="28"/>
          <w:rtl w:val="true"/>
          <w:lang w:bidi="fa-IR"/>
        </w:rPr>
        <w:t>»</w:t>
      </w:r>
      <w:r>
        <w:rPr>
          <w:rStyle w:val="FootnoteAnchor"/>
          <w:rtl w:val="true"/>
        </w:rPr>
        <w:footnoteReference w:id="1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معارضة بما</w:t>
      </w:r>
      <w:bookmarkStart w:id="557" w:name="pg11755_254966"/>
    </w:p>
    <w:p>
      <w:pPr>
        <w:pStyle w:val="BookText"/>
        <w:rPr/>
      </w:pPr>
      <w:bookmarkEnd w:id="557"/>
      <w:r>
        <w:rPr>
          <w:rFonts w:ascii="IRNazanin" w:hAnsi="IRNazanin" w:eastAsia="IRNazanin"/>
          <w:color w:val="111111"/>
          <w:sz w:val="28"/>
          <w:sz w:val="28"/>
          <w:szCs w:val="28"/>
          <w:rtl w:val="true"/>
          <w:lang w:bidi="fa-IR"/>
        </w:rPr>
        <w:t>تقدّم من أنّ النبیّ صلی الله علیه و آله لم یصلّ علی ولده</w:t>
      </w:r>
      <w:r>
        <w:rPr>
          <w:rStyle w:val="FootnoteAnchor"/>
          <w:rtl w:val="true"/>
        </w:rPr>
        <w:footnoteReference w:id="1968"/>
      </w:r>
      <w:r>
        <w:rPr>
          <w:rFonts w:ascii="IRNazanin" w:hAnsi="IRNazanin" w:eastAsia="IRNazanin"/>
          <w:color w:val="111111"/>
          <w:sz w:val="28"/>
          <w:sz w:val="28"/>
          <w:szCs w:val="28"/>
          <w:rtl w:val="true"/>
          <w:lang w:bidi="fa-IR"/>
        </w:rPr>
        <w:t>، و أنّ علیّاً علیه السلام لم یصلّ علی الطفل الذی لم یبلغ ستّ سنین</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توقّف فی الحدائق فی التوفیق بینهما؛ نظراً إلی أنّ الروایة لا یمکن حملها علی التقیّة؛ لعدم جواز التقیّة فی حقّه صلی الله علیه و آله مع منافاة التکبیر خمساً لذلک، و الحمل علی التقیّة فی النقل و إن أمکن و لکن ذکر التکبیر خمساً فی الخبر ینافی ذلک</w:t>
      </w:r>
      <w:r>
        <w:rPr>
          <w:rStyle w:val="FootnoteAnchor"/>
          <w:rtl w:val="true"/>
        </w:rPr>
        <w:footnoteReference w:id="1970"/>
      </w:r>
      <w:r>
        <w:rPr>
          <w:rFonts w:ascii="IRNazanin" w:hAnsi="IRNazanin" w:eastAsia="IRNazanin"/>
          <w:color w:val="111111"/>
          <w:sz w:val="28"/>
          <w:sz w:val="28"/>
          <w:szCs w:val="28"/>
          <w:rtl w:val="true"/>
          <w:lang w:bidi="fa-IR"/>
        </w:rPr>
        <w:t>؛ لأنّ أهل السنّة لا تقول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الصحیح عدم صلاحیّتها للمعارضة؛ و ذلک لضعفها بقدامة بن زائدة</w:t>
      </w:r>
      <w:r>
        <w:rPr>
          <w:rFonts w:eastAsia="IRNazanin" w:cs="IRNazanin"/>
          <w:color w:val="111111"/>
          <w:sz w:val="28"/>
          <w:szCs w:val="28"/>
          <w:rtl w:val="true"/>
          <w:lang w:bidi="fa-IR"/>
        </w:rPr>
        <w:t>.</w:t>
      </w:r>
    </w:p>
    <w:p>
      <w:pPr>
        <w:pStyle w:val="Heading5"/>
        <w:numPr>
          <w:ilvl w:val="4"/>
          <w:numId w:val="1"/>
        </w:numPr>
        <w:rPr/>
      </w:pPr>
      <w:bookmarkStart w:id="558" w:name="__RefHeading___Toc9587670_73709187"/>
      <w:bookmarkStart w:id="559" w:name="_Toc209"/>
      <w:bookmarkEnd w:id="558"/>
      <w:r>
        <w:rPr>
          <w:rtl w:val="true"/>
        </w:rPr>
        <w:t>المطلب الثالث</w:t>
      </w:r>
      <w:r>
        <w:rPr>
          <w:rtl w:val="true"/>
        </w:rPr>
        <w:t xml:space="preserve">: </w:t>
      </w:r>
      <w:r>
        <w:rPr>
          <w:rtl w:val="true"/>
        </w:rPr>
        <w:t>فی حکم الصلاة علی الطفل الّذی بلغ ستّ سنین</w:t>
      </w:r>
      <w:bookmarkEnd w:id="559"/>
    </w:p>
    <w:p>
      <w:pPr>
        <w:pStyle w:val="Heading6"/>
        <w:numPr>
          <w:ilvl w:val="5"/>
          <w:numId w:val="1"/>
        </w:numPr>
        <w:rPr/>
      </w:pPr>
      <w:bookmarkStart w:id="560" w:name="__RefHeading___Toc9587672_73709187"/>
      <w:bookmarkStart w:id="561" w:name="_Toc210"/>
      <w:bookmarkEnd w:id="560"/>
      <w:r>
        <w:rPr>
          <w:rtl w:val="true"/>
        </w:rPr>
        <w:t>اشارة</w:t>
      </w:r>
      <w:bookmarkEnd w:id="561"/>
    </w:p>
    <w:p>
      <w:pPr>
        <w:pStyle w:val="BookText"/>
        <w:rPr/>
      </w:pPr>
      <w:r>
        <w:rPr>
          <w:rFonts w:ascii="IRNazanin" w:hAnsi="IRNazanin" w:eastAsia="IRNazanin"/>
          <w:color w:val="111111"/>
          <w:sz w:val="28"/>
          <w:sz w:val="28"/>
          <w:szCs w:val="28"/>
          <w:rtl w:val="true"/>
          <w:lang w:bidi="fa-IR"/>
        </w:rPr>
        <w:t>و فی المسألة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ابن أبی عقیل من أنّه لا یصلّی علی الصبیّ ما لم یبلغ</w:t>
      </w:r>
      <w:r>
        <w:rPr>
          <w:rStyle w:val="FootnoteAnchor"/>
          <w:rtl w:val="true"/>
        </w:rPr>
        <w:footnoteReference w:id="1971"/>
      </w:r>
      <w:r>
        <w:rPr>
          <w:rFonts w:ascii="IRNazanin" w:hAnsi="IRNazanin" w:eastAsia="IRNazanin"/>
          <w:color w:val="111111"/>
          <w:sz w:val="28"/>
          <w:sz w:val="28"/>
          <w:szCs w:val="28"/>
          <w:rtl w:val="true"/>
          <w:lang w:bidi="fa-IR"/>
        </w:rPr>
        <w:t>، و مال إلیه المحدّث الکاشانی</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له بأنّ من لم یبلغ لا یحتاج إلی الدعاء له و الاستغفار و الشفاعة</w:t>
      </w:r>
      <w:r>
        <w:rPr>
          <w:rStyle w:val="FootnoteAnchor"/>
          <w:rtl w:val="true"/>
        </w:rPr>
        <w:footnoteReference w:id="197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فلا تجب علیه</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رواه عمّار فی الموثّق عن أبی عبد اللّه علیه السلام أنّه سئل عن المولود ما لم یجر علیه القلم، هل یصلّی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الصلاة علی الرجل و المرأة إذا جری علیهما القلم</w:t>
      </w:r>
      <w:r>
        <w:rPr>
          <w:rFonts w:eastAsia="IRNazanin" w:cs="IRNazanin"/>
          <w:color w:val="111111"/>
          <w:sz w:val="28"/>
          <w:szCs w:val="28"/>
          <w:rtl w:val="true"/>
          <w:lang w:bidi="fa-IR"/>
        </w:rPr>
        <w:t>»</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 الأوّل بالمنع من کون الصلاة للدعاء للمیّت خاصّة، أو لحاجته إلی شفاعة المصلّی، فإنّا مخاطبون بالصلاة علی النبیّ صلی الله علیه و آله وقت موته و علی الأئمّة علیهم السلام، و نحن محتاجون إلی شفاعتهم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بالمنع من صحّة السند أوّلاً، و بالمنع من عدم تناوله صورة النزاع ثانیاً، فإنّ من بلغ ستّ سنین جری علیه القلم بامتثال التمرین</w:t>
      </w:r>
      <w:r>
        <w:rPr>
          <w:rStyle w:val="FootnoteAnchor"/>
          <w:rtl w:val="true"/>
        </w:rPr>
        <w:footnoteReference w:id="1976"/>
      </w:r>
      <w:r>
        <w:rPr>
          <w:rFonts w:ascii="IRNazanin" w:hAnsi="IRNazanin" w:eastAsia="IRNazanin"/>
          <w:color w:val="111111"/>
          <w:sz w:val="28"/>
          <w:sz w:val="28"/>
          <w:szCs w:val="28"/>
          <w:rtl w:val="true"/>
          <w:lang w:bidi="fa-IR"/>
        </w:rPr>
        <w:t>، کما أشار إلی ذلک أیضاً فی الذکری‌</w:t>
      </w:r>
      <w:r>
        <w:rPr>
          <w:rStyle w:val="FootnoteAnchor"/>
          <w:rtl w:val="true"/>
        </w:rPr>
        <w:footnoteReference w:id="1977"/>
      </w:r>
      <w:r>
        <w:rPr>
          <w:rFonts w:ascii="IRNazanin" w:hAnsi="IRNazanin" w:eastAsia="IRNazanin"/>
          <w:color w:val="111111"/>
          <w:sz w:val="28"/>
          <w:sz w:val="28"/>
          <w:szCs w:val="28"/>
          <w:rtl w:val="true"/>
          <w:lang w:bidi="fa-IR"/>
        </w:rPr>
        <w:t>و المدارک</w:t>
      </w:r>
      <w:r>
        <w:rPr>
          <w:rStyle w:val="FootnoteAnchor"/>
          <w:rtl w:val="true"/>
        </w:rPr>
        <w:footnoteReference w:id="1978"/>
      </w:r>
      <w:r>
        <w:rPr>
          <w:rFonts w:ascii="IRNazanin" w:hAnsi="IRNazanin" w:eastAsia="IRNazanin"/>
          <w:color w:val="111111"/>
          <w:sz w:val="28"/>
          <w:sz w:val="28"/>
          <w:szCs w:val="28"/>
          <w:rtl w:val="true"/>
          <w:lang w:bidi="fa-IR"/>
        </w:rPr>
        <w:t>و الحدائق</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هذا القول أیضاً خبر هشام الوارد فی مقام تلقین الاحتجاج علی أهل السنّة القائلین بوجوب الصلاة علی الطفل مطلقاً حتّی علی المستهلّ، قال علیه السلام فی ذیله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یجب أن یصلّی علی من وجبت علیه الصلاة و الحدود، و لا یصلّی علی من لم تجب علیه الصلاة و لا الحدود</w:t>
      </w:r>
      <w:r>
        <w:rPr>
          <w:rFonts w:eastAsia="IRNazanin" w:cs="IRNazanin"/>
          <w:color w:val="111111"/>
          <w:sz w:val="28"/>
          <w:szCs w:val="28"/>
          <w:rtl w:val="true"/>
          <w:lang w:bidi="fa-IR"/>
        </w:rPr>
        <w:t>»</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شهرة الحکم بما تضمّنه یومئذٍ عند المخالفین، حیث إنّهم کانوا یطعنون علی الشیعة بذلک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الطعن فی سند الموثّقة فغیر قادح؛ لأنّه لا إشکال فی السند</w:t>
      </w:r>
      <w:bookmarkStart w:id="562" w:name="pg11755_254971"/>
    </w:p>
    <w:p>
      <w:pPr>
        <w:pStyle w:val="BookText"/>
        <w:rPr/>
      </w:pPr>
      <w:bookmarkEnd w:id="562"/>
      <w:r>
        <w:rPr>
          <w:rFonts w:ascii="IRNazanin" w:hAnsi="IRNazanin" w:eastAsia="IRNazanin"/>
          <w:color w:val="111111"/>
          <w:sz w:val="28"/>
          <w:sz w:val="28"/>
          <w:szCs w:val="28"/>
          <w:rtl w:val="true"/>
          <w:lang w:bidi="fa-IR"/>
        </w:rPr>
        <w:t>علی نسخة التهذیب</w:t>
      </w:r>
      <w:r>
        <w:rPr>
          <w:rStyle w:val="FootnoteAnchor"/>
          <w:rtl w:val="true"/>
        </w:rPr>
        <w:footnoteReference w:id="1981"/>
      </w:r>
      <w:r>
        <w:rPr>
          <w:rFonts w:ascii="IRNazanin" w:hAnsi="IRNazanin" w:eastAsia="IRNazanin"/>
          <w:color w:val="111111"/>
          <w:sz w:val="28"/>
          <w:sz w:val="28"/>
          <w:szCs w:val="28"/>
          <w:rtl w:val="true"/>
          <w:lang w:bidi="fa-IR"/>
        </w:rPr>
        <w:t>، و کذلک الوافی</w:t>
      </w:r>
      <w:r>
        <w:rPr>
          <w:rStyle w:val="FootnoteAnchor"/>
          <w:rtl w:val="true"/>
        </w:rPr>
        <w:footnoteReference w:id="1982"/>
      </w:r>
      <w:r>
        <w:rPr>
          <w:rFonts w:ascii="IRNazanin" w:hAnsi="IRNazanin" w:eastAsia="IRNazanin"/>
          <w:color w:val="111111"/>
          <w:sz w:val="28"/>
          <w:sz w:val="28"/>
          <w:szCs w:val="28"/>
          <w:rtl w:val="true"/>
          <w:lang w:bidi="fa-IR"/>
        </w:rPr>
        <w:t>؛ لأنّها رویت فیهما عن محمّد بن أحمد، عن أحمد بن الحسن، عن عمرو بن سعید، عن مصدّق بن صدقة، عن عمّار، و طریق الشیخ إلی محمّد بن أحمد بن یحیی صحیح، کما أنّ الرواة موثّقون، و لکنّها فی الوسائل المطبوعة قدیماً و حدیثاً فی سندها إشکال تعرّض له السیّد الخوئی رحمه الله و قال فی آخر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الصحیح هو ما فی التهذیب و الوافی دون ما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فالروایة موثّقة</w:t>
      </w:r>
      <w:r>
        <w:rPr>
          <w:rFonts w:eastAsia="IRNazanin" w:cs="IRNazanin"/>
          <w:color w:val="111111"/>
          <w:sz w:val="28"/>
          <w:szCs w:val="28"/>
          <w:rtl w:val="true"/>
          <w:lang w:bidi="fa-IR"/>
        </w:rPr>
        <w:t>»</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حمل جریان القلم فی الروایة علی جریان قلم الخطاب الشرعی و لو تمریناً أو قلم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شرعیّة عبادات الصبیّ کما هو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مخالف للظاهر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فی الطعن فی الموثّق إعراض الأصحاب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هشام ضعیف فی نفسه؛ لأنّ فی سنده حسین الحرسوسی أو الجرسوسی کما فی الوسائل، أو الحسین المرجوس کما فی التهذیب، و هو مهمل لم یتعرّضوا لحاله فی الرجال، فما ذهب إلیه ابن عقیل و مال إلیه المحدّث الکاشانی ممّا لا أساس له، فیقع الکلام فیما ذهب إلیه المشهور</w:t>
      </w:r>
      <w:r>
        <w:rPr>
          <w:rFonts w:eastAsia="IRNazanin" w:cs="IRNazanin"/>
          <w:color w:val="111111"/>
          <w:sz w:val="28"/>
          <w:szCs w:val="28"/>
          <w:rtl w:val="true"/>
          <w:lang w:bidi="fa-IR"/>
        </w:rPr>
        <w:t>.</w:t>
      </w:r>
    </w:p>
    <w:p>
      <w:pPr>
        <w:pStyle w:val="Heading6"/>
        <w:numPr>
          <w:ilvl w:val="5"/>
          <w:numId w:val="1"/>
        </w:numPr>
        <w:rPr/>
      </w:pPr>
      <w:bookmarkStart w:id="563" w:name="__RefHeading___Toc9587674_73709187"/>
      <w:bookmarkStart w:id="564" w:name="_Toc211"/>
      <w:bookmarkEnd w:id="563"/>
      <w:r>
        <w:rPr>
          <w:rtl w:val="true"/>
        </w:rPr>
        <w:t>وجوب الصلاة علی الطفل</w:t>
      </w:r>
      <w:bookmarkEnd w:id="56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المشهور قدیماً و حدیثاً، بل ادّعی علیه الإجماع، و هو وجوب الصلاة علی أطفال المسلمین إذا بلغوا ستّ</w:t>
      </w:r>
    </w:p>
    <w:p>
      <w:pPr>
        <w:pStyle w:val="BookText"/>
        <w:rPr/>
      </w:pPr>
      <w:r>
        <w:rPr>
          <w:rFonts w:ascii="IRNazanin" w:hAnsi="IRNazanin" w:eastAsia="IRNazanin"/>
          <w:color w:val="111111"/>
          <w:sz w:val="28"/>
          <w:sz w:val="28"/>
          <w:szCs w:val="28"/>
          <w:rtl w:val="true"/>
          <w:lang w:bidi="fa-IR"/>
        </w:rPr>
        <w:t>سنین، و اشتراط ستّ سنین هو مذهب آل الرسول صلی الله علیه و آله کما فی المقنعة</w:t>
      </w:r>
      <w:r>
        <w:rPr>
          <w:rStyle w:val="FootnoteAnchor"/>
          <w:rtl w:val="true"/>
        </w:rPr>
        <w:footnoteReference w:id="1984"/>
      </w:r>
      <w:r>
        <w:rPr>
          <w:rFonts w:ascii="IRNazanin" w:hAnsi="IRNazanin" w:eastAsia="IRNazanin"/>
          <w:color w:val="111111"/>
          <w:sz w:val="28"/>
          <w:sz w:val="28"/>
          <w:szCs w:val="28"/>
          <w:rtl w:val="true"/>
          <w:lang w:bidi="fa-IR"/>
        </w:rPr>
        <w:t>، و فی الانتصار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حدّوا من یصلّی علیه من الصغار بأن یبلغ ستّ سنین فصاعداً</w:t>
      </w:r>
      <w:r>
        <w:rPr>
          <w:rFonts w:eastAsia="IRNazanin" w:cs="IRNazanin"/>
          <w:color w:val="111111"/>
          <w:sz w:val="28"/>
          <w:szCs w:val="28"/>
          <w:rtl w:val="true"/>
          <w:lang w:bidi="fa-IR"/>
        </w:rPr>
        <w:t>»</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علی الأموات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ستّ سنین فصاعداً</w:t>
      </w:r>
      <w:r>
        <w:rPr>
          <w:rFonts w:eastAsia="IRNazanin" w:cs="IRNazanin"/>
          <w:color w:val="111111"/>
          <w:sz w:val="28"/>
          <w:szCs w:val="28"/>
          <w:rtl w:val="true"/>
          <w:lang w:bidi="fa-IR"/>
        </w:rPr>
        <w:t>»</w:t>
      </w:r>
      <w:r>
        <w:rPr>
          <w:rStyle w:val="FootnoteAnchor"/>
          <w:rtl w:val="true"/>
        </w:rPr>
        <w:footnoteReference w:id="1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المبسوط‌</w:t>
      </w:r>
      <w:r>
        <w:rPr>
          <w:rStyle w:val="FootnoteAnchor"/>
          <w:rtl w:val="true"/>
        </w:rPr>
        <w:footnoteReference w:id="1987"/>
      </w:r>
      <w:r>
        <w:rPr>
          <w:rFonts w:ascii="IRNazanin" w:hAnsi="IRNazanin" w:eastAsia="IRNazanin"/>
          <w:color w:val="111111"/>
          <w:sz w:val="28"/>
          <w:sz w:val="28"/>
          <w:szCs w:val="28"/>
          <w:rtl w:val="true"/>
          <w:lang w:bidi="fa-IR"/>
        </w:rPr>
        <w:t>و الخلاف</w:t>
      </w:r>
      <w:r>
        <w:rPr>
          <w:rStyle w:val="FootnoteAnchor"/>
          <w:rtl w:val="true"/>
        </w:rPr>
        <w:footnoteReference w:id="1988"/>
      </w:r>
      <w:r>
        <w:rPr>
          <w:rFonts w:ascii="IRNazanin" w:hAnsi="IRNazanin" w:eastAsia="IRNazanin"/>
          <w:color w:val="111111"/>
          <w:sz w:val="28"/>
          <w:sz w:val="28"/>
          <w:szCs w:val="28"/>
          <w:rtl w:val="true"/>
          <w:lang w:bidi="fa-IR"/>
        </w:rPr>
        <w:t>و السرائر</w:t>
      </w:r>
      <w:r>
        <w:rPr>
          <w:rStyle w:val="FootnoteAnchor"/>
          <w:rtl w:val="true"/>
        </w:rPr>
        <w:footnoteReference w:id="1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المراسم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یصلّی علی من یؤخذ بالصلاة، و هو أن یبلغ ستّ سنین وجوباً</w:t>
      </w:r>
      <w:r>
        <w:rPr>
          <w:rFonts w:eastAsia="IRNazanin" w:cs="IRNazanin"/>
          <w:color w:val="111111"/>
          <w:sz w:val="28"/>
          <w:szCs w:val="28"/>
          <w:rtl w:val="true"/>
          <w:lang w:bidi="fa-IR"/>
        </w:rPr>
        <w:t>»</w:t>
      </w:r>
      <w:r>
        <w:rPr>
          <w:rStyle w:val="FootnoteAnchor"/>
          <w:rtl w:val="true"/>
        </w:rPr>
        <w:footnoteReference w:id="1990"/>
      </w:r>
      <w:r>
        <w:rPr>
          <w:rFonts w:ascii="IRNazanin" w:hAnsi="IRNazanin" w:eastAsia="IRNazanin"/>
          <w:color w:val="111111"/>
          <w:sz w:val="28"/>
          <w:sz w:val="28"/>
          <w:szCs w:val="28"/>
          <w:rtl w:val="true"/>
          <w:lang w:bidi="fa-IR"/>
        </w:rPr>
        <w:t>، و غیرهم من قدماء الأصحاب</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الفاضلان</w:t>
      </w:r>
      <w:r>
        <w:rPr>
          <w:rStyle w:val="FootnoteAnchor"/>
          <w:rtl w:val="true"/>
        </w:rPr>
        <w:footnoteReference w:id="1992"/>
      </w:r>
      <w:r>
        <w:rPr>
          <w:rFonts w:ascii="IRNazanin" w:hAnsi="IRNazanin" w:eastAsia="IRNazanin"/>
          <w:color w:val="111111"/>
          <w:sz w:val="28"/>
          <w:sz w:val="28"/>
          <w:szCs w:val="28"/>
          <w:rtl w:val="true"/>
          <w:lang w:bidi="fa-IR"/>
        </w:rPr>
        <w:t>و الشهیدان</w:t>
      </w:r>
      <w:r>
        <w:rPr>
          <w:rStyle w:val="FootnoteAnchor"/>
          <w:rtl w:val="true"/>
        </w:rPr>
        <w:footnoteReference w:id="1993"/>
      </w:r>
      <w:r>
        <w:rPr>
          <w:rFonts w:ascii="IRNazanin" w:hAnsi="IRNazanin" w:eastAsia="IRNazanin"/>
          <w:color w:val="111111"/>
          <w:sz w:val="28"/>
          <w:sz w:val="28"/>
          <w:szCs w:val="28"/>
          <w:rtl w:val="true"/>
          <w:lang w:bidi="fa-IR"/>
        </w:rPr>
        <w:t>، و جماعة اخری من المتأخّرین و متأخّریهم و المعاصرین</w:t>
      </w:r>
      <w:r>
        <w:rPr>
          <w:rStyle w:val="FootnoteAnchor"/>
          <w:rtl w:val="true"/>
        </w:rPr>
        <w:footnoteReference w:id="1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علیه عامّة المتأخّرین</w:t>
      </w:r>
      <w:r>
        <w:rPr>
          <w:rFonts w:eastAsia="IRNazanin" w:cs="IRNazanin"/>
          <w:color w:val="111111"/>
          <w:sz w:val="28"/>
          <w:szCs w:val="28"/>
          <w:rtl w:val="true"/>
          <w:lang w:bidi="fa-IR"/>
        </w:rPr>
        <w:t>»</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bookmarkStart w:id="565" w:name="pg11755_254975"/>
    </w:p>
    <w:p>
      <w:pPr>
        <w:pStyle w:val="Heading6"/>
        <w:numPr>
          <w:ilvl w:val="5"/>
          <w:numId w:val="1"/>
        </w:numPr>
        <w:rPr/>
      </w:pPr>
      <w:bookmarkStart w:id="566" w:name="__RefHeading___Toc9587676_73709187"/>
      <w:bookmarkStart w:id="567" w:name="_Toc212"/>
      <w:bookmarkEnd w:id="565"/>
      <w:bookmarkEnd w:id="566"/>
      <w:r>
        <w:rPr>
          <w:rtl w:val="true"/>
        </w:rPr>
        <w:t>أدلّة وجوب الصلاة علی الطفل</w:t>
      </w:r>
      <w:bookmarkEnd w:id="567"/>
    </w:p>
    <w:p>
      <w:pPr>
        <w:pStyle w:val="BookText"/>
        <w:rPr/>
      </w:pPr>
      <w:r>
        <w:rPr>
          <w:rFonts w:ascii="IRNazanin" w:hAnsi="IRNazanin" w:eastAsia="IRNazanin"/>
          <w:color w:val="111111"/>
          <w:sz w:val="28"/>
          <w:sz w:val="28"/>
          <w:szCs w:val="28"/>
          <w:rtl w:val="true"/>
          <w:lang w:bidi="fa-IR"/>
        </w:rPr>
        <w:t>ما یمکن أن یستدلّ به علی وجوب الصلاة علی الطفل لستّ سنین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فی الانتصار</w:t>
      </w:r>
      <w:r>
        <w:rPr>
          <w:rStyle w:val="FootnoteAnchor"/>
          <w:rtl w:val="true"/>
        </w:rPr>
        <w:footnoteReference w:id="1996"/>
      </w:r>
      <w:r>
        <w:rPr>
          <w:rFonts w:ascii="IRNazanin" w:hAnsi="IRNazanin" w:eastAsia="IRNazanin"/>
          <w:color w:val="111111"/>
          <w:sz w:val="28"/>
          <w:sz w:val="28"/>
          <w:szCs w:val="28"/>
          <w:rtl w:val="true"/>
          <w:lang w:bidi="fa-IR"/>
        </w:rPr>
        <w:t>و الخلاف</w:t>
      </w:r>
      <w:r>
        <w:rPr>
          <w:rStyle w:val="FootnoteAnchor"/>
          <w:rtl w:val="true"/>
        </w:rPr>
        <w:footnoteReference w:id="1997"/>
      </w:r>
      <w:r>
        <w:rPr>
          <w:rFonts w:ascii="IRNazanin" w:hAnsi="IRNazanin" w:eastAsia="IRNazanin"/>
          <w:color w:val="111111"/>
          <w:sz w:val="28"/>
          <w:sz w:val="28"/>
          <w:szCs w:val="28"/>
          <w:rtl w:val="true"/>
          <w:lang w:bidi="fa-IR"/>
        </w:rPr>
        <w:t>و الغنیة</w:t>
      </w:r>
      <w:r>
        <w:rPr>
          <w:rStyle w:val="FootnoteAnchor"/>
          <w:rtl w:val="true"/>
        </w:rPr>
        <w:footnoteReference w:id="1998"/>
      </w:r>
      <w:r>
        <w:rPr>
          <w:rFonts w:ascii="IRNazanin" w:hAnsi="IRNazanin" w:eastAsia="IRNazanin"/>
          <w:color w:val="111111"/>
          <w:sz w:val="28"/>
          <w:sz w:val="28"/>
          <w:szCs w:val="28"/>
          <w:rtl w:val="true"/>
          <w:lang w:bidi="fa-IR"/>
        </w:rPr>
        <w:t>و المنتهی</w:t>
      </w:r>
      <w:r>
        <w:rPr>
          <w:rStyle w:val="FootnoteAnchor"/>
          <w:rtl w:val="true"/>
        </w:rPr>
        <w:footnoteReference w:id="1999"/>
      </w:r>
      <w:r>
        <w:rPr>
          <w:rFonts w:ascii="IRNazanin" w:hAnsi="IRNazanin" w:eastAsia="IRNazanin"/>
          <w:color w:val="111111"/>
          <w:sz w:val="28"/>
          <w:sz w:val="28"/>
          <w:szCs w:val="28"/>
          <w:rtl w:val="true"/>
          <w:lang w:bidi="fa-IR"/>
        </w:rPr>
        <w:t>، و فی الجواهر عند الأکثر بل المشهور</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و الحلبی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الصلاة علی الصبیّ، متی یصلّی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عقل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تجب الصلاة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ابن ستّ سنین، و الصیام إذا أطاقه</w:t>
      </w:r>
      <w:r>
        <w:rPr>
          <w:rFonts w:eastAsia="IRNazanin" w:cs="IRNazanin"/>
          <w:color w:val="111111"/>
          <w:sz w:val="28"/>
          <w:szCs w:val="28"/>
          <w:rtl w:val="true"/>
          <w:lang w:bidi="fa-IR"/>
        </w:rPr>
        <w:t>»</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فمفاد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عقل الصلاة تجب صلاة الجنازة علیه، و یستفاد من سؤال الراوی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تجب الصلاة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عقل الصلاة و ثبوتها للصبیّ متلازمان، و أجاب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زمان عقل الصلاة و ثبوتها للصبیّ من ابتداء ستّ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فتدلّ الصحیحة علی أنّ ثبوت الصلاة و عقلها للصبیّ ببلوغ الستّ، و علیه فلا إشکال فی دلالتها علی القول المشهور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ذیل صحیحة اخری لزرارة واردة فی صلاة أبی جعفر علی ابنه مات و له ثلاثة سنین، و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لم یکن یصلّی علی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تجب علیه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عقل الصلاة و کان ابن ستّ سنین</w:t>
      </w:r>
      <w:r>
        <w:rPr>
          <w:rFonts w:eastAsia="IRNazanin" w:cs="IRNazanin"/>
          <w:color w:val="111111"/>
          <w:sz w:val="28"/>
          <w:szCs w:val="28"/>
          <w:rtl w:val="true"/>
          <w:lang w:bidi="fa-IR"/>
        </w:rPr>
        <w:t>»</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أبو جعفر علیه السلام متی تجب الصلاة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عقل الصلاة و کان ابن ستّ سنین</w:t>
      </w:r>
      <w:r>
        <w:rPr>
          <w:rFonts w:eastAsia="IRNazanin" w:cs="IRNazanin"/>
          <w:color w:val="111111"/>
          <w:sz w:val="28"/>
          <w:szCs w:val="28"/>
          <w:rtl w:val="true"/>
          <w:lang w:bidi="fa-IR"/>
        </w:rPr>
        <w:t>»</w:t>
      </w:r>
      <w:r>
        <w:rPr>
          <w:rStyle w:val="FootnoteAnchor"/>
          <w:rtl w:val="true"/>
        </w:rPr>
        <w:footnoteReference w:id="2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صریحتان فی السؤال عن وجوب صلاة الجنازة علی الصبیّ، و أجاب الإمام علیه السلام،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عقل الصلاة و کان ابن ستّ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ابن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عطف تفسیر و بیان للجملة السابقة علیه،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عقل الصلاة لا یتحقّق إلّا فی ستّ سنین، و إمّا تقیید لإطلاقها؛ إذ قد یکون الصبیّ ذکیّاً یعقل الصلاة قبل الستّ، و قد یکون غبیّاً لا یعقلها بعد السبع، و قد یعقلها ابن ستّ سنین، فتقیّده بما إذا کان عقلها و هو ابن ستّ سنین لا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بالوجوب فی الجمیع الثبوت</w:t>
      </w:r>
      <w:r>
        <w:rPr>
          <w:rStyle w:val="FootnoteAnchor"/>
          <w:rtl w:val="true"/>
        </w:rPr>
        <w:footnoteReference w:id="2004"/>
      </w:r>
      <w:r>
        <w:rPr>
          <w:rFonts w:ascii="IRNazanin" w:hAnsi="IRNazanin" w:eastAsia="IRNazanin"/>
          <w:color w:val="111111"/>
          <w:sz w:val="28"/>
          <w:sz w:val="28"/>
          <w:szCs w:val="28"/>
          <w:rtl w:val="true"/>
          <w:lang w:bidi="fa-IR"/>
        </w:rPr>
        <w:t>، لا الحکم التکلیفی الشرعی فی مقابل الندب، أی متی یعقل و یبلغ الستّ، فتثبت له الصلاة</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المناقشة فی دلالة الصحیحة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متی تجب الصلاة علیه؟ موردها الصلاة الیومیّة، لا وجوب صلاة الجنازة علیه، و الجملة الاُولی خالیة من التحدید بالستّ‌</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فی الروایة عن الزمان الذی تجب فیه الصلاة علی جنازة</w:t>
      </w:r>
    </w:p>
    <w:p>
      <w:pPr>
        <w:pStyle w:val="BookText"/>
        <w:rPr/>
      </w:pPr>
      <w:r>
        <w:rPr>
          <w:rFonts w:ascii="IRNazanin" w:hAnsi="IRNazanin" w:eastAsia="IRNazanin"/>
          <w:color w:val="111111"/>
          <w:sz w:val="28"/>
          <w:sz w:val="28"/>
          <w:szCs w:val="28"/>
          <w:rtl w:val="true"/>
          <w:lang w:bidi="fa-IR"/>
        </w:rPr>
        <w:t>الصبیّ، و أنّ وحدة زمان عقل الصلاة و وجوبها للصبیّ مرتکزة فی ذهن السائل؛ لأنّه سأل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تجب الصلاة علیه؟ و أجاب الإمام علیه السلام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عقل الصلاة و کان ابن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صلاة الجنازة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حرف الفاء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الصحیحة الثانیة لزرارة کالصریح فی أنّ السؤال إنّما هو عن الزمان الذی تجب فیه الصلاة علی جنازته؛ و ذلک لأنّه علیه السلام قبل ذلک نفی وجوبها علی الطفل الذی له ثلاث سنین، فسأله الراوی تفریعاً علی ذلک عن الزمان الذی تجب فیه الصلاة علی جنازة الطفل، فأجاب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یکون قرینة علی المراد فی الصحیحة الاُولی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صحیحة اخری رواها محمّد بن مسلم عن أحدهما فی الصبیّ، متی یصلّی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عقل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یعقل الصلاة و تجب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الحدائق</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أنّها فی الوسائل و التهذیب رویت من دون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یصلّی؟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عقل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w:t>
      </w:r>
      <w:r>
        <w:rPr>
          <w:rStyle w:val="FootnoteAnchor"/>
          <w:rtl w:val="true"/>
        </w:rPr>
        <w:footnoteReference w:id="2009"/>
      </w:r>
      <w:r>
        <w:rPr>
          <w:rFonts w:ascii="IRNazanin" w:hAnsi="IRNazanin" w:eastAsia="IRNazanin"/>
          <w:color w:val="111111"/>
          <w:sz w:val="28"/>
          <w:sz w:val="28"/>
          <w:szCs w:val="28"/>
          <w:rtl w:val="true"/>
          <w:lang w:bidi="fa-IR"/>
        </w:rPr>
        <w:t>فالصحیحة خارجة عن محلّ الکلام و غیر صریحة فی مدّعی المشهور، إلّا أنّها مع ذلک تدلّ علی الملازمة بین عقل الصبیّ و ستّ سنین، فتکون قرینة للأخبار المتقدِّمة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یظهر بها المراد ممّا ورد فی صحیحة علیّ بن جعفر عن أخیه</w:t>
      </w:r>
      <w:bookmarkStart w:id="568" w:name="pg11755_254982"/>
    </w:p>
    <w:p>
      <w:pPr>
        <w:pStyle w:val="BookText"/>
        <w:rPr/>
      </w:pPr>
      <w:bookmarkEnd w:id="568"/>
      <w:r>
        <w:rPr>
          <w:rFonts w:ascii="IRNazanin" w:hAnsi="IRNazanin" w:eastAsia="IRNazanin"/>
          <w:color w:val="111111"/>
          <w:sz w:val="28"/>
          <w:sz w:val="28"/>
          <w:szCs w:val="28"/>
          <w:rtl w:val="true"/>
          <w:lang w:bidi="fa-IR"/>
        </w:rPr>
        <w:t>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الصبیّ، أ یصلّی علیه إذا مات و هو ابن خمس سنین؟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عقل الصلاة صلّی علیه</w:t>
      </w:r>
      <w:r>
        <w:rPr>
          <w:rFonts w:eastAsia="IRNazanin" w:cs="IRNazanin"/>
          <w:color w:val="111111"/>
          <w:sz w:val="28"/>
          <w:szCs w:val="28"/>
          <w:rtl w:val="true"/>
          <w:lang w:bidi="fa-IR"/>
        </w:rPr>
        <w:t>»</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علی الطفل المیّت إنّما تجب إذا عقل الصلاة، بأن یتمّ له ستّ سنین، و حیث إنّ الطفل الذی له خمس سنین لم یعقل الصلاة، فلا تجب الصلاة علی جنازته</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ما ذکره المحقّق القمّی، من أنّه فسّر الأصحاب فی أخبارهم عقل الصلاة ببلوغ ستّ سنین</w:t>
      </w:r>
      <w:r>
        <w:rPr>
          <w:rStyle w:val="FootnoteAnchor"/>
          <w:rtl w:val="true"/>
        </w:rPr>
        <w:footnoteReference w:id="2012"/>
      </w:r>
      <w:r>
        <w:rPr>
          <w:rFonts w:ascii="IRNazanin" w:hAnsi="IRNazanin" w:eastAsia="IRNazanin"/>
          <w:color w:val="111111"/>
          <w:sz w:val="28"/>
          <w:sz w:val="28"/>
          <w:szCs w:val="28"/>
          <w:rtl w:val="true"/>
          <w:lang w:bidi="fa-IR"/>
        </w:rPr>
        <w:t>، و ما جاء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من صحیح محمّد بن مسلم و غیره أنّ المراد تفسیر العقل بالستّ فی الأخبار، لا اشتراط الستّ مع عقل الصلاة</w:t>
      </w:r>
      <w:r>
        <w:rPr>
          <w:rFonts w:eastAsia="IRNazanin" w:cs="IRNazanin"/>
          <w:color w:val="111111"/>
          <w:sz w:val="28"/>
          <w:szCs w:val="28"/>
          <w:rtl w:val="true"/>
          <w:lang w:bidi="fa-IR"/>
        </w:rPr>
        <w:t>»</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کما فی الغنائم</w:t>
      </w:r>
      <w:r>
        <w:rPr>
          <w:rStyle w:val="FootnoteAnchor"/>
          <w:rtl w:val="true"/>
        </w:rPr>
        <w:footnoteReference w:id="2014"/>
      </w:r>
      <w:r>
        <w:rPr>
          <w:rFonts w:ascii="IRNazanin" w:hAnsi="IRNazanin" w:eastAsia="IRNazanin"/>
          <w:color w:val="111111"/>
          <w:sz w:val="28"/>
          <w:sz w:val="28"/>
          <w:szCs w:val="28"/>
          <w:rtl w:val="true"/>
          <w:lang w:bidi="fa-IR"/>
        </w:rPr>
        <w:t>، و لکن لم نتحقّق المراد منه</w:t>
      </w:r>
      <w:r>
        <w:rPr>
          <w:rFonts w:eastAsia="IRNazanin" w:cs="IRNazanin"/>
          <w:color w:val="111111"/>
          <w:sz w:val="28"/>
          <w:szCs w:val="28"/>
          <w:rtl w:val="true"/>
          <w:lang w:bidi="fa-IR"/>
        </w:rPr>
        <w:t>.</w:t>
      </w:r>
    </w:p>
    <w:p>
      <w:pPr>
        <w:pStyle w:val="Heading6"/>
        <w:numPr>
          <w:ilvl w:val="5"/>
          <w:numId w:val="1"/>
        </w:numPr>
        <w:rPr/>
      </w:pPr>
      <w:bookmarkStart w:id="569" w:name="__RefHeading___Toc9587678_73709187"/>
      <w:bookmarkStart w:id="570" w:name="_Toc213"/>
      <w:bookmarkEnd w:id="569"/>
      <w:r>
        <w:rPr>
          <w:rtl w:val="true"/>
        </w:rPr>
        <w:t>تتمیم</w:t>
      </w:r>
      <w:bookmarkEnd w:id="57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جملة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یلحق بالمسلم فی وجوب الصلاة علیه من بحکمه ممّن بلغ، أی أکمل ستّ سنین، و یتحقّق ثبوت حکم الإسلام بتولّده من مسلم أو مسلمة، أو بکونه ملقوطاً فی دار الإسلام، أو وجد فیها میّتاً، أو فی دار الکفر و فیها مسلم صالح للاستیلاد، أو کان مسبیّاً لمسلم علی القول بتبعیّته له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إذا سبی الصبیّ منفرداً عن أبویه فإنّه یتبع السابی له فی الإسلام</w:t>
      </w:r>
      <w:r>
        <w:rPr>
          <w:rFonts w:eastAsia="IRNazanin" w:cs="IRNazanin"/>
          <w:color w:val="111111"/>
          <w:sz w:val="28"/>
          <w:szCs w:val="28"/>
          <w:rtl w:val="true"/>
          <w:lang w:bidi="fa-IR"/>
        </w:rPr>
        <w:t>»</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یصلّی علی أطفال المشرکین لإلحاقهم بآبائهم، إلّا أن یسلم أحد أبویه، أو یسبی منفرداً عن أبویه</w:t>
      </w:r>
      <w:r>
        <w:rPr>
          <w:rFonts w:eastAsia="IRNazanin" w:cs="IRNazanin"/>
          <w:color w:val="111111"/>
          <w:sz w:val="28"/>
          <w:szCs w:val="28"/>
          <w:rtl w:val="true"/>
          <w:lang w:bidi="fa-IR"/>
        </w:rPr>
        <w:t>»</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لقیط دار الإسلام لو مات طفلاً فبحکم المسلم؛ تغلیباً للدار، و کذا لقیط دار الحرب إذا کان فیها مسلم؛ تغلیباً للإسلام</w:t>
      </w:r>
      <w:r>
        <w:rPr>
          <w:rFonts w:eastAsia="IRNazanin" w:cs="IRNazanin"/>
          <w:color w:val="111111"/>
          <w:sz w:val="28"/>
          <w:szCs w:val="28"/>
          <w:rtl w:val="true"/>
          <w:lang w:bidi="fa-IR"/>
        </w:rPr>
        <w:t>»</w:t>
      </w:r>
      <w:r>
        <w:rPr>
          <w:rStyle w:val="FootnoteAnchor"/>
          <w:rtl w:val="true"/>
        </w:rPr>
        <w:footnoteReference w:id="2017"/>
      </w:r>
      <w:r>
        <w:rPr>
          <w:rFonts w:ascii="IRNazanin" w:hAnsi="IRNazanin" w:eastAsia="IRNazanin"/>
          <w:color w:val="111111"/>
          <w:sz w:val="28"/>
          <w:sz w:val="28"/>
          <w:szCs w:val="28"/>
          <w:rtl w:val="true"/>
          <w:lang w:bidi="fa-IR"/>
        </w:rPr>
        <w:t>، و کذا فی جامع المقاصد</w:t>
      </w:r>
      <w:r>
        <w:rPr>
          <w:rStyle w:val="FootnoteAnchor"/>
          <w:rtl w:val="true"/>
        </w:rPr>
        <w:footnoteReference w:id="2018"/>
      </w:r>
      <w:r>
        <w:rPr>
          <w:rFonts w:ascii="IRNazanin" w:hAnsi="IRNazanin" w:eastAsia="IRNazanin"/>
          <w:color w:val="111111"/>
          <w:sz w:val="28"/>
          <w:sz w:val="28"/>
          <w:szCs w:val="28"/>
          <w:rtl w:val="true"/>
          <w:lang w:bidi="fa-IR"/>
        </w:rPr>
        <w:t>و المسالک</w:t>
      </w:r>
      <w:r>
        <w:rPr>
          <w:rStyle w:val="FootnoteAnchor"/>
          <w:rtl w:val="true"/>
        </w:rPr>
        <w:footnoteReference w:id="2019"/>
      </w:r>
      <w:r>
        <w:rPr>
          <w:rFonts w:ascii="Amiri" w:hAnsi="Amiri" w:eastAsia="Amiri" w:cs="Amiri"/>
          <w:color w:val="111111"/>
          <w:sz w:val="28"/>
          <w:sz w:val="28"/>
          <w:szCs w:val="28"/>
          <w:rtl w:val="true"/>
          <w:lang w:bidi="ar-SA"/>
        </w:rPr>
        <w:t>و الروضة</w:t>
      </w:r>
      <w:r>
        <w:rPr>
          <w:rStyle w:val="FootnoteAnchor"/>
          <w:rtl w:val="true"/>
        </w:rPr>
        <w:footnoteReference w:id="2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جملة من المتأخّرین و تابعیهم و المعاصرین</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مستند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المشهور وجوب الصلاة علی ولد الزنی إذا کان بالغاً مسلماً، بل عن الخلاف</w:t>
      </w:r>
      <w:r>
        <w:rPr>
          <w:rStyle w:val="FootnoteAnchor"/>
          <w:rtl w:val="true"/>
        </w:rPr>
        <w:footnoteReference w:id="2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صبیّاً فعن الذکری</w:t>
      </w:r>
      <w:r>
        <w:rPr>
          <w:rStyle w:val="FootnoteAnchor"/>
          <w:rtl w:val="true"/>
        </w:rPr>
        <w:footnoteReference w:id="2023"/>
      </w:r>
      <w:r>
        <w:rPr>
          <w:rFonts w:ascii="IRNazanin" w:hAnsi="IRNazanin" w:eastAsia="IRNazanin"/>
          <w:color w:val="111111"/>
          <w:sz w:val="28"/>
          <w:sz w:val="28"/>
          <w:szCs w:val="28"/>
          <w:rtl w:val="true"/>
          <w:lang w:bidi="fa-IR"/>
        </w:rPr>
        <w:t>الاستشکال فیه؛ لعدم لحوقه بالأبوین حتّی یتبعهما أو أحدهما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کان فی موقعه لو کان دلیل الصلاة مجرّد الإجماع أو اللحوق،</w:t>
      </w:r>
      <w:bookmarkStart w:id="571" w:name="pg11755_254987"/>
    </w:p>
    <w:p>
      <w:pPr>
        <w:pStyle w:val="BookText"/>
        <w:rPr/>
      </w:pPr>
      <w:bookmarkEnd w:id="571"/>
      <w:r>
        <w:rPr>
          <w:rFonts w:ascii="IRNazanin" w:hAnsi="IRNazanin" w:eastAsia="IRNazanin"/>
          <w:color w:val="111111"/>
          <w:sz w:val="28"/>
          <w:sz w:val="28"/>
          <w:szCs w:val="28"/>
          <w:rtl w:val="true"/>
          <w:lang w:bidi="fa-IR"/>
        </w:rPr>
        <w:t>و لکنّ العمومات المتقدّمة فی الصبیّ و إطلاقاته تشمل کلّ ما لم یخرج بالإجماع، فتجب 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وجوب الصلاة علی لقیط دار الإسلام، بل دار الکفّار إذا احتمل کون الطفل متولّداً من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تجب علی المتولّد من الکافرین؛ لأنّ الإجماع أخرجه</w:t>
      </w:r>
      <w:r>
        <w:rPr>
          <w:rFonts w:eastAsia="IRNazanin" w:cs="IRNazanin"/>
          <w:color w:val="111111"/>
          <w:sz w:val="28"/>
          <w:szCs w:val="28"/>
          <w:rtl w:val="true"/>
          <w:lang w:bidi="fa-IR"/>
        </w:rPr>
        <w:t>»</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المسألة مبنیّة علی أنّه هل یحکم بإسلام هؤلاء أم لا؟ فإن حکم بإسلامهم فمقتضاه وجوب الصلاة علیهم، و قد تقدّم البحث عنها فی تغسیل الصبیّ المیّت علی وجه مبسوط من حیث الأدلّة و الأقوال، فراجع</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2" w:name="__RefHeading___Toc9587680_73709187"/>
      <w:bookmarkStart w:id="573" w:name="_Toc214"/>
      <w:bookmarkEnd w:id="572"/>
      <w:r>
        <w:rPr>
          <w:rtl w:val="true"/>
        </w:rPr>
        <w:t>المطلب الرابع</w:t>
      </w:r>
      <w:r>
        <w:rPr>
          <w:rtl w:val="true"/>
        </w:rPr>
        <w:t xml:space="preserve">: </w:t>
      </w:r>
      <w:r>
        <w:rPr>
          <w:rtl w:val="true"/>
        </w:rPr>
        <w:t>حکم الدعاء فی الصلاة علی الطفل</w:t>
      </w:r>
      <w:bookmarkEnd w:id="573"/>
    </w:p>
    <w:p>
      <w:pPr>
        <w:pStyle w:val="Heading6"/>
        <w:numPr>
          <w:ilvl w:val="5"/>
          <w:numId w:val="1"/>
        </w:numPr>
        <w:rPr/>
      </w:pPr>
      <w:bookmarkStart w:id="574" w:name="__RefHeading___Toc9587682_73709187"/>
      <w:bookmarkStart w:id="575" w:name="_Toc215"/>
      <w:bookmarkEnd w:id="574"/>
      <w:r>
        <w:rPr>
          <w:rtl w:val="true"/>
        </w:rPr>
        <w:t>اشارة</w:t>
      </w:r>
      <w:bookmarkEnd w:id="575"/>
    </w:p>
    <w:p>
      <w:pPr>
        <w:pStyle w:val="BookText"/>
        <w:rPr/>
      </w:pPr>
      <w:r>
        <w:rPr>
          <w:rFonts w:ascii="IRNazanin" w:hAnsi="IRNazanin" w:eastAsia="IRNazanin"/>
          <w:color w:val="111111"/>
          <w:sz w:val="28"/>
          <w:sz w:val="28"/>
          <w:szCs w:val="28"/>
          <w:rtl w:val="true"/>
          <w:lang w:bidi="fa-IR"/>
        </w:rPr>
        <w:t>هل یجب الدعاء فی الصلاة علی الطفل أو هو مستحبّ؟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الصلاة، و هی خمس تکبیرات، و الدعاء بینهنّ غیر لازم</w:t>
      </w:r>
      <w:r>
        <w:rPr>
          <w:rFonts w:eastAsia="IRNazanin" w:cs="IRNazanin"/>
          <w:color w:val="111111"/>
          <w:sz w:val="28"/>
          <w:szCs w:val="28"/>
          <w:rtl w:val="true"/>
          <w:lang w:bidi="fa-IR"/>
        </w:rPr>
        <w:t>»</w:t>
      </w:r>
      <w:r>
        <w:rPr>
          <w:rStyle w:val="FootnoteAnchor"/>
          <w:rtl w:val="true"/>
        </w:rPr>
        <w:footnoteReference w:id="2026"/>
      </w:r>
      <w:r>
        <w:rPr>
          <w:rFonts w:ascii="IRNazanin" w:hAnsi="IRNazanin" w:eastAsia="IRNazanin"/>
          <w:color w:val="111111"/>
          <w:sz w:val="28"/>
          <w:sz w:val="28"/>
          <w:szCs w:val="28"/>
          <w:rtl w:val="true"/>
          <w:lang w:bidi="fa-IR"/>
        </w:rPr>
        <w:t>، فإنّه قدس سره لم یوجب الدعاء فی صلاة الجنازة مطلقاً، سواء کانت علی الطفل أم علی غیره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وجوب الدعاء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الصلاة علی الطفل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الوجهان، و یقوّی العدَمَ أنّه لیس للمیّت و لا علیه</w:t>
      </w:r>
      <w:r>
        <w:rPr>
          <w:rFonts w:eastAsia="IRNazanin" w:cs="IRNazanin"/>
          <w:color w:val="111111"/>
          <w:sz w:val="28"/>
          <w:szCs w:val="28"/>
          <w:rtl w:val="true"/>
          <w:lang w:bidi="fa-IR"/>
        </w:rPr>
        <w:t>»</w:t>
      </w:r>
      <w:r>
        <w:rPr>
          <w:rStyle w:val="FootnoteAnchor"/>
          <w:rtl w:val="true"/>
        </w:rPr>
        <w:footnoteReference w:id="2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مقصوده قدس سره أنّ الدعاء</w:t>
      </w:r>
    </w:p>
    <w:p>
      <w:pPr>
        <w:pStyle w:val="BookText"/>
        <w:rPr/>
      </w:pPr>
      <w:r>
        <w:rPr>
          <w:rFonts w:ascii="IRNazanin" w:hAnsi="IRNazanin" w:eastAsia="IRNazanin"/>
          <w:color w:val="111111"/>
          <w:sz w:val="28"/>
          <w:sz w:val="28"/>
          <w:szCs w:val="28"/>
          <w:rtl w:val="true"/>
          <w:lang w:bidi="fa-IR"/>
        </w:rPr>
        <w:t>فی صلاة الجنازة إمّا للمیّت، و إمّا علیه، و فی الصلاة علی الطفل لیس الدعاء له و لا علیه، فالأقوی أنّه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غیر واجب</w:t>
      </w:r>
      <w:r>
        <w:rPr>
          <w:rFonts w:eastAsia="IRNazanin" w:cs="IRNazanin"/>
          <w:color w:val="111111"/>
          <w:sz w:val="28"/>
          <w:szCs w:val="28"/>
          <w:rtl w:val="true"/>
          <w:lang w:bidi="fa-IR"/>
        </w:rPr>
        <w:t>»</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لیس بواجب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إطلاق الروایة و کلام الأصحاب استحباب ذلک فی الصلاة علی الطفل الذی تجب الصلاة علیه أیضاً</w:t>
      </w:r>
      <w:r>
        <w:rPr>
          <w:rFonts w:eastAsia="IRNazanin" w:cs="IRNazanin"/>
          <w:color w:val="111111"/>
          <w:sz w:val="28"/>
          <w:szCs w:val="28"/>
          <w:rtl w:val="true"/>
          <w:lang w:bidi="fa-IR"/>
        </w:rPr>
        <w:t>»</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الأوامر الواردة بالدعاء للمیّت لا تشمل الصبیّ؛ لأنّها تضمّنت الدعاء و طلب المغفرة له، و التجاوز عن معاصیه و سیّئاته، و الطفل لیس عنده سیّئات و لا معاصی؛ لکونه غیر مکلّف بشیءٍ</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یستدلّ أیضاً بإطلاق الروایات المتضمّنة لکیفیّة الصلاة علی المیّت، و أنّها خمس تکبیرات، الواردة فی مقام البیان، الدالّة بظاهرها علی عدم وجوب ما عدا ذلک</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ذهب إلیه فی الشرائع من عدم وجوب الدعاء بین التکبیرات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شاذّ نادر لا موافق له فیما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یظهر من المحقّق الأردبیلی المیل إلیه،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و عدم الذکر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الاختلاف العظیم الذی لا یکاد یتحقّق الاشتراک فی أمر مجمل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الشهادتین بعد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الوجوب، و علی تقدیره فلا یتعیّن شیء حتّی الشهادة بعد الاُولی، و الصلاة بعد الثانیة و غیر ذلک؛ لما سمعت من الأخبار کما هو مذهب</w:t>
      </w:r>
    </w:p>
    <w:p>
      <w:pPr>
        <w:pStyle w:val="BookText"/>
        <w:rPr/>
      </w:pPr>
      <w:r>
        <w:rPr>
          <w:rFonts w:ascii="IRNazanin" w:hAnsi="IRNazanin" w:eastAsia="IRNazanin"/>
          <w:color w:val="111111"/>
          <w:sz w:val="28"/>
          <w:sz w:val="28"/>
          <w:szCs w:val="28"/>
          <w:rtl w:val="true"/>
          <w:lang w:bidi="fa-IR"/>
        </w:rPr>
        <w:t>الشرائع، إلّا أنّ الخروج عن شهرة الأصحاب مشکل فلا ینبغی الترک</w:t>
      </w:r>
      <w:r>
        <w:rPr>
          <w:rFonts w:eastAsia="IRNazanin" w:cs="IRNazanin"/>
          <w:color w:val="111111"/>
          <w:sz w:val="28"/>
          <w:szCs w:val="28"/>
          <w:rtl w:val="true"/>
          <w:lang w:bidi="fa-IR"/>
        </w:rPr>
        <w:t>»</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خلاف ما ذکره قدس سره فی المعتبر من ظاهر الإجماع علی وجوب الأدعیة بین التکبیرات</w:t>
      </w:r>
      <w:r>
        <w:rPr>
          <w:rStyle w:val="FootnoteAnchor"/>
          <w:rtl w:val="true"/>
        </w:rPr>
        <w:footnoteReference w:id="2033"/>
      </w:r>
      <w:r>
        <w:rPr>
          <w:rFonts w:ascii="IRNazanin" w:hAnsi="IRNazanin" w:eastAsia="IRNazanin"/>
          <w:color w:val="111111"/>
          <w:sz w:val="28"/>
          <w:sz w:val="28"/>
          <w:szCs w:val="28"/>
          <w:rtl w:val="true"/>
          <w:lang w:bidi="fa-IR"/>
        </w:rPr>
        <w:t>، و کذلک هو خلاف إجماع الغنیة</w:t>
      </w:r>
      <w:r>
        <w:rPr>
          <w:rStyle w:val="FootnoteAnchor"/>
          <w:rtl w:val="true"/>
        </w:rPr>
        <w:footnoteReference w:id="2034"/>
      </w:r>
      <w:r>
        <w:rPr>
          <w:rFonts w:ascii="IRNazanin" w:hAnsi="IRNazanin" w:eastAsia="IRNazanin"/>
          <w:color w:val="111111"/>
          <w:sz w:val="28"/>
          <w:sz w:val="28"/>
          <w:szCs w:val="28"/>
          <w:rtl w:val="true"/>
          <w:lang w:bidi="fa-IR"/>
        </w:rPr>
        <w:t>و الخلاف</w:t>
      </w:r>
      <w:r>
        <w:rPr>
          <w:rStyle w:val="FootnoteAnchor"/>
          <w:rtl w:val="true"/>
        </w:rPr>
        <w:footnoteReference w:id="2035"/>
      </w:r>
      <w:r>
        <w:rPr>
          <w:rFonts w:ascii="IRNazanin" w:hAnsi="IRNazanin" w:eastAsia="IRNazanin"/>
          <w:color w:val="111111"/>
          <w:sz w:val="28"/>
          <w:sz w:val="28"/>
          <w:szCs w:val="28"/>
          <w:rtl w:val="true"/>
          <w:lang w:bidi="fa-IR"/>
        </w:rPr>
        <w:t>، بل عن شرح الإرشاد لفخر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النبیّ صلی الله علیه و آله واجبة بإجماع الإمامیّة</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إلی أنّ جمیع النصوص الدالّة علی الکیفیّة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و 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لما فی الشرائع، فحسن الظنّ بالمحقّق قدس سره یوجب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عدم تعیّن دعاء مخصوص، لا أصل الدعاء، و إلّا کان ذلک منه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احتیاج الطفل الدعاء و طلب المغفرة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یلزم أن یکون الدعاء لنفس المیّت، بل یدعی لأبویه و للمصلّین و للمؤمنین، و أمّا المطلقات فتقیّد بالأخبار الّتی ستأتی قریباً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الدعاء فی الصلاة علی الطفل، و هو الأقوی، و قد ذهب إلیه المشهور، بل ادّعی علیه الإجماع، کما فی الخلاف</w:t>
      </w:r>
      <w:r>
        <w:rPr>
          <w:rStyle w:val="FootnoteAnchor"/>
          <w:rtl w:val="true"/>
        </w:rPr>
        <w:footnoteReference w:id="2037"/>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الغنیة</w:t>
      </w:r>
      <w:r>
        <w:rPr>
          <w:rStyle w:val="FootnoteAnchor"/>
          <w:rtl w:val="true"/>
        </w:rPr>
        <w:footnoteReference w:id="2038"/>
      </w:r>
      <w:r>
        <w:rPr>
          <w:rFonts w:ascii="IRNazanin" w:hAnsi="IRNazanin" w:eastAsia="IRNazanin"/>
          <w:color w:val="111111"/>
          <w:sz w:val="28"/>
          <w:sz w:val="28"/>
          <w:szCs w:val="28"/>
          <w:rtl w:val="true"/>
          <w:lang w:bidi="fa-IR"/>
        </w:rPr>
        <w:t>و غیرهما</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کان طفلاً فلیسأل اللّه أن یجعله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لأبویه فرطاً</w:t>
      </w:r>
      <w:r>
        <w:rPr>
          <w:rFonts w:eastAsia="IRNazanin" w:cs="IRNazanin"/>
          <w:color w:val="111111"/>
          <w:sz w:val="28"/>
          <w:szCs w:val="28"/>
          <w:rtl w:val="true"/>
          <w:lang w:bidi="fa-IR"/>
        </w:rPr>
        <w:t>»</w:t>
      </w:r>
      <w:r>
        <w:rPr>
          <w:rStyle w:val="FootnoteAnchor"/>
          <w:rtl w:val="true"/>
        </w:rPr>
        <w:footnoteReference w:id="2040"/>
      </w:r>
      <w:r>
        <w:rPr>
          <w:rFonts w:ascii="IRNazanin" w:hAnsi="IRNazanin" w:eastAsia="IRNazanin"/>
          <w:color w:val="111111"/>
          <w:sz w:val="28"/>
          <w:sz w:val="28"/>
          <w:szCs w:val="28"/>
          <w:rtl w:val="true"/>
          <w:lang w:bidi="fa-IR"/>
        </w:rPr>
        <w:t xml:space="preserve">، </w:t>
      </w:r>
      <w:r>
        <w:rPr>
          <w:rStyle w:val="FootnoteAnchor"/>
          <w:rtl w:val="true"/>
        </w:rPr>
        <w:footnoteReference w:id="2041"/>
      </w:r>
      <w:r>
        <w:rPr>
          <w:rFonts w:ascii="IRNazanin" w:hAnsi="IRNazanin" w:eastAsia="IRNazanin"/>
          <w:color w:val="111111"/>
          <w:sz w:val="28"/>
          <w:sz w:val="28"/>
          <w:szCs w:val="28"/>
          <w:rtl w:val="true"/>
          <w:lang w:bidi="fa-IR"/>
        </w:rPr>
        <w:t>و به قال جملة من المتقدِّمین و غیرهم</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حضرت مع قوم یصلّون علی طفل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لأبویه و لنا فرطاً</w:t>
      </w:r>
      <w:r>
        <w:rPr>
          <w:rFonts w:eastAsia="IRNazanin" w:cs="IRNazanin"/>
          <w:color w:val="111111"/>
          <w:sz w:val="28"/>
          <w:szCs w:val="28"/>
          <w:rtl w:val="true"/>
          <w:lang w:bidi="fa-IR"/>
        </w:rPr>
        <w:t>»</w:t>
      </w:r>
      <w:r>
        <w:rPr>
          <w:rStyle w:val="FootnoteAnchor"/>
          <w:rtl w:val="true"/>
        </w:rPr>
        <w:footnoteReference w:id="2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فی مصباح المتهجِّد</w:t>
      </w:r>
      <w:r>
        <w:rPr>
          <w:rStyle w:val="FootnoteAnchor"/>
          <w:rtl w:val="true"/>
        </w:rPr>
        <w:footnoteReference w:id="2044"/>
      </w:r>
      <w:r>
        <w:rPr>
          <w:rFonts w:ascii="IRNazanin" w:hAnsi="IRNazanin" w:eastAsia="IRNazanin"/>
          <w:color w:val="111111"/>
          <w:sz w:val="28"/>
          <w:sz w:val="28"/>
          <w:szCs w:val="28"/>
          <w:rtl w:val="true"/>
          <w:lang w:bidi="fa-IR"/>
        </w:rPr>
        <w:t>و النافع</w:t>
      </w:r>
      <w:r>
        <w:rPr>
          <w:rStyle w:val="FootnoteAnchor"/>
          <w:rtl w:val="true"/>
        </w:rPr>
        <w:footnoteReference w:id="2045"/>
      </w:r>
      <w:r>
        <w:rPr>
          <w:rFonts w:ascii="IRNazanin" w:hAnsi="IRNazanin" w:eastAsia="IRNazanin"/>
          <w:color w:val="111111"/>
          <w:sz w:val="28"/>
          <w:sz w:val="28"/>
          <w:szCs w:val="28"/>
          <w:rtl w:val="true"/>
          <w:lang w:bidi="fa-IR"/>
        </w:rPr>
        <w:t xml:space="preserve">، و لکن فیهما قدّم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المیّت طفلاً و قد عقل الصلاة فصلِّ علیه و قل بعد التکبیرة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الطفل کما خلقته قادراً و قبضته طاهراً، فاجعله لأبویه نوراً، و ارزقنا أجره، و لا تفتنّا بعده</w:t>
      </w:r>
      <w:r>
        <w:rPr>
          <w:rFonts w:eastAsia="IRNazanin" w:cs="IRNazanin"/>
          <w:color w:val="111111"/>
          <w:sz w:val="28"/>
          <w:szCs w:val="28"/>
          <w:rtl w:val="true"/>
          <w:lang w:bidi="fa-IR"/>
        </w:rPr>
        <w:t>»</w:t>
      </w:r>
      <w:r>
        <w:rPr>
          <w:rStyle w:val="FootnoteAnchor"/>
          <w:rtl w:val="true"/>
        </w:rPr>
        <w:footnoteReference w:id="2046"/>
      </w:r>
      <w:r>
        <w:rPr>
          <w:rFonts w:ascii="IRNazanin" w:hAnsi="IRNazanin" w:eastAsia="IRNazanin"/>
          <w:color w:val="111111"/>
          <w:sz w:val="28"/>
          <w:sz w:val="28"/>
          <w:szCs w:val="28"/>
          <w:rtl w:val="true"/>
          <w:lang w:bidi="fa-IR"/>
        </w:rPr>
        <w:t>، و کذا فی الغنیة</w:t>
      </w:r>
      <w:r>
        <w:rPr>
          <w:rStyle w:val="FootnoteAnchor"/>
          <w:rtl w:val="true"/>
        </w:rPr>
        <w:footnoteReference w:id="2047"/>
      </w:r>
      <w:r>
        <w:rPr>
          <w:rFonts w:ascii="Amiri" w:hAnsi="Amiri" w:eastAsia="Amiri" w:cs="Amiri"/>
          <w:color w:val="111111"/>
          <w:sz w:val="28"/>
          <w:sz w:val="28"/>
          <w:szCs w:val="28"/>
          <w:rtl w:val="true"/>
          <w:lang w:bidi="ar-SA"/>
        </w:rPr>
        <w:t>و المهذّب</w:t>
      </w:r>
      <w:r>
        <w:rPr>
          <w:rStyle w:val="FootnoteAnchor"/>
          <w:rtl w:val="true"/>
        </w:rPr>
        <w:footnoteReference w:id="2048"/>
      </w:r>
      <w:r>
        <w:rPr>
          <w:rFonts w:ascii="IRNazanin" w:hAnsi="IRNazanin" w:eastAsia="IRNazanin"/>
          <w:color w:val="111111"/>
          <w:sz w:val="28"/>
          <w:sz w:val="28"/>
          <w:szCs w:val="28"/>
          <w:rtl w:val="true"/>
          <w:lang w:bidi="fa-IR"/>
        </w:rPr>
        <w:t>، و لکن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فرطاً و نوراً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طفلاً فلیقل ما رواه</w:t>
      </w:r>
      <w:r>
        <w:rPr>
          <w:rStyle w:val="FootnoteAnchor"/>
          <w:rtl w:val="true"/>
        </w:rPr>
        <w:footnoteReference w:id="2049"/>
      </w:r>
      <w:r>
        <w:rPr>
          <w:rFonts w:ascii="IRNazanin" w:hAnsi="IRNazanin" w:eastAsia="IRNazanin"/>
          <w:color w:val="111111"/>
          <w:sz w:val="28"/>
          <w:sz w:val="28"/>
          <w:szCs w:val="28"/>
          <w:rtl w:val="true"/>
          <w:lang w:bidi="fa-IR"/>
        </w:rPr>
        <w:t>زید بن علیّ، عن آبائه، 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لأبویه و لنا سلفاً و فرطاً و أجراً</w:t>
      </w:r>
      <w:r>
        <w:rPr>
          <w:rFonts w:eastAsia="IRNazanin" w:cs="IRNazanin"/>
          <w:color w:val="111111"/>
          <w:sz w:val="28"/>
          <w:szCs w:val="28"/>
          <w:rtl w:val="true"/>
          <w:lang w:bidi="fa-IR"/>
        </w:rPr>
        <w:t>»</w:t>
      </w:r>
      <w:r>
        <w:rPr>
          <w:rStyle w:val="FootnoteAnchor"/>
          <w:rtl w:val="true"/>
        </w:rPr>
        <w:footnoteReference w:id="2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bookmarkStart w:id="576" w:name="pg11755_254996"/>
    </w:p>
    <w:p>
      <w:pPr>
        <w:pStyle w:val="BookText"/>
        <w:rPr/>
      </w:pPr>
      <w:bookmarkEnd w:id="576"/>
      <w:r>
        <w:rPr>
          <w:rFonts w:ascii="IRNazanin" w:hAnsi="IRNazanin" w:eastAsia="IRNazanin"/>
          <w:color w:val="111111"/>
          <w:sz w:val="28"/>
          <w:sz w:val="28"/>
          <w:szCs w:val="28"/>
          <w:rtl w:val="true"/>
          <w:lang w:bidi="fa-IR"/>
        </w:rPr>
        <w:t>فی المدارک</w:t>
      </w:r>
      <w:r>
        <w:rPr>
          <w:rStyle w:val="FootnoteAnchor"/>
          <w:rtl w:val="true"/>
        </w:rPr>
        <w:footnoteReference w:id="2051"/>
      </w:r>
      <w:r>
        <w:rPr>
          <w:rFonts w:ascii="IRNazanin" w:hAnsi="IRNazanin" w:eastAsia="IRNazanin"/>
          <w:color w:val="111111"/>
          <w:sz w:val="28"/>
          <w:sz w:val="28"/>
          <w:szCs w:val="28"/>
          <w:rtl w:val="true"/>
          <w:lang w:bidi="fa-IR"/>
        </w:rPr>
        <w:t>و الحدائق</w:t>
      </w:r>
      <w:r>
        <w:rPr>
          <w:rStyle w:val="FootnoteAnchor"/>
          <w:rtl w:val="true"/>
        </w:rPr>
        <w:footnoteReference w:id="2052"/>
      </w:r>
      <w:r>
        <w:rPr>
          <w:rFonts w:ascii="Amiri" w:hAnsi="Amiri" w:eastAsia="Amiri" w:cs="Amiri"/>
          <w:color w:val="111111"/>
          <w:sz w:val="28"/>
          <w:sz w:val="28"/>
          <w:szCs w:val="28"/>
          <w:rtl w:val="true"/>
          <w:lang w:bidi="ar-SA"/>
        </w:rPr>
        <w:t>و العروة</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7" w:name="__RefHeading___Toc9587684_73709187"/>
      <w:bookmarkStart w:id="578" w:name="_Toc216"/>
      <w:bookmarkEnd w:id="577"/>
      <w:r>
        <w:rPr>
          <w:rtl w:val="true"/>
        </w:rPr>
        <w:t>أدلّة وجوب الدعاء فی الصلاة علی الطفل</w:t>
      </w:r>
      <w:bookmarkEnd w:id="578"/>
    </w:p>
    <w:p>
      <w:pPr>
        <w:pStyle w:val="BookText"/>
        <w:rPr/>
      </w:pPr>
      <w:r>
        <w:rPr>
          <w:rFonts w:ascii="IRNazanin" w:hAnsi="IRNazanin" w:eastAsia="IRNazanin"/>
          <w:color w:val="111111"/>
          <w:sz w:val="28"/>
          <w:sz w:val="28"/>
          <w:szCs w:val="28"/>
          <w:rtl w:val="true"/>
          <w:lang w:bidi="fa-IR"/>
        </w:rPr>
        <w:t>و یمکن أن یستدلّ للحکم المذکور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فتاوی الأصحاب یدلّ علی الوجوب؛ لأنّهم بأجمعهم یذکرون تلک الأدعیة فی کیفیّة الصلاة، و لم یصرّح أحد منهم بندب الأذکار، و المذکور فی بیان الواجب ظاهره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الدّعاء مقوّم لصلاة المیّت و لا صلاة من دونه؛ لأنّه ورد فی موثّقة یونس بن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تکبیر و تسبیح و تحمید و تهلیل</w:t>
      </w:r>
      <w:r>
        <w:rPr>
          <w:rFonts w:eastAsia="IRNazanin" w:cs="IRNazanin"/>
          <w:color w:val="111111"/>
          <w:sz w:val="28"/>
          <w:szCs w:val="28"/>
          <w:rtl w:val="true"/>
          <w:lang w:bidi="fa-IR"/>
        </w:rPr>
        <w:t>»</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العیون و العلل 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جوّزنا الصلاة علی المیّت بغیر وضوء؛ لأنّه لیس فیها رکوع و لا سجود، و إنّما هی دعاء و مسألة</w:t>
      </w:r>
      <w:r>
        <w:rPr>
          <w:rFonts w:eastAsia="IRNazanin" w:cs="IRNazanin"/>
          <w:color w:val="111111"/>
          <w:sz w:val="28"/>
          <w:szCs w:val="28"/>
          <w:rtl w:val="true"/>
          <w:lang w:bidi="fa-IR"/>
        </w:rPr>
        <w:t>»</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الدعاء لو لم یکن معتبراً فی صلاة الأموات لم یصحّ إطلاق الصلاة علیها و لو مجازاً؛ لأنّ التکبیر لیس بصلاة، کما أنّه لا یصحّ إضافتها إلی المیّت؛ إذ مجرّد التکبیر لا معنی لإضافته إلی المیّت، فالدعاء مقوّم للصلاة علیه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زید بن علیّ، عن آبائه، عن علیّ علیه السلام فی الصلاة علی الطفل أنّه</w:t>
      </w:r>
    </w:p>
    <w:p>
      <w:pPr>
        <w:pStyle w:val="BookText"/>
        <w:rPr/>
      </w:pP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لأبویه و لنا سلفاً و فرطاً و أجراً</w:t>
      </w:r>
      <w:r>
        <w:rPr>
          <w:rFonts w:eastAsia="Amiri" w:cs="Amiri" w:ascii="Amiri" w:hAnsi="Amiri"/>
          <w:color w:val="111111"/>
          <w:sz w:val="28"/>
          <w:szCs w:val="28"/>
          <w:rtl w:val="true"/>
          <w:lang w:bidi="ar-SA"/>
        </w:rPr>
        <w:t>»</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التعبیر عنه بالخبر أو الروایة کما فی کلمات بعضهم</w:t>
      </w:r>
      <w:r>
        <w:rPr>
          <w:rStyle w:val="FootnoteAnchor"/>
          <w:rtl w:val="true"/>
        </w:rPr>
        <w:footnoteReference w:id="2057"/>
      </w:r>
      <w:r>
        <w:rPr>
          <w:rFonts w:ascii="IRNazanin" w:hAnsi="IRNazanin" w:eastAsia="IRNazanin"/>
          <w:color w:val="111111"/>
          <w:sz w:val="28"/>
          <w:sz w:val="28"/>
          <w:szCs w:val="28"/>
          <w:rtl w:val="true"/>
          <w:lang w:bidi="fa-IR"/>
        </w:rPr>
        <w:t>یشعر بضعف سندها، و لکن مقتضی التحقیق أنّ الروایة معتبرة؛ و ذلک لأنّ المنبّه بن عبد اللّه و إن لم یوثّق صریحاً فی الرجال، إلّا أنّ النجاشی ذکر أنّه صحیح الحدیث</w:t>
      </w:r>
      <w:r>
        <w:rPr>
          <w:rStyle w:val="FootnoteAnchor"/>
          <w:rtl w:val="true"/>
        </w:rPr>
        <w:footnoteReference w:id="2058"/>
      </w:r>
      <w:r>
        <w:rPr>
          <w:rFonts w:ascii="IRNazanin" w:hAnsi="IRNazanin" w:eastAsia="IRNazanin"/>
          <w:color w:val="111111"/>
          <w:sz w:val="28"/>
          <w:sz w:val="28"/>
          <w:szCs w:val="28"/>
          <w:rtl w:val="true"/>
          <w:lang w:bidi="fa-IR"/>
        </w:rPr>
        <w:t>، و هذا توثیق منه له، بل فوقه</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الحسین بن علوان فقال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علوان الکلبی، مولاهم کوفیّ عامّی، و أخوه الحسن یکنّی أبا محمّد ثقة، رویا عن أبی عبد اللّه علیه السلام و لیس للحسن کتاب، و الحسن أخصّ بنا و أولی</w:t>
      </w:r>
      <w:r>
        <w:rPr>
          <w:rFonts w:eastAsia="IRNazanin" w:cs="IRNazanin"/>
          <w:color w:val="111111"/>
          <w:sz w:val="28"/>
          <w:szCs w:val="28"/>
          <w:rtl w:val="true"/>
          <w:lang w:bidi="fa-IR"/>
        </w:rPr>
        <w:t>»</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کلامه أنّ التوثیق راجع إلی الحسین</w:t>
      </w:r>
      <w:r>
        <w:rPr>
          <w:rStyle w:val="FootnoteAnchor"/>
          <w:rtl w:val="true"/>
        </w:rPr>
        <w:footnoteReference w:id="2061"/>
      </w:r>
      <w:r>
        <w:rPr>
          <w:rFonts w:ascii="Amiri" w:hAnsi="Amiri" w:eastAsia="Amiri" w:cs="Amiri"/>
          <w:color w:val="111111"/>
          <w:sz w:val="28"/>
          <w:sz w:val="28"/>
          <w:szCs w:val="28"/>
          <w:rtl w:val="true"/>
          <w:lang w:bidi="ar-SA"/>
        </w:rPr>
        <w:t>؛ لأنّه هو المترجم، و جملة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أخوه الحسن یکنّی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معترضة،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عقدة وثّقه،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 کان أوثق من أخیه و أحمد عند أصحابنا</w:t>
      </w:r>
      <w:r>
        <w:rPr>
          <w:rFonts w:eastAsia="IRNazanin" w:cs="IRNazanin"/>
          <w:color w:val="111111"/>
          <w:sz w:val="28"/>
          <w:szCs w:val="28"/>
          <w:rtl w:val="true"/>
          <w:lang w:bidi="fa-IR"/>
        </w:rPr>
        <w:t>»</w:t>
      </w:r>
      <w:r>
        <w:rPr>
          <w:rStyle w:val="FootnoteAnchor"/>
          <w:rtl w:val="true"/>
        </w:rPr>
        <w:footnoteReference w:id="2062"/>
      </w:r>
      <w:r>
        <w:rPr>
          <w:rFonts w:ascii="IRNazanin" w:hAnsi="IRNazanin" w:eastAsia="IRNazanin"/>
          <w:color w:val="111111"/>
          <w:sz w:val="28"/>
          <w:sz w:val="28"/>
          <w:szCs w:val="28"/>
          <w:rtl w:val="true"/>
          <w:lang w:bidi="fa-IR"/>
        </w:rPr>
        <w:t xml:space="preserve">؛ لأنّ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تفضیل، فیدلّ علی أنّ الحسین موثّق و محمود أیضاً، غایة الأمر أنّ الحسن أوثق و أحمد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ظاهر قول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الحسن أخصّ بنا 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فیدلّ علی أنّ الحسین أیضاً خاصّ بنا و ولیّ لنا، و لکنّ الحسن أخصّ و أولی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حکی الوحید البهبهانی عن جدّه المجلسی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یظهر من روایاته کونه إمامیّاً، ثمّ قال الوحید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روایة الأجلّاء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سعد و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تؤمی إلیه و لو بواسطة منبّه بن عبد اللّه</w:t>
      </w:r>
      <w:r>
        <w:rPr>
          <w:rFonts w:eastAsia="IRNazanin" w:cs="IRNazanin"/>
          <w:color w:val="111111"/>
          <w:sz w:val="28"/>
          <w:szCs w:val="28"/>
          <w:rtl w:val="true"/>
          <w:lang w:bidi="fa-IR"/>
        </w:rPr>
        <w:t>»</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عمر بن خالد فقد وثّقه ابن فضّال، و حیث إنّ بنی فضّال موثّقون فتوثیقاتهم معتمدة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علیّ بن الحسین فهو من الجلالة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مناقشة فی الروایة بحسب السند، إلّا أنّها قاصرة الدلالة علی المراد؛ لاشتمالها علی حکایة فعل الإمام علیه السلام و لا دلالة فیه علی الوجوب</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الأدلّة المتقدِّمة تامّة، فتدلّ علی وجوب الدعاء فی الصلاة علی الطفل، بل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یقال بوجوب الدعاء المزبور فی صلاة الطفل المندوبة فضلاً عن الواجبة؛ لأنّ ندب الأصل لا ینافی وجوب الهیئة کالنافلة</w:t>
      </w:r>
      <w:r>
        <w:rPr>
          <w:rFonts w:eastAsia="IRNazanin" w:cs="IRNazanin"/>
          <w:color w:val="111111"/>
          <w:sz w:val="28"/>
          <w:szCs w:val="28"/>
          <w:rtl w:val="true"/>
          <w:lang w:bidi="fa-IR"/>
        </w:rPr>
        <w:t>»</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الأحوط المحافظة فی الدعاء علی مضمون روایة زید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لأبی الصلاح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طفلاً لمؤمن دعا لوالده أو لهما إن کانا کذلک</w:t>
      </w:r>
      <w:r>
        <w:rPr>
          <w:rFonts w:eastAsia="IRNazanin" w:cs="IRNazanin"/>
          <w:color w:val="111111"/>
          <w:sz w:val="28"/>
          <w:szCs w:val="28"/>
          <w:rtl w:val="true"/>
          <w:lang w:bidi="fa-IR"/>
        </w:rPr>
        <w:t>»</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الغنائم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إنّما یدعو لأبویه مع علمه بإیمانهما أو جهله بحالهما، و مع العلم بالکفر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کالمسبیّ إذا قلنا بتبعیّته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الدعاء بذلک،</w:t>
      </w:r>
      <w:bookmarkStart w:id="579" w:name="pg11755_255004"/>
    </w:p>
    <w:p>
      <w:pPr>
        <w:pStyle w:val="BookText"/>
        <w:rPr/>
      </w:pPr>
      <w:bookmarkEnd w:id="579"/>
      <w:r>
        <w:rPr>
          <w:rFonts w:ascii="IRNazanin" w:hAnsi="IRNazanin" w:eastAsia="IRNazanin"/>
          <w:color w:val="111111"/>
          <w:sz w:val="28"/>
          <w:sz w:val="28"/>
          <w:szCs w:val="28"/>
          <w:rtl w:val="true"/>
          <w:lang w:bidi="fa-IR"/>
        </w:rPr>
        <w:t>و لو کان أحدهما مسلماً خصّ الدعاء به</w:t>
      </w:r>
      <w:r>
        <w:rPr>
          <w:rFonts w:eastAsia="IRNazanin" w:cs="IRNazanin"/>
          <w:color w:val="111111"/>
          <w:sz w:val="28"/>
          <w:szCs w:val="28"/>
          <w:rtl w:val="true"/>
          <w:lang w:bidi="fa-IR"/>
        </w:rPr>
        <w:t>»</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0" w:name="__RefHeading___Toc9587686_73709187"/>
      <w:bookmarkStart w:id="581" w:name="_Toc217"/>
      <w:bookmarkEnd w:id="580"/>
      <w:r>
        <w:rPr>
          <w:rtl w:val="true"/>
        </w:rPr>
        <w:t>فرع</w:t>
      </w:r>
      <w:r>
        <w:rPr>
          <w:rtl w:val="true"/>
        </w:rPr>
        <w:t xml:space="preserve">: </w:t>
      </w:r>
      <w:r>
        <w:rPr>
          <w:rtl w:val="true"/>
        </w:rPr>
        <w:t>فی کیفیّة الدعاء فی الصلاة علی الطفل</w:t>
      </w:r>
      <w:bookmarkEnd w:id="581"/>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 أنّه لا یتعیّن دعاء معیّن</w:t>
      </w:r>
      <w:r>
        <w:rPr>
          <w:rFonts w:eastAsia="IRNazanin" w:cs="IRNazanin"/>
          <w:color w:val="111111"/>
          <w:sz w:val="28"/>
          <w:szCs w:val="28"/>
          <w:rtl w:val="true"/>
          <w:lang w:bidi="fa-IR"/>
        </w:rPr>
        <w:t>»</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لا نوقّت لفظاً بعینه، بل نوجب مدلول ما اشترکت فیه الروایات بأیّة عبارة کانت</w:t>
      </w:r>
      <w:r>
        <w:rPr>
          <w:rFonts w:eastAsia="IRNazanin" w:cs="IRNazanin"/>
          <w:color w:val="111111"/>
          <w:sz w:val="28"/>
          <w:szCs w:val="28"/>
          <w:rtl w:val="true"/>
          <w:lang w:bidi="fa-IR"/>
        </w:rPr>
        <w:t>»</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ذلک قول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الصلاة علی المیّت قراءة و لا دعاء موقّت تدعو بما بدا لک</w:t>
      </w:r>
      <w:r>
        <w:rPr>
          <w:rFonts w:eastAsia="IRNazanin" w:cs="IRNazanin"/>
          <w:color w:val="111111"/>
          <w:sz w:val="28"/>
          <w:szCs w:val="28"/>
          <w:rtl w:val="true"/>
          <w:lang w:bidi="fa-IR"/>
        </w:rPr>
        <w:t>»</w:t>
      </w:r>
      <w:r>
        <w:rPr>
          <w:rStyle w:val="FootnoteAnchor"/>
          <w:rtl w:val="true"/>
        </w:rPr>
        <w:footnoteReference w:id="2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تدعو بما بدا لک، و أحقّ الأموات أن یدعی له، و أن تبدأ بالصلاة علی النبیّ صلی الله علیه و آله</w:t>
      </w:r>
      <w:r>
        <w:rPr>
          <w:rFonts w:eastAsia="IRNazanin" w:cs="IRNazanin"/>
          <w:color w:val="111111"/>
          <w:sz w:val="28"/>
          <w:szCs w:val="28"/>
          <w:rtl w:val="true"/>
          <w:lang w:bidi="fa-IR"/>
        </w:rPr>
        <w:t>»</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2" w:name="__RefHeading___Toc9587688_73709187"/>
      <w:bookmarkStart w:id="583" w:name="_Toc218"/>
      <w:bookmarkEnd w:id="582"/>
      <w:r>
        <w:rPr>
          <w:rtl w:val="true"/>
        </w:rPr>
        <w:t>الصلاة علی الطفل المیّت عند مذاهب أهل السنّة</w:t>
      </w:r>
      <w:bookmarkEnd w:id="583"/>
    </w:p>
    <w:p>
      <w:pPr>
        <w:pStyle w:val="BookText"/>
        <w:rPr/>
      </w:pPr>
      <w:r>
        <w:rPr>
          <w:rFonts w:ascii="Amiri" w:hAnsi="Amiri" w:eastAsia="Amiri" w:cs="Amiri"/>
          <w:color w:val="111111"/>
          <w:sz w:val="28"/>
          <w:sz w:val="28"/>
          <w:szCs w:val="28"/>
          <w:rtl w:val="true"/>
          <w:lang w:bidi="ar-SA"/>
        </w:rPr>
        <w:t>إنّهم اتّفقوا علی أنّ الصلاة علی المیّت المسلم فرض علی الکفایة، ذکراً کان المیّت أو انثی، حرّاً کان أو عبداً، صغیراً أو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المولود إن خرج حیّاً أو حصل منه ما یدلّ علی حیاته من بکاء أو تحریک عضو أو طرف، أو غیر ذلک، فإنّه یلزم فیه ما یلزم فی البالغ، و أنّه یصلّی علیه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المنذر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 أهل العلم علی أنّ الطفل إذا عرفت حیاته و استهلّ‌</w:t>
      </w:r>
      <w:r>
        <w:rPr>
          <w:rStyle w:val="FootnoteAnchor"/>
          <w:rtl w:val="true"/>
        </w:rPr>
        <w:footnoteReference w:id="2072"/>
      </w:r>
    </w:p>
    <w:p>
      <w:pPr>
        <w:pStyle w:val="BookText"/>
        <w:rPr/>
      </w:pPr>
      <w:r>
        <w:rPr>
          <w:rFonts w:ascii="IRNazanin" w:hAnsi="IRNazanin" w:eastAsia="IRNazanin"/>
          <w:color w:val="111111"/>
          <w:sz w:val="28"/>
          <w:sz w:val="28"/>
          <w:szCs w:val="28"/>
          <w:rtl w:val="true"/>
          <w:lang w:bidi="fa-IR"/>
        </w:rPr>
        <w:t>یصلّی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المغنی</w:t>
      </w:r>
      <w:r>
        <w:rPr>
          <w:rStyle w:val="FootnoteAnchor"/>
          <w:rtl w:val="true"/>
        </w:rPr>
        <w:footnoteReference w:id="2073"/>
      </w:r>
      <w:r>
        <w:rPr>
          <w:rFonts w:ascii="IRNazanin" w:hAnsi="IRNazanin" w:eastAsia="IRNazanin"/>
          <w:color w:val="111111"/>
          <w:sz w:val="28"/>
          <w:sz w:val="28"/>
          <w:szCs w:val="28"/>
          <w:rtl w:val="true"/>
          <w:lang w:bidi="fa-IR"/>
        </w:rPr>
        <w:t>و غیره</w:t>
      </w:r>
      <w:r>
        <w:rPr>
          <w:rStyle w:val="FootnoteAnchor"/>
          <w:rtl w:val="true"/>
        </w:rPr>
        <w:footnoteReference w:id="2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یصلّی علیه حتّی یبلغ</w:t>
      </w:r>
      <w:r>
        <w:rPr>
          <w:rFonts w:eastAsia="IRNazanin" w:cs="IRNazanin"/>
          <w:color w:val="111111"/>
          <w:sz w:val="28"/>
          <w:szCs w:val="28"/>
          <w:rtl w:val="true"/>
          <w:lang w:bidi="fa-IR"/>
        </w:rPr>
        <w:t>»</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استدلّوا بما رواه جابر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الطفل لا یصلّی علیه و لا یرث و لا یورّث حتّی یستهل</w:t>
      </w:r>
      <w:r>
        <w:rPr>
          <w:rFonts w:eastAsia="IRNazanin" w:cs="IRNazanin"/>
          <w:color w:val="111111"/>
          <w:sz w:val="28"/>
          <w:szCs w:val="28"/>
          <w:rtl w:val="true"/>
          <w:lang w:bidi="fa-IR"/>
        </w:rPr>
        <w:t>»</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ابن ماجة فی سننه أیضاً عن جابر بن عبد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استهلّ الصبیّ صلّی علیه و ورث</w:t>
      </w:r>
      <w:r>
        <w:rPr>
          <w:rFonts w:eastAsia="IRNazanin" w:cs="IRNazanin"/>
          <w:color w:val="111111"/>
          <w:sz w:val="28"/>
          <w:szCs w:val="28"/>
          <w:rtl w:val="true"/>
          <w:lang w:bidi="fa-IR"/>
        </w:rPr>
        <w:t>»</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قد اضطرب الناس فیه، فرواه بعضهم عن أبی الزبیر، عن جابر، عن النبیّ صلی الله علیه و آله مرفوعاً، و روی أشعث بن سوار و غیر واحد عن أبی الزبیر عن جابر موقوفاً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 من الحدیث المرفوع</w:t>
      </w:r>
      <w:r>
        <w:rPr>
          <w:rFonts w:eastAsia="IRNazanin" w:cs="IRNazanin"/>
          <w:color w:val="111111"/>
          <w:sz w:val="28"/>
          <w:szCs w:val="28"/>
          <w:rtl w:val="true"/>
          <w:lang w:bidi="fa-IR"/>
        </w:rPr>
        <w:t>»</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إسناده ضعیف</w:t>
      </w:r>
      <w:r>
        <w:rPr>
          <w:rFonts w:eastAsia="IRNazanin" w:cs="IRNazanin"/>
          <w:color w:val="111111"/>
          <w:sz w:val="28"/>
          <w:szCs w:val="28"/>
          <w:rtl w:val="true"/>
          <w:lang w:bidi="fa-IR"/>
        </w:rPr>
        <w:t>»</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استهلّ بعد خروج بعضه، ثمّ مات قبل تمام انفصاله، فإن کان خرج أکثره فإنّه یصلّی علیه عند الحنفیّة</w:t>
      </w:r>
      <w:r>
        <w:rPr>
          <w:rStyle w:val="FootnoteAnchor"/>
          <w:rtl w:val="true"/>
        </w:rPr>
        <w:footnoteReference w:id="2080"/>
      </w:r>
      <w:r>
        <w:rPr>
          <w:rFonts w:ascii="Amiri" w:hAnsi="Amiri" w:eastAsia="Amiri" w:cs="Amiri"/>
          <w:color w:val="111111"/>
          <w:sz w:val="28"/>
          <w:sz w:val="28"/>
          <w:szCs w:val="28"/>
          <w:rtl w:val="true"/>
          <w:lang w:bidi="ar-SA"/>
        </w:rPr>
        <w:t>، و یصلّی علیه أیضاً عند الشافعیّة</w:t>
      </w:r>
    </w:p>
    <w:p>
      <w:pPr>
        <w:pStyle w:val="BookText"/>
        <w:rPr/>
      </w:pPr>
      <w:r>
        <w:rPr>
          <w:rFonts w:ascii="Amiri" w:hAnsi="Amiri" w:eastAsia="Amiri" w:cs="Amiri"/>
          <w:color w:val="111111"/>
          <w:sz w:val="28"/>
          <w:sz w:val="28"/>
          <w:szCs w:val="28"/>
          <w:rtl w:val="true"/>
          <w:lang w:bidi="ar-SA"/>
        </w:rPr>
        <w:t>إن تحرّک حرکة تدلّ علی الحیاة ثمّ مات</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أثر للاستهلال و عدمه فی غسل المیّت و الصلاة علیه عند الحنابلة؛ إذ یوجبون غسل السقط و الصلاة علیه إذا انزل لأربعة أشهر، سواء استهلّ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المغنی لابن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السقط إن لم یستهلّ،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له أربعة أشهر غُسِّل و 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روی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السقط یصلّی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یدعی لوالدیه بالمغفرة و الرحمة</w:t>
      </w:r>
      <w:r>
        <w:rPr>
          <w:rStyle w:val="FootnoteAnchor"/>
          <w:rtl w:val="true"/>
        </w:rPr>
        <w:footnoteReference w:id="2082"/>
      </w:r>
      <w:r>
        <w:rPr>
          <w:rFonts w:ascii="IRNazanin" w:hAnsi="IRNazanin" w:eastAsia="IRNazanin"/>
          <w:color w:val="111111"/>
          <w:sz w:val="28"/>
          <w:sz w:val="28"/>
          <w:szCs w:val="28"/>
          <w:rtl w:val="true"/>
          <w:lang w:bidi="fa-IR"/>
        </w:rPr>
        <w:t>،</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أصحاب النبیّ صلی الله علیه و آله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 الطفل و إن لم یستهلّ بعد أن یعلم أنّه خلق، و هو قول أحمد و إسحاق</w:t>
      </w:r>
      <w:r>
        <w:rPr>
          <w:rFonts w:eastAsia="IRNazanin" w:cs="IRNazanin"/>
          <w:color w:val="111111"/>
          <w:sz w:val="28"/>
          <w:szCs w:val="28"/>
          <w:rtl w:val="true"/>
          <w:lang w:bidi="fa-IR"/>
        </w:rPr>
        <w:t>»</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إن خرج میّتاً و لم یستهلّ فلا یصلّی علیه عند المالکیّة، قال ابن شاس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علی السقط الذی لم یستهلّ صارخاً، و لا دلّت أمارة علی حیاته</w:t>
      </w:r>
      <w:r>
        <w:rPr>
          <w:rFonts w:eastAsia="IRNazanin" w:cs="IRNazanin"/>
          <w:color w:val="111111"/>
          <w:sz w:val="28"/>
          <w:szCs w:val="28"/>
          <w:rtl w:val="true"/>
          <w:lang w:bidi="fa-IR"/>
        </w:rPr>
        <w:t>»</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أبو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اتّفقت الروایات علی أنّه لا یصلّی علی من ولد میّتاً</w:t>
      </w:r>
      <w:r>
        <w:rPr>
          <w:rFonts w:eastAsia="IRNazanin" w:cs="IRNazanin"/>
          <w:color w:val="111111"/>
          <w:sz w:val="28"/>
          <w:szCs w:val="28"/>
          <w:rtl w:val="true"/>
          <w:lang w:bidi="fa-IR"/>
        </w:rPr>
        <w:t>»</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أحکام الصغار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السقط لا یصلّی علیه بالاتّفاق</w:t>
      </w:r>
      <w:r>
        <w:rPr>
          <w:rFonts w:eastAsia="IRNazanin" w:cs="IRNazanin"/>
          <w:color w:val="111111"/>
          <w:sz w:val="28"/>
          <w:szCs w:val="28"/>
          <w:rtl w:val="true"/>
          <w:lang w:bidi="fa-IR"/>
        </w:rPr>
        <w:t>»</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bookmarkStart w:id="584" w:name="pg11755_255011"/>
    </w:p>
    <w:p>
      <w:pPr>
        <w:pStyle w:val="BookText"/>
        <w:rPr/>
      </w:pPr>
      <w:bookmarkEnd w:id="584"/>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 المولود میّتاً و لا یتیقّن حیاته باستهلال و غیره فینظر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الجنین لم یبلغ حدّاً ینفخ فیه الروح و هو أربعة أشهر لم یصلِّ علیه بلا خلاف، و إن بلغ أربعة أشهر فصاعداً یصلّی علیه فی القدیم، و لم یصلّ علیه فی الجدید</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5" w:name="__RefHeading___Toc9587690_73709187"/>
      <w:bookmarkStart w:id="586" w:name="_Toc219"/>
      <w:bookmarkEnd w:id="585"/>
      <w:r>
        <w:rPr>
          <w:rtl w:val="true"/>
        </w:rPr>
        <w:t>کیفیّة الدعاء فی الصلاة علی الطفل عندهم</w:t>
      </w:r>
      <w:bookmarkEnd w:id="586"/>
    </w:p>
    <w:p>
      <w:pPr>
        <w:pStyle w:val="BookText"/>
        <w:rPr/>
      </w:pPr>
      <w:r>
        <w:rPr>
          <w:rFonts w:ascii="Amiri" w:hAnsi="Amiri" w:eastAsia="Amiri" w:cs="Amiri"/>
          <w:color w:val="111111"/>
          <w:sz w:val="28"/>
          <w:sz w:val="28"/>
          <w:szCs w:val="28"/>
          <w:rtl w:val="true"/>
          <w:lang w:bidi="ar-SA"/>
        </w:rPr>
        <w:t>إن کان المیّت صغیراً فعن أبی حنیفة، ینبغی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لنا فرطاً، و اجعله لنا أجراً و ذخراً، اللّهمّ اجعله لنا شافعاً و مشفّعاً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الشوکانی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المیّت طفلاً استحبّ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لنا سلفاً و فرطاً و أجراً</w:t>
      </w:r>
      <w:r>
        <w:rPr>
          <w:rStyle w:val="FootnoteAnchor"/>
          <w:rtl w:val="true"/>
        </w:rPr>
        <w:footnoteReference w:id="2089"/>
      </w:r>
      <w:r>
        <w:rPr>
          <w:rFonts w:ascii="Amiri" w:hAnsi="Amiri" w:eastAsia="Amiri" w:cs="Amiri"/>
          <w:color w:val="111111"/>
          <w:sz w:val="28"/>
          <w:sz w:val="28"/>
          <w:szCs w:val="28"/>
          <w:rtl w:val="true"/>
          <w:lang w:bidi="ar-SA"/>
        </w:rPr>
        <w:t>، و صرّح الحنابلة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صغیراً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ذخراً لوالدیه</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البیان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فرطاً و ذخراً و أجراً، و یدعو لأبویه، فیقول اللّهمّ اجعله لهما سلفاً و ذخراً و فرطاً و غبطة و اعتباراً</w:t>
      </w:r>
      <w:r>
        <w:rPr>
          <w:rFonts w:eastAsia="Amiri" w:cs="Amiri" w:ascii="Amiri" w:hAnsi="Amiri"/>
          <w:color w:val="111111"/>
          <w:sz w:val="28"/>
          <w:szCs w:val="28"/>
          <w:rtl w:val="true"/>
          <w:lang w:bidi="ar-SA"/>
        </w:rPr>
        <w:t>»</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المذاهب الأربعة فی الدعاء للصغیر بهذه الصیغة، و اتّفقوا أیضاً فی أنّ هذا کلّه إذا کان یحسن ذلک، فإن کان لا یحسن یأتی بأیّ دعاء شاء</w:t>
      </w:r>
      <w:r>
        <w:rPr>
          <w:rFonts w:eastAsia="IRNazanin" w:cs="IRNazanin"/>
          <w:color w:val="111111"/>
          <w:sz w:val="28"/>
          <w:szCs w:val="28"/>
          <w:rtl w:val="true"/>
          <w:lang w:bidi="fa-IR"/>
        </w:rPr>
        <w:t>.</w:t>
      </w:r>
      <w:bookmarkStart w:id="587" w:name="pg11755_255013"/>
    </w:p>
    <w:p>
      <w:pPr>
        <w:pStyle w:val="Heading5"/>
        <w:numPr>
          <w:ilvl w:val="4"/>
          <w:numId w:val="1"/>
        </w:numPr>
        <w:rPr/>
      </w:pPr>
      <w:bookmarkStart w:id="588" w:name="__RefHeading___Toc9587692_73709187"/>
      <w:bookmarkStart w:id="589" w:name="_Toc220"/>
      <w:bookmarkEnd w:id="587"/>
      <w:bookmarkEnd w:id="588"/>
      <w:r>
        <w:rPr>
          <w:rtl w:val="true"/>
        </w:rPr>
        <w:t>المطلب الخامس</w:t>
      </w:r>
      <w:r>
        <w:rPr>
          <w:rtl w:val="true"/>
        </w:rPr>
        <w:t xml:space="preserve">: </w:t>
      </w:r>
      <w:r>
        <w:rPr>
          <w:rtl w:val="true"/>
        </w:rPr>
        <w:t>کیفیّة الاستئذان فی تجهیز المیّت إذا کان الولیّ صغیراً</w:t>
      </w:r>
      <w:bookmarkEnd w:id="589"/>
    </w:p>
    <w:p>
      <w:pPr>
        <w:pStyle w:val="Heading6"/>
        <w:numPr>
          <w:ilvl w:val="5"/>
          <w:numId w:val="1"/>
        </w:numPr>
        <w:rPr/>
      </w:pPr>
      <w:bookmarkStart w:id="590" w:name="__RefHeading___Toc9587694_73709187"/>
      <w:bookmarkStart w:id="591" w:name="_Toc221"/>
      <w:bookmarkEnd w:id="590"/>
      <w:r>
        <w:rPr>
          <w:rtl w:val="true"/>
        </w:rPr>
        <w:t>اشارة</w:t>
      </w:r>
      <w:bookmarkEnd w:id="591"/>
    </w:p>
    <w:p>
      <w:pPr>
        <w:pStyle w:val="BookText"/>
        <w:rPr/>
      </w:pPr>
      <w:r>
        <w:rPr>
          <w:rFonts w:ascii="IRNazanin" w:hAnsi="IRNazanin" w:eastAsia="IRNazanin"/>
          <w:color w:val="111111"/>
          <w:sz w:val="28"/>
          <w:sz w:val="28"/>
          <w:szCs w:val="28"/>
          <w:rtl w:val="true"/>
          <w:lang w:bidi="fa-IR"/>
        </w:rPr>
        <w:t>إذا کان أهل طبقة کلّهم صغاراً، فهل یسقط الاستئذان أو ینتقل إلی مرتبة 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بیانه یحتاج إلی تمهید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الأعمال المتعلّقة بتجهیز المیّت، من التوجیه إلی القبلة، و التغسیل و التکفین و التدفین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الاُمور واجب کفایة علی عامّة المکلّفین بلا خلاف کما فی الغنیة</w:t>
      </w:r>
      <w:r>
        <w:rPr>
          <w:rStyle w:val="FootnoteAnchor"/>
          <w:rtl w:val="true"/>
        </w:rPr>
        <w:footnoteReference w:id="2092"/>
      </w:r>
      <w:r>
        <w:rPr>
          <w:rFonts w:ascii="IRNazanin" w:hAnsi="IRNazanin" w:eastAsia="IRNazanin"/>
          <w:color w:val="111111"/>
          <w:sz w:val="28"/>
          <w:sz w:val="28"/>
          <w:szCs w:val="28"/>
          <w:rtl w:val="true"/>
          <w:lang w:bidi="fa-IR"/>
        </w:rPr>
        <w:t>، بل بإجماع العلماء کما فی التذکرة</w:t>
      </w:r>
      <w:r>
        <w:rPr>
          <w:rStyle w:val="FootnoteAnchor"/>
          <w:rtl w:val="true"/>
        </w:rPr>
        <w:footnoteReference w:id="2093"/>
      </w:r>
      <w:r>
        <w:rPr>
          <w:rFonts w:ascii="IRNazanin" w:hAnsi="IRNazanin" w:eastAsia="IRNazanin"/>
          <w:color w:val="111111"/>
          <w:sz w:val="28"/>
          <w:sz w:val="28"/>
          <w:szCs w:val="28"/>
          <w:rtl w:val="true"/>
          <w:lang w:bidi="fa-IR"/>
        </w:rPr>
        <w:t>، و علی مذهب أهل العلم کما فی المعتبر</w:t>
      </w:r>
      <w:r>
        <w:rPr>
          <w:rStyle w:val="FootnoteAnchor"/>
          <w:rtl w:val="true"/>
        </w:rPr>
        <w:footnoteReference w:id="2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صاحب الحدائق</w:t>
      </w:r>
      <w:r>
        <w:rPr>
          <w:rStyle w:val="FootnoteAnchor"/>
          <w:rtl w:val="true"/>
        </w:rPr>
        <w:footnoteReference w:id="2095"/>
      </w:r>
      <w:r>
        <w:rPr>
          <w:rFonts w:ascii="IRNazanin" w:hAnsi="IRNazanin" w:eastAsia="IRNazanin"/>
          <w:color w:val="111111"/>
          <w:sz w:val="28"/>
          <w:sz w:val="28"/>
          <w:szCs w:val="28"/>
          <w:rtl w:val="true"/>
          <w:lang w:bidi="fa-IR"/>
        </w:rPr>
        <w:t>فی ذلک لا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أولی الناس بالمیّت فی جمیع ذلک من هو أولی به بمیراثه، کما فی النهایة</w:t>
      </w:r>
      <w:r>
        <w:rPr>
          <w:rStyle w:val="FootnoteAnchor"/>
          <w:rtl w:val="true"/>
        </w:rPr>
        <w:footnoteReference w:id="2096"/>
      </w:r>
      <w:r>
        <w:rPr>
          <w:rFonts w:ascii="IRNazanin" w:hAnsi="IRNazanin" w:eastAsia="IRNazanin"/>
          <w:color w:val="111111"/>
          <w:sz w:val="28"/>
          <w:sz w:val="28"/>
          <w:szCs w:val="28"/>
          <w:rtl w:val="true"/>
          <w:lang w:bidi="fa-IR"/>
        </w:rPr>
        <w:t>و المبسوط‌</w:t>
      </w:r>
      <w:r>
        <w:rPr>
          <w:rStyle w:val="FootnoteAnchor"/>
          <w:rtl w:val="true"/>
        </w:rPr>
        <w:footnoteReference w:id="2097"/>
      </w:r>
      <w:r>
        <w:rPr>
          <w:rFonts w:ascii="Amiri" w:hAnsi="Amiri" w:eastAsia="Amiri" w:cs="Amiri"/>
          <w:color w:val="111111"/>
          <w:sz w:val="28"/>
          <w:sz w:val="28"/>
          <w:szCs w:val="28"/>
          <w:rtl w:val="true"/>
          <w:lang w:bidi="ar-SA"/>
        </w:rPr>
        <w:t>و المهذّب</w:t>
      </w:r>
      <w:r>
        <w:rPr>
          <w:rStyle w:val="FootnoteAnchor"/>
          <w:rtl w:val="true"/>
        </w:rPr>
        <w:footnoteReference w:id="2098"/>
      </w:r>
      <w:r>
        <w:rPr>
          <w:rFonts w:ascii="IRNazanin" w:hAnsi="IRNazanin" w:eastAsia="IRNazanin"/>
          <w:color w:val="111111"/>
          <w:sz w:val="28"/>
          <w:sz w:val="28"/>
          <w:szCs w:val="28"/>
          <w:rtl w:val="true"/>
          <w:lang w:bidi="fa-IR"/>
        </w:rPr>
        <w:t>و الوسیلة</w:t>
      </w:r>
      <w:r>
        <w:rPr>
          <w:rStyle w:val="FootnoteAnchor"/>
          <w:rtl w:val="true"/>
        </w:rPr>
        <w:footnoteReference w:id="2099"/>
      </w:r>
      <w:r>
        <w:rPr>
          <w:rFonts w:ascii="IRNazanin" w:hAnsi="IRNazanin" w:eastAsia="IRNazanin"/>
          <w:color w:val="111111"/>
          <w:sz w:val="28"/>
          <w:sz w:val="28"/>
          <w:szCs w:val="28"/>
          <w:rtl w:val="true"/>
          <w:lang w:bidi="fa-IR"/>
        </w:rPr>
        <w:t>و غیرها</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إجماعیّ‌</w:t>
      </w:r>
      <w:r>
        <w:rPr>
          <w:rStyle w:val="FootnoteAnchor"/>
          <w:rtl w:val="true"/>
        </w:rPr>
        <w:footnoteReference w:id="2101"/>
      </w:r>
      <w:r>
        <w:rPr>
          <w:rFonts w:ascii="IRNazanin" w:hAnsi="IRNazanin" w:eastAsia="IRNazanin"/>
          <w:color w:val="111111"/>
          <w:sz w:val="28"/>
          <w:sz w:val="28"/>
          <w:szCs w:val="28"/>
          <w:rtl w:val="true"/>
          <w:lang w:bidi="fa-IR"/>
        </w:rPr>
        <w:t>و کذا فی الخلاف</w:t>
      </w:r>
      <w:r>
        <w:rPr>
          <w:rStyle w:val="FootnoteAnchor"/>
          <w:rtl w:val="true"/>
        </w:rPr>
        <w:footnoteReference w:id="2102"/>
      </w:r>
      <w:r>
        <w:rPr>
          <w:rFonts w:ascii="IRNazanin" w:hAnsi="IRNazanin" w:eastAsia="IRNazanin"/>
          <w:color w:val="111111"/>
          <w:sz w:val="28"/>
          <w:sz w:val="28"/>
          <w:szCs w:val="28"/>
          <w:rtl w:val="true"/>
          <w:lang w:bidi="fa-IR"/>
        </w:rPr>
        <w:t>، و ظاهر المنتهی</w:t>
      </w:r>
    </w:p>
    <w:p>
      <w:pPr>
        <w:pStyle w:val="BookText"/>
        <w:rPr/>
      </w:pPr>
      <w:r>
        <w:rPr>
          <w:rFonts w:ascii="IRNazanin" w:hAnsi="IRNazanin" w:eastAsia="IRNazanin"/>
          <w:color w:val="111111"/>
          <w:sz w:val="28"/>
          <w:sz w:val="28"/>
          <w:szCs w:val="28"/>
          <w:rtl w:val="true"/>
          <w:lang w:bidi="fa-IR"/>
        </w:rPr>
        <w:t>الإجماع علی أنّ أولی الناس بالصلاة علی المیّت أولاهم به أو من قدّمه الولیّ‌</w:t>
      </w:r>
      <w:r>
        <w:rPr>
          <w:rStyle w:val="FootnoteAnchor"/>
          <w:rtl w:val="true"/>
        </w:rPr>
        <w:footnoteReference w:id="2103"/>
      </w:r>
      <w:r>
        <w:rPr>
          <w:rFonts w:ascii="IRNazanin" w:hAnsi="IRNazanin" w:eastAsia="IRNazanin"/>
          <w:color w:val="111111"/>
          <w:sz w:val="28"/>
          <w:sz w:val="28"/>
          <w:szCs w:val="28"/>
          <w:rtl w:val="true"/>
          <w:lang w:bidi="fa-IR"/>
        </w:rPr>
        <w:t>، و فی کشف اللثام نسبه إلی المشهور</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کلمات الأصحاب التی یحصل للفقیه من ملاحظتها القطع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هو مقتضی الأخبار المستفیضة</w:t>
      </w:r>
      <w:r>
        <w:rPr>
          <w:rStyle w:val="FootnoteAnchor"/>
          <w:rtl w:val="true"/>
        </w:rPr>
        <w:footnoteReference w:id="2105"/>
      </w:r>
      <w:r>
        <w:rPr>
          <w:rFonts w:ascii="Amiri" w:hAnsi="Amiri" w:eastAsia="Amiri" w:cs="Amiri"/>
          <w:color w:val="111111"/>
          <w:sz w:val="28"/>
          <w:sz w:val="28"/>
          <w:szCs w:val="28"/>
          <w:rtl w:val="true"/>
          <w:lang w:bidi="ar-SA"/>
        </w:rPr>
        <w:t>المنجبرة بالشهرة و الإجماع المحکی، و المعتضدة بظاهر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المتحصّل من تلک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مباشرة الأولیاء بهذه الأنفال حقّ لهم، و أنّه یعتبر فی جواز إتیان الغیر لها إذنهم فی ذلک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بتلک الأفعال واجب کفائی یشترک فیه الجمیع</w:t>
      </w:r>
      <w:r>
        <w:rPr>
          <w:rStyle w:val="FootnoteAnchor"/>
          <w:rtl w:val="true"/>
        </w:rPr>
        <w:footnoteReference w:id="2106"/>
      </w:r>
      <w:r>
        <w:rPr>
          <w:rFonts w:ascii="IRNazanin" w:hAnsi="IRNazanin" w:eastAsia="IRNazanin"/>
          <w:color w:val="111111"/>
          <w:sz w:val="28"/>
          <w:sz w:val="28"/>
          <w:szCs w:val="28"/>
          <w:rtl w:val="true"/>
          <w:lang w:bidi="fa-IR"/>
        </w:rPr>
        <w:t>، غایة الأمر کما روعی فیها حال المیّت من حیث الصلاة علیه و کفنه</w:t>
      </w:r>
    </w:p>
    <w:p>
      <w:pPr>
        <w:pStyle w:val="BookText"/>
        <w:rPr/>
      </w:pPr>
      <w:r>
        <w:rPr>
          <w:rFonts w:ascii="IRNazanin" w:hAnsi="IRNazanin" w:eastAsia="IRNazanin"/>
          <w:color w:val="111111"/>
          <w:sz w:val="28"/>
          <w:sz w:val="28"/>
          <w:szCs w:val="28"/>
          <w:rtl w:val="true"/>
          <w:lang w:bidi="fa-IR"/>
        </w:rPr>
        <w:t>و دفنه، کذلک روعی حال الولیّ و الوارث، فجعل الحقّ له فی المباشرة لتلک الاُمور أو الاستئذان منه؛ لأنّه کالتسلیة و التعزیة له؛ إذ لا یناسبه مزاحمة الغیر إیّاه فی الصلاة علی أبیه أو امّه مثلاً، أو تغسیله،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طبقات الأولیاء و مراتبها بترتیب الإرث، فالطبقة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الأبوان و 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مقدّمون علی الثانیة، و هم الإخوة و الأجداد، و الثانیة مقدّمة علی الثالثة، و هم الأعمام و الأخوال، و فی کلّ طبقة الذکور مقدّمون علی الإناث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علی غیر الولیّ الاستئذان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بیان هذه المقدّمة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أهل طبقة کلّهم صغاراً فلا یستحقّوا الولایة جزماً؛ لقصورهم عن الولایة عن أنفسهم، فکیف یجعلهم الشارع أولیاء فیما یتعلّق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انصراف الأدلّة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فهل تسقط الولایة رأساً، أو تنتقل إلی الطبقة المتأخِّرة، أو إلی الإناث، أو إلی الحاکم، أو إلی الوصیّ؟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تسقط رأساً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یستفاد ذلک من کلام بعضهم فی صورة غیبة الولیّ أو امتناعه من الإذن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مهما امتنع الولیّ من الصلاة و الإذن فالأقرب جواز الجماعة؛ لإطباق الناس علی صلاة الجنازة جماعة من عهد النبیّ صلی الله علیه و آله إلی الآن، و هو یدلّ علی شدّة الاهتمام، فلا یزول هذا المهمّ</w:t>
      </w:r>
    </w:p>
    <w:p>
      <w:pPr>
        <w:pStyle w:val="BookText"/>
        <w:rPr/>
      </w:pPr>
      <w:r>
        <w:rPr>
          <w:rFonts w:ascii="IRNazanin" w:hAnsi="IRNazanin" w:eastAsia="IRNazanin"/>
          <w:color w:val="111111"/>
          <w:sz w:val="28"/>
          <w:sz w:val="28"/>
          <w:szCs w:val="28"/>
          <w:rtl w:val="true"/>
          <w:lang w:bidi="fa-IR"/>
        </w:rPr>
        <w:t>بترک إذنه</w:t>
      </w:r>
      <w:r>
        <w:rPr>
          <w:rFonts w:eastAsia="IRNazanin" w:cs="IRNazanin"/>
          <w:color w:val="111111"/>
          <w:sz w:val="28"/>
          <w:szCs w:val="28"/>
          <w:rtl w:val="true"/>
          <w:lang w:bidi="fa-IR"/>
        </w:rPr>
        <w:t>»</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غاب الولیّ جاز للحاضرین الصلاة بجماعة، و کذا لو امتنع من الإذن و لم یصلّ أو لم یصلح للإمامة</w:t>
      </w:r>
      <w:r>
        <w:rPr>
          <w:rFonts w:eastAsia="IRNazanin" w:cs="IRNazanin"/>
          <w:color w:val="111111"/>
          <w:sz w:val="28"/>
          <w:szCs w:val="28"/>
          <w:rtl w:val="true"/>
          <w:lang w:bidi="fa-IR"/>
        </w:rPr>
        <w:t>»</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تنتقل حینئذ الولایة إلی غیره من الأرحام أو إلی حاکم الشرع، و مع عدمه فإلی المسلمین، أو أنّها تسقط؛ للأصل مع عدم ثبوت المستند؟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لو کان غائباً أو طفلاً أو مجنوناً حتّی فی احتمال 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قوّی احتمال السقوط، و علّله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الولایة هنا لیست من قبیل الحقوق المالیّة حتّی یلاحظ فیه الترتیب المذکور، سیّما مع عدم إشارة فی شیء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السیرة العظیمة فی سائر الأمصار علی عدم الالتزام فی شیء من ذلک</w:t>
      </w:r>
      <w:r>
        <w:rPr>
          <w:rFonts w:eastAsia="IRNazanin" w:cs="IRNazanin"/>
          <w:color w:val="111111"/>
          <w:sz w:val="28"/>
          <w:szCs w:val="28"/>
          <w:rtl w:val="true"/>
          <w:lang w:bidi="fa-IR"/>
        </w:rPr>
        <w:t>»</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التنقیح أنّ الصلاة علی المیّت و تغسیله و تکفینه و دفنه من الاُمور الحسبیّة التی لا حاجة إلی إذن الحاکم؛ لأنّ مقتضی إطلاق أدلّة وجوبها أنّها امور واجبة علی کلّ واحد من المکلّفین، أذن فیها الحاکم أم لم یأذن فیها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تقدیر عدم کونها مطلقة فمقتضی البراءة عدم اشتراطها بالإذن، و ذلک للعلم بتوجّه التکلیف بتلک إلی المکلّفین، و یشکّ فی أنّها مقیّدة بقید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إذن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فیها الاستئذان من الحاکم، أو أنّ وجوبها غیر مقیّد بذلک، و الأصل البراءة عن هذا الاشتراط و القید</w:t>
      </w:r>
      <w:r>
        <w:rPr>
          <w:rFonts w:eastAsia="IRNazanin" w:cs="IRNazanin"/>
          <w:color w:val="111111"/>
          <w:sz w:val="28"/>
          <w:szCs w:val="28"/>
          <w:rtl w:val="true"/>
          <w:lang w:bidi="fa-IR"/>
        </w:rPr>
        <w:t>»</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bookmarkStart w:id="592" w:name="pg11755_255021"/>
    </w:p>
    <w:p>
      <w:pPr>
        <w:pStyle w:val="BookText"/>
        <w:rPr/>
      </w:pPr>
      <w:bookmarkEnd w:id="592"/>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تنتقل الولایة إلی الإناث لو کانت موجودة فی تلک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الذکر صغیراً و الاُنثی کاملة فالأقرب أنّ الولایة لها؛ لأنّه لنقصه کالمعدوم</w:t>
      </w:r>
      <w:r>
        <w:rPr>
          <w:rFonts w:eastAsia="IRNazanin" w:cs="IRNazanin"/>
          <w:color w:val="111111"/>
          <w:sz w:val="28"/>
          <w:szCs w:val="28"/>
          <w:rtl w:val="true"/>
          <w:lang w:bidi="fa-IR"/>
        </w:rPr>
        <w:t>»</w:t>
      </w:r>
      <w:r>
        <w:rPr>
          <w:rStyle w:val="FootnoteAnchor"/>
          <w:rtl w:val="true"/>
        </w:rPr>
        <w:footnoteReference w:id="2111"/>
      </w:r>
      <w:r>
        <w:rPr>
          <w:rFonts w:ascii="IRNazanin" w:hAnsi="IRNazanin" w:eastAsia="IRNazanin"/>
          <w:color w:val="111111"/>
          <w:sz w:val="28"/>
          <w:sz w:val="28"/>
          <w:szCs w:val="28"/>
          <w:rtl w:val="true"/>
          <w:lang w:bidi="fa-IR"/>
        </w:rPr>
        <w:t>، و نفی عنه البعد فی جامع المقاصد، و قرّبه فی کشف اللثام</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المراد بالولیّ للمیّت و الأولی بالمیّت هو الأولی بالمیراث، کما یعلم ذلک من مطاوی کلام بعضهم</w:t>
      </w:r>
      <w:r>
        <w:rPr>
          <w:rStyle w:val="FootnoteAnchor"/>
          <w:rtl w:val="true"/>
        </w:rPr>
        <w:footnoteReference w:id="2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هو صریح کلمات جماعة اخری</w:t>
      </w:r>
      <w:r>
        <w:rPr>
          <w:rStyle w:val="FootnoteAnchor"/>
          <w:rtl w:val="true"/>
        </w:rPr>
        <w:footnoteReference w:id="2114"/>
      </w:r>
      <w:r>
        <w:rPr>
          <w:rFonts w:ascii="IRNazanin" w:hAnsi="IRNazanin" w:eastAsia="IRNazanin"/>
          <w:color w:val="111111"/>
          <w:sz w:val="28"/>
          <w:sz w:val="28"/>
          <w:szCs w:val="28"/>
          <w:rtl w:val="true"/>
          <w:lang w:bidi="fa-IR"/>
        </w:rPr>
        <w:t>، فیشمل ما إذا کان الأولی انثی، کما ذهب إلیه بعضهم، بل فی التحریر</w:t>
      </w:r>
      <w:r>
        <w:rPr>
          <w:rStyle w:val="FootnoteAnchor"/>
          <w:rtl w:val="true"/>
        </w:rPr>
        <w:footnoteReference w:id="2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أن تؤمّ بمثلها</w:t>
      </w:r>
      <w:r>
        <w:rPr>
          <w:rFonts w:eastAsia="Amiri" w:cs="Amiri" w:ascii="Amiri" w:hAnsi="Amiri"/>
          <w:color w:val="111111"/>
          <w:sz w:val="28"/>
          <w:szCs w:val="28"/>
          <w:rtl w:val="true"/>
          <w:lang w:bidi="ar-SA"/>
        </w:rPr>
        <w:t>»</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 فی طبقةٍ ذکورٌ فالولایة للإناث</w:t>
      </w:r>
      <w:r>
        <w:rPr>
          <w:rFonts w:eastAsia="IRNazanin" w:cs="IRNazanin"/>
          <w:color w:val="111111"/>
          <w:sz w:val="28"/>
          <w:szCs w:val="28"/>
          <w:rtl w:val="true"/>
          <w:lang w:bidi="fa-IR"/>
        </w:rPr>
        <w:t>»</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3" w:name="__RefHeading___Toc9587696_73709187"/>
      <w:bookmarkStart w:id="594" w:name="_Toc222"/>
      <w:bookmarkEnd w:id="593"/>
      <w:r>
        <w:rPr>
          <w:rtl w:val="true"/>
        </w:rPr>
        <w:t>أدلّة أولویّة الإناث بتجهیز المیّت</w:t>
      </w:r>
      <w:bookmarkEnd w:id="59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لولایة الإناث علی تجهیز المیّت فی صورة فقد الذکور البالغین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أنّهنّ أولی بالمیراث، فمقتضی القاعدة أنّ الإناث أولی بتجهیز المیّت، فإمّا أن یباشرن بأنفسهنّ لتلک الأعمال، أو یأذن للغیر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مقتضی ظاهر الآیة، 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تؤمّ النساء؟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علی المیّت إذا لم یکن أحد أولی منها</w:t>
      </w:r>
      <w:r>
        <w:rPr>
          <w:rFonts w:eastAsia="IRNazanin" w:cs="IRNazanin"/>
          <w:color w:val="111111"/>
          <w:sz w:val="28"/>
          <w:szCs w:val="28"/>
          <w:rtl w:val="true"/>
          <w:lang w:bidi="fa-IR"/>
        </w:rPr>
        <w:t>»</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الذکور لقصورهم کالمعدومین، فیکون الحال کما لو لم یکن فی الطبقة إلّا الإناث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کلّه قال الشیخ فی 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أولی الناس بالصلاة علی المیّت أولاهم بمیراثه من الذکور</w:t>
      </w:r>
      <w:r>
        <w:rPr>
          <w:rFonts w:eastAsia="IRNazanin" w:cs="IRNazanin"/>
          <w:color w:val="111111"/>
          <w:sz w:val="28"/>
          <w:szCs w:val="28"/>
          <w:rtl w:val="true"/>
          <w:lang w:bidi="fa-IR"/>
        </w:rPr>
        <w:t>»</w:t>
      </w:r>
      <w:r>
        <w:rPr>
          <w:rStyle w:val="FootnoteAnchor"/>
          <w:rtl w:val="true"/>
        </w:rPr>
        <w:footnoteReference w:id="2119"/>
      </w:r>
      <w:r>
        <w:rPr>
          <w:rFonts w:ascii="IRNazanin" w:hAnsi="IRNazanin" w:eastAsia="IRNazanin"/>
          <w:color w:val="111111"/>
          <w:sz w:val="28"/>
          <w:sz w:val="28"/>
          <w:szCs w:val="28"/>
          <w:rtl w:val="true"/>
          <w:lang w:bidi="fa-IR"/>
        </w:rPr>
        <w:t>، فقیّد ذلک بالرجال، و کذلک فی الجامع للشرائع</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أولی الناس بالصلاة علی المیّت من أهل بیته أولاهم به من الرجال، و له التقدّم فی الصلاة علیه بنفسه، و له تقدیم غیره</w:t>
      </w:r>
      <w:r>
        <w:rPr>
          <w:rFonts w:eastAsia="IRNazanin" w:cs="IRNazanin"/>
          <w:color w:val="111111"/>
          <w:sz w:val="28"/>
          <w:szCs w:val="28"/>
          <w:rtl w:val="true"/>
          <w:lang w:bidi="fa-IR"/>
        </w:rPr>
        <w:t>»</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یشعر بذلک ظاهر النهایة أیضاً،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حضر القوم للصلاة علیه فلیتقدّم أولی الناس به، أو من یأمره الولیّ بذلک</w:t>
      </w:r>
      <w:r>
        <w:rPr>
          <w:rFonts w:eastAsia="IRNazanin" w:cs="IRNazanin"/>
          <w:color w:val="111111"/>
          <w:sz w:val="28"/>
          <w:szCs w:val="28"/>
          <w:rtl w:val="true"/>
          <w:lang w:bidi="fa-IR"/>
        </w:rPr>
        <w:t>»</w:t>
      </w:r>
      <w:r>
        <w:rPr>
          <w:rStyle w:val="FootnoteAnchor"/>
          <w:rtl w:val="true"/>
        </w:rPr>
        <w:footnoteReference w:id="2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ما فی المراسم</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تنتقل الولایة إلی الطبقة المتأخّرة؛ لأنّ وجود الأقرب إلی المیّت بعد فرض عدم أهلیّته للولایة، لا یصلح للمانعیّة من استحقاق القریب لهذا الحقّ فهو أولی بالتولیة ممّن عداه من الأجانب، فتعمّه الأدلّة، کما فی مصباح الفقیه</w:t>
      </w:r>
      <w:r>
        <w:rPr>
          <w:rStyle w:val="FootnoteAnchor"/>
          <w:rtl w:val="true"/>
        </w:rPr>
        <w:footnoteReference w:id="2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قوّاه فی العروة</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الولایة ثابتة للصغیر؛ لعموم آیة اولی الأرحام، و أنّه أولی بالإرث، فیکون أولی بالتجهیز، و حیث إنّه قاصر أو غائبٌ یرجع إلی ولیّه، من الولیّ أو الحاکم، و الأقرب هو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 بانصراف الأدلّة عن الصبیّ، و أنّ العاجز عن تولّی اموره کیف یجعل ولیّاً لاُمور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القول بولایته، و یتولّاه ولیّه من الحاکم أو الوصیّ؛ لأنّ ذلک متوقّف علی ثبوت الولایة للقاصر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انصراف الدلیل عنه لا ولایة له حتّی تصل النوبة إلی ولایة الوصیّ و الحاکم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 الولایة من الحقوق المتقوّمة بنفس صاحب الحقّ، فیتعذّر استیفاؤه بولایة الغیر</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فی 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الانصراف ممنوع، و إطلاق الأدلّة تامّ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کون الولایة من الحقوق المتقوّمة بنفس الولیّ، بحیث لا یمکن استیفاؤه بولایة الغیر ممنوع، فالأقوی الاستئذان من ولیّ الذکور، و الأحوط الرجوع</w:t>
      </w:r>
      <w:bookmarkStart w:id="595" w:name="pg11755_255028"/>
    </w:p>
    <w:p>
      <w:pPr>
        <w:pStyle w:val="BookText"/>
        <w:rPr/>
      </w:pPr>
      <w:bookmarkEnd w:id="595"/>
      <w:r>
        <w:rPr>
          <w:rFonts w:ascii="IRNazanin" w:hAnsi="IRNazanin" w:eastAsia="IRNazanin"/>
          <w:color w:val="111111"/>
          <w:sz w:val="28"/>
          <w:sz w:val="28"/>
          <w:szCs w:val="28"/>
          <w:rtl w:val="true"/>
          <w:lang w:bidi="fa-IR"/>
        </w:rPr>
        <w:t>إلی الإناث أیضاً</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هی الوجوه التی ذکرت فی المسألة، و لکن الاحتیاط الاستئذان من الحاکم؛ لاحتمال کون المورد من موارد الحسبة، و الأحوط منه الجمع بین إذن الحاکم و الوصیّ و المرتبة المتأخّرة و الإناث؛ للعلم الإجمالی بوجود من یجب الاستئذان منه فی البین، مع عدم حجّة معتبرة علی تعیّنه و عدم مرجّح لاحتمالات الباب بعضها علی بعض، فیجب الاحتیاط لا محالة، کما فی تعلیقة بعض الأعلام</w:t>
      </w:r>
      <w:r>
        <w:rPr>
          <w:rStyle w:val="FootnoteAnchor"/>
          <w:rtl w:val="true"/>
        </w:rPr>
        <w:footnoteReference w:id="2128"/>
      </w:r>
      <w:r>
        <w:rPr>
          <w:rFonts w:ascii="IRNazanin" w:hAnsi="IRNazanin" w:eastAsia="IRNazanin"/>
          <w:color w:val="111111"/>
          <w:sz w:val="28"/>
          <w:sz w:val="28"/>
          <w:szCs w:val="28"/>
          <w:rtl w:val="true"/>
          <w:lang w:bidi="fa-IR"/>
        </w:rPr>
        <w:t>علی العروة، و اختاره فی مهذّب الأحکام</w:t>
      </w:r>
      <w:r>
        <w:rPr>
          <w:rStyle w:val="FootnoteAnchor"/>
          <w:rtl w:val="true"/>
        </w:rPr>
        <w:footnoteReference w:id="2129"/>
      </w:r>
      <w:r>
        <w:rPr>
          <w:rFonts w:ascii="IRNazanin" w:hAnsi="IRNazanin" w:eastAsia="IRNazanin"/>
          <w:color w:val="111111"/>
          <w:sz w:val="28"/>
          <w:sz w:val="28"/>
          <w:szCs w:val="28"/>
          <w:rtl w:val="true"/>
          <w:lang w:bidi="fa-IR"/>
        </w:rPr>
        <w:t>و غیرها</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6" w:name="__RefHeading___Toc9587698_73709187"/>
      <w:bookmarkStart w:id="597" w:name="_Toc223"/>
      <w:bookmarkEnd w:id="596"/>
      <w:r>
        <w:rPr>
          <w:rtl w:val="true"/>
        </w:rPr>
        <w:t>قول بعض أهل السنّة فی المسألة</w:t>
      </w:r>
      <w:bookmarkEnd w:id="597"/>
    </w:p>
    <w:p>
      <w:pPr>
        <w:pStyle w:val="BookText"/>
        <w:rPr/>
      </w:pPr>
      <w:r>
        <w:rPr>
          <w:rFonts w:ascii="IRNazanin" w:hAnsi="IRNazanin" w:eastAsia="IRNazanin"/>
          <w:color w:val="111111"/>
          <w:sz w:val="28"/>
          <w:sz w:val="28"/>
          <w:szCs w:val="28"/>
          <w:rtl w:val="true"/>
          <w:lang w:bidi="fa-IR"/>
        </w:rPr>
        <w:t>صرّح عدّة من فقهاء الحنفیّة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المراد بالولیّ فی باب صلاة المیّت الذکر المکلّف، فلا حقّ للصغیر و لا المعتوه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الولیّ، أی ولیّ المیّت الذکر البالغ العاقل، فلا ولایة لامرأة و صبیّ و معتوه</w:t>
      </w:r>
      <w:r>
        <w:rPr>
          <w:rFonts w:eastAsia="IRNazanin" w:cs="IRNazanin"/>
          <w:color w:val="111111"/>
          <w:sz w:val="28"/>
          <w:szCs w:val="28"/>
          <w:rtl w:val="true"/>
          <w:lang w:bidi="fa-IR"/>
        </w:rPr>
        <w:t>»</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حقّ للنساء و الصغار و المجانین فی التقدیم؛ لانعدام ولایة التقدّم</w:t>
      </w:r>
      <w:r>
        <w:rPr>
          <w:rFonts w:eastAsia="IRNazanin" w:cs="IRNazanin"/>
          <w:color w:val="111111"/>
          <w:sz w:val="28"/>
          <w:szCs w:val="28"/>
          <w:rtl w:val="true"/>
          <w:lang w:bidi="fa-IR"/>
        </w:rPr>
        <w:t>»</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أحکام الصغار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حقّ للنساء و الصبیان و المجانین فی الصلاة</w:t>
      </w:r>
      <w:bookmarkStart w:id="598" w:name="pg11755_255030"/>
    </w:p>
    <w:p>
      <w:pPr>
        <w:pStyle w:val="BookText"/>
        <w:rPr/>
      </w:pPr>
      <w:bookmarkEnd w:id="598"/>
      <w:r>
        <w:rPr>
          <w:rFonts w:ascii="IRNazanin" w:hAnsi="IRNazanin" w:eastAsia="IRNazanin"/>
          <w:color w:val="111111"/>
          <w:sz w:val="28"/>
          <w:sz w:val="28"/>
          <w:szCs w:val="28"/>
          <w:rtl w:val="true"/>
          <w:lang w:bidi="fa-IR"/>
        </w:rPr>
        <w:t>علی المیّت، و علّله فی شرح المختصر،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الصغار فلأنّه لا فرض علیهم، فلا معنی لتعلّق الولایة بهم، و أمّا النساء فلسن من أهل الولایة لهذه الصّلاة، فلا یعتدّ بهنّ فیها</w:t>
      </w:r>
      <w:r>
        <w:rPr>
          <w:rFonts w:eastAsia="IRNazanin" w:cs="IRNazanin"/>
          <w:color w:val="111111"/>
          <w:sz w:val="28"/>
          <w:szCs w:val="28"/>
          <w:rtl w:val="true"/>
          <w:lang w:bidi="fa-IR"/>
        </w:rPr>
        <w:t>»</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 w:name="__RefHeading___Toc9587700_73709187"/>
      <w:bookmarkStart w:id="600" w:name="_Toc224"/>
      <w:bookmarkEnd w:id="599"/>
      <w:r>
        <w:rPr>
          <w:rtl w:val="true"/>
        </w:rPr>
        <w:t>المطلب السادس</w:t>
      </w:r>
      <w:r>
        <w:rPr>
          <w:rtl w:val="true"/>
        </w:rPr>
        <w:t xml:space="preserve">: </w:t>
      </w:r>
      <w:r>
        <w:rPr>
          <w:rtl w:val="true"/>
        </w:rPr>
        <w:t>حکم صلاة الصبیّ الممیّز علی المیّت</w:t>
      </w:r>
      <w:bookmarkEnd w:id="600"/>
    </w:p>
    <w:p>
      <w:pPr>
        <w:pStyle w:val="Heading6"/>
        <w:numPr>
          <w:ilvl w:val="5"/>
          <w:numId w:val="1"/>
        </w:numPr>
        <w:rPr/>
      </w:pPr>
      <w:bookmarkStart w:id="601" w:name="__RefHeading___Toc9587702_73709187"/>
      <w:bookmarkStart w:id="602" w:name="_Toc225"/>
      <w:bookmarkEnd w:id="601"/>
      <w:r>
        <w:rPr>
          <w:rtl w:val="true"/>
        </w:rPr>
        <w:t>اشارة</w:t>
      </w:r>
      <w:bookmarkEnd w:id="602"/>
    </w:p>
    <w:p>
      <w:pPr>
        <w:pStyle w:val="BookText"/>
        <w:rPr/>
      </w:pPr>
      <w:r>
        <w:rPr>
          <w:rFonts w:ascii="Amiri" w:hAnsi="Amiri" w:eastAsia="Amiri" w:cs="Amiri"/>
          <w:color w:val="111111"/>
          <w:sz w:val="28"/>
          <w:sz w:val="28"/>
          <w:szCs w:val="28"/>
          <w:rtl w:val="true"/>
          <w:lang w:bidi="ar-SA"/>
        </w:rPr>
        <w:t>صلاة الصبیّ الممیّز علی المیّت</w:t>
      </w:r>
    </w:p>
    <w:p>
      <w:pPr>
        <w:pStyle w:val="BookText"/>
        <w:rPr/>
      </w:pPr>
      <w:r>
        <w:rPr>
          <w:rFonts w:ascii="Amiri" w:hAnsi="Amiri" w:eastAsia="Amiri" w:cs="Amiri"/>
          <w:color w:val="111111"/>
          <w:sz w:val="28"/>
          <w:sz w:val="28"/>
          <w:szCs w:val="28"/>
          <w:rtl w:val="true"/>
          <w:lang w:bidi="ar-SA"/>
        </w:rPr>
        <w:t xml:space="preserve">صرّح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تعالی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یصحّ أن یصلّی الصبیّ الممیّز علی المیّت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أولی من المملوک فی الصلاة علی المیّت، و کذلک الذکر أولی من الاُنثی إذا کان ممّن یعقل الصلاة</w:t>
      </w:r>
      <w:r>
        <w:rPr>
          <w:rFonts w:eastAsia="IRNazanin" w:cs="IRNazanin"/>
          <w:color w:val="111111"/>
          <w:sz w:val="28"/>
          <w:szCs w:val="28"/>
          <w:rtl w:val="true"/>
          <w:lang w:bidi="fa-IR"/>
        </w:rPr>
        <w:t>»</w:t>
      </w:r>
      <w:r>
        <w:rPr>
          <w:rStyle w:val="FootnoteAnchor"/>
          <w:rtl w:val="true"/>
        </w:rPr>
        <w:footnoteReference w:id="2134"/>
      </w:r>
      <w:r>
        <w:rPr>
          <w:rFonts w:ascii="IRNazanin" w:hAnsi="IRNazanin" w:eastAsia="IRNazanin"/>
          <w:color w:val="111111"/>
          <w:sz w:val="28"/>
          <w:sz w:val="28"/>
          <w:szCs w:val="28"/>
          <w:rtl w:val="true"/>
          <w:lang w:bidi="fa-IR"/>
        </w:rPr>
        <w:t>، و تبعه ابن إدریس</w:t>
      </w:r>
      <w:r>
        <w:rPr>
          <w:rStyle w:val="FootnoteAnchor"/>
          <w:rtl w:val="true"/>
        </w:rPr>
        <w:footnoteReference w:id="2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صحّة صلاة الصبیّ الممیّز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کشف الغطاء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تصحّ من الممیّز و إن لم یکن مکلّفاً علی الأقوی</w:t>
      </w:r>
      <w:r>
        <w:rPr>
          <w:rFonts w:eastAsia="IRNazanin" w:cs="IRNazanin"/>
          <w:color w:val="111111"/>
          <w:sz w:val="28"/>
          <w:szCs w:val="28"/>
          <w:rtl w:val="true"/>
          <w:lang w:bidi="fa-IR"/>
        </w:rPr>
        <w:t>»</w:t>
      </w:r>
      <w:r>
        <w:rPr>
          <w:rStyle w:val="FootnoteAnchor"/>
          <w:rtl w:val="true"/>
        </w:rPr>
        <w:footnoteReference w:id="2136"/>
      </w:r>
      <w:r>
        <w:rPr>
          <w:rFonts w:ascii="IRNazanin" w:hAnsi="IRNazanin" w:eastAsia="IRNazanin"/>
          <w:color w:val="111111"/>
          <w:sz w:val="28"/>
          <w:sz w:val="28"/>
          <w:szCs w:val="28"/>
          <w:rtl w:val="true"/>
          <w:lang w:bidi="fa-IR"/>
        </w:rPr>
        <w:t>، و کذا فی العروة</w:t>
      </w:r>
      <w:r>
        <w:rPr>
          <w:rStyle w:val="FootnoteAnchor"/>
          <w:rtl w:val="true"/>
        </w:rPr>
        <w:footnoteReference w:id="2137"/>
      </w:r>
      <w:r>
        <w:rPr>
          <w:rFonts w:ascii="IRNazanin" w:hAnsi="IRNazanin" w:eastAsia="IRNazanin"/>
          <w:color w:val="111111"/>
          <w:sz w:val="28"/>
          <w:sz w:val="28"/>
          <w:szCs w:val="28"/>
          <w:rtl w:val="true"/>
          <w:lang w:bidi="fa-IR"/>
        </w:rPr>
        <w:t>و المستمسک</w:t>
      </w:r>
      <w:r>
        <w:rPr>
          <w:rStyle w:val="FootnoteAnchor"/>
          <w:rtl w:val="true"/>
        </w:rPr>
        <w:footnoteReference w:id="2138"/>
      </w:r>
      <w:r>
        <w:rPr>
          <w:rFonts w:ascii="IRNazanin" w:hAnsi="IRNazanin" w:eastAsia="IRNazanin"/>
          <w:color w:val="111111"/>
          <w:sz w:val="28"/>
          <w:sz w:val="28"/>
          <w:szCs w:val="28"/>
          <w:rtl w:val="true"/>
          <w:lang w:bidi="fa-IR"/>
        </w:rPr>
        <w:t>و التنقیح</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یعتبر فیه البلوغ علی الأقوی، فتصحّ صلاة الصبیّ الممیّز</w:t>
      </w:r>
      <w:r>
        <w:rPr>
          <w:rFonts w:eastAsia="IRNazanin" w:cs="IRNazanin"/>
          <w:color w:val="111111"/>
          <w:sz w:val="28"/>
          <w:szCs w:val="28"/>
          <w:rtl w:val="true"/>
          <w:lang w:bidi="fa-IR"/>
        </w:rPr>
        <w:t>»</w:t>
      </w:r>
      <w:r>
        <w:rPr>
          <w:rStyle w:val="FootnoteAnchor"/>
          <w:rtl w:val="true"/>
        </w:rPr>
        <w:footnoteReference w:id="2140"/>
      </w:r>
      <w:r>
        <w:rPr>
          <w:rFonts w:ascii="IRNazanin" w:hAnsi="IRNazanin" w:eastAsia="IRNazanin"/>
          <w:color w:val="111111"/>
          <w:sz w:val="28"/>
          <w:sz w:val="28"/>
          <w:szCs w:val="28"/>
          <w:rtl w:val="true"/>
          <w:lang w:bidi="fa-IR"/>
        </w:rPr>
        <w:t>، و به قال بعض آخر من أعلام العصر</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إشکال فی صحّة صلاة الصبیّ الممیّز علی المیّت علی القول بشرعیّة عباداته، کما هو الأقوی، و تقدّم البحث عنه</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وقع الخلاف فی أنّه هل تجزی صلاته عن البالغین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یسقط الفرض بصلاته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 کما یشعر بذلک ما تقدّم من کلام الشیخ فی المبسوط‌</w:t>
      </w:r>
      <w:r>
        <w:rPr>
          <w:rStyle w:val="FootnoteAnchor"/>
          <w:rtl w:val="true"/>
        </w:rPr>
        <w:footnoteReference w:id="2143"/>
      </w:r>
      <w:r>
        <w:rPr>
          <w:rFonts w:ascii="IRNazanin" w:hAnsi="IRNazanin" w:eastAsia="IRNazanin"/>
          <w:color w:val="111111"/>
          <w:sz w:val="28"/>
          <w:sz w:val="28"/>
          <w:szCs w:val="28"/>
          <w:rtl w:val="true"/>
          <w:lang w:bidi="fa-IR"/>
        </w:rPr>
        <w:t>، قال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یشعر بأنّ التمیّز کاف فی الإمامة</w:t>
      </w:r>
      <w:r>
        <w:rPr>
          <w:rFonts w:eastAsia="IRNazanin" w:cs="IRNazanin"/>
          <w:color w:val="111111"/>
          <w:sz w:val="28"/>
          <w:szCs w:val="28"/>
          <w:rtl w:val="true"/>
          <w:lang w:bidi="fa-IR"/>
        </w:rPr>
        <w:t>»</w:t>
      </w:r>
      <w:r>
        <w:rPr>
          <w:rStyle w:val="FootnoteAnchor"/>
          <w:rtl w:val="true"/>
        </w:rPr>
        <w:footnoteReference w:id="2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الحدائق</w:t>
      </w:r>
      <w:r>
        <w:rPr>
          <w:rStyle w:val="FootnoteAnchor"/>
          <w:rtl w:val="true"/>
        </w:rPr>
        <w:footnoteReference w:id="2145"/>
      </w:r>
      <w:r>
        <w:rPr>
          <w:rFonts w:ascii="IRNazanin" w:hAnsi="IRNazanin" w:eastAsia="IRNazanin"/>
          <w:color w:val="111111"/>
          <w:sz w:val="28"/>
          <w:sz w:val="28"/>
          <w:szCs w:val="28"/>
          <w:rtl w:val="true"/>
          <w:lang w:bidi="fa-IR"/>
        </w:rPr>
        <w:t>، و أفتی الشیخ بالإجزاء فی جماعة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المراهق إذا کان عاقلاً ممیّزاً یصلّی صلاة صحیحة جاز أن یکون إماماً</w:t>
      </w:r>
      <w:r>
        <w:rPr>
          <w:rFonts w:eastAsia="IRNazanin" w:cs="IRNazanin"/>
          <w:color w:val="111111"/>
          <w:sz w:val="28"/>
          <w:szCs w:val="28"/>
          <w:rtl w:val="true"/>
          <w:lang w:bidi="fa-IR"/>
        </w:rPr>
        <w:t>»</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للمراهق الممیّز العاقل أن یکون إماماً فی الفرائض و النوافل التی یجوز فیها صلاة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فإنّهم لا یختلفون فی أنّ من هذه صفته تلزمه الصلاة</w:t>
      </w:r>
      <w:r>
        <w:rPr>
          <w:rFonts w:eastAsia="IRNazanin" w:cs="IRNazanin"/>
          <w:color w:val="111111"/>
          <w:sz w:val="28"/>
          <w:szCs w:val="28"/>
          <w:rtl w:val="true"/>
          <w:lang w:bidi="fa-IR"/>
        </w:rPr>
        <w:t>»</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جاز أن یکون الممیّز إماماً فی صلاة الجنازة و غیرها جاز أن تکون صلاته مجزئة عن المکلّفین بطریق أولی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أفتی السیّد الیزدی فی العروة فی مسألة تغسیل الصبیّ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p>
    <w:p>
      <w:pPr>
        <w:pStyle w:val="BookText"/>
        <w:rPr/>
      </w:pPr>
      <w:r>
        <w:rPr>
          <w:rFonts w:ascii="IRNazanin" w:hAnsi="IRNazanin" w:eastAsia="IRNazanin"/>
          <w:color w:val="111111"/>
          <w:sz w:val="28"/>
          <w:sz w:val="28"/>
          <w:szCs w:val="28"/>
          <w:rtl w:val="true"/>
          <w:lang w:bidi="fa-IR"/>
        </w:rPr>
        <w:t>کفایته مع العلم بإتیانه علی الوجه الصحیح</w:t>
      </w:r>
      <w:r>
        <w:rPr>
          <w:rFonts w:eastAsia="IRNazanin" w:cs="IRNazanin"/>
          <w:color w:val="111111"/>
          <w:sz w:val="28"/>
          <w:szCs w:val="28"/>
          <w:rtl w:val="true"/>
          <w:lang w:bidi="fa-IR"/>
        </w:rPr>
        <w:t>»</w:t>
      </w:r>
      <w:r>
        <w:rPr>
          <w:rStyle w:val="FootnoteAnchor"/>
          <w:rtl w:val="true"/>
        </w:rPr>
        <w:footnoteReference w:id="2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کفایة تغسیل الصبیّ الممیّز إلّا أنّه استشکل فی المقام فی إجزائه عن البالغین</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عبادات الصبیّ شرعیّة کعبادات غیره، و لأجل ذلک کان الأقرب إجزاءها عن المکلّفین</w:t>
      </w:r>
      <w:r>
        <w:rPr>
          <w:rFonts w:eastAsia="IRNazanin" w:cs="IRNazanin"/>
          <w:color w:val="111111"/>
          <w:sz w:val="28"/>
          <w:szCs w:val="28"/>
          <w:rtl w:val="true"/>
          <w:lang w:bidi="fa-IR"/>
        </w:rPr>
        <w:t>»</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بعض الأعلام فی تعلیقاتهم علی العروة</w:t>
      </w:r>
      <w:r>
        <w:rPr>
          <w:rStyle w:val="FootnoteAnchor"/>
          <w:rtl w:val="true"/>
        </w:rPr>
        <w:footnoteReference w:id="2151"/>
      </w:r>
      <w:r>
        <w:rPr>
          <w:rFonts w:ascii="IRNazanin" w:hAnsi="IRNazanin" w:eastAsia="IRNazanin"/>
          <w:color w:val="111111"/>
          <w:sz w:val="28"/>
          <w:sz w:val="28"/>
          <w:szCs w:val="28"/>
          <w:rtl w:val="true"/>
          <w:lang w:bidi="fa-IR"/>
        </w:rPr>
        <w:t>، کما هو الظاهر من المهذّب أیضاً</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الحکم عندهم مبنی علی القول بشرعیّة عبادات الصبیّ، و لکن فی کفایة فعل الصبیّ الممیّز عن الغیر حتّی علی القول بشرعیّة عباداته إشکال، سنوضحه فی بیان أدلّة القول الثانی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الإجزاء، و هو ظاهر جماعة اخری من الأصحاب، فهم یرون عدم إجزاء صلاة الصبیّ الممیّز علی الجنازة عن البالغین، و هو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الصبیّ فلا یسقط الفرض بصلاته و إن کان ممیّزاً مراهقاً</w:t>
      </w:r>
      <w:r>
        <w:rPr>
          <w:rFonts w:eastAsia="IRNazanin" w:cs="IRNazanin"/>
          <w:color w:val="111111"/>
          <w:sz w:val="28"/>
          <w:szCs w:val="28"/>
          <w:rtl w:val="true"/>
          <w:lang w:bidi="fa-IR"/>
        </w:rPr>
        <w:t>»</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کلام الشهیدین الأوّل و الثانی فی الذکری‌</w:t>
      </w:r>
      <w:r>
        <w:rPr>
          <w:rStyle w:val="FootnoteAnchor"/>
          <w:rtl w:val="true"/>
        </w:rPr>
        <w:footnoteReference w:id="2154"/>
      </w:r>
      <w:r>
        <w:rPr>
          <w:rFonts w:ascii="IRNazanin" w:hAnsi="IRNazanin" w:eastAsia="IRNazanin"/>
          <w:color w:val="111111"/>
          <w:sz w:val="28"/>
          <w:sz w:val="28"/>
          <w:szCs w:val="28"/>
          <w:rtl w:val="true"/>
          <w:lang w:bidi="fa-IR"/>
        </w:rPr>
        <w:t>و الروض</w:t>
      </w:r>
      <w:r>
        <w:rPr>
          <w:rStyle w:val="FootnoteAnchor"/>
          <w:rtl w:val="true"/>
        </w:rPr>
        <w:footnoteReference w:id="2155"/>
      </w:r>
      <w:r>
        <w:rPr>
          <w:rFonts w:ascii="IRNazanin" w:hAnsi="IRNazanin" w:eastAsia="IRNazanin"/>
          <w:color w:val="111111"/>
          <w:sz w:val="28"/>
          <w:sz w:val="28"/>
          <w:szCs w:val="28"/>
          <w:rtl w:val="true"/>
          <w:lang w:bidi="fa-IR"/>
        </w:rPr>
        <w:t>مشعر بذلک،</w:t>
      </w:r>
      <w:bookmarkStart w:id="603" w:name="pg11755_255038"/>
    </w:p>
    <w:p>
      <w:pPr>
        <w:pStyle w:val="BookText"/>
        <w:rPr/>
      </w:pPr>
      <w:bookmarkEnd w:id="603"/>
      <w:r>
        <w:rPr>
          <w:rFonts w:ascii="IRNazanin" w:hAnsi="IRNazanin" w:eastAsia="IRNazanin"/>
          <w:color w:val="111111"/>
          <w:sz w:val="28"/>
          <w:sz w:val="28"/>
          <w:szCs w:val="28"/>
          <w:rtl w:val="true"/>
          <w:lang w:bidi="fa-IR"/>
        </w:rPr>
        <w:t>و کذا فی کشف اللثام</w:t>
      </w:r>
      <w:r>
        <w:rPr>
          <w:rStyle w:val="FootnoteAnchor"/>
          <w:rtl w:val="true"/>
        </w:rPr>
        <w:footnoteReference w:id="2156"/>
      </w:r>
      <w:r>
        <w:rPr>
          <w:rFonts w:ascii="IRNazanin" w:hAnsi="IRNazanin" w:eastAsia="IRNazanin"/>
          <w:color w:val="111111"/>
          <w:sz w:val="28"/>
          <w:sz w:val="28"/>
          <w:szCs w:val="28"/>
          <w:rtl w:val="true"/>
          <w:lang w:bidi="fa-IR"/>
        </w:rPr>
        <w:t>، و هو ظاهر المستند</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فی 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یسقط بفعله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الصبیّ الممیّز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الظاهری عن المکلّفین</w:t>
      </w:r>
      <w:r>
        <w:rPr>
          <w:rFonts w:eastAsia="IRNazanin" w:cs="IRNazanin"/>
          <w:color w:val="111111"/>
          <w:sz w:val="28"/>
          <w:szCs w:val="28"/>
          <w:rtl w:val="true"/>
          <w:lang w:bidi="fa-IR"/>
        </w:rPr>
        <w:t>»</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استشکل فی العروة</w:t>
      </w:r>
      <w:r>
        <w:rPr>
          <w:rStyle w:val="FootnoteAnchor"/>
          <w:rtl w:val="true"/>
        </w:rPr>
        <w:footnoteReference w:id="2159"/>
      </w:r>
      <w:r>
        <w:rPr>
          <w:rFonts w:ascii="IRNazanin" w:hAnsi="IRNazanin" w:eastAsia="IRNazanin"/>
          <w:color w:val="111111"/>
          <w:sz w:val="28"/>
          <w:sz w:val="28"/>
          <w:szCs w:val="28"/>
          <w:rtl w:val="true"/>
          <w:lang w:bidi="fa-IR"/>
        </w:rPr>
        <w:t>و کذا فی بعض التعلیقات علیها</w:t>
      </w:r>
      <w:r>
        <w:rPr>
          <w:rStyle w:val="FootnoteAnchor"/>
          <w:rtl w:val="true"/>
        </w:rPr>
        <w:footnoteReference w:id="2160"/>
      </w:r>
      <w:r>
        <w:rPr>
          <w:rFonts w:ascii="IRNazanin" w:hAnsi="IRNazanin" w:eastAsia="IRNazanin"/>
          <w:color w:val="111111"/>
          <w:sz w:val="28"/>
          <w:sz w:val="28"/>
          <w:szCs w:val="28"/>
          <w:rtl w:val="true"/>
          <w:lang w:bidi="fa-IR"/>
        </w:rPr>
        <w:t>، و اختاره السیّد الخوئی</w:t>
      </w:r>
      <w:r>
        <w:rPr>
          <w:rStyle w:val="FootnoteAnchor"/>
          <w:rtl w:val="true"/>
        </w:rPr>
        <w:footnoteReference w:id="2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الفاضل اللنکرانی</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إجزائها عن المکلّفین البالغین تأمّل</w:t>
      </w:r>
      <w:r>
        <w:rPr>
          <w:rFonts w:eastAsia="IRNazanin" w:cs="IRNazanin"/>
          <w:color w:val="111111"/>
          <w:sz w:val="28"/>
          <w:szCs w:val="28"/>
          <w:rtl w:val="true"/>
          <w:lang w:bidi="fa-IR"/>
        </w:rPr>
        <w:t>»</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4" w:name="__RefHeading___Toc9587704_73709187"/>
      <w:bookmarkStart w:id="605" w:name="_Toc226"/>
      <w:bookmarkEnd w:id="604"/>
      <w:r>
        <w:rPr>
          <w:rtl w:val="true"/>
        </w:rPr>
        <w:t>أدلّة هذا الحکم</w:t>
      </w:r>
      <w:bookmarkEnd w:id="605"/>
    </w:p>
    <w:p>
      <w:pPr>
        <w:pStyle w:val="BookText"/>
        <w:rPr/>
      </w:pPr>
      <w:r>
        <w:rPr>
          <w:rFonts w:ascii="IRNazanin" w:hAnsi="IRNazanin" w:eastAsia="IRNazanin"/>
          <w:color w:val="111111"/>
          <w:sz w:val="28"/>
          <w:sz w:val="28"/>
          <w:szCs w:val="28"/>
          <w:rtl w:val="true"/>
          <w:lang w:bidi="fa-IR"/>
        </w:rPr>
        <w:t>و یمکن أن یستدلّ للحکم المذکور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المذکور فی الأخبار أنّه یصلّی الأولی بالمیّت أو الولیّ، أو یأمر من یحبّ، و ظاهرٌ أنّ الصغیر و المجنون لا یصلحان لتعلّق هذا الحکم، فهما خارجان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و إن کانا أولی بالمیّت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یقدّمان فی 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یصلحان للحکم</w:t>
      </w:r>
      <w:r>
        <w:rPr>
          <w:rFonts w:eastAsia="IRNazanin" w:cs="IRNazanin"/>
          <w:color w:val="111111"/>
          <w:sz w:val="28"/>
          <w:szCs w:val="28"/>
          <w:rtl w:val="true"/>
          <w:lang w:bidi="fa-IR"/>
        </w:rPr>
        <w:t>»</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یحتمل انصراف الأدلّة عن صلاة الصبیّ الممیّز</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سیأتی</w:t>
      </w:r>
      <w:r>
        <w:rPr>
          <w:rStyle w:val="FootnoteAnchor"/>
          <w:rtl w:val="true"/>
        </w:rPr>
        <w:footnoteReference w:id="2166"/>
      </w:r>
      <w:r>
        <w:rPr>
          <w:rFonts w:ascii="IRNazanin" w:hAnsi="IRNazanin" w:eastAsia="IRNazanin"/>
          <w:color w:val="111111"/>
          <w:sz w:val="28"/>
          <w:sz w:val="28"/>
          <w:szCs w:val="28"/>
          <w:rtl w:val="true"/>
          <w:lang w:bidi="fa-IR"/>
        </w:rPr>
        <w:t>فی البحث عن مشروعیّة عبادات الصبیّ أنّ إطلاقات الأدلّة و عمومها تشمل الصبیّ، إلّا أنّ حدیث الرفع یرفع الإلزام عنه، و تبقی مطلوبیّة الحکم للصبیّ، فیمکن أن نحکم باستحبابه له بنفس تلک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صرّح به المحقّق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تغسیل الصبیّ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کفایة الصبیّ الممیّز عن فعل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علی الشرعیّة</w:t>
      </w:r>
      <w:r>
        <w:rPr>
          <w:rStyle w:val="FootnoteAnchor"/>
          <w:rtl w:val="true"/>
        </w:rPr>
        <w:footnoteReference w:id="2167"/>
      </w:r>
      <w:r>
        <w:rPr>
          <w:rFonts w:ascii="IRNazanin" w:hAnsi="IRNazanin" w:eastAsia="IRNazanin"/>
          <w:color w:val="111111"/>
          <w:sz w:val="28"/>
          <w:sz w:val="28"/>
          <w:szCs w:val="28"/>
          <w:rtl w:val="true"/>
          <w:lang w:bidi="fa-IR"/>
        </w:rPr>
        <w:t xml:space="preserve">علی الوجه المختار من مبنی الأمر بالأمر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إشکال؛ للشکّ فی وفائه بالغرض المأمور بتحصیله البالغون کفایة</w:t>
      </w:r>
      <w:r>
        <w:rPr>
          <w:rFonts w:eastAsia="IRNazanin" w:cs="IRNazanin"/>
          <w:color w:val="111111"/>
          <w:sz w:val="28"/>
          <w:szCs w:val="28"/>
          <w:rtl w:val="true"/>
          <w:lang w:bidi="fa-IR"/>
        </w:rPr>
        <w:t>»</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دلّ علی مشروعیّة عبادات الصبیّ لا یدلّ علی کونها مجزئة عن المکلّفین، بل مقتضی إطلاق الدلیل، وجوبها علیهم أتی بها الصبیّ أم لم یأت بها، و علی تقدیر عدم الإطلاق فی البین فمقتضی قاعدة الاشتغال عدم جواز الاکتفاء بعمل الصبیّ</w:t>
      </w:r>
      <w:r>
        <w:rPr>
          <w:rFonts w:eastAsia="IRNazanin" w:cs="IRNazanin"/>
          <w:color w:val="111111"/>
          <w:sz w:val="28"/>
          <w:szCs w:val="28"/>
          <w:rtl w:val="true"/>
          <w:lang w:bidi="fa-IR"/>
        </w:rPr>
        <w:t>»</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القول بشرعیّة عبادات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یصدق علی إتیانه الإطاعة و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یدّعی أنّه یحصل بفعله الغرض، و یرفع موضوع الوجوب عن البالغین؛ لأنّ الوجوب کفائی، و بعد الامتثال لا یبقی</w:t>
      </w:r>
      <w:bookmarkStart w:id="606" w:name="pg11755_255042"/>
    </w:p>
    <w:p>
      <w:pPr>
        <w:pStyle w:val="BookText"/>
        <w:rPr/>
      </w:pPr>
      <w:bookmarkEnd w:id="606"/>
      <w:r>
        <w:rPr>
          <w:rFonts w:ascii="IRNazanin" w:hAnsi="IRNazanin" w:eastAsia="IRNazanin"/>
          <w:color w:val="111111"/>
          <w:sz w:val="28"/>
          <w:sz w:val="28"/>
          <w:szCs w:val="28"/>
          <w:rtl w:val="true"/>
          <w:lang w:bidi="fa-IR"/>
        </w:rPr>
        <w:t>له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مصباح الفقیه فی مبحث تغسیل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دلالتها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الوجوب الکفائی لیس إلّا من حیث ظهورها فی وجوب الفعل و عدم تعیّنه علی شخص خاصّ، فإنّ مقتضاه وجوب خروج جمیع المکلّفین من عهدته ما لم یوجد فی الخارج، فإذا وجد بفعل بعض المکلّفین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لو بفعل غیر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 التکلیف عن الکلّ، و هذا هو معنی الواجب الکفائی مطلقاً، فیفهم من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بضمیمة فتوی الأصحاب و إجماعهم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سائر أحکام المیّت من هذا القبیل</w:t>
      </w:r>
      <w:r>
        <w:rPr>
          <w:rFonts w:eastAsia="IRNazanin" w:cs="IRNazanin"/>
          <w:color w:val="111111"/>
          <w:sz w:val="28"/>
          <w:szCs w:val="28"/>
          <w:rtl w:val="true"/>
          <w:lang w:bidi="fa-IR"/>
        </w:rPr>
        <w:t>»</w:t>
      </w:r>
      <w:r>
        <w:rPr>
          <w:rStyle w:val="FootnoteAnchor"/>
          <w:rtl w:val="true"/>
        </w:rPr>
        <w:footnoteReference w:id="2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الشیخ الأعظم</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الفیروزآبادی فی تعلیقته علی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بناء علی صحّة عمل الممیّز من غیر البالغ و کون المطلوب طبیعة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صدوره عن الصبیّ الممیّز، فیسقط خطاب الوجوب بحصول المطلوب و إن لم یتحقّق الامتثال ممّن کان طرفاً لخطاب الإیجاب</w:t>
      </w:r>
      <w:r>
        <w:rPr>
          <w:rFonts w:eastAsia="IRNazanin" w:cs="IRNazanin"/>
          <w:color w:val="111111"/>
          <w:sz w:val="28"/>
          <w:szCs w:val="28"/>
          <w:rtl w:val="true"/>
          <w:lang w:bidi="fa-IR"/>
        </w:rPr>
        <w:t>»</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مع ذلک کلّه فالإنصاف أنّه بعد إتیان الصبیّ الصلاة علی الجنازة إجزاؤه عن البالغین مشکوک، فالأحوط أن نقول بعدم کفایة فعل الصبیّ عن البالغین حتّی علی القول بشرعیّة عباداته، و اللّه العالم بحکمه</w:t>
      </w:r>
      <w:r>
        <w:rPr>
          <w:rFonts w:eastAsia="IRNazanin" w:cs="IRNazanin"/>
          <w:color w:val="111111"/>
          <w:sz w:val="28"/>
          <w:szCs w:val="28"/>
          <w:rtl w:val="true"/>
          <w:lang w:bidi="fa-IR"/>
        </w:rPr>
        <w:t>.</w:t>
      </w:r>
    </w:p>
    <w:p>
      <w:pPr>
        <w:pStyle w:val="Heading6"/>
        <w:numPr>
          <w:ilvl w:val="5"/>
          <w:numId w:val="1"/>
        </w:numPr>
        <w:rPr/>
      </w:pPr>
      <w:bookmarkStart w:id="607" w:name="__RefHeading___Toc9587706_73709187"/>
      <w:bookmarkStart w:id="608" w:name="_Toc227"/>
      <w:bookmarkEnd w:id="607"/>
      <w:r>
        <w:rPr>
          <w:rtl w:val="true"/>
        </w:rPr>
        <w:t>سقوط الواجب الکفائی بفعل الصبیّ عند أهل السنّة</w:t>
      </w:r>
      <w:bookmarkEnd w:id="60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الصلاة علی المیّت فرضٌ علی الکفایة، فإذا صلّی الصبیّ الممیّز</w:t>
      </w:r>
      <w:bookmarkStart w:id="609" w:name="pg11755_255044"/>
    </w:p>
    <w:p>
      <w:pPr>
        <w:pStyle w:val="BookText"/>
        <w:rPr/>
      </w:pPr>
      <w:bookmarkEnd w:id="609"/>
      <w:r>
        <w:rPr>
          <w:rFonts w:ascii="IRNazanin" w:hAnsi="IRNazanin" w:eastAsia="IRNazanin"/>
          <w:color w:val="111111"/>
          <w:sz w:val="28"/>
          <w:sz w:val="28"/>
          <w:szCs w:val="28"/>
          <w:rtl w:val="true"/>
          <w:lang w:bidi="fa-IR"/>
        </w:rPr>
        <w:t>علی الجنازة، هل تسقط عن المکلّفین أم لا؟</w:t>
      </w:r>
    </w:p>
    <w:p>
      <w:pPr>
        <w:pStyle w:val="BookText"/>
        <w:rPr/>
      </w:pPr>
      <w:r>
        <w:rPr>
          <w:rFonts w:ascii="IRNazanin" w:hAnsi="IRNazanin" w:eastAsia="IRNazanin"/>
          <w:color w:val="111111"/>
          <w:sz w:val="28"/>
          <w:sz w:val="28"/>
          <w:szCs w:val="28"/>
          <w:rtl w:val="true"/>
          <w:lang w:bidi="fa-IR"/>
        </w:rPr>
        <w:t>نذکر فیما یلی أقوال الفقهاء فی هذه المسألة موجزاً</w:t>
      </w:r>
      <w:r>
        <w:rPr>
          <w:rFonts w:eastAsia="IRNazanin" w:cs="IRNazanin"/>
          <w:color w:val="111111"/>
          <w:sz w:val="28"/>
          <w:szCs w:val="28"/>
          <w:rtl w:val="true"/>
          <w:lang w:bidi="fa-IR"/>
        </w:rPr>
        <w:t>.</w:t>
      </w:r>
    </w:p>
    <w:p>
      <w:pPr>
        <w:pStyle w:val="Heading6"/>
        <w:numPr>
          <w:ilvl w:val="5"/>
          <w:numId w:val="1"/>
        </w:numPr>
        <w:rPr/>
      </w:pPr>
      <w:bookmarkStart w:id="610" w:name="__RefHeading___Toc9587708_73709187"/>
      <w:bookmarkStart w:id="611" w:name="_Toc228"/>
      <w:bookmarkEnd w:id="610"/>
      <w:r>
        <w:rPr>
          <w:rtl w:val="true"/>
        </w:rPr>
        <w:t>أوّلاً</w:t>
      </w:r>
      <w:r>
        <w:rPr>
          <w:rtl w:val="true"/>
        </w:rPr>
        <w:t xml:space="preserve">: </w:t>
      </w:r>
      <w:r>
        <w:rPr>
          <w:rtl w:val="true"/>
        </w:rPr>
        <w:t>مذهب الحنفیّة</w:t>
      </w:r>
      <w:bookmarkEnd w:id="611"/>
    </w:p>
    <w:p>
      <w:pPr>
        <w:pStyle w:val="BookText"/>
        <w:rPr/>
      </w:pPr>
      <w:r>
        <w:rPr>
          <w:rFonts w:ascii="IRNazanin" w:hAnsi="IRNazanin" w:eastAsia="IRNazanin"/>
          <w:color w:val="111111"/>
          <w:sz w:val="28"/>
          <w:sz w:val="28"/>
          <w:szCs w:val="28"/>
          <w:rtl w:val="true"/>
          <w:lang w:bidi="fa-IR"/>
        </w:rPr>
        <w:t>جاء فی أحکام الصغار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إذا أمّ فی صلاة الجنازة ینبغی أن لا یجوز، و هو الظاهر؛ لأنّها من فروض الکفایة، و هو لیس من أهل أداء الفرض</w:t>
      </w:r>
      <w:r>
        <w:rPr>
          <w:rFonts w:eastAsia="IRNazanin" w:cs="IRNazanin"/>
          <w:color w:val="111111"/>
          <w:sz w:val="28"/>
          <w:szCs w:val="28"/>
          <w:rtl w:val="true"/>
          <w:lang w:bidi="fa-IR"/>
        </w:rPr>
        <w:t>»</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ردّ المحتار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صلاة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تسقط عن البالغین بفعله، أی الصبیّ؛ لأنّ صلاتهم لم تصحّ لفقد شرط الاقتداء، و هو بلوغ الإمام، و صلاته و إن صحّت لنفسه لا تقع فرضاً؛ لأنّه لیس من أهله، و علیه فلو صلّی وحده لا یسقط الفرض عنهم بفعله</w:t>
      </w:r>
      <w:r>
        <w:rPr>
          <w:rFonts w:eastAsia="IRNazanin" w:cs="IRNazanin"/>
          <w:color w:val="111111"/>
          <w:sz w:val="28"/>
          <w:szCs w:val="28"/>
          <w:rtl w:val="true"/>
          <w:lang w:bidi="fa-IR"/>
        </w:rPr>
        <w:t>»</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ذکر فی شرح التحریر أنّه لم یقف علی هذا فی کتب المذهب، و إنّما ظاهر أصول المذهب عدم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الصبیّ لیس من أهل الوجوب</w:t>
      </w:r>
      <w:r>
        <w:rPr>
          <w:rFonts w:eastAsia="IRNazanin" w:cs="IRNazanin"/>
          <w:color w:val="111111"/>
          <w:sz w:val="28"/>
          <w:szCs w:val="28"/>
          <w:rtl w:val="true"/>
          <w:lang w:bidi="fa-IR"/>
        </w:rPr>
        <w:t>»</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استشکل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یشکل علی ذلک ما مرّ من مسألة السلام و تصریحهم بجواز أذان الصبیّ المراهق بلا 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تصریحهم بأنّه لو خطب صبیّ له منشور یوم الجمعة، و صلّی بالناس بالغ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الصبیّ إذا غسل المیّت جاز، أی یسقط به الوجوب، فسقوط الوجوب بصلاته علی المیّت أولی؛ لأنّه دعا، و هو أقرب للإجابة من المکلّفین</w:t>
      </w:r>
      <w:r>
        <w:rPr>
          <w:rFonts w:eastAsia="IRNazanin" w:cs="IRNazanin"/>
          <w:color w:val="111111"/>
          <w:sz w:val="28"/>
          <w:szCs w:val="28"/>
          <w:rtl w:val="true"/>
          <w:lang w:bidi="fa-IR"/>
        </w:rPr>
        <w:t>»</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bookmarkStart w:id="612" w:name="pg11755_255046"/>
    </w:p>
    <w:p>
      <w:pPr>
        <w:pStyle w:val="Heading6"/>
        <w:numPr>
          <w:ilvl w:val="5"/>
          <w:numId w:val="1"/>
        </w:numPr>
        <w:rPr/>
      </w:pPr>
      <w:bookmarkStart w:id="613" w:name="__RefHeading___Toc9587710_73709187"/>
      <w:bookmarkStart w:id="614" w:name="_Toc229"/>
      <w:bookmarkEnd w:id="612"/>
      <w:bookmarkEnd w:id="613"/>
      <w:r>
        <w:rPr>
          <w:rtl w:val="true"/>
        </w:rPr>
        <w:t>ثانیاً</w:t>
      </w:r>
      <w:r>
        <w:rPr>
          <w:rtl w:val="true"/>
        </w:rPr>
        <w:t xml:space="preserve">: </w:t>
      </w:r>
      <w:r>
        <w:rPr>
          <w:rtl w:val="true"/>
        </w:rPr>
        <w:t>مذهب الحنابلة</w:t>
      </w:r>
      <w:bookmarkEnd w:id="614"/>
    </w:p>
    <w:p>
      <w:pPr>
        <w:pStyle w:val="BookText"/>
        <w:rPr/>
      </w:pPr>
      <w:r>
        <w:rPr>
          <w:rFonts w:ascii="IRNazanin" w:hAnsi="IRNazanin" w:eastAsia="IRNazanin"/>
          <w:color w:val="111111"/>
          <w:sz w:val="28"/>
          <w:sz w:val="28"/>
          <w:szCs w:val="28"/>
          <w:rtl w:val="true"/>
          <w:lang w:bidi="fa-IR"/>
        </w:rPr>
        <w:t>و ظاهر کلامهم أنّه لا تسقط بفعل الصبیّ؛ لأنّه جاء فی منتهی الإرادات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تسقط بمکلّف و لو انثی أو عبد</w:t>
      </w:r>
      <w:r>
        <w:rPr>
          <w:rFonts w:eastAsia="IRNazanin" w:cs="IRNazanin"/>
          <w:color w:val="111111"/>
          <w:sz w:val="28"/>
          <w:szCs w:val="28"/>
          <w:rtl w:val="true"/>
          <w:lang w:bidi="fa-IR"/>
        </w:rPr>
        <w:t>»</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کشّاف القناع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یسقط فرضها واحد، رجلاً کان أو امرأة أو خنثی؛ لأنّ الصلاة علی المیّت فرض تعلّق به، فسقط بالواحد کغسله و تکفینه و دفنه</w:t>
      </w:r>
      <w:r>
        <w:rPr>
          <w:rFonts w:eastAsia="IRNazanin" w:cs="IRNazanin"/>
          <w:color w:val="111111"/>
          <w:sz w:val="28"/>
          <w:szCs w:val="28"/>
          <w:rtl w:val="true"/>
          <w:lang w:bidi="fa-IR"/>
        </w:rPr>
        <w:t>»</w:t>
      </w:r>
      <w:r>
        <w:rPr>
          <w:rStyle w:val="FootnoteAnchor"/>
          <w:rtl w:val="true"/>
        </w:rPr>
        <w:footnoteReference w:id="2178"/>
      </w:r>
      <w:r>
        <w:rPr>
          <w:rFonts w:ascii="IRNazanin" w:hAnsi="IRNazanin" w:eastAsia="IRNazanin"/>
          <w:color w:val="111111"/>
          <w:sz w:val="28"/>
          <w:sz w:val="28"/>
          <w:szCs w:val="28"/>
          <w:rtl w:val="true"/>
          <w:lang w:bidi="fa-IR"/>
        </w:rPr>
        <w:t>، فإنّه قیّد بالمکلّف أو بالرجل و المرأة، و ظاهرها عدم السقوط بفعل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قال المرداوی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 المجد سقوط الفرض بفعل الممیّز کغسله، و قدّمه فی مجمع البحرین</w:t>
      </w:r>
      <w:r>
        <w:rPr>
          <w:rFonts w:eastAsia="IRNazanin" w:cs="IRNazanin"/>
          <w:color w:val="111111"/>
          <w:sz w:val="28"/>
          <w:szCs w:val="28"/>
          <w:rtl w:val="true"/>
          <w:lang w:bidi="fa-IR"/>
        </w:rPr>
        <w:t>»</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کذلک صرّح ابن قدامة بأنّه یجوز للصبیّ إذا کان عاقلاً أن یغسّل المیّت؛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یصحّ طهارته، فصحّ أن یطهّر غیره کالکبیر</w:t>
      </w:r>
      <w:r>
        <w:rPr>
          <w:rFonts w:eastAsia="Amiri" w:cs="Amiri" w:ascii="Amiri" w:hAnsi="Amiri"/>
          <w:color w:val="111111"/>
          <w:sz w:val="28"/>
          <w:szCs w:val="28"/>
          <w:rtl w:val="true"/>
          <w:lang w:bidi="ar-SA"/>
        </w:rPr>
        <w:t>»</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5" w:name="__RefHeading___Toc9587712_73709187"/>
      <w:bookmarkStart w:id="616" w:name="_Toc230"/>
      <w:bookmarkEnd w:id="615"/>
      <w:r>
        <w:rPr>
          <w:rtl w:val="true"/>
        </w:rPr>
        <w:t>ثالثاً</w:t>
      </w:r>
      <w:r>
        <w:rPr>
          <w:rtl w:val="true"/>
        </w:rPr>
        <w:t xml:space="preserve">: </w:t>
      </w:r>
      <w:r>
        <w:rPr>
          <w:rtl w:val="true"/>
        </w:rPr>
        <w:t>مذهب الشافعیّة</w:t>
      </w:r>
      <w:bookmarkEnd w:id="616"/>
    </w:p>
    <w:p>
      <w:pPr>
        <w:pStyle w:val="BookText"/>
        <w:rPr/>
      </w:pPr>
      <w:r>
        <w:rPr>
          <w:rFonts w:ascii="IRNazanin" w:hAnsi="IRNazanin" w:eastAsia="IRNazanin"/>
          <w:color w:val="111111"/>
          <w:sz w:val="28"/>
          <w:sz w:val="28"/>
          <w:szCs w:val="28"/>
          <w:rtl w:val="true"/>
          <w:lang w:bidi="fa-IR"/>
        </w:rPr>
        <w:t>و جاء فی روضة الطالبین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القریب، فلا یقدّم غیره، إلّا أن یکون القریب انثی، و هناک ذکر أجنبی، فهو أولی حتّی یقدّم الصبیّ المراهق علی المرأة القریبة</w:t>
      </w:r>
      <w:r>
        <w:rPr>
          <w:rFonts w:eastAsia="IRNazanin" w:cs="IRNazanin"/>
          <w:color w:val="111111"/>
          <w:sz w:val="28"/>
          <w:szCs w:val="28"/>
          <w:rtl w:val="true"/>
          <w:lang w:bidi="fa-IR"/>
        </w:rPr>
        <w:t>»</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المجموع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الصبیان أولی من النساء</w:t>
      </w:r>
      <w:r>
        <w:rPr>
          <w:rFonts w:eastAsia="IRNazanin" w:cs="IRNazanin"/>
          <w:color w:val="111111"/>
          <w:sz w:val="28"/>
          <w:szCs w:val="28"/>
          <w:rtl w:val="true"/>
          <w:lang w:bidi="fa-IR"/>
        </w:rPr>
        <w:t>»</w:t>
      </w:r>
      <w:r>
        <w:rPr>
          <w:rStyle w:val="FootnoteAnchor"/>
          <w:rtl w:val="true"/>
        </w:rPr>
        <w:footnoteReference w:id="2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w:t>
      </w:r>
    </w:p>
    <w:p>
      <w:pPr>
        <w:pStyle w:val="BookText"/>
        <w:rPr/>
      </w:pPr>
      <w:r>
        <w:rPr>
          <w:rFonts w:ascii="IRNazanin" w:hAnsi="IRNazanin" w:eastAsia="IRNazanin"/>
          <w:color w:val="111111"/>
          <w:sz w:val="28"/>
          <w:sz w:val="28"/>
          <w:szCs w:val="28"/>
          <w:rtl w:val="true"/>
          <w:lang w:bidi="fa-IR"/>
        </w:rPr>
        <w:t>الرافعی</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الصبیان الممیّزون فمعلوم أنّه لا یتوجّه إلیهم هذا الفرض، و هل یسقط بصلاتهم؟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أصحّهما یسقط، قال البغوی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 علیه الشافعی؛ لأنّه تصحّ إمامته فأشبه البالغ</w:t>
      </w:r>
      <w:r>
        <w:rPr>
          <w:rFonts w:eastAsia="IRNazanin" w:cs="IRNazanin"/>
          <w:color w:val="111111"/>
          <w:sz w:val="28"/>
          <w:szCs w:val="28"/>
          <w:rtl w:val="true"/>
          <w:lang w:bidi="fa-IR"/>
        </w:rPr>
        <w:t>»</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نعثر فی الکتب الّتی بأیدینا علی نصّ لمذهب المالکیّة فی المسألة</w:t>
      </w:r>
      <w:r>
        <w:rPr>
          <w:rFonts w:eastAsia="IRNazanin" w:cs="IRNazanin"/>
          <w:color w:val="111111"/>
          <w:sz w:val="28"/>
          <w:szCs w:val="28"/>
          <w:rtl w:val="true"/>
          <w:lang w:bidi="fa-IR"/>
        </w:rPr>
        <w:t>.</w:t>
      </w:r>
      <w:bookmarkStart w:id="617" w:name="pg11755_255053"/>
    </w:p>
    <w:p>
      <w:pPr>
        <w:pStyle w:val="Heading2"/>
        <w:numPr>
          <w:ilvl w:val="1"/>
          <w:numId w:val="1"/>
        </w:numPr>
        <w:rPr/>
      </w:pPr>
      <w:bookmarkStart w:id="618" w:name="__RefHeading___Toc9587714_73709187"/>
      <w:bookmarkStart w:id="619" w:name="_Toc231"/>
      <w:bookmarkEnd w:id="617"/>
      <w:bookmarkEnd w:id="618"/>
      <w:r>
        <w:rPr>
          <w:rtl w:val="true"/>
        </w:rPr>
        <w:t>الباب التاسع</w:t>
      </w:r>
      <w:r>
        <w:rPr>
          <w:rtl w:val="true"/>
        </w:rPr>
        <w:t xml:space="preserve">: </w:t>
      </w:r>
      <w:r>
        <w:rPr>
          <w:rtl w:val="true"/>
        </w:rPr>
        <w:t>عبادات الصبیّ</w:t>
      </w:r>
      <w:bookmarkEnd w:id="619"/>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0" w:name="__RefHeading___Toc9587716_73709187"/>
      <w:bookmarkStart w:id="621" w:name="_Toc232"/>
      <w:bookmarkEnd w:id="620"/>
      <w:r>
        <w:rPr>
          <w:rtl w:val="true"/>
        </w:rPr>
        <w:t>اشارة</w:t>
      </w:r>
      <w:bookmarkStart w:id="622" w:name="pg11755_255057"/>
      <w:bookmarkEnd w:id="621"/>
    </w:p>
    <w:p>
      <w:pPr>
        <w:pStyle w:val="Heading3"/>
        <w:numPr>
          <w:ilvl w:val="2"/>
          <w:numId w:val="1"/>
        </w:numPr>
        <w:rPr/>
      </w:pPr>
      <w:bookmarkStart w:id="623" w:name="__RefHeading___Toc9587718_73709187"/>
      <w:bookmarkStart w:id="624" w:name="_Toc233"/>
      <w:bookmarkEnd w:id="622"/>
      <w:bookmarkEnd w:id="623"/>
      <w:r>
        <w:rPr>
          <w:rtl w:val="true"/>
        </w:rPr>
        <w:t>تمهید</w:t>
      </w:r>
      <w:bookmarkEnd w:id="624"/>
    </w:p>
    <w:p>
      <w:pPr>
        <w:pStyle w:val="BookText"/>
        <w:rPr/>
      </w:pPr>
      <w:r>
        <w:rPr>
          <w:rFonts w:ascii="IRNazanin" w:hAnsi="IRNazanin" w:eastAsia="IRNazanin"/>
          <w:color w:val="111111"/>
          <w:sz w:val="28"/>
          <w:sz w:val="28"/>
          <w:szCs w:val="28"/>
          <w:rtl w:val="true"/>
          <w:lang w:bidi="fa-IR"/>
        </w:rPr>
        <w:t>لمّا کانت مسائل صلاة الصبیّ و صومه و حجّه و غیرها مبتنیةً علی مسألة شرعیّة عباداته عقدنا فی أوّل هذا الباب فصلاً للتحقیق فیها، و فیما بعده نذکر عباداته، و علیه یتضمّن هذا الباب الفصول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مشروعیّة عبادات الصبیّ</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الصبیّ</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الصبیّ</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أموال الصبیّ</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أموال الصبیّ</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الصبیّ</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الصبیّ</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و النهی عن المنکر من الصبیّ</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التسلیم علی الصبیّ</w:t>
      </w:r>
      <w:bookmarkStart w:id="625" w:name="pg11755_255061"/>
    </w:p>
    <w:p>
      <w:pPr>
        <w:pStyle w:val="Heading3"/>
        <w:numPr>
          <w:ilvl w:val="2"/>
          <w:numId w:val="1"/>
        </w:numPr>
        <w:rPr/>
      </w:pPr>
      <w:bookmarkStart w:id="626" w:name="__RefHeading___Toc9587720_73709187"/>
      <w:bookmarkStart w:id="627" w:name="_Toc234"/>
      <w:bookmarkEnd w:id="625"/>
      <w:bookmarkEnd w:id="626"/>
      <w:r>
        <w:rPr>
          <w:rtl w:val="true"/>
        </w:rPr>
        <w:t>الفصل الأوّل</w:t>
      </w:r>
      <w:r>
        <w:rPr>
          <w:rtl w:val="true"/>
        </w:rPr>
        <w:t xml:space="preserve">: </w:t>
      </w:r>
      <w:r>
        <w:rPr>
          <w:rtl w:val="true"/>
        </w:rPr>
        <w:t>مشروعیّة عبادات الصبیّ</w:t>
      </w:r>
      <w:bookmarkEnd w:id="627"/>
    </w:p>
    <w:p>
      <w:pPr>
        <w:pStyle w:val="Heading4"/>
        <w:numPr>
          <w:ilvl w:val="3"/>
          <w:numId w:val="1"/>
        </w:numPr>
        <w:rPr/>
      </w:pPr>
      <w:bookmarkStart w:id="628" w:name="__RefHeading___Toc9587722_73709187"/>
      <w:bookmarkStart w:id="629" w:name="_Toc235"/>
      <w:bookmarkEnd w:id="628"/>
      <w:r>
        <w:rPr>
          <w:rtl w:val="true"/>
        </w:rPr>
        <w:t>اشارة</w:t>
      </w:r>
      <w:bookmarkEnd w:id="62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مباحث</w:t>
      </w:r>
      <w:bookmarkStart w:id="630" w:name="pg11755_255064"/>
    </w:p>
    <w:p>
      <w:pPr>
        <w:pStyle w:val="BookText"/>
        <w:rPr/>
      </w:pPr>
      <w:bookmarkEnd w:id="630"/>
      <w:r>
        <w:rPr>
          <w:rFonts w:ascii="Amiri" w:hAnsi="Amiri" w:eastAsia="Amiri" w:cs="Amiri"/>
          <w:color w:val="111111"/>
          <w:sz w:val="28"/>
          <w:sz w:val="28"/>
          <w:szCs w:val="28"/>
          <w:rtl w:val="true"/>
          <w:lang w:bidi="ar-SA"/>
        </w:rPr>
        <w:t>مشروعیّة عبادات الصبیّ‌</w:t>
      </w:r>
    </w:p>
    <w:p>
      <w:pPr>
        <w:pStyle w:val="Heading4"/>
        <w:numPr>
          <w:ilvl w:val="3"/>
          <w:numId w:val="1"/>
        </w:numPr>
        <w:rPr/>
      </w:pPr>
      <w:bookmarkStart w:id="631" w:name="__RefHeading___Toc9587724_73709187"/>
      <w:bookmarkStart w:id="632" w:name="_Toc236"/>
      <w:bookmarkEnd w:id="631"/>
      <w:r>
        <w:rPr>
          <w:rtl w:val="true"/>
        </w:rPr>
        <w:t>المبحث الأوّل</w:t>
      </w:r>
      <w:r>
        <w:rPr>
          <w:rtl w:val="true"/>
        </w:rPr>
        <w:t xml:space="preserve">: </w:t>
      </w:r>
      <w:r>
        <w:rPr>
          <w:rtl w:val="true"/>
        </w:rPr>
        <w:t>بیان ما هو المقصود من مشروعیّة عبادات الصبیّ‌</w:t>
      </w:r>
      <w:bookmarkEnd w:id="632"/>
    </w:p>
    <w:p>
      <w:pPr>
        <w:pStyle w:val="BookText"/>
        <w:rPr/>
      </w:pPr>
      <w:r>
        <w:rPr>
          <w:rFonts w:ascii="IRNazanin" w:hAnsi="IRNazanin" w:eastAsia="IRNazanin"/>
          <w:color w:val="111111"/>
          <w:sz w:val="28"/>
          <w:sz w:val="28"/>
          <w:szCs w:val="28"/>
          <w:rtl w:val="true"/>
          <w:lang w:bidi="fa-IR"/>
        </w:rPr>
        <w:t>اتّفق الأصحاب علی أنّ التکالیف الإلزامیّة من الوجوب و الحرمة لا تتوجّه إلی الصبیّ و إن کان ممیّزاً؛ لاشتراط التکلیف بالبلوغ، بل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من ضروریّات المذهب أو الدین</w:t>
      </w:r>
      <w:r>
        <w:rPr>
          <w:rFonts w:eastAsia="IRNazanin" w:cs="IRNazanin"/>
          <w:color w:val="111111"/>
          <w:sz w:val="28"/>
          <w:szCs w:val="28"/>
          <w:rtl w:val="true"/>
          <w:lang w:bidi="fa-IR"/>
        </w:rPr>
        <w:t>»</w:t>
      </w:r>
      <w:r>
        <w:rPr>
          <w:rStyle w:val="FootnoteAnchor"/>
          <w:rtl w:val="true"/>
        </w:rPr>
        <w:footnoteReference w:id="2185"/>
      </w:r>
      <w:r>
        <w:rPr>
          <w:rFonts w:ascii="IRNazanin" w:hAnsi="IRNazanin" w:eastAsia="IRNazanin"/>
          <w:color w:val="111111"/>
          <w:sz w:val="28"/>
          <w:sz w:val="28"/>
          <w:szCs w:val="28"/>
          <w:rtl w:val="true"/>
          <w:lang w:bidi="fa-IR"/>
        </w:rPr>
        <w:t>، و لکن وقع الخلاف فی أنّه هل تتوجّه إلی الصبیّ الممیّز الأحکام غیر الإلزامیّة أم لا؟</w:t>
      </w:r>
    </w:p>
    <w:p>
      <w:pPr>
        <w:pStyle w:val="BookText"/>
        <w:rPr/>
      </w:pPr>
      <w:r>
        <w:rPr>
          <w:rFonts w:ascii="IRNazanin" w:hAnsi="IRNazanin" w:eastAsia="IRNazanin"/>
          <w:color w:val="111111"/>
          <w:sz w:val="28"/>
          <w:sz w:val="28"/>
          <w:szCs w:val="28"/>
          <w:rtl w:val="true"/>
          <w:lang w:bidi="fa-IR"/>
        </w:rPr>
        <w:t>و فی الحقیقة وقع الخلاف فی أنّه هل تکون عبادات</w:t>
      </w:r>
      <w:r>
        <w:rPr>
          <w:rStyle w:val="FootnoteAnchor"/>
          <w:rtl w:val="true"/>
        </w:rPr>
        <w:footnoteReference w:id="2186"/>
      </w:r>
      <w:r>
        <w:rPr>
          <w:rFonts w:ascii="IRNazanin" w:hAnsi="IRNazanin" w:eastAsia="IRNazanin"/>
          <w:color w:val="111111"/>
          <w:sz w:val="28"/>
          <w:sz w:val="28"/>
          <w:szCs w:val="28"/>
          <w:rtl w:val="true"/>
          <w:lang w:bidi="fa-IR"/>
        </w:rPr>
        <w:t>الصبیّ مشروعة أم لا؟</w:t>
      </w:r>
    </w:p>
    <w:p>
      <w:pPr>
        <w:pStyle w:val="BookText"/>
        <w:rPr/>
      </w:pPr>
      <w:r>
        <w:rPr>
          <w:rFonts w:ascii="IRNazanin" w:hAnsi="IRNazanin" w:eastAsia="IRNazanin"/>
          <w:color w:val="111111"/>
          <w:sz w:val="28"/>
          <w:sz w:val="28"/>
          <w:szCs w:val="28"/>
          <w:rtl w:val="true"/>
          <w:lang w:bidi="fa-IR"/>
        </w:rPr>
        <w:t>و المشروعیّة منسوبة لمشروع، و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سوّغه الشرع، و الشرع</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الطریق، و الشرعة و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 اللّه من الدین و أمر به، کالصوم و الصلاة و الحجّ و الزکاة و سائر أعمال البرّ، مشتقّ من شاطئ البحر، عن کراع،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جَعَلْناکَ عَلی شَرِیعَةٍ مِنَ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w:t>
      </w:r>
    </w:p>
    <w:p>
      <w:pPr>
        <w:pStyle w:val="BookText"/>
        <w:rPr/>
      </w:pPr>
      <w:r>
        <w:rPr>
          <w:rFonts w:ascii="Amiri" w:hAnsi="Amiri" w:eastAsia="Amiri" w:cs="Amiri"/>
          <w:color w:val="111111"/>
          <w:sz w:val="28"/>
          <w:sz w:val="28"/>
          <w:szCs w:val="28"/>
          <w:rtl w:val="true"/>
          <w:lang w:bidi="ar-SA"/>
        </w:rPr>
        <w:t>جَعَلْنا مِنْکُمْ شِرْعَةً وَ مِنْهاجاً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 و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الشرعة و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و الطریق هنا الدّین، کما فی لسان العرب</w:t>
      </w:r>
      <w:r>
        <w:rPr>
          <w:rStyle w:val="FootnoteAnchor"/>
          <w:rtl w:val="true"/>
        </w:rPr>
        <w:footnoteReference w:id="2187"/>
      </w:r>
      <w:r>
        <w:rPr>
          <w:rFonts w:ascii="IRNazanin" w:hAnsi="IRNazanin" w:eastAsia="IRNazanin"/>
          <w:color w:val="111111"/>
          <w:sz w:val="28"/>
          <w:sz w:val="28"/>
          <w:szCs w:val="28"/>
          <w:rtl w:val="true"/>
          <w:lang w:bidi="fa-IR"/>
        </w:rPr>
        <w:t>، و قریب من هذا فی غیره</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المقصود من مشروعیّة عبادات الصبیّ مندوبیّتها فی حقّه، بحیث یصدق علی إتیانه بتلک العبادات الإطاعة و الامتثال للأوامر المولویّة الاستحبابیّة، فتتّصف بالصحّة، و یستحقّ الصبیّ علیها الأجر و الثواب، و تترتّب علیها آثار اخری کصحّة نیابته عن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بخلاف ما إذا لم تکن مشروعة فی حقّه، فلو أتی بها بقصد الإطاعة و الامتثال للأوامر المولویّة تکون تشریعاً و افتراءً محرّماً عقلاً لا مولویّاً، کما أشار إلیه بعض الفقهاء</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bookmarkStart w:id="633" w:name="pg11755_255069"/>
    </w:p>
    <w:p>
      <w:pPr>
        <w:pStyle w:val="Heading4"/>
        <w:numPr>
          <w:ilvl w:val="3"/>
          <w:numId w:val="1"/>
        </w:numPr>
        <w:rPr/>
      </w:pPr>
      <w:bookmarkStart w:id="634" w:name="__RefHeading___Toc9587726_73709187"/>
      <w:bookmarkStart w:id="635" w:name="_Toc237"/>
      <w:bookmarkEnd w:id="633"/>
      <w:bookmarkEnd w:id="634"/>
      <w:r>
        <w:rPr>
          <w:rtl w:val="true"/>
        </w:rPr>
        <w:t>المبحث الثانی</w:t>
      </w:r>
      <w:r>
        <w:rPr>
          <w:rtl w:val="true"/>
        </w:rPr>
        <w:t xml:space="preserve">: </w:t>
      </w:r>
      <w:r>
        <w:rPr>
          <w:rtl w:val="true"/>
        </w:rPr>
        <w:t>الأقوال فی المسألة و أدلّتها</w:t>
      </w:r>
      <w:bookmarkEnd w:id="635"/>
    </w:p>
    <w:p>
      <w:pPr>
        <w:pStyle w:val="Heading5"/>
        <w:numPr>
          <w:ilvl w:val="4"/>
          <w:numId w:val="1"/>
        </w:numPr>
        <w:rPr/>
      </w:pPr>
      <w:bookmarkStart w:id="636" w:name="__RefHeading___Toc9587728_73709187"/>
      <w:bookmarkStart w:id="637" w:name="_Toc238"/>
      <w:bookmarkEnd w:id="636"/>
      <w:r>
        <w:rPr>
          <w:rtl w:val="true"/>
        </w:rPr>
        <w:t>اشارة</w:t>
      </w:r>
      <w:bookmarkEnd w:id="637"/>
    </w:p>
    <w:p>
      <w:pPr>
        <w:pStyle w:val="BookText"/>
        <w:rPr/>
      </w:pPr>
      <w:r>
        <w:rPr>
          <w:rFonts w:ascii="IRNazanin" w:hAnsi="IRNazanin" w:eastAsia="IRNazanin"/>
          <w:color w:val="111111"/>
          <w:sz w:val="28"/>
          <w:sz w:val="28"/>
          <w:szCs w:val="28"/>
          <w:rtl w:val="true"/>
          <w:lang w:bidi="fa-IR"/>
        </w:rPr>
        <w:t>ذکر الأصحاب فی مشروعیّة عبادات الصبیّ أو عدمها أقوالاً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مشروعیّة عبادات الصبیّ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عباداته تمرینیّة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عباداته صحیحة لا مشروعیّة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الواجبات و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الیه المشهور، و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نوی الصوم صحّ ذلک منه، و کان صوماً شرعیّاً</w:t>
      </w:r>
      <w:r>
        <w:rPr>
          <w:rFonts w:eastAsia="IRNazanin" w:cs="IRNazanin"/>
          <w:color w:val="111111"/>
          <w:sz w:val="28"/>
          <w:szCs w:val="28"/>
          <w:rtl w:val="true"/>
          <w:lang w:bidi="fa-IR"/>
        </w:rPr>
        <w:t>»</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یستحبّ أن یؤخذ الصبیان بالصیام إذا أطاقوه و بلغوا تسع سنین و إن لم یکن ذلک واجباً علیهم</w:t>
      </w:r>
      <w:r>
        <w:rPr>
          <w:rFonts w:eastAsia="IRNazanin" w:cs="IRNazanin"/>
          <w:color w:val="111111"/>
          <w:sz w:val="28"/>
          <w:szCs w:val="28"/>
          <w:rtl w:val="true"/>
          <w:lang w:bidi="fa-IR"/>
        </w:rPr>
        <w:t>»</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هل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صلاة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شرعیّة معتدٌّ بها؟ المشهور</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Style w:val="FootnoteAnchor"/>
          <w:rtl w:val="true"/>
        </w:rPr>
        <w:footnoteReference w:id="2192"/>
      </w:r>
      <w:r>
        <w:rPr>
          <w:rFonts w:ascii="IRNazanin" w:hAnsi="IRNazanin" w:eastAsia="IRNazanin"/>
          <w:color w:val="111111"/>
          <w:sz w:val="28"/>
          <w:sz w:val="28"/>
          <w:szCs w:val="28"/>
          <w:rtl w:val="true"/>
          <w:lang w:bidi="fa-IR"/>
        </w:rPr>
        <w:t>، و قال فی باب الصوم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خلاف بین العلماء فی مشروعیّة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أنّ صومه صحیح شرعی، و نیّته صحیحة، و ینوی الندب؛ لأنّه الوجه الّذی یقع علیه فعله</w:t>
      </w:r>
      <w:r>
        <w:rPr>
          <w:rFonts w:eastAsia="IRNazanin" w:cs="IRNazanin"/>
          <w:color w:val="111111"/>
          <w:sz w:val="28"/>
          <w:szCs w:val="28"/>
          <w:rtl w:val="true"/>
          <w:lang w:bidi="fa-IR"/>
        </w:rPr>
        <w:t>»</w:t>
      </w:r>
      <w:r>
        <w:rPr>
          <w:rStyle w:val="FootnoteAnchor"/>
          <w:rtl w:val="true"/>
        </w:rPr>
        <w:footnoteReference w:id="2193"/>
      </w:r>
      <w:r>
        <w:rPr>
          <w:rFonts w:ascii="IRNazanin" w:hAnsi="IRNazanin" w:eastAsia="IRNazanin"/>
          <w:color w:val="111111"/>
          <w:sz w:val="28"/>
          <w:sz w:val="28"/>
          <w:szCs w:val="28"/>
          <w:rtl w:val="true"/>
          <w:lang w:bidi="fa-IR"/>
        </w:rPr>
        <w:t>، و کذا فی التحریر</w:t>
      </w:r>
      <w:r>
        <w:rPr>
          <w:rStyle w:val="FootnoteAnchor"/>
          <w:rtl w:val="true"/>
        </w:rPr>
        <w:footnoteReference w:id="2194"/>
      </w:r>
      <w:r>
        <w:rPr>
          <w:rFonts w:ascii="IRNazanin" w:hAnsi="IRNazanin" w:eastAsia="IRNazanin"/>
          <w:color w:val="111111"/>
          <w:sz w:val="28"/>
          <w:sz w:val="28"/>
          <w:szCs w:val="28"/>
          <w:rtl w:val="true"/>
          <w:lang w:bidi="fa-IR"/>
        </w:rPr>
        <w:t>و المنتهی</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نیّة الصبیّ الممیّز صحیحة، و صومه شرعیّ</w:t>
      </w:r>
      <w:r>
        <w:rPr>
          <w:rFonts w:eastAsia="Amiri" w:cs="Amiri" w:ascii="Amiri" w:hAnsi="Amiri"/>
          <w:color w:val="111111"/>
          <w:sz w:val="28"/>
          <w:szCs w:val="28"/>
          <w:rtl w:val="true"/>
          <w:lang w:bidi="ar-SA"/>
        </w:rPr>
        <w:t>»</w:t>
      </w:r>
      <w:r>
        <w:rPr>
          <w:rStyle w:val="FootnoteAnchor"/>
          <w:rtl w:val="true"/>
        </w:rPr>
        <w:footnoteReference w:id="2196"/>
      </w:r>
      <w:r>
        <w:rPr>
          <w:rFonts w:ascii="IRNazanin" w:hAnsi="IRNazanin" w:eastAsia="IRNazanin"/>
          <w:color w:val="111111"/>
          <w:sz w:val="28"/>
          <w:sz w:val="28"/>
          <w:szCs w:val="28"/>
          <w:rtl w:val="true"/>
          <w:lang w:bidi="fa-IR"/>
        </w:rPr>
        <w:t>و کذا فی النافع</w:t>
      </w:r>
      <w:r>
        <w:rPr>
          <w:rStyle w:val="FootnoteAnchor"/>
          <w:rtl w:val="true"/>
        </w:rPr>
        <w:footnoteReference w:id="2197"/>
      </w:r>
      <w:r>
        <w:rPr>
          <w:rFonts w:ascii="IRNazanin" w:hAnsi="IRNazanin" w:eastAsia="IRNazanin"/>
          <w:color w:val="111111"/>
          <w:sz w:val="28"/>
          <w:sz w:val="28"/>
          <w:szCs w:val="28"/>
          <w:rtl w:val="true"/>
          <w:lang w:bidi="fa-IR"/>
        </w:rPr>
        <w:t>، و به قال الشهید</w:t>
      </w:r>
      <w:r>
        <w:rPr>
          <w:rStyle w:val="FootnoteAnchor"/>
          <w:rtl w:val="true"/>
        </w:rPr>
        <w:footnoteReference w:id="2198"/>
      </w:r>
      <w:r>
        <w:rPr>
          <w:rFonts w:ascii="IRNazanin" w:hAnsi="IRNazanin" w:eastAsia="IRNazanin"/>
          <w:color w:val="111111"/>
          <w:sz w:val="28"/>
          <w:sz w:val="28"/>
          <w:szCs w:val="28"/>
          <w:rtl w:val="true"/>
          <w:lang w:bidi="fa-IR"/>
        </w:rPr>
        <w:t>و السیّد صاحب المدارک</w:t>
      </w:r>
      <w:r>
        <w:rPr>
          <w:rStyle w:val="FootnoteAnchor"/>
          <w:rtl w:val="true"/>
        </w:rPr>
        <w:footnoteReference w:id="2199"/>
      </w:r>
      <w:r>
        <w:rPr>
          <w:rFonts w:ascii="Amiri" w:hAnsi="Amiri" w:eastAsia="Amiri" w:cs="Amiri"/>
          <w:color w:val="111111"/>
          <w:sz w:val="28"/>
          <w:sz w:val="28"/>
          <w:szCs w:val="28"/>
          <w:rtl w:val="true"/>
          <w:lang w:bidi="ar-SA"/>
        </w:rPr>
        <w:t>و المحقّق القمّیّ‌</w:t>
      </w:r>
      <w:r>
        <w:rPr>
          <w:rStyle w:val="FootnoteAnchor"/>
          <w:rtl w:val="true"/>
        </w:rPr>
        <w:footnoteReference w:id="2200"/>
      </w:r>
    </w:p>
    <w:p>
      <w:pPr>
        <w:pStyle w:val="BookText"/>
        <w:rPr/>
      </w:pPr>
      <w:r>
        <w:rPr>
          <w:rFonts w:ascii="IRNazanin" w:hAnsi="IRNazanin" w:eastAsia="IRNazanin"/>
          <w:color w:val="111111"/>
          <w:sz w:val="28"/>
          <w:sz w:val="28"/>
          <w:szCs w:val="28"/>
          <w:rtl w:val="true"/>
          <w:lang w:bidi="fa-IR"/>
        </w:rPr>
        <w:t>و الفاضل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المشهور بین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نیّة الصبیّ الممیّز صحیحة، و صومه شرعی، و کذا جملة عباداته شرعیّة</w:t>
      </w:r>
      <w:r>
        <w:rPr>
          <w:rFonts w:eastAsia="IRNazanin" w:cs="IRNazanin"/>
          <w:color w:val="111111"/>
          <w:sz w:val="28"/>
          <w:szCs w:val="28"/>
          <w:rtl w:val="true"/>
          <w:lang w:bidi="fa-IR"/>
        </w:rPr>
        <w:t>»</w:t>
      </w:r>
      <w:r>
        <w:rPr>
          <w:rStyle w:val="FootnoteAnchor"/>
          <w:rtl w:val="true"/>
        </w:rPr>
        <w:footnoteReference w:id="2201"/>
      </w:r>
      <w:r>
        <w:rPr>
          <w:rFonts w:ascii="IRNazanin" w:hAnsi="IRNazanin" w:eastAsia="IRNazanin"/>
          <w:color w:val="111111"/>
          <w:sz w:val="28"/>
          <w:sz w:val="28"/>
          <w:szCs w:val="28"/>
          <w:rtl w:val="true"/>
          <w:lang w:bidi="fa-IR"/>
        </w:rPr>
        <w:t>، و هو الظاهر من مفتاح الکرامة</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یصحّ الصوم و سائر العبادات من الصبیّ الممیّز علی الأقوی من شرعیّة عباداته، و یستحبّ تمرینه علیها</w:t>
      </w:r>
      <w:r>
        <w:rPr>
          <w:rFonts w:eastAsia="IRNazanin" w:cs="IRNazanin"/>
          <w:color w:val="111111"/>
          <w:sz w:val="28"/>
          <w:szCs w:val="28"/>
          <w:rtl w:val="true"/>
          <w:lang w:bidi="fa-IR"/>
        </w:rPr>
        <w:t>»</w:t>
      </w:r>
      <w:r>
        <w:rPr>
          <w:rStyle w:val="FootnoteAnchor"/>
          <w:rtl w:val="true"/>
        </w:rPr>
        <w:footnoteReference w:id="2203"/>
      </w:r>
      <w:r>
        <w:rPr>
          <w:rFonts w:ascii="IRNazanin" w:hAnsi="IRNazanin" w:eastAsia="IRNazanin"/>
          <w:color w:val="111111"/>
          <w:sz w:val="28"/>
          <w:sz w:val="28"/>
          <w:szCs w:val="28"/>
          <w:rtl w:val="true"/>
          <w:lang w:bidi="fa-IR"/>
        </w:rPr>
        <w:t>، و به قال کثیر من الفقهاء المعاصرین</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bookmarkStart w:id="638" w:name="pg11755_255073"/>
    </w:p>
    <w:p>
      <w:pPr>
        <w:pStyle w:val="Heading5"/>
        <w:numPr>
          <w:ilvl w:val="4"/>
          <w:numId w:val="1"/>
        </w:numPr>
        <w:rPr/>
      </w:pPr>
      <w:bookmarkStart w:id="639" w:name="__RefHeading___Toc9587730_73709187"/>
      <w:bookmarkStart w:id="640" w:name="_Toc239"/>
      <w:bookmarkEnd w:id="638"/>
      <w:bookmarkEnd w:id="639"/>
      <w:r>
        <w:rPr>
          <w:rtl w:val="true"/>
        </w:rPr>
        <w:t>أدلّة مشروعیّة عبادات الصبیّ‌</w:t>
      </w:r>
      <w:bookmarkEnd w:id="640"/>
    </w:p>
    <w:p>
      <w:pPr>
        <w:pStyle w:val="Heading6"/>
        <w:numPr>
          <w:ilvl w:val="5"/>
          <w:numId w:val="1"/>
        </w:numPr>
        <w:rPr/>
      </w:pPr>
      <w:bookmarkStart w:id="641" w:name="__RefHeading___Toc9587732_73709187"/>
      <w:bookmarkStart w:id="642" w:name="_Toc240"/>
      <w:bookmarkEnd w:id="641"/>
      <w:r>
        <w:rPr>
          <w:rtl w:val="true"/>
        </w:rPr>
        <w:t>اشارة</w:t>
      </w:r>
      <w:bookmarkEnd w:id="642"/>
    </w:p>
    <w:p>
      <w:pPr>
        <w:pStyle w:val="BookText"/>
        <w:rPr/>
      </w:pPr>
      <w:r>
        <w:rPr>
          <w:rFonts w:ascii="IRNazanin" w:hAnsi="IRNazanin" w:eastAsia="IRNazanin"/>
          <w:color w:val="111111"/>
          <w:sz w:val="28"/>
          <w:sz w:val="28"/>
          <w:szCs w:val="28"/>
          <w:rtl w:val="true"/>
          <w:lang w:bidi="fa-IR"/>
        </w:rPr>
        <w:t>ما یمکن أن یستدلّ به لإثبات هذا القول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و الإطلاقات التکلیفیّة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و الإطلاقات الواردة فی التکالیف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مِنْکُمُ الشَّهْرَ فَلْیَصُمْهُ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أمثالهما من العمومات و الإطلاقات فی أدلّة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غیر البالغین کشمولها للبالغین</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العقل لا یأبی توجّه الخطاب إلی الصبیّ الممیّز، و الشرع إنّما اقتضی توقّف التکلیف بالواجب و المحرّم علی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التکلیف بالمندوب و ما فی معناه فلا مانع عنه عقلاً و لا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فالخطاب بإطلاقه متناول له، و الفهم الّذی هو شرط التکلیف حاصل</w:t>
      </w:r>
      <w:r>
        <w:rPr>
          <w:rFonts w:eastAsia="IRNazanin" w:cs="IRNazanin"/>
          <w:color w:val="111111"/>
          <w:sz w:val="28"/>
          <w:szCs w:val="28"/>
          <w:rtl w:val="true"/>
          <w:lang w:bidi="fa-IR"/>
        </w:rPr>
        <w:t>»</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3" w:name="__RefHeading___Toc9587734_73709187"/>
      <w:bookmarkStart w:id="644" w:name="_Toc241"/>
      <w:bookmarkEnd w:id="643"/>
      <w:r>
        <w:rPr>
          <w:rtl w:val="true"/>
        </w:rPr>
        <w:t>مناقشة الاستدلال</w:t>
      </w:r>
      <w:bookmarkEnd w:id="644"/>
    </w:p>
    <w:p>
      <w:pPr>
        <w:pStyle w:val="BookText"/>
        <w:rPr/>
      </w:pPr>
      <w:r>
        <w:rPr>
          <w:rFonts w:ascii="IRNazanin" w:hAnsi="IRNazanin" w:eastAsia="IRNazanin"/>
          <w:color w:val="111111"/>
          <w:sz w:val="28"/>
          <w:sz w:val="28"/>
          <w:szCs w:val="28"/>
          <w:rtl w:val="true"/>
          <w:lang w:bidi="fa-IR"/>
        </w:rPr>
        <w:t>و نوقش الاستدلال بالإطلاقات و العمومات فی المقام بمناقشات،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یدّعی انصراف تلک العمومات و الإطلاقات إلی البالغین</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أجاد المحقّق البجنوردی فی الجواب عنه،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فی دعوی الانصراف فإنّها لا تخلو عن مجازفة؛ إذ لا شکّ فی أنّ الشارع لم یتّخذ فی مقام</w:t>
      </w:r>
    </w:p>
    <w:p>
      <w:pPr>
        <w:pStyle w:val="BookText"/>
        <w:rPr/>
      </w:pPr>
      <w:r>
        <w:rPr>
          <w:rFonts w:ascii="Amiri" w:hAnsi="Amiri" w:eastAsia="Amiri" w:cs="Amiri"/>
          <w:color w:val="111111"/>
          <w:sz w:val="28"/>
          <w:sz w:val="28"/>
          <w:szCs w:val="28"/>
          <w:rtl w:val="true"/>
          <w:lang w:bidi="ar-SA"/>
        </w:rPr>
        <w:t>تبلیغ أحکامه طریقاً خاصّاً</w:t>
      </w:r>
      <w:r>
        <w:rPr>
          <w:rStyle w:val="FootnoteAnchor"/>
          <w:rtl w:val="true"/>
        </w:rPr>
        <w:footnoteReference w:id="2208"/>
      </w:r>
      <w:r>
        <w:rPr>
          <w:rFonts w:ascii="IRNazanin" w:hAnsi="IRNazanin" w:eastAsia="IRNazanin"/>
          <w:color w:val="111111"/>
          <w:sz w:val="28"/>
          <w:sz w:val="28"/>
          <w:szCs w:val="28"/>
          <w:rtl w:val="true"/>
          <w:lang w:bidi="fa-IR"/>
        </w:rPr>
        <w:t>، بل یبلّغ و یفهمهم علی طریق أهل المحاورة، و لا شکّ أنّ أهل المحاورة لا یفرّقون فی توجیه الخطاب و ألفاظ المخاطبة بین البالغین و من کان عمره أقلّ من عمر البالغ بساعة، بل یخاطبونهم علی نسق واحد و بلفظ واحد، فدعوی أنّ العمومات لا تشمل غیر البالغین أو تکون منصرفة عنهم مجازفة محضة و بلا دلیل و لا برهان</w:t>
      </w:r>
      <w:r>
        <w:rPr>
          <w:rFonts w:eastAsia="IRNazanin" w:cs="IRNazanin"/>
          <w:color w:val="111111"/>
          <w:sz w:val="28"/>
          <w:szCs w:val="28"/>
          <w:rtl w:val="true"/>
          <w:lang w:bidi="fa-IR"/>
        </w:rPr>
        <w:t>»</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 هذا فی نهایة الأفکار</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الفاضل 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مجال لادّعاء الانصراف فیها أصلاً، و القدر المسلّم ثبوت التخصیص بالنسبة إلی الأحکام الوجوبیّة و التحریمیّة من جهة عدم ثبوت إلزامٍ من ناحیة الشارع علی الصبیّ غیر البالغ، و أمّا ثبوت التخصیص فی أدلّة سائر الأحکام فغیر حاصل</w:t>
      </w:r>
      <w:r>
        <w:rPr>
          <w:rFonts w:eastAsia="IRNazanin" w:cs="IRNazanin"/>
          <w:color w:val="111111"/>
          <w:sz w:val="28"/>
          <w:szCs w:val="28"/>
          <w:rtl w:val="true"/>
          <w:lang w:bidi="fa-IR"/>
        </w:rPr>
        <w:t>»</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التکلیف مشروط بالبلوغ، و مع انتفاء الشرط ینتفی المشروط‌</w:t>
      </w:r>
      <w:r>
        <w:rPr>
          <w:rStyle w:val="FootnoteAnchor"/>
          <w:rtl w:val="true"/>
        </w:rPr>
        <w:footnoteReference w:id="2212"/>
      </w:r>
    </w:p>
    <w:p>
      <w:pPr>
        <w:pStyle w:val="BookText"/>
        <w:rPr/>
      </w:pPr>
      <w:r>
        <w:rPr>
          <w:rFonts w:ascii="IRNazanin" w:hAnsi="IRNazanin" w:eastAsia="IRNazanin"/>
          <w:color w:val="111111"/>
          <w:sz w:val="28"/>
          <w:sz w:val="28"/>
          <w:szCs w:val="28"/>
          <w:rtl w:val="true"/>
          <w:lang w:bidi="fa-IR"/>
        </w:rPr>
        <w:t>فالإطلاقات و العمومات الواردة فی التکالیف لا تشمل الصبیّ؛ لانتفاء شرط التکلیف فیه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اللزومی مشروط بالبلوغ، لا الندبی، و لا مانع عقلاً و لا شرعاً و لا عرفاً من تعلّق التکلیف الندبی بالصبیّ الممیّز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الإطلاقات و العمومات لا تشمل الصبیّ من جهة المانع، و هو حدیث الرفع، فإنّه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ما علمت أنّ القلم یرفع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2213"/>
      </w:r>
      <w:r>
        <w:rPr>
          <w:rFonts w:ascii="IRNazanin" w:hAnsi="IRNazanin" w:eastAsia="IRNazanin"/>
          <w:color w:val="111111"/>
          <w:sz w:val="28"/>
          <w:sz w:val="28"/>
          <w:szCs w:val="28"/>
          <w:rtl w:val="true"/>
          <w:lang w:bidi="fa-IR"/>
        </w:rPr>
        <w:t>، فإنّ الحدیث ناظر إلی رفع ما قد وضع فی الشریعة، و أنّ الوضع 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غیر شامل للصبیان، و من المعلوم أنّ المجعول و المکتوب، و ما وضعه اللّه علی عباده حکم وحدانی بسیط، فإذا کان هذا المجعول مرفوعاً عن الصبیّ، و قلم الکتابة مرفوعاً عنه، فبأیّ دلیل یکتب الاستحباب و المشروعیّة</w:t>
      </w:r>
      <w:r>
        <w:rPr>
          <w:rStyle w:val="FootnoteAnchor"/>
          <w:rtl w:val="true"/>
        </w:rPr>
        <w:footnoteReference w:id="221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هو قلم التکلیف و حدیث الرفع یرفعه، فما الدلیل علی بقاء مشروعیّته</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بعض المحقّقین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التحقیق شرعیّة عباداته مطلقاً، و ذلک أنّ 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مستحقّ للمؤاخذة أو التکلیف، و إنّما رفع عنه امتناناً علیه، و هو لا یکون إلّا إذا کان أفعاله نظیر فعل غیره فی الملاک و المحبوبیّة</w:t>
      </w:r>
      <w:r>
        <w:rPr>
          <w:rStyle w:val="FootnoteAnchor"/>
          <w:rtl w:val="true"/>
        </w:rPr>
        <w:footnoteReference w:id="2216"/>
      </w:r>
      <w:r>
        <w:rPr>
          <w:rFonts w:ascii="IRNazanin" w:hAnsi="IRNazanin" w:eastAsia="IRNazanin"/>
          <w:color w:val="111111"/>
          <w:sz w:val="28"/>
          <w:sz w:val="28"/>
          <w:szCs w:val="28"/>
          <w:rtl w:val="true"/>
          <w:lang w:bidi="fa-IR"/>
        </w:rPr>
        <w:t>، فیصحّ أعماله</w:t>
      </w:r>
    </w:p>
    <w:p>
      <w:pPr>
        <w:pStyle w:val="BookText"/>
        <w:rPr/>
      </w:pPr>
      <w:r>
        <w:rPr>
          <w:rFonts w:ascii="IRNazanin" w:hAnsi="IRNazanin" w:eastAsia="IRNazanin"/>
          <w:color w:val="111111"/>
          <w:sz w:val="28"/>
          <w:sz w:val="28"/>
          <w:szCs w:val="28"/>
          <w:rtl w:val="true"/>
          <w:lang w:bidi="fa-IR"/>
        </w:rPr>
        <w:t>بلا إشکال</w:t>
      </w:r>
      <w:r>
        <w:rPr>
          <w:rFonts w:eastAsia="IRNazanin" w:cs="IRNazanin"/>
          <w:color w:val="111111"/>
          <w:sz w:val="28"/>
          <w:szCs w:val="28"/>
          <w:rtl w:val="true"/>
          <w:lang w:bidi="fa-IR"/>
        </w:rPr>
        <w:t>»</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قاله بعض آخر من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أکثر من رفع الإلزام</w:t>
      </w:r>
      <w:r>
        <w:rPr>
          <w:rStyle w:val="FootnoteAnchor"/>
          <w:rtl w:val="true"/>
        </w:rPr>
        <w:footnoteReference w:id="2218"/>
      </w:r>
      <w:r>
        <w:rPr>
          <w:rFonts w:ascii="IRNazanin" w:hAnsi="IRNazanin" w:eastAsia="IRNazanin"/>
          <w:color w:val="111111"/>
          <w:sz w:val="28"/>
          <w:sz w:val="28"/>
          <w:szCs w:val="28"/>
          <w:rtl w:val="true"/>
          <w:lang w:bidi="fa-IR"/>
        </w:rPr>
        <w:t>؛ لأنّه ورد فی مقام الامتنان و اللطف و الرأفة و الرحمة، مثل قاعدة الحرج عند المشهور، فإنّهم یقولون ببقاء الملاک و ارتفاع الإلزام و الوجوب؛ للامتنان، و لذلک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تحمّل الحرج و أتی به یکون صحیحاً و مجزئاً</w:t>
      </w:r>
      <w:r>
        <w:rPr>
          <w:rFonts w:eastAsia="IRNazanin" w:cs="IRNazanin"/>
          <w:color w:val="111111"/>
          <w:sz w:val="28"/>
          <w:szCs w:val="28"/>
          <w:rtl w:val="true"/>
          <w:lang w:bidi="fa-IR"/>
        </w:rPr>
        <w:t>»</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بعض أعلام العصر تبعاً للشیخ الأعظم</w:t>
      </w:r>
      <w:r>
        <w:rPr>
          <w:rStyle w:val="FootnoteAnchor"/>
          <w:rtl w:val="true"/>
        </w:rPr>
        <w:footnoteReference w:id="2220"/>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المرفوع فی حدیث رفع القلم هو قلم المؤاخذة و العقوبة، و مرجعه إلی عدم استحقاق العقوبة علی ترک الواجب و فعل الحرام، فلا بدّ أن یقال بثبوت التکلیف فی حقّ الصبیّ مطلقاً، و لکنّه لا یترتّب علی المخالفة مؤاخذة و عقوبة، فتصرّف الحدیث فی الأدلّة العامّة لیس کتصرّف المخصّص فی العام بنحو یوجب قصر مفاده و لو فی عالم الإرادة الجدّیّة علی مورد الخاصّ، فإنّ المقام لیس من هذا القبیل، بل الحدیث یخصّص لازم التکلیف لا نفسه، و استلزام تخصیص اللازم لتخصیص الملزوم ممنوع؛ لأنّ الملازمة غیر دائمیّة، و التعبیر عن العبادات الواجبة بالاستحبابیّة فی حق الصبیّ إنّما هو بلحاظ عدم</w:t>
      </w:r>
    </w:p>
    <w:p>
      <w:pPr>
        <w:pStyle w:val="BookText"/>
        <w:rPr/>
      </w:pPr>
      <w:r>
        <w:rPr>
          <w:rFonts w:ascii="IRNazanin" w:hAnsi="IRNazanin" w:eastAsia="IRNazanin"/>
          <w:color w:val="111111"/>
          <w:sz w:val="28"/>
          <w:sz w:val="28"/>
          <w:szCs w:val="28"/>
          <w:rtl w:val="true"/>
          <w:lang w:bidi="fa-IR"/>
        </w:rPr>
        <w:t>ترتّب ما یترقّب من الوجوب؛ لعدم استلزامها لاستحقاق العقوبة و المؤاخذة بوجه</w:t>
      </w:r>
      <w:r>
        <w:rPr>
          <w:rFonts w:eastAsia="IRNazanin" w:cs="IRNazanin"/>
          <w:color w:val="111111"/>
          <w:sz w:val="28"/>
          <w:szCs w:val="28"/>
          <w:rtl w:val="true"/>
          <w:lang w:bidi="fa-IR"/>
        </w:rPr>
        <w:t>»</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ما ذکروه یکون جواباً عن الإیراد علی قول من یقول إنّ الوجوب مرکّب من شیئین،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 الإلزام، أو الأمر و الترخیص فی الترک، و الحدیث یرفع الإلزام أو المؤاخذة، فیبقی المجعول الشرعی شاملاً للصبیان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ما ثبت عند الأعلام من المحقّقین الاُصولیّین فی باب الطلب و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الصیغة لا تدلّ علی الحتم و الوجوب، بل العقل یحکم بالوجوب بمقتضی قانون العبودیّة و المولویّة إذا لم ینصب قرینة علی الترخیص، و یکون المجعول الشرعی أمراً واحداً بسیطاً، و الوجوب و الاستحباب أمران منتزعان للعقل من ورود القرینة علی الترخیص فی الترک أو علی المنع عنه، فإذا رَفَعَ الحدیثُ المجعولَ الشرعیّ، کما أنّه کذلک فی حقّ الصبیان، لم یبق شیء حتّی یشملهم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الجواب</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النائینی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الوجوب إنّما یکون حکماً عقلیّاً، لا أنّه أمر شرعی ینشئه الآمر حتّی یکون ذلک مفاد الصیغة و مدلولها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کون الوجوب حکماً عقلیّاً هو أن العبد لا بدّ أن ینبعث عن بعث المولی، إلّا أن یرد منه الترخیص بعد ما کان المولی قد أعمل ما کان من وظیفته و أظهر و بعث، و قال مولویّاً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 لیس وظیفة المولی أکثر من ذلک، و بعد إعمال المولی وظیفته تصل النوبة إلی حکم العقل من لزوم انبعاث العبد عن بعث المولی،</w:t>
      </w:r>
    </w:p>
    <w:p>
      <w:pPr>
        <w:pStyle w:val="BookText"/>
        <w:rPr/>
      </w:pPr>
      <w:r>
        <w:rPr>
          <w:rFonts w:ascii="IRNazanin" w:hAnsi="IRNazanin" w:eastAsia="IRNazanin"/>
          <w:color w:val="111111"/>
          <w:sz w:val="28"/>
          <w:sz w:val="28"/>
          <w:szCs w:val="28"/>
          <w:rtl w:val="true"/>
          <w:lang w:bidi="fa-IR"/>
        </w:rPr>
        <w:t>و لا نعنی بالوجوب سوی ذلک</w:t>
      </w:r>
      <w:r>
        <w:rPr>
          <w:rFonts w:eastAsia="IRNazanin" w:cs="IRNazanin"/>
          <w:color w:val="111111"/>
          <w:sz w:val="28"/>
          <w:szCs w:val="28"/>
          <w:rtl w:val="true"/>
          <w:lang w:bidi="fa-IR"/>
        </w:rPr>
        <w:t>»</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لعلّه لأجل ذلک أمر بعض الأعلام بالتدبّر،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کلامه المتقدّم فی الجواب عن الإیراد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المتضمّن للرفع فی مقام التشریع لا یکاد یرفع المؤاخذة أو استحقاقها أصلاً، فتدبّر</w:t>
      </w:r>
      <w:r>
        <w:rPr>
          <w:rFonts w:eastAsia="IRNazanin" w:cs="IRNazanin"/>
          <w:color w:val="111111"/>
          <w:sz w:val="28"/>
          <w:szCs w:val="28"/>
          <w:rtl w:val="true"/>
          <w:lang w:bidi="fa-IR"/>
        </w:rPr>
        <w:t>»</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فعلی فرض قبول القول الأخیر</w:t>
      </w:r>
      <w:r>
        <w:rPr>
          <w:rStyle w:val="FootnoteAnchor"/>
          <w:rtl w:val="true"/>
        </w:rPr>
        <w:footnoteReference w:id="2224"/>
      </w:r>
      <w:r>
        <w:rPr>
          <w:rFonts w:ascii="IRNazanin" w:hAnsi="IRNazanin" w:eastAsia="IRNazanin"/>
          <w:color w:val="111111"/>
          <w:sz w:val="28"/>
          <w:sz w:val="28"/>
          <w:szCs w:val="28"/>
          <w:rtl w:val="true"/>
          <w:lang w:bidi="fa-IR"/>
        </w:rPr>
        <w:t>فمقتضاه هو عدم المشروعیّة فیما لم یکن دلیل علی شرعیّة عبادات الصبیّ سوی العمومات الظاهرة فی الوجوب، و حیث إنّ غیرها موجودة فیمکن أن یستدلّ لإثبات استحباب عبادات الصبیّ إلیها، و سنذکرها قریباً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و الإطلاقات غیر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عمومات ترغّب کلّ أحد إلی العمل بمفادها، کما فی الصلاة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w:t>
      </w:r>
      <w:r>
        <w:rPr>
          <w:rStyle w:val="FootnoteAnchor"/>
          <w:rtl w:val="true"/>
        </w:rPr>
        <w:footnoteReference w:id="2225"/>
      </w:r>
      <w:r>
        <w:rPr>
          <w:rFonts w:ascii="IRNazanin" w:hAnsi="IRNazanin" w:eastAsia="IRNazanin"/>
          <w:color w:val="111111"/>
          <w:sz w:val="28"/>
          <w:sz w:val="28"/>
          <w:szCs w:val="28"/>
          <w:rtl w:val="true"/>
          <w:lang w:bidi="fa-IR"/>
        </w:rPr>
        <w:t xml:space="preserve">، </w:t>
      </w:r>
      <w:r>
        <w:rPr>
          <w:rStyle w:val="FootnoteAnchor"/>
          <w:rtl w:val="true"/>
        </w:rPr>
        <w:footnoteReference w:id="2226"/>
      </w:r>
      <w:r>
        <w:rPr>
          <w:rFonts w:ascii="IRNazanin" w:hAnsi="IRNazanin" w:eastAsia="IRNazanin"/>
          <w:color w:val="111111"/>
          <w:sz w:val="28"/>
          <w:sz w:val="28"/>
          <w:szCs w:val="28"/>
          <w:rtl w:val="true"/>
          <w:lang w:bidi="fa-IR"/>
        </w:rPr>
        <w:t>و نحوه فی الصوم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w:t>
      </w:r>
      <w:r>
        <w:rPr>
          <w:rStyle w:val="FootnoteAnchor"/>
          <w:rtl w:val="true"/>
        </w:rPr>
        <w:footnoteReference w:id="2227"/>
      </w:r>
      <w:r>
        <w:rPr>
          <w:rFonts w:ascii="IRNazanin" w:hAnsi="IRNazanin" w:eastAsia="IRNazanin"/>
          <w:color w:val="111111"/>
          <w:sz w:val="28"/>
          <w:sz w:val="28"/>
          <w:szCs w:val="28"/>
          <w:rtl w:val="true"/>
          <w:lang w:bidi="fa-IR"/>
        </w:rPr>
        <w:t>، فهذه العمومات لا تقصر عن إفادة استحباب هذه العبادات للصبیّ أیضاً، و هو مساوق للصحّة، کما أشار إلیه بعض الفقهاء</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کتاب البیع للشیخ الأراکی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الخطابات التکلیفیّة الواردة فی أبوابها مقیّدة بالبالغین، فلا یمکن الأخذ بإطلاق موادّها للاقتران بما یصلح للقیدیّة، لکنّ الأخبار المتعرّضة لأجزاء الصلاة و شرائطها خالیة عن ذکر شرطیّة 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موضوع</w:t>
      </w:r>
      <w:r>
        <w:rPr>
          <w:rFonts w:eastAsia="IRNazanin" w:cs="IRNazanin"/>
          <w:color w:val="111111"/>
          <w:sz w:val="28"/>
          <w:szCs w:val="28"/>
          <w:rtl w:val="true"/>
          <w:lang w:bidi="fa-IR"/>
        </w:rPr>
        <w:t>»</w:t>
      </w:r>
      <w:r>
        <w:rPr>
          <w:rStyle w:val="FootnoteAnchor"/>
          <w:rtl w:val="true"/>
        </w:rPr>
        <w:footnoteReference w:id="2229"/>
      </w:r>
      <w:r>
        <w:rPr>
          <w:rFonts w:ascii="IRNazanin" w:hAnsi="IRNazanin" w:eastAsia="IRNazanin"/>
          <w:color w:val="111111"/>
          <w:sz w:val="28"/>
          <w:sz w:val="28"/>
          <w:szCs w:val="28"/>
          <w:rtl w:val="true"/>
          <w:lang w:bidi="fa-IR"/>
        </w:rPr>
        <w:t>فیبقی إطلاق مثله الذی لا شبهة فی إطلاقه من جهة الموضوع، و کذا الأخبار المبیّنة لأجزاء العبادة و شرائطها، الدالّة بإطلاقها علی أنّ الجامع لتلک الأجزاء و الشرائط صلاة من غیر فرق بین کون الفاعل بالغاً و عدمه</w:t>
      </w:r>
      <w:r>
        <w:rPr>
          <w:rFonts w:eastAsia="IRNazanin" w:cs="IRNazanin"/>
          <w:color w:val="111111"/>
          <w:sz w:val="28"/>
          <w:szCs w:val="28"/>
          <w:rtl w:val="true"/>
          <w:lang w:bidi="fa-IR"/>
        </w:rPr>
        <w:t>»</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و الإطلاقات الّتی دلّت علی ترتّب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العمومات و الإطلاقات التی دلّت علی ترتّب الثواب علی الأفعال،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من صلّی أو صام أو حجّ أو أعطی الزکاة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کذا، کما ورد فی الصوم المستحبّ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صام ذلک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سبعة و عشرین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له صیام ستّین شهراً</w:t>
      </w:r>
      <w:r>
        <w:rPr>
          <w:rFonts w:eastAsia="Amiri" w:cs="Amiri" w:ascii="Amiri" w:hAnsi="Amiri"/>
          <w:color w:val="111111"/>
          <w:sz w:val="28"/>
          <w:szCs w:val="28"/>
          <w:rtl w:val="true"/>
          <w:lang w:bidi="ar-SA"/>
        </w:rPr>
        <w:t>»</w:t>
      </w:r>
      <w:r>
        <w:rPr>
          <w:rStyle w:val="FootnoteAnchor"/>
          <w:rtl w:val="true"/>
        </w:rPr>
        <w:footnoteReference w:id="2231"/>
      </w:r>
      <w:r>
        <w:rPr>
          <w:rFonts w:ascii="IRNazanin" w:hAnsi="IRNazanin" w:eastAsia="IRNazanin"/>
          <w:color w:val="111111"/>
          <w:sz w:val="28"/>
          <w:sz w:val="28"/>
          <w:szCs w:val="28"/>
          <w:rtl w:val="true"/>
          <w:lang w:bidi="fa-IR"/>
        </w:rPr>
        <w:t>، و غیرها</w:t>
      </w:r>
      <w:r>
        <w:rPr>
          <w:rStyle w:val="FootnoteAnchor"/>
          <w:rtl w:val="true"/>
        </w:rPr>
        <w:footnoteReference w:id="2232"/>
      </w:r>
      <w:r>
        <w:rPr>
          <w:rFonts w:ascii="IRNazanin" w:hAnsi="IRNazanin" w:eastAsia="IRNazanin"/>
          <w:color w:val="111111"/>
          <w:sz w:val="28"/>
          <w:sz w:val="28"/>
          <w:szCs w:val="28"/>
          <w:rtl w:val="true"/>
          <w:lang w:bidi="fa-IR"/>
        </w:rPr>
        <w:t>، فهذه النصوص تشمل غیر البالغین کشمولها للبالغین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الانصراف إلی البالغین خروج عن ظاهر اللفظ، و لا شکّ أنّ ترتّب الثواب علی فعل یکون من لوازم ذلک الفعل، فتدلّ بالدلالة الالتزامیّة علی استحباب تلک الأفعال علی غیر البالغین بعد القطع بعدم وجوبها علیهم</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الأعلام فی تقریر هذا الدلیل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سیاقها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العمومات التی تدلّ علی ترتّب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سیاق من أتلف مال الغیر فهو له ضامن، فکما أنّ الثانی لا یختصّ بالبالغ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لا ینبغی دعوی اختصاص الأوّل بالبالغ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الانصراف ممنوعة</w:t>
      </w:r>
      <w:r>
        <w:rPr>
          <w:rFonts w:eastAsia="IRNazanin" w:cs="IRNazanin"/>
          <w:color w:val="111111"/>
          <w:sz w:val="28"/>
          <w:szCs w:val="28"/>
          <w:rtl w:val="true"/>
          <w:lang w:bidi="fa-IR"/>
        </w:rPr>
        <w:t>»</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r>
        <w:rPr>
          <w:rStyle w:val="FootnoteAnchor"/>
          <w:rtl w:val="true"/>
        </w:rPr>
        <w:footnoteReference w:id="2235"/>
      </w:r>
      <w:r>
        <w:rPr>
          <w:rFonts w:ascii="IRNazanin" w:hAnsi="IRNazanin" w:eastAsia="IRNazanin"/>
          <w:color w:val="111111"/>
          <w:sz w:val="28"/>
          <w:sz w:val="28"/>
          <w:szCs w:val="28"/>
          <w:rtl w:val="true"/>
          <w:lang w:bidi="fa-IR"/>
        </w:rPr>
        <w:t>التی تضمّنت أنّ الحسنات تکتب لأطفال المسلمین کما تکتب للمکلّفین،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أولاد المسلمین موسومون عند اللّه، شافع و مشفّع، فإذا بلغوا اثنتی عشرة سنة کتبت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الحسنات، فإذا بلغوا الحلم کتبت علیهم السیّئات</w:t>
      </w:r>
      <w:r>
        <w:rPr>
          <w:rFonts w:eastAsia="IRNazanin" w:cs="IRNazanin"/>
          <w:color w:val="111111"/>
          <w:sz w:val="28"/>
          <w:szCs w:val="28"/>
          <w:rtl w:val="true"/>
          <w:lang w:bidi="fa-IR"/>
        </w:rPr>
        <w:t>»</w:t>
      </w:r>
      <w:r>
        <w:rPr>
          <w:rStyle w:val="FootnoteAnchor"/>
          <w:rtl w:val="true"/>
        </w:rPr>
        <w:footnoteReference w:id="2236"/>
      </w:r>
      <w:r>
        <w:rPr>
          <w:rFonts w:ascii="IRNazanin" w:hAnsi="IRNazanin" w:eastAsia="IRNazanin"/>
          <w:color w:val="111111"/>
          <w:sz w:val="28"/>
          <w:sz w:val="28"/>
          <w:szCs w:val="28"/>
          <w:rtl w:val="true"/>
          <w:lang w:bidi="fa-IR"/>
        </w:rPr>
        <w:t>، فإنّ ظاهر قوله علیه السلام کتبت لهم الحسنات استحباب فعله و مطلوبیّته عند الشارع، و إلّا فلا وجه لصیرورة فعله منشأً لکتابة الحسنات له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یمکن أن یستدلّ بنوع آخر من الإطلاقات، و تقریر الاستدلال بها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التی تدلّ علی عدم ضیاع عمل العامل،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نُضِیعُ أَجْرَ مَنْ أَحْسَنَ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لا أُضِیعُ عَمَلَ عامِلٍ مِنْکُمْ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هکذا الإطلاقات التی تدلّ علی أنّ العمل الصالح مجزیّ به،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تَجِدُ کُلُّ نَفْسٍ ما عَمِلَتْ</w:t>
      </w:r>
    </w:p>
    <w:p>
      <w:pPr>
        <w:pStyle w:val="BookText"/>
        <w:rPr/>
      </w:pPr>
      <w:r>
        <w:rPr>
          <w:rFonts w:ascii="IRNazanin" w:hAnsi="IRNazanin" w:eastAsia="IRNazanin"/>
          <w:color w:val="111111"/>
          <w:sz w:val="28"/>
          <w:sz w:val="28"/>
          <w:szCs w:val="28"/>
          <w:rtl w:val="true"/>
          <w:lang w:bidi="fa-IR"/>
        </w:rPr>
        <w:t>مِنْ خَیْرٍ مُحْضَراً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فإنّها تشمل غیر البالغین کالبالغین؛ لأنّ شرط صحّة الخطاب هو الفهم العرفی، و هذا متوفّر فی الصبیّ الممیّز، و لا یجری هنا حدیث الرفع؛ لأنّ هذه الإطلاقات کانت فی مقام بیان کرامة اللّه و تفضّله علی العباد بفعلهم الأفعال التی کانت مطلوبة للشرع، و هی لا تقتضی التقیید و التخصیص، بل آبٍ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شکّ فی أنّ الصبیّ إن فعل الفعل الحسن مثل الصلاة یصدق أنّه عمل عملاً صالحاً، فلا یضیّعه اللّه، و هو مستلزم لمشروعیّته</w:t>
      </w:r>
      <w:r>
        <w:rPr>
          <w:rStyle w:val="FootnoteAnchor"/>
          <w:rtl w:val="true"/>
        </w:rPr>
        <w:footnoteReference w:id="2237"/>
      </w:r>
      <w:r>
        <w:rPr>
          <w:rFonts w:ascii="IRNazanin" w:hAnsi="IRNazanin" w:eastAsia="IRNazanin"/>
          <w:color w:val="111111"/>
          <w:sz w:val="28"/>
          <w:sz w:val="28"/>
          <w:szCs w:val="28"/>
          <w:rtl w:val="true"/>
          <w:lang w:bidi="fa-IR"/>
        </w:rPr>
        <w:t>،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حدیث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 خطأه واحد</w:t>
      </w:r>
      <w:r>
        <w:rPr>
          <w:rFonts w:eastAsia="IRNazanin" w:cs="IRNazanin"/>
          <w:color w:val="111111"/>
          <w:sz w:val="28"/>
          <w:szCs w:val="28"/>
          <w:rtl w:val="true"/>
          <w:lang w:bidi="fa-IR"/>
        </w:rPr>
        <w:t>»</w:t>
      </w:r>
      <w:r>
        <w:rPr>
          <w:rStyle w:val="FootnoteAnchor"/>
          <w:rtl w:val="true"/>
        </w:rPr>
        <w:footnoteReference w:id="2238"/>
      </w:r>
      <w:r>
        <w:rPr>
          <w:rFonts w:ascii="IRNazanin" w:hAnsi="IRNazanin" w:eastAsia="IRNazanin"/>
          <w:color w:val="111111"/>
          <w:sz w:val="28"/>
          <w:sz w:val="28"/>
          <w:szCs w:val="28"/>
          <w:rtl w:val="true"/>
          <w:lang w:bidi="fa-IR"/>
        </w:rPr>
        <w:t>، و هو دلیل علی عدم مشروعیّة عبادات الصبیّ، حیث تدلّ علی أنّ الفعل الصادر من الصبیّ عن قصد ملحقاً بفعل البهائم و المجانین شرعاً، و علی هذا لا تشمله الإطلاقات، سواء کانت وجوبیّة أو استحبابیّة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و ما فی معناها تختصّ بما یترتّب علیه المؤاخذة و العقوبة، و الشاهد علیه ما ورد فی ذیل بعض الروایات،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الصبیان خطأ یحمل علی العاقلة</w:t>
      </w:r>
      <w:r>
        <w:rPr>
          <w:rFonts w:eastAsia="IRNazanin" w:cs="IRNazanin"/>
          <w:color w:val="111111"/>
          <w:sz w:val="28"/>
          <w:szCs w:val="28"/>
          <w:rtl w:val="true"/>
          <w:lang w:bidi="fa-IR"/>
        </w:rPr>
        <w:t>»</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هی فی ما یترتّب علیه المؤاخذة و العقوبة،</w:t>
      </w:r>
    </w:p>
    <w:p>
      <w:pPr>
        <w:pStyle w:val="BookText"/>
        <w:rPr/>
      </w:pPr>
      <w:r>
        <w:rPr>
          <w:rFonts w:ascii="IRNazanin" w:hAnsi="IRNazanin" w:eastAsia="IRNazanin"/>
          <w:color w:val="111111"/>
          <w:sz w:val="28"/>
          <w:sz w:val="28"/>
          <w:szCs w:val="28"/>
          <w:rtl w:val="true"/>
          <w:lang w:bidi="fa-IR"/>
        </w:rPr>
        <w:t>لا مطلقاً حتّی فی ما یعود نفعه إلیه، و من هنا قد یقوی فی النظر صحّة التقاطه و حیازته، بل اتّهابه و قبضه للعین الموهوبة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سائر عباداته</w:t>
      </w:r>
      <w:r>
        <w:rPr>
          <w:rFonts w:eastAsia="IRNazanin" w:cs="IRNazanin"/>
          <w:color w:val="111111"/>
          <w:sz w:val="28"/>
          <w:szCs w:val="28"/>
          <w:rtl w:val="true"/>
          <w:lang w:bidi="fa-IR"/>
        </w:rPr>
        <w:t>»</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الظاهر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العمد منزلة الخطأ و تشبیهه به فی الحکم، لا مجرّد سلب حکم العمد، و إلّا لم یکن وجه لذکر الخطأ، بل کان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کالعدم، فلا بدّ أن یکون مصبّ هذه القضیّة عملاً کان لعمده حکم و لخطائه حکم، فیحکم بأنّ عمده من الصبیّ بحکم الخطأ من غیره، و هو کما فی باب الجنایات، فلا مساس له بالمعاملات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فیختصّ الخبر بباب الجنایات</w:t>
      </w:r>
      <w:r>
        <w:rPr>
          <w:rFonts w:eastAsia="IRNazanin" w:cs="IRNazanin"/>
          <w:color w:val="111111"/>
          <w:sz w:val="28"/>
          <w:szCs w:val="28"/>
          <w:rtl w:val="true"/>
          <w:lang w:bidi="fa-IR"/>
        </w:rPr>
        <w:t>»</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بالأمر بشیء أمر بذلک الشیء قد وردت روایات فی أبواب مختلفة تقتضی أنّه علی الأولیاء أن یأمروا صبیانهم بالصلاة و الصیام، کقوله علیه السلام فی صحیح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نأمر صبیاننا بالصلاة إذا کانوا بنی خمس سنین، فمروا صبیانکم بالصلاة إذا کانوا بنی سبع سنین</w:t>
      </w:r>
      <w:r>
        <w:rPr>
          <w:rFonts w:eastAsia="IRNazanin" w:cs="IRNazanin"/>
          <w:color w:val="111111"/>
          <w:sz w:val="28"/>
          <w:szCs w:val="28"/>
          <w:rtl w:val="true"/>
          <w:lang w:bidi="fa-IR"/>
        </w:rPr>
        <w:t>»</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نأمر صبیاننا بالصیام إذا کانوا بنی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فمروا صبیانکم إذا کانوا بنی تسع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2243"/>
      </w:r>
      <w:r>
        <w:rPr>
          <w:rFonts w:ascii="IRNazanin" w:hAnsi="IRNazanin" w:eastAsia="IRNazanin"/>
          <w:color w:val="111111"/>
          <w:sz w:val="28"/>
          <w:sz w:val="28"/>
          <w:szCs w:val="28"/>
          <w:rtl w:val="true"/>
          <w:lang w:bidi="fa-IR"/>
        </w:rPr>
        <w:t>، و غیرهما</w:t>
      </w:r>
      <w:r>
        <w:rPr>
          <w:rStyle w:val="FootnoteAnchor"/>
          <w:rtl w:val="true"/>
        </w:rPr>
        <w:footnoteReference w:id="2244"/>
      </w:r>
      <w:r>
        <w:rPr>
          <w:rFonts w:ascii="IRNazanin" w:hAnsi="IRNazanin" w:eastAsia="IRNazanin"/>
          <w:color w:val="111111"/>
          <w:sz w:val="28"/>
          <w:sz w:val="28"/>
          <w:szCs w:val="28"/>
          <w:rtl w:val="true"/>
          <w:lang w:bidi="fa-IR"/>
        </w:rPr>
        <w:t>، فإنّ المستفاد منها أمر الصبیان بالصلاة و الصوم و نحوهما شرعاً؛ لأجل أنّه قد ثبت فی اصول</w:t>
      </w:r>
    </w:p>
    <w:p>
      <w:pPr>
        <w:pStyle w:val="BookText"/>
        <w:rPr/>
      </w:pPr>
      <w:r>
        <w:rPr>
          <w:rFonts w:ascii="IRNazanin" w:hAnsi="IRNazanin" w:eastAsia="IRNazanin"/>
          <w:color w:val="111111"/>
          <w:sz w:val="28"/>
          <w:sz w:val="28"/>
          <w:szCs w:val="28"/>
          <w:rtl w:val="true"/>
          <w:lang w:bidi="fa-IR"/>
        </w:rPr>
        <w:t>الفقه</w:t>
      </w:r>
      <w:r>
        <w:rPr>
          <w:rStyle w:val="FootnoteAnchor"/>
          <w:rtl w:val="true"/>
        </w:rPr>
        <w:footnoteReference w:id="2245"/>
      </w:r>
      <w:r>
        <w:rPr>
          <w:rFonts w:ascii="IRNazanin" w:hAnsi="IRNazanin" w:eastAsia="IRNazanin"/>
          <w:color w:val="111111"/>
          <w:sz w:val="28"/>
          <w:sz w:val="28"/>
          <w:szCs w:val="28"/>
          <w:rtl w:val="true"/>
          <w:lang w:bidi="fa-IR"/>
        </w:rPr>
        <w:t>أنّ الأمر بالأمر بشیء أمر بذلک الشیء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القرینة قامت علی الترخیص فی الترک فی حقّ الصبیان، فیستفاد منهما شرعیّة عبادات الصبیّ من غیر أن تکون واجبة فی حقّه، و استدلّ به جملة من الأعلام</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فالعمدة فی إثبات المشروعیّة و عدم کونها صوریّة تمرینیّة، هی هذه الأخبار</w:t>
      </w:r>
      <w:r>
        <w:rPr>
          <w:rStyle w:val="FootnoteAnchor"/>
          <w:rtl w:val="true"/>
        </w:rPr>
        <w:footnoteReference w:id="2247"/>
      </w:r>
      <w:r>
        <w:rPr>
          <w:rFonts w:ascii="IRNazanin" w:hAnsi="IRNazanin" w:eastAsia="IRNazanin"/>
          <w:color w:val="111111"/>
          <w:sz w:val="28"/>
          <w:sz w:val="28"/>
          <w:szCs w:val="28"/>
          <w:rtl w:val="true"/>
          <w:lang w:bidi="fa-IR"/>
        </w:rPr>
        <w:t>التی تدلّ علی تعلّق الأمر الشرعی بنفس تلک الأفعال بمقتضی الفهم العرفی</w:t>
      </w:r>
      <w:r>
        <w:rPr>
          <w:rFonts w:eastAsia="IRNazanin" w:cs="IRNazanin"/>
          <w:color w:val="111111"/>
          <w:sz w:val="28"/>
          <w:szCs w:val="28"/>
          <w:rtl w:val="true"/>
          <w:lang w:bidi="fa-IR"/>
        </w:rPr>
        <w:t>»</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تدخل هذه المسألة فی مسألة الأمر بالأمر بالشیء، حتّی یلازم للأمر بالشیء، فیصیر عمل الصبیّ مأموراً به استحباباً؛ و ذلک لأنّ مورد المسألة ما إذا کانت المصلحة قائمة بنفس ذلک الشیء، و المولی حیث لا یکون قادراً علی مخاطبة جمیع 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حضورهم عنده یأمر العبد الحاضر أن یأمر الباقین بإتیان ما تقوم به المصلحة المنظورة للمولی، و أمّا فی المقام فالمفروض أنّ الغرض من أمر الولیّ لیس تحقّق الصلاة من الطفل، بل الغرض تحقّق التمرین</w:t>
      </w:r>
      <w:r>
        <w:rPr>
          <w:rStyle w:val="FootnoteAnchor"/>
          <w:rtl w:val="true"/>
        </w:rPr>
        <w:footnoteReference w:id="2249"/>
      </w:r>
      <w:r>
        <w:rPr>
          <w:rFonts w:ascii="IRNazanin" w:hAnsi="IRNazanin" w:eastAsia="IRNazanin"/>
          <w:color w:val="111111"/>
          <w:sz w:val="28"/>
          <w:sz w:val="28"/>
          <w:szCs w:val="28"/>
          <w:rtl w:val="true"/>
          <w:lang w:bidi="fa-IR"/>
        </w:rPr>
        <w:t>و التعوید، و فی الحقیقة</w:t>
      </w:r>
    </w:p>
    <w:p>
      <w:pPr>
        <w:pStyle w:val="BookText"/>
        <w:rPr/>
      </w:pPr>
      <w:r>
        <w:rPr>
          <w:rFonts w:ascii="IRNazanin" w:hAnsi="IRNazanin" w:eastAsia="IRNazanin"/>
          <w:color w:val="111111"/>
          <w:sz w:val="28"/>
          <w:sz w:val="28"/>
          <w:szCs w:val="28"/>
          <w:rtl w:val="true"/>
          <w:lang w:bidi="fa-IR"/>
        </w:rPr>
        <w:t xml:space="preserve">یکون المأمور به ذلک و المصلحة قائمة به، إلّا أن یقال بعدم تحقّق التمرین و العادة بمجرّد أمر الولیّ الطفل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لم تتحقّق من الطفل الموافقة لأمر ولیّه و الصلاة مکرّراً لا تتحقّق العادة بوجهٍ، و علیه فالعادة حاصلة بفعل الطفل، فإذا فرض قیام المصلحة بها ففی الحقیقة یکون فعل الطفل مشتملاً علی المصلحة لا بعنوان الصلاة، بل بعنوان العادة و حصول الاعتیاد، لکنّه یرجع أیضاً إلی عدم کون الصلاة ذات مصلحة، فلا تکون شرعیّة، فتدبّر</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الأوّلی یقتضی أن تکون المصلحة قائمة بنفس متعلّق الأمر، و خلافه یحتاج إلی دلیل، و متعلّق الأمر فی المقام هو نفس صلاة الصبیّ أو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فالمصلحة قائمة بإتیانها، و لا یستفاد من تلک الأوامر أن تمام الغرض تمرین الصبیّ بفعلها، و الشاهد علی ذلک ما ورد فی بعضها بلفظ وجب، کما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أتی علی الصبیّ ستّ سنین وجب علیه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أطاق الصوم وجب علیه الصیام</w:t>
      </w:r>
      <w:r>
        <w:rPr>
          <w:rFonts w:eastAsia="IRNazanin" w:cs="IRNazanin"/>
          <w:color w:val="111111"/>
          <w:sz w:val="28"/>
          <w:szCs w:val="28"/>
          <w:rtl w:val="true"/>
          <w:lang w:bidi="fa-IR"/>
        </w:rPr>
        <w:t>»</w:t>
      </w:r>
      <w:r>
        <w:rPr>
          <w:rStyle w:val="FootnoteAnchor"/>
          <w:rtl w:val="true"/>
        </w:rPr>
        <w:footnoteReference w:id="2251"/>
      </w:r>
      <w:r>
        <w:rPr>
          <w:rFonts w:ascii="IRNazanin" w:hAnsi="IRNazanin" w:eastAsia="IRNazanin"/>
          <w:color w:val="111111"/>
          <w:sz w:val="28"/>
          <w:sz w:val="28"/>
          <w:szCs w:val="28"/>
          <w:rtl w:val="true"/>
          <w:lang w:bidi="fa-IR"/>
        </w:rPr>
        <w:t>، و غیرها</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ورد فی بعضها الآخر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صحیحة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فی کم یؤخذ الصبیّ بالصلاة؟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بین</w:t>
      </w:r>
      <w:bookmarkStart w:id="645" w:name="pg11755_255098"/>
    </w:p>
    <w:p>
      <w:pPr>
        <w:pStyle w:val="BookText"/>
        <w:rPr/>
      </w:pPr>
      <w:bookmarkEnd w:id="645"/>
      <w:r>
        <w:rPr>
          <w:rFonts w:ascii="IRNazanin" w:hAnsi="IRNazanin" w:eastAsia="IRNazanin"/>
          <w:color w:val="111111"/>
          <w:sz w:val="28"/>
          <w:sz w:val="28"/>
          <w:szCs w:val="28"/>
          <w:rtl w:val="true"/>
          <w:lang w:bidi="fa-IR"/>
        </w:rPr>
        <w:t>سبع سنین</w:t>
      </w:r>
      <w:r>
        <w:rPr>
          <w:rFonts w:eastAsia="IRNazanin" w:cs="IRNazanin"/>
          <w:color w:val="111111"/>
          <w:sz w:val="28"/>
          <w:szCs w:val="28"/>
          <w:rtl w:val="true"/>
          <w:lang w:bidi="fa-IR"/>
        </w:rPr>
        <w:t>...»</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صبیانکم الصلاة و خذوهم بها إذا بلغوا ثمانی سنین</w:t>
      </w:r>
      <w:r>
        <w:rPr>
          <w:rFonts w:eastAsia="IRNazanin" w:cs="IRNazanin"/>
          <w:color w:val="111111"/>
          <w:sz w:val="28"/>
          <w:szCs w:val="28"/>
          <w:rtl w:val="true"/>
          <w:lang w:bidi="fa-IR"/>
        </w:rPr>
        <w:t>»</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لو کان تمام الغرض فیها التمرین لا موجب لمؤاخذة الطفل لترک الصلاة یوماً أو یومین مثلاً، بل هذا أقوی شاهد بأنّ المصلحة قائمة بنفس صلاته و تجویز المؤاخذة للمنع عن تفویتها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ظهر الجواب عمّا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کون الأمر بالأمر أمراً ممنوع، و إطلاق الأوامر مخصوص ببعض المستحبّات و إن تعدّی إلی الباقی بالإجماع المرکّب، و أمّا الایجابیّات فمخصوصة بالمکلّفین؛ إذ لا وجوب علی الصبیّ</w:t>
      </w:r>
      <w:r>
        <w:rPr>
          <w:rFonts w:eastAsia="IRNazanin" w:cs="IRNazanin"/>
          <w:color w:val="111111"/>
          <w:sz w:val="28"/>
          <w:szCs w:val="28"/>
          <w:rtl w:val="true"/>
          <w:lang w:bidi="fa-IR"/>
        </w:rPr>
        <w:t>»</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قد أمر الأولیاء بأن یأمروا صبیانهم بالصلاة و الصوم و التعبیر بلفظ 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قیام المصلحة بفعلهم، و هکذا الأمر بالأمر دلیل علی أنّ الإیجابیّات و إن اختصّت بالمکلّفین بعنوان الحکم الإلزامی، و لکن لا مانع بأن تکون مشروعة فی حقّ الصبیان علی نحو الاستحباب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الخاصّة وردت فی أبواب مختلفة روایات عدیدة یستفاد منها مشروعیّة عبادات الصبیّ، و هی علی طوائف، فنذکر انموذجاً منها علی الترتیب التالی</w:t>
      </w:r>
      <w:r>
        <w:rPr>
          <w:rFonts w:eastAsia="IRNazanin" w:cs="IRNazanin"/>
          <w:color w:val="111111"/>
          <w:sz w:val="28"/>
          <w:szCs w:val="28"/>
          <w:rtl w:val="true"/>
          <w:lang w:bidi="fa-IR"/>
        </w:rPr>
        <w:t>:</w:t>
      </w:r>
    </w:p>
    <w:p>
      <w:pPr>
        <w:pStyle w:val="Heading6"/>
        <w:numPr>
          <w:ilvl w:val="5"/>
          <w:numId w:val="1"/>
        </w:numPr>
        <w:rPr/>
      </w:pPr>
      <w:bookmarkStart w:id="646" w:name="__RefHeading___Toc9587736_73709187"/>
      <w:bookmarkStart w:id="647" w:name="_Toc242"/>
      <w:bookmarkEnd w:id="646"/>
      <w:r>
        <w:rPr>
          <w:rtl w:val="true"/>
        </w:rPr>
        <w:t>الطائفة الاُولی</w:t>
      </w:r>
      <w:r>
        <w:rPr>
          <w:rtl w:val="true"/>
        </w:rPr>
        <w:t xml:space="preserve">: </w:t>
      </w:r>
      <w:r>
        <w:rPr>
          <w:rtl w:val="true"/>
        </w:rPr>
        <w:t>ما ورد فی أذان الصبیّ و جواز إمامته</w:t>
      </w:r>
      <w:bookmarkEnd w:id="64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غیاث بن إبراهیم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بالغلام الّذی</w:t>
      </w:r>
    </w:p>
    <w:p>
      <w:pPr>
        <w:pStyle w:val="BookText"/>
        <w:rPr/>
      </w:pPr>
      <w:r>
        <w:rPr>
          <w:rFonts w:ascii="IRNazanin" w:hAnsi="IRNazanin" w:eastAsia="IRNazanin"/>
          <w:color w:val="111111"/>
          <w:sz w:val="28"/>
          <w:sz w:val="28"/>
          <w:szCs w:val="28"/>
          <w:rtl w:val="true"/>
          <w:lang w:bidi="fa-IR"/>
        </w:rPr>
        <w:t>لم یبلغ الحلم أن یؤمّ القوم، و أن یؤذّن</w:t>
      </w:r>
      <w:r>
        <w:rPr>
          <w:rFonts w:eastAsia="IRNazanin" w:cs="IRNazanin"/>
          <w:color w:val="111111"/>
          <w:sz w:val="28"/>
          <w:szCs w:val="28"/>
          <w:rtl w:val="true"/>
          <w:lang w:bidi="fa-IR"/>
        </w:rPr>
        <w:t>»</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معتبرة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یؤذّن الغلام قبل أن یحتلم</w:t>
      </w:r>
      <w:r>
        <w:rPr>
          <w:rFonts w:eastAsia="IRNazanin" w:cs="IRNazanin"/>
          <w:color w:val="111111"/>
          <w:sz w:val="28"/>
          <w:szCs w:val="28"/>
          <w:rtl w:val="true"/>
          <w:lang w:bidi="fa-IR"/>
        </w:rPr>
        <w:t>»</w:t>
      </w:r>
      <w:r>
        <w:rPr>
          <w:rStyle w:val="FootnoteAnchor"/>
          <w:rtl w:val="true"/>
        </w:rPr>
        <w:footnoteReference w:id="2257"/>
      </w:r>
      <w:r>
        <w:rPr>
          <w:rFonts w:ascii="IRNazanin" w:hAnsi="IRNazanin" w:eastAsia="IRNazanin"/>
          <w:color w:val="111111"/>
          <w:sz w:val="28"/>
          <w:sz w:val="28"/>
          <w:szCs w:val="28"/>
          <w:rtl w:val="true"/>
          <w:lang w:bidi="fa-IR"/>
        </w:rPr>
        <w:t>، و غیرها</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خلاف بین الفقهاء فی أنّ الأذان عبادة متلقّاة من الشرع</w:t>
      </w:r>
      <w:r>
        <w:rPr>
          <w:rStyle w:val="FootnoteAnchor"/>
          <w:rtl w:val="true"/>
        </w:rPr>
        <w:footnoteReference w:id="2259"/>
      </w:r>
      <w:r>
        <w:rPr>
          <w:rFonts w:ascii="IRNazanin" w:hAnsi="IRNazanin" w:eastAsia="IRNazanin"/>
          <w:color w:val="111111"/>
          <w:sz w:val="28"/>
          <w:sz w:val="28"/>
          <w:szCs w:val="28"/>
          <w:rtl w:val="true"/>
          <w:lang w:bidi="fa-IR"/>
        </w:rPr>
        <w:t>، و کما أنّ المشهور بینهم أنّه یصحّ أذان الصبیّ، و هو الحقّ، و ادّعی بعضهم الإجماع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للصبیّ أن یؤذّن للرجال، و یصحّ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 أیضاً الأصل جوازه، و المنع یحتاج إلی دلیل و لا دلیل، و أیضاً الأخبار التی وردت بالأذان تتناول البالغین و غیرهم</w:t>
      </w:r>
      <w:r>
        <w:rPr>
          <w:rFonts w:eastAsia="IRNazanin" w:cs="IRNazanin"/>
          <w:color w:val="111111"/>
          <w:sz w:val="28"/>
          <w:szCs w:val="28"/>
          <w:rtl w:val="true"/>
          <w:lang w:bidi="fa-IR"/>
        </w:rPr>
        <w:t>»</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یعتبر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الإسلام و الذکورة، و لا یشترط البلوغ، بل یکفی کونه ممیّزاً</w:t>
      </w:r>
      <w:r>
        <w:rPr>
          <w:rFonts w:eastAsia="IRNazanin" w:cs="IRNazanin"/>
          <w:color w:val="111111"/>
          <w:sz w:val="28"/>
          <w:szCs w:val="28"/>
          <w:rtl w:val="true"/>
          <w:lang w:bidi="fa-IR"/>
        </w:rPr>
        <w:t>»</w:t>
      </w:r>
      <w:r>
        <w:rPr>
          <w:rStyle w:val="FootnoteAnchor"/>
          <w:rtl w:val="true"/>
        </w:rPr>
        <w:footnoteReference w:id="2261"/>
      </w:r>
      <w:r>
        <w:rPr>
          <w:rFonts w:ascii="IRNazanin" w:hAnsi="IRNazanin" w:eastAsia="IRNazanin"/>
          <w:color w:val="111111"/>
          <w:sz w:val="28"/>
          <w:sz w:val="28"/>
          <w:szCs w:val="28"/>
          <w:rtl w:val="true"/>
          <w:lang w:bidi="fa-IR"/>
        </w:rPr>
        <w:t>، و کذا فی التحریر</w:t>
      </w:r>
      <w:r>
        <w:rPr>
          <w:rStyle w:val="FootnoteAnchor"/>
          <w:rtl w:val="true"/>
        </w:rPr>
        <w:footnoteReference w:id="2262"/>
      </w:r>
      <w:r>
        <w:rPr>
          <w:rFonts w:ascii="IRNazanin" w:hAnsi="IRNazanin" w:eastAsia="IRNazanin"/>
          <w:color w:val="111111"/>
          <w:sz w:val="28"/>
          <w:sz w:val="28"/>
          <w:szCs w:val="28"/>
          <w:rtl w:val="true"/>
          <w:lang w:bidi="fa-IR"/>
        </w:rPr>
        <w:t>و المسالک</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الریاض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الصبیّ الممیّز یجوز أن یؤذّن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اختلفوا فی إمامته للبالغین، فقال بعضهم بالجواز، مثل الشیخ فی الخلاف،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للمراهق الممیّز العاقل أن یکون إماماً</w:t>
      </w:r>
      <w:bookmarkStart w:id="648" w:name="pg11755_255102"/>
    </w:p>
    <w:p>
      <w:pPr>
        <w:pStyle w:val="BookText"/>
        <w:rPr/>
      </w:pPr>
      <w:bookmarkEnd w:id="648"/>
      <w:r>
        <w:rPr>
          <w:rFonts w:ascii="IRNazanin" w:hAnsi="IRNazanin" w:eastAsia="IRNazanin"/>
          <w:color w:val="111111"/>
          <w:sz w:val="28"/>
          <w:sz w:val="28"/>
          <w:szCs w:val="28"/>
          <w:rtl w:val="true"/>
          <w:lang w:bidi="fa-IR"/>
        </w:rPr>
        <w:t>فی الفرائض و النوافل التی یجوز فیها صلاة الجماعة، مثل الاستسقاء</w:t>
      </w:r>
      <w:r>
        <w:rPr>
          <w:rFonts w:eastAsia="IRNazanin" w:cs="IRNazanin"/>
          <w:color w:val="111111"/>
          <w:sz w:val="28"/>
          <w:szCs w:val="28"/>
          <w:rtl w:val="true"/>
          <w:lang w:bidi="fa-IR"/>
        </w:rPr>
        <w:t>»</w:t>
      </w:r>
      <w:r>
        <w:rPr>
          <w:rStyle w:val="FootnoteAnchor"/>
          <w:rtl w:val="true"/>
        </w:rPr>
        <w:footnoteReference w:id="2265"/>
      </w:r>
      <w:r>
        <w:rPr>
          <w:rFonts w:ascii="IRNazanin" w:hAnsi="IRNazanin" w:eastAsia="IRNazanin"/>
          <w:color w:val="111111"/>
          <w:sz w:val="28"/>
          <w:sz w:val="28"/>
          <w:szCs w:val="28"/>
          <w:rtl w:val="true"/>
          <w:lang w:bidi="fa-IR"/>
        </w:rPr>
        <w:t>، و مثل هذا فی التذکرة</w:t>
      </w:r>
      <w:r>
        <w:rPr>
          <w:rStyle w:val="FootnoteAnchor"/>
          <w:rtl w:val="true"/>
        </w:rPr>
        <w:footnoteReference w:id="2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آخر بعدم جوازها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یشترط 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إمام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علی الأظهر الأشهر</w:t>
      </w:r>
      <w:r>
        <w:rPr>
          <w:rFonts w:eastAsia="IRNazanin" w:cs="IRNazanin"/>
          <w:color w:val="111111"/>
          <w:sz w:val="28"/>
          <w:szCs w:val="28"/>
          <w:rtl w:val="true"/>
          <w:lang w:bidi="fa-IR"/>
        </w:rPr>
        <w:t>»</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یعتبر البلوغ فی الإمام للبالغین فی الفرائض علی الأظهر الأشهر، بل علیه عامّة من تأخّر</w:t>
      </w:r>
      <w:r>
        <w:rPr>
          <w:rFonts w:eastAsia="IRNazanin" w:cs="IRNazanin"/>
          <w:color w:val="111111"/>
          <w:sz w:val="28"/>
          <w:szCs w:val="28"/>
          <w:rtl w:val="true"/>
          <w:lang w:bidi="fa-IR"/>
        </w:rPr>
        <w:t>»</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إمامته لغیر البالغین فالظاهر أنّه لا مانع فیها، کما صرّح به فی الجواهر،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لحصول الظنّ القویّ من استقراء الأدلّة بمشروعیّة سائر عبادات البالغین لغیر البالغین، و منها ائتمام بعضهم ببعض کالبالغین</w:t>
      </w:r>
      <w:r>
        <w:rPr>
          <w:rFonts w:eastAsia="IRNazanin" w:cs="IRNazanin"/>
          <w:color w:val="111111"/>
          <w:sz w:val="28"/>
          <w:szCs w:val="28"/>
          <w:rtl w:val="true"/>
          <w:lang w:bidi="fa-IR"/>
        </w:rPr>
        <w:t>»</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تفصیل الکلام فی هذه المسألة فی البحث عن صلاة الصبیّ فی هذا الباب إن شاء اللّه</w:t>
      </w:r>
      <w:r>
        <w:rPr>
          <w:rFonts w:eastAsia="IRNazanin" w:cs="IRNazanin"/>
          <w:color w:val="111111"/>
          <w:sz w:val="28"/>
          <w:szCs w:val="28"/>
          <w:rtl w:val="true"/>
          <w:lang w:bidi="fa-IR"/>
        </w:rPr>
        <w:t>.</w:t>
      </w:r>
    </w:p>
    <w:p>
      <w:pPr>
        <w:pStyle w:val="Heading6"/>
        <w:numPr>
          <w:ilvl w:val="5"/>
          <w:numId w:val="1"/>
        </w:numPr>
        <w:rPr/>
      </w:pPr>
      <w:bookmarkStart w:id="649" w:name="__RefHeading___Toc9587738_73709187"/>
      <w:bookmarkStart w:id="650" w:name="_Toc243"/>
      <w:bookmarkEnd w:id="649"/>
      <w:r>
        <w:rPr>
          <w:rtl w:val="true"/>
        </w:rPr>
        <w:t>الطائفة الثانیة</w:t>
      </w:r>
      <w:r>
        <w:rPr>
          <w:rtl w:val="true"/>
        </w:rPr>
        <w:t xml:space="preserve">: </w:t>
      </w:r>
      <w:r>
        <w:rPr>
          <w:rtl w:val="true"/>
        </w:rPr>
        <w:t>ما ورد فی صوم الصبیّ و صلاته</w:t>
      </w:r>
      <w:bookmarkEnd w:id="65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تقدّم فی معتبرة إسحاق بن عمّار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علی الصبیّ ستّ سنین وجب علیه الصلاة، و إذا أطاق الصوم وجب علیه الصیام</w:t>
      </w:r>
      <w:r>
        <w:rPr>
          <w:rFonts w:eastAsia="IRNazanin" w:cs="IRNazanin"/>
          <w:color w:val="111111"/>
          <w:sz w:val="28"/>
          <w:szCs w:val="28"/>
          <w:rtl w:val="true"/>
          <w:lang w:bidi="fa-IR"/>
        </w:rPr>
        <w:t>»</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bookmarkStart w:id="651" w:name="pg11755_255105"/>
    </w:p>
    <w:p>
      <w:pPr>
        <w:pStyle w:val="BookText"/>
        <w:rPr/>
      </w:pPr>
      <w:bookmarkEnd w:id="65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الغلام متی یجب علیه الصوم و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راهق</w:t>
      </w:r>
      <w:r>
        <w:rPr>
          <w:rStyle w:val="FootnoteAnchor"/>
          <w:rtl w:val="true"/>
        </w:rPr>
        <w:footnoteReference w:id="2271"/>
      </w:r>
      <w:r>
        <w:rPr>
          <w:rFonts w:ascii="Amiri" w:hAnsi="Amiri" w:eastAsia="Amiri" w:cs="Amiri"/>
          <w:color w:val="111111"/>
          <w:sz w:val="28"/>
          <w:sz w:val="28"/>
          <w:szCs w:val="28"/>
          <w:rtl w:val="true"/>
          <w:lang w:bidi="ar-SA"/>
        </w:rPr>
        <w:t>الحلم و عرف الصلاة و الصوم</w:t>
      </w:r>
      <w:r>
        <w:rPr>
          <w:rFonts w:eastAsia="Amiri" w:cs="Amiri" w:ascii="Amiri" w:hAnsi="Amiri"/>
          <w:color w:val="111111"/>
          <w:sz w:val="28"/>
          <w:szCs w:val="28"/>
          <w:rtl w:val="true"/>
          <w:lang w:bidi="ar-SA"/>
        </w:rPr>
        <w:t>»</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أطاق الغلام صوم ثلاثة أیام متتابعة فقد وجب علیه صوم شهر رمضان</w:t>
      </w:r>
      <w:r>
        <w:rPr>
          <w:rFonts w:eastAsia="IRNazanin" w:cs="IRNazanin"/>
          <w:color w:val="111111"/>
          <w:sz w:val="28"/>
          <w:szCs w:val="28"/>
          <w:rtl w:val="true"/>
          <w:lang w:bidi="fa-IR"/>
        </w:rPr>
        <w:t>»</w:t>
      </w:r>
      <w:r>
        <w:rPr>
          <w:rStyle w:val="FootnoteAnchor"/>
          <w:rtl w:val="true"/>
        </w:rPr>
        <w:footnoteReference w:id="2273"/>
      </w:r>
      <w:r>
        <w:rPr>
          <w:rFonts w:ascii="IRNazanin" w:hAnsi="IRNazanin" w:eastAsia="IRNazanin"/>
          <w:color w:val="111111"/>
          <w:sz w:val="28"/>
          <w:sz w:val="28"/>
          <w:szCs w:val="28"/>
          <w:rtl w:val="true"/>
          <w:lang w:bidi="fa-IR"/>
        </w:rPr>
        <w:t>، و غیرها</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السیّد الخوانساری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جملة من هذه النصوص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 هذه الأخبار مطلوبیّة الصوم من الصبیّ کمطلوبیّته من البالغ، غایة الأمر عدم الوجوب؛ لاشتراطه بالبلوغ، و حدیث رفع القلم لا ینافی ذلک، و إلّا لکان منافیاً للتمرین المطلوب من الصبیّ علی القول بکون عباداته تمرینیّة</w:t>
      </w:r>
      <w:r>
        <w:rPr>
          <w:rFonts w:eastAsia="IRNazanin" w:cs="IRNazanin"/>
          <w:color w:val="111111"/>
          <w:sz w:val="28"/>
          <w:szCs w:val="28"/>
          <w:rtl w:val="true"/>
          <w:lang w:bidi="fa-IR"/>
        </w:rPr>
        <w:t>»</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2" w:name="__RefHeading___Toc9587740_73709187"/>
      <w:bookmarkStart w:id="653" w:name="_Toc244"/>
      <w:bookmarkEnd w:id="652"/>
      <w:r>
        <w:rPr>
          <w:rtl w:val="true"/>
        </w:rPr>
        <w:t>الطائفة الثالثة</w:t>
      </w:r>
      <w:r>
        <w:rPr>
          <w:rtl w:val="true"/>
        </w:rPr>
        <w:t xml:space="preserve">: </w:t>
      </w:r>
      <w:r>
        <w:rPr>
          <w:rtl w:val="true"/>
        </w:rPr>
        <w:t>ما ورد فی حجّ الصبیّ‌</w:t>
      </w:r>
      <w:bookmarkEnd w:id="6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معاویة عمّار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کان معکم من الصبیان فقدّموه إلی الجحفة أو إلی بطن مرّ و، یصنع بهم ما یصنع بالمحرم، یطاف بهم و یرمی عنهم</w:t>
      </w:r>
      <w:r>
        <w:rPr>
          <w:rFonts w:eastAsia="IRNazanin" w:cs="IRNazanin"/>
          <w:color w:val="111111"/>
          <w:sz w:val="28"/>
          <w:szCs w:val="28"/>
          <w:rtl w:val="true"/>
          <w:lang w:bidi="fa-IR"/>
        </w:rPr>
        <w:t>»</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أبان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إذا حجّ</w:t>
      </w:r>
      <w:bookmarkStart w:id="654" w:name="pg11755_255107"/>
    </w:p>
    <w:p>
      <w:pPr>
        <w:pStyle w:val="BookText"/>
        <w:rPr/>
      </w:pPr>
      <w:bookmarkEnd w:id="654"/>
      <w:r>
        <w:rPr>
          <w:rFonts w:ascii="IRNazanin" w:hAnsi="IRNazanin" w:eastAsia="IRNazanin"/>
          <w:color w:val="111111"/>
          <w:sz w:val="28"/>
          <w:sz w:val="28"/>
          <w:szCs w:val="28"/>
          <w:rtl w:val="true"/>
          <w:lang w:bidi="fa-IR"/>
        </w:rPr>
        <w:t>به فقد قضی حجّة الإسلام حتّی یکبر</w:t>
      </w:r>
      <w:r>
        <w:rPr>
          <w:rFonts w:eastAsia="IRNazanin" w:cs="IRNazanin"/>
          <w:color w:val="111111"/>
          <w:sz w:val="28"/>
          <w:szCs w:val="28"/>
          <w:rtl w:val="true"/>
          <w:lang w:bidi="fa-IR"/>
        </w:rPr>
        <w:t>»</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غلاماً حجّ عشر حجج ثمّ احتلم کانت علیه فریضة الإسلام</w:t>
      </w:r>
      <w:r>
        <w:rPr>
          <w:rFonts w:eastAsia="IRNazanin" w:cs="IRNazanin"/>
          <w:color w:val="111111"/>
          <w:sz w:val="28"/>
          <w:szCs w:val="28"/>
          <w:rtl w:val="true"/>
          <w:lang w:bidi="fa-IR"/>
        </w:rPr>
        <w:t>»</w:t>
      </w:r>
      <w:r>
        <w:rPr>
          <w:rStyle w:val="FootnoteAnchor"/>
          <w:rtl w:val="true"/>
        </w:rPr>
        <w:footnoteReference w:id="2278"/>
      </w:r>
      <w:r>
        <w:rPr>
          <w:rFonts w:ascii="IRNazanin" w:hAnsi="IRNazanin" w:eastAsia="IRNazanin"/>
          <w:color w:val="111111"/>
          <w:sz w:val="28"/>
          <w:sz w:val="28"/>
          <w:szCs w:val="28"/>
          <w:rtl w:val="true"/>
          <w:lang w:bidi="fa-IR"/>
        </w:rPr>
        <w:t>، و غیرها</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الخوئی قدس سره فی شرح هذه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بذلک حجّة إسلام الصبیّ التی قضاها و أتی بها، فلا ینافی ذلک بقاء حجّة الإسلام التی بنی علیها الإسلام علیه حتّی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 له حقائق مختلفة، فإنّ الحجّ الّذی یأتی به الصبیّ تختلف حقیقته مع حجّة الإسلام الثابتة علی البالغین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مشروعیّة حجّ الصبیّ و استحبابه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الروایات المتقدّمة الدالّة علی عدم إجزاء حجّته عن حجّة الإسلام، فإنّه لا بدّ من فرض صحّة حجّه حتّی یقال بالإجزاء أو بعدم الإجزاء، و إلّا فالحجّ الباطل لا مجال لإجزائه عن حجّة الإسلام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لا إشکال فی مشروعیّة الحج و استحبابه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للصبی </w:t>
      </w:r>
      <w:r>
        <w:rPr>
          <w:rFonts w:eastAsia="IRNazanin" w:cs="IRNazanin"/>
          <w:color w:val="111111"/>
          <w:sz w:val="28"/>
          <w:szCs w:val="28"/>
          <w:rtl w:val="true"/>
          <w:lang w:bidi="fa-IR"/>
        </w:rPr>
        <w:t>-»</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یصحّ من الممیّز مباشرة الحجّ بنفسه کسائر عباداته عندنا</w:t>
      </w:r>
      <w:r>
        <w:rPr>
          <w:rFonts w:eastAsia="IRNazanin" w:cs="IRNazanin"/>
          <w:color w:val="111111"/>
          <w:sz w:val="28"/>
          <w:szCs w:val="28"/>
          <w:rtl w:val="true"/>
          <w:lang w:bidi="fa-IR"/>
        </w:rPr>
        <w:t>»</w:t>
      </w:r>
      <w:r>
        <w:rPr>
          <w:rStyle w:val="FootnoteAnchor"/>
          <w:rtl w:val="true"/>
        </w:rPr>
        <w:footnoteReference w:id="2281"/>
      </w:r>
      <w:r>
        <w:rPr>
          <w:rFonts w:ascii="IRNazanin" w:hAnsi="IRNazanin" w:eastAsia="IRNazanin"/>
          <w:color w:val="111111"/>
          <w:sz w:val="28"/>
          <w:sz w:val="28"/>
          <w:szCs w:val="28"/>
          <w:rtl w:val="true"/>
          <w:lang w:bidi="fa-IR"/>
        </w:rPr>
        <w:t>، و کذا فی غیره</w:t>
      </w:r>
      <w:r>
        <w:rPr>
          <w:rStyle w:val="FootnoteAnchor"/>
          <w:rtl w:val="true"/>
        </w:rPr>
        <w:footnoteReference w:id="2282"/>
      </w:r>
      <w:r>
        <w:rPr>
          <w:rFonts w:ascii="IRNazanin" w:hAnsi="IRNazanin" w:eastAsia="IRNazanin"/>
          <w:color w:val="111111"/>
          <w:sz w:val="28"/>
          <w:sz w:val="28"/>
          <w:szCs w:val="28"/>
          <w:rtl w:val="true"/>
          <w:lang w:bidi="fa-IR"/>
        </w:rPr>
        <w:t>، و سیأتی تفصیل الکلام فیه أیضاً فی البحث عن حجّ الصبیّ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55" w:name="__RefHeading___Toc9587742_73709187"/>
      <w:bookmarkStart w:id="656" w:name="_Toc245"/>
      <w:bookmarkEnd w:id="655"/>
      <w:r>
        <w:rPr>
          <w:rtl w:val="true"/>
        </w:rPr>
        <w:t>الطائفة الرابعة</w:t>
      </w:r>
      <w:r>
        <w:rPr>
          <w:rtl w:val="true"/>
        </w:rPr>
        <w:t xml:space="preserve">: </w:t>
      </w:r>
      <w:r>
        <w:rPr>
          <w:rtl w:val="true"/>
        </w:rPr>
        <w:t>ما ورد فی صدقة الصبیّ و وقفه و عتقه و وصیّته</w:t>
      </w:r>
      <w:bookmarkEnd w:id="6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علی الغلام عشر سنین فإنّه یجوز فی ماله ما أعتق أو تصدّق أو أوصی علی حدّ معروف و حقّ، فهو جائز</w:t>
      </w:r>
      <w:r>
        <w:rPr>
          <w:rFonts w:eastAsia="IRNazanin" w:cs="IRNazanin"/>
          <w:color w:val="111111"/>
          <w:sz w:val="28"/>
          <w:szCs w:val="28"/>
          <w:rtl w:val="true"/>
          <w:lang w:bidi="fa-IR"/>
        </w:rPr>
        <w:t>»</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الحلبیّ و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صدقة الغلام ما لم یحتلم،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وضعها فی موضع الصدقة</w:t>
      </w:r>
      <w:r>
        <w:rPr>
          <w:rFonts w:eastAsia="IRNazanin" w:cs="IRNazanin"/>
          <w:color w:val="111111"/>
          <w:sz w:val="28"/>
          <w:szCs w:val="28"/>
          <w:rtl w:val="true"/>
          <w:lang w:bidi="fa-IR"/>
        </w:rPr>
        <w:t>»</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الغلام عشر سنین و أوصی بثلث ماله فی حقّ جازت وصیّته، و إذا کان ابن سبع سنین فأوصی من ماله بالیسیر فی حقّ جازت وصیّته</w:t>
      </w:r>
      <w:r>
        <w:rPr>
          <w:rFonts w:eastAsia="IRNazanin" w:cs="IRNazanin"/>
          <w:color w:val="111111"/>
          <w:sz w:val="28"/>
          <w:szCs w:val="28"/>
          <w:rtl w:val="true"/>
          <w:lang w:bidi="fa-IR"/>
        </w:rPr>
        <w:t>»</w:t>
      </w:r>
      <w:r>
        <w:rPr>
          <w:rStyle w:val="FootnoteAnchor"/>
          <w:rtl w:val="true"/>
        </w:rPr>
        <w:footnoteReference w:id="2285"/>
      </w:r>
      <w:r>
        <w:rPr>
          <w:rFonts w:ascii="IRNazanin" w:hAnsi="IRNazanin" w:eastAsia="IRNazanin"/>
          <w:color w:val="111111"/>
          <w:sz w:val="28"/>
          <w:sz w:val="28"/>
          <w:szCs w:val="28"/>
          <w:rtl w:val="true"/>
          <w:lang w:bidi="fa-IR"/>
        </w:rPr>
        <w:t>، و غیرها</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المحقّق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بعض الأخبار المتقدّمة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الظاهر أنّ إذن الشارع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الصدقة و الوقف و العتق و الإمامة موجب لترتّب الثواب علیها، فتکون شرعیّة، و یدخل بها تحت الأوامر المطلقة بالعتق و الصدقة و الإمامة و نحوها، فیکون داخلاً تحت الخطاب مستحقّاً للأجر و الثواب</w:t>
      </w:r>
      <w:r>
        <w:rPr>
          <w:rFonts w:eastAsia="IRNazanin" w:cs="IRNazanin"/>
          <w:color w:val="111111"/>
          <w:sz w:val="28"/>
          <w:szCs w:val="28"/>
          <w:rtl w:val="true"/>
          <w:lang w:bidi="fa-IR"/>
        </w:rPr>
        <w:t>»</w:t>
      </w:r>
      <w:r>
        <w:rPr>
          <w:rStyle w:val="FootnoteAnchor"/>
          <w:rtl w:val="true"/>
        </w:rPr>
        <w:footnoteReference w:id="2287"/>
      </w:r>
      <w:r>
        <w:rPr>
          <w:rFonts w:ascii="IRNazanin" w:hAnsi="IRNazanin" w:eastAsia="IRNazanin"/>
          <w:color w:val="111111"/>
          <w:sz w:val="28"/>
          <w:sz w:val="28"/>
          <w:szCs w:val="28"/>
          <w:rtl w:val="true"/>
          <w:lang w:bidi="fa-IR"/>
        </w:rPr>
        <w:t>، و کذا فی جامع المدارک</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فالمستفاد من تلک الروایات و غیرها شرعیّة عبادة الصبیّ؛ لعدم قصور فیها، لا من حیث الدلالة کما هو ظاهر، و لا من حیث السند؛ لفرض أنّ فیها روایات صحیحة و معتبرة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تلک الروایات أنّ المصلحة قد اقتضت ثبوت بعض الأحکام فی حقّ الصبیّ، و أنّها جعلت له بطبعه و بعنوان الصباوة، و تکون</w:t>
      </w:r>
    </w:p>
    <w:p>
      <w:pPr>
        <w:pStyle w:val="BookText"/>
        <w:rPr/>
      </w:pPr>
      <w:r>
        <w:rPr>
          <w:rFonts w:ascii="IRNazanin" w:hAnsi="IRNazanin" w:eastAsia="IRNazanin"/>
          <w:color w:val="111111"/>
          <w:sz w:val="28"/>
          <w:sz w:val="28"/>
          <w:szCs w:val="28"/>
          <w:rtl w:val="true"/>
          <w:lang w:bidi="fa-IR"/>
        </w:rPr>
        <w:t>الصباوة موضوعاً للحکم، فظهور هذه النصوص تدلّ علی أنّ الصبیّ مخاطب بالمندوبات،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تفصیل الکلام فیها أیضاً فی البحث عن وقف الصبیّ و صدقته و وصیّته و عباداته فی الفصول المنعقدة للبحث عنها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 یفهم مشروعیّتها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مشروعیّة العبادات للصبیّ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بتنقیح المناط بالروایات الواردة فی بیان فوائدها و مطلوبیّة ذاتها من حیث هی</w:t>
      </w:r>
      <w:r>
        <w:rPr>
          <w:rFonts w:eastAsia="IRNazanin" w:cs="IRNazanin"/>
          <w:color w:val="111111"/>
          <w:sz w:val="28"/>
          <w:szCs w:val="28"/>
          <w:rtl w:val="true"/>
          <w:lang w:bidi="fa-IR"/>
        </w:rPr>
        <w:t>»</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مستقلّ بحسن إتیان بعض الواجبات، کردّ الأمانة و حفظ النفس المحترمة، و لا یفرّق فی حکم العقل بحسن ذلک الفعل و استحقاق الأجر و الثواب علیه بین أن یکون للفاعل من العمر خمسة عشر سنة بالتمام، أو کان ناقصاً مقدار ساعة، بل یوم أو شهر، فکون الصبیّ غیر البالغ مستحقّاً للأجر و الثواب علی مثل ذلک الفعل ممّا یستکشف منه استحباب ذلک الفعل، و بعدم القول بالفصل یثبت الاستحباب فی سائر الواجبات أیضاً</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 ذلک الالتزام باستحقاق العقوبة فی ما یستقلّ العقل بقبحه، کالظّلم، و منع المالک من ودیعته، و قتل النفس المحترمة، و غیر ذلک من المستقلّات العقلیّة، و الظاهر أنّه لا یلتزم به المستدلّ بوجه؛ لأنّ الصبیّ لا یؤاخذ بشیء من ذلک أصلاً من جهة الشرع</w:t>
      </w:r>
      <w:r>
        <w:rPr>
          <w:rStyle w:val="FootnoteAnchor"/>
          <w:rtl w:val="true"/>
        </w:rPr>
        <w:footnoteReference w:id="2291"/>
      </w:r>
    </w:p>
    <w:p>
      <w:pPr>
        <w:pStyle w:val="BookText"/>
        <w:rPr/>
      </w:pPr>
      <w:r>
        <w:rPr>
          <w:rFonts w:ascii="IRNazanin" w:hAnsi="IRNazanin" w:eastAsia="IRNazanin"/>
          <w:color w:val="111111"/>
          <w:sz w:val="28"/>
          <w:sz w:val="28"/>
          <w:szCs w:val="28"/>
          <w:rtl w:val="true"/>
          <w:lang w:bidi="fa-IR"/>
        </w:rPr>
        <w:t>کما لا یخفی‌</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یحکم</w:t>
      </w:r>
      <w:r>
        <w:rPr>
          <w:rStyle w:val="FootnoteAnchor"/>
          <w:rtl w:val="true"/>
        </w:rPr>
        <w:footnoteReference w:id="2293"/>
      </w:r>
      <w:r>
        <w:rPr>
          <w:rFonts w:ascii="IRNazanin" w:hAnsi="IRNazanin" w:eastAsia="IRNazanin"/>
          <w:color w:val="111111"/>
          <w:sz w:val="28"/>
          <w:sz w:val="28"/>
          <w:szCs w:val="28"/>
          <w:rtl w:val="true"/>
          <w:lang w:bidi="fa-IR"/>
        </w:rPr>
        <w:t>فی مثل ذلک باستحقاق المؤاخذة و العقوبة، و لکنّ الشرع یرفعه امتناناً، کما أنّ العقل یحکم للعاصی باستحقاق العقوبة، و لکنّ البکاء علی سیّد الشهداء علیه السلام یوجب المغفرة و یرفع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الدلیل کما اعترف به المستدلّ یثبت مشروعیّة عبادات الصبیّ فی الجملة</w:t>
      </w:r>
      <w:r>
        <w:rPr>
          <w:rStyle w:val="FootnoteAnchor"/>
          <w:rtl w:val="true"/>
        </w:rPr>
        <w:footnoteReference w:id="2294"/>
      </w:r>
      <w:r>
        <w:rPr>
          <w:rFonts w:ascii="IRNazanin" w:hAnsi="IRNazanin" w:eastAsia="IRNazanin"/>
          <w:color w:val="111111"/>
          <w:sz w:val="28"/>
          <w:sz w:val="28"/>
          <w:szCs w:val="28"/>
          <w:rtl w:val="true"/>
          <w:lang w:bidi="fa-IR"/>
        </w:rPr>
        <w:t>فی مقابل السلب الکلّیّ، و أمّا عدم القول بالفصل الذی ادّعاه المستدلّ أیضاً</w:t>
      </w:r>
      <w:r>
        <w:rPr>
          <w:rStyle w:val="FootnoteAnchor"/>
          <w:rtl w:val="true"/>
        </w:rPr>
        <w:footnoteReference w:id="2295"/>
      </w:r>
      <w:r>
        <w:rPr>
          <w:rFonts w:ascii="IRNazanin" w:hAnsi="IRNazanin" w:eastAsia="IRNazanin"/>
          <w:color w:val="111111"/>
          <w:sz w:val="28"/>
          <w:sz w:val="28"/>
          <w:szCs w:val="28"/>
          <w:rtl w:val="true"/>
          <w:lang w:bidi="fa-IR"/>
        </w:rPr>
        <w:t>فهو غیر صحیح؛ لأنّ هذا إجماع مرکّب، و المفروض أنّ هذا الإجماع لیس بحجّة؛ لأنّ الطرفین یستدلّان بالأدلّة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مقتضی اللطف عدم خلوّ هذا العمل الصادر عن الصبیّ من الثواب، فإنّ من أتی بعمل حسن قاصداً به وجه الربّ الکریم فحرمانه عن الجزاء و الثواب منافٍ للّطف، و ما دلّ من الکتاب و السنّة علی أنّه تعالی یقدم ذراعاً علی من أقدم شبراً</w:t>
      </w:r>
      <w:r>
        <w:rPr>
          <w:rStyle w:val="FootnoteAnchor"/>
          <w:rtl w:val="true"/>
        </w:rPr>
        <w:footnoteReference w:id="2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العناوین</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اللطف کذلک فیما إذا ثبت أن الفعل حسن مشروع موجب للتقرّب إلی اللّه تعالی، و أمّا إذا لم یثبت الأمر و المشروعیّة 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فإتیانه بقصد الأمر الشرعی تشریع محرّم، و لا یکون موجباً للتقرّب إلی اللّه إن کان الصبیّ ملتفتاً فی فعله، فهذا الدلیل أشبه بالمصادرة، و لعلّه لما</w:t>
      </w:r>
    </w:p>
    <w:p>
      <w:pPr>
        <w:pStyle w:val="BookText"/>
        <w:rPr/>
      </w:pPr>
      <w:r>
        <w:rPr>
          <w:rFonts w:ascii="IRNazanin" w:hAnsi="IRNazanin" w:eastAsia="IRNazanin"/>
          <w:color w:val="111111"/>
          <w:sz w:val="28"/>
          <w:sz w:val="28"/>
          <w:szCs w:val="28"/>
          <w:rtl w:val="true"/>
          <w:lang w:bidi="fa-IR"/>
        </w:rPr>
        <w:t>ذکرنا أمر المستدلّ بالتدبّر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البعید الفرق بین ما قبل البلوغ بساعة و ما بعده، فإنّ المراهق المقارب للبلوغ جدّاً لا ریب فی أنّه بمکان من الإخلاص و العبودیّة للّه تعالی کما بعد البلوغ، بل فی الحالة الاُولی ربّما یکون أشدّ من الحالة الثانیة، فیبعد کونه مأجوراً علی الثانیة دون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أوردنا علی الدلیل السابع، قال المحقّق البجنوردی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خبیر بأنّ هذا الوجه مع هذا التفصیل المذکور بالخطابة أشبه من کونه دلیلاً فقهیّاً یکون مدرکاً للفتوی</w:t>
      </w:r>
      <w:r>
        <w:rPr>
          <w:rFonts w:eastAsia="IRNazanin" w:cs="IRNazanin"/>
          <w:color w:val="111111"/>
          <w:sz w:val="28"/>
          <w:szCs w:val="28"/>
          <w:rtl w:val="true"/>
          <w:lang w:bidi="fa-IR"/>
        </w:rPr>
        <w:t>»</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الفاضل 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مجرّد استبعاد لا یکاد یصلح لأن یکون دلیلاً، و یجری هذا الاستبعاد فی جمیع التقدیرات الشرعیّة، فإنّه من البعید أن یکون الماء أقلّ من الکرّ بمقدار قلیل، و مع ذلک لا یترتّب علیه شیء من آثار الماء الکرّ أصلاً، أو یصلّی الإنسان قبل الوقت عمداً بلحظة یدخل الوقت بعدها و مع ذلک تکون صلاته باطلة، و هکذا سائر التقدیرات</w:t>
      </w:r>
      <w:r>
        <w:rPr>
          <w:rFonts w:eastAsia="IRNazanin" w:cs="IRNazanin"/>
          <w:color w:val="111111"/>
          <w:sz w:val="28"/>
          <w:szCs w:val="28"/>
          <w:rtl w:val="true"/>
          <w:lang w:bidi="fa-IR"/>
        </w:rPr>
        <w:t>»</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ترجیح المرجوح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لو فرضنا أنّ المراهق أتی بعبادة مشتملة علی الإخلاص و الشرائط و الأجزاء، و أتی غیره بهذا العمل، أو أتی به ذلک أیضاً بعد بلوغه غیر مستجمع لتلک الصفات الکمالیّة، فجعل الثواب للثانی دون الأوّل ترجیح للمرجوح علی الراجح</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لزوم ترجیح المرجوح یتوقّف علی ثبوت مشروعیّة عبادات الصبیّ، و أمّا إذا لم تکن مشروعة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فإتیانه بقصد العبادة تشریع محرّم، و لأجل ذلک قال المستدلّ فی ذیل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الصبیّ لو کان معتقداً لحصول الثواب فهو خارج عن محلّ البحث و النزاع؛ إذ البحث فی الحکم الواقعی، و فی أنّه هل هناک ثواب أم لا؟ و بعد عدم ثبوت خطاب الشارع له فلا ثمرة فی جمع الشرائط و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الشرع بمطلوبیّة الأفعال الواجبة و المندوبة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العناوین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حکم الشرع بمطلوبیة الأفعال الواجبة و المندوبة علمنا بوجود مصلحة أو مفسدة فی فعله أو ترکه یوجب المطلوبیّة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تقرّر عندنا من تبعیّة الأحکام للمصالح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ذلک کونه مطلوباً من الصبیان أیضاً؛ إذ لا تتخلّف المصلحة الکامنة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للمباشر و الحالات مدخلیّة فی المصلحة تتغیّر بتغیّرها</w:t>
      </w:r>
      <w:r>
        <w:rPr>
          <w:rStyle w:val="FootnoteAnchor"/>
          <w:rtl w:val="true"/>
        </w:rPr>
        <w:footnoteReference w:id="2301"/>
      </w:r>
      <w:r>
        <w:rPr>
          <w:rFonts w:ascii="IRNazanin" w:hAnsi="IRNazanin" w:eastAsia="IRNazanin"/>
          <w:color w:val="111111"/>
          <w:sz w:val="28"/>
          <w:sz w:val="28"/>
          <w:szCs w:val="28"/>
          <w:rtl w:val="true"/>
          <w:lang w:bidi="fa-IR"/>
        </w:rPr>
        <w:t xml:space="preserve">، و لکنّ الکاشف عن ذلک الدلیل، و حیث إنّ الطلب و الثواب تعلّق بماهیّة قراءة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یدلّ دلیل إلّا علی خروج الجنب و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یعلم من ذلک أنّ الصبیّ و البلوغ لا مدخلیّة له فی المصلحة</w:t>
      </w:r>
      <w:r>
        <w:rPr>
          <w:rFonts w:eastAsia="IRNazanin" w:cs="IRNazanin"/>
          <w:color w:val="111111"/>
          <w:sz w:val="28"/>
          <w:szCs w:val="28"/>
          <w:rtl w:val="true"/>
          <w:lang w:bidi="fa-IR"/>
        </w:rPr>
        <w:t>»</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 هذا الدلیل أنّه وقع خلط بین التوصّلیّات و التعبّدیّات؛ إذ إنّ فی التوصّلیّات یکون تمام الغرض متعلّق التکلیف و امتثاله، و أمّا فی التعبّدیّات فیحتاج أوّلاً إلی الأمر،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قصد القربة، فالصبیّ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أنّه</w:t>
      </w:r>
      <w:bookmarkStart w:id="657" w:name="pg11755_255119"/>
    </w:p>
    <w:p>
      <w:pPr>
        <w:pStyle w:val="BookText"/>
        <w:rPr/>
      </w:pPr>
      <w:bookmarkEnd w:id="657"/>
      <w:r>
        <w:rPr>
          <w:rFonts w:ascii="IRNazanin" w:hAnsi="IRNazanin" w:eastAsia="IRNazanin"/>
          <w:color w:val="111111"/>
          <w:sz w:val="28"/>
          <w:sz w:val="28"/>
          <w:szCs w:val="28"/>
          <w:rtl w:val="true"/>
          <w:lang w:bidi="fa-IR"/>
        </w:rPr>
        <w:t xml:space="preserve">لا یثبت فی حقّه الأمر أو یکون مشکوکاً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یمکنه الامتثال فی التعبّدیّات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ذلک عدم إمکان الامتثال عن الکافر و من لا یمکنه قصد القربة فی فعله و إن کان مسلماً، مضافاً إلی أنّ الأحکام تابعة للمصالح و المفاسد، و لعلّ من شرائط تحقّق المصالح أن یکون فاعل العبادة مکلّفاً بالغاً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کان بعض الأدلّة التی استدلّوا بها فی المقام مخدوش، و لکنّ بعضها الآخر یکفی فی إثبات الحکم، فالأقوی ما ذهب إلیه المشهور من الفقهاء من مشروعیّة عبادات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العقلاء یرغّبونهم علی الأفعال الحسنة، و یرونها حسنة و یرتّبون الأثر علیها</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8" w:name="__RefHeading___Toc9587744_73709187"/>
      <w:bookmarkStart w:id="659" w:name="_Toc246"/>
      <w:bookmarkEnd w:id="658"/>
      <w:r>
        <w:rPr>
          <w:rtl w:val="true"/>
        </w:rPr>
        <w:t>ما معنی مشروعیّة عبادات الصبیّ؟</w:t>
      </w:r>
      <w:bookmarkEnd w:id="659"/>
    </w:p>
    <w:p>
      <w:pPr>
        <w:pStyle w:val="BookText"/>
        <w:rPr/>
      </w:pPr>
      <w:r>
        <w:rPr>
          <w:rFonts w:ascii="IRNazanin" w:hAnsi="IRNazanin" w:eastAsia="IRNazanin"/>
          <w:color w:val="111111"/>
          <w:sz w:val="28"/>
          <w:sz w:val="28"/>
          <w:szCs w:val="28"/>
          <w:rtl w:val="true"/>
          <w:lang w:bidi="fa-IR"/>
        </w:rPr>
        <w:t>و یتصوّر لمشروعیّة عبادات الصبیّ معنیان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Style w:val="FootnoteAnchor"/>
          <w:rtl w:val="true"/>
        </w:rPr>
        <w:footnoteReference w:id="2304"/>
      </w:r>
      <w:r>
        <w:rPr>
          <w:rFonts w:ascii="IRNazanin" w:hAnsi="IRNazanin" w:eastAsia="IRNazanin"/>
          <w:color w:val="111111"/>
          <w:sz w:val="28"/>
          <w:sz w:val="28"/>
          <w:szCs w:val="28"/>
          <w:rtl w:val="true"/>
          <w:lang w:bidi="fa-IR"/>
        </w:rPr>
        <w:t>من أنّ معنی کونها مشروعة، أیّ مندوبة للصبیّ، بحیث یستحقّ علیها الأجر و الثواب الاُخروی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علیه ما تقدّم من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أعمال الصبیّ شرعیّة فیها ثواب أصل العمل، و لکنّه عائد إلی الولیّ دون الطفل، قال فی العناوین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أجد من قال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الاستناد فی ذلک إلی أمرین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الطفل من جهة عدم کمال عقله إنّما یکون المحرّک و الداعی له</w:t>
      </w:r>
    </w:p>
    <w:p>
      <w:pPr>
        <w:pStyle w:val="BookText"/>
        <w:rPr/>
      </w:pPr>
      <w:r>
        <w:rPr>
          <w:rFonts w:ascii="IRNazanin" w:hAnsi="IRNazanin" w:eastAsia="IRNazanin"/>
          <w:color w:val="111111"/>
          <w:sz w:val="28"/>
          <w:sz w:val="28"/>
          <w:szCs w:val="28"/>
          <w:rtl w:val="true"/>
          <w:lang w:bidi="fa-IR"/>
        </w:rPr>
        <w:t>العمل تمرین الولیّ، و حیث إنّ المباشر ضعیف فیکون السبب هو العمدة، و یکون العلّة الأقوی الولیّ، و یکون الطفل کالآلة، نظیر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المعاملات من جواز کون الطفل کالآلة و إن کان عاقلاً قاصداً مختاراً لکنّه لضعفه کالآلة، و إذا کان کذلک فالفعل یسند إلی الولیّ، فله جزاؤه إن خیراً فخیر، و إن شرّاً فشرّ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 الولیّ بالطفل الممیّز،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الولیّ إذا فعل ذلک و تمم الأعمال کان له أجر حجّه</w:t>
      </w:r>
      <w:r>
        <w:rPr>
          <w:rFonts w:eastAsia="IRNazanin" w:cs="IRNazanin"/>
          <w:color w:val="111111"/>
          <w:sz w:val="28"/>
          <w:szCs w:val="28"/>
          <w:rtl w:val="true"/>
          <w:lang w:bidi="fa-IR"/>
        </w:rPr>
        <w:t>»</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منه أنّ الولیّ کأنّه فعل حجّاً، و هذا الفعل فی الحقیقة فعلُه، فیکون للولیّ فی کلّ مقام یأتی به الصبیّ بعمل ثواب ذلک العمل</w:t>
      </w:r>
      <w:r>
        <w:rPr>
          <w:rFonts w:eastAsia="IRNazanin" w:cs="IRNazanin"/>
          <w:color w:val="111111"/>
          <w:sz w:val="28"/>
          <w:szCs w:val="28"/>
          <w:rtl w:val="true"/>
          <w:lang w:bidi="fa-IR"/>
        </w:rPr>
        <w:t>»</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علی ما إذا کان عمل البالغ بتشویق أو إجبار من غیره، و لم یلتزم أحد بأنّه لم یکن له الثواب،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ضعف المباشر إنّما یکون فیما إذا کان العمل مسنداً إلی السبب و کان المباشر بمنزلة الآلة، و من الواضح عدم کون الصبیّ فی المقام کذلک، فإنّ صلاته لا تسند إلّا إلیه، و کذا سائر عباداته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التشویق بل الإجبار لا یوجب سلب الاستناد، مضافاً إلی أنّه أخصّ من المدّعی؛ لأنّه ربّما یأتی الطفل بالعبادة و یکون الداعی له إلی إتیانها تشخیص نفسه و درک شخصه من دون أن یکون هناک ولیّ أو تمرین منه أو تأثیر لتشویقه أو إجباره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ورد فی الخبر إنّما هو ثبوت ثواب حجّه للولیّ،</w:t>
      </w:r>
      <w:bookmarkStart w:id="660" w:name="pg11755_255123"/>
    </w:p>
    <w:p>
      <w:pPr>
        <w:pStyle w:val="BookText"/>
        <w:rPr/>
      </w:pPr>
      <w:bookmarkEnd w:id="660"/>
      <w:r>
        <w:rPr>
          <w:rFonts w:ascii="IRNazanin" w:hAnsi="IRNazanin" w:eastAsia="IRNazanin"/>
          <w:color w:val="111111"/>
          <w:sz w:val="28"/>
          <w:sz w:val="28"/>
          <w:szCs w:val="28"/>
          <w:rtl w:val="true"/>
          <w:lang w:bidi="fa-IR"/>
        </w:rPr>
        <w:t>و لا دلالة له علی خلوّ عمل الصبیّ و حجّه من الثواب و الأجر لنفسه، و علیه فلا یمکن أن یستفاد منه أنّ الولیّ کأنّه فعل حجّاً، بمعنی عدم استناد الحجّ إلی الصبیّ و عدم وقوع هذه العبادة منه، کما عن بعض الأعلام</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1" w:name="__RefHeading___Toc9587746_73709187"/>
      <w:bookmarkStart w:id="662" w:name="_Toc247"/>
      <w:bookmarkEnd w:id="661"/>
      <w:r>
        <w:rPr>
          <w:rtl w:val="true"/>
        </w:rPr>
        <w:t>عبادات الصبیّ تمرینیّة</w:t>
      </w:r>
      <w:bookmarkEnd w:id="662"/>
    </w:p>
    <w:p>
      <w:pPr>
        <w:pStyle w:val="Heading6"/>
        <w:numPr>
          <w:ilvl w:val="5"/>
          <w:numId w:val="1"/>
        </w:numPr>
        <w:rPr/>
      </w:pPr>
      <w:bookmarkStart w:id="663" w:name="__RefHeading___Toc9587748_73709187"/>
      <w:bookmarkStart w:id="664" w:name="_Toc248"/>
      <w:bookmarkEnd w:id="663"/>
      <w:r>
        <w:rPr>
          <w:rtl w:val="true"/>
        </w:rPr>
        <w:t>اشارة</w:t>
      </w:r>
      <w:bookmarkEnd w:id="664"/>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عباداته تمرینیّة، بمعنی عدم ترتّب أجر و ثواب من اللّه تعالی علی عمل الصبیّ و إن کان لولیّه ثواب التمرین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البحث عن صوم الصبیّ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الأقرب أنّه علی سبیل التمرین، و أمّا أنّه تکلیف مندوب إلیه فالأقرب المنع</w:t>
      </w:r>
      <w:r>
        <w:rPr>
          <w:rFonts w:eastAsia="IRNazanin" w:cs="IRNazanin"/>
          <w:color w:val="111111"/>
          <w:sz w:val="28"/>
          <w:szCs w:val="28"/>
          <w:rtl w:val="true"/>
          <w:lang w:bidi="fa-IR"/>
        </w:rPr>
        <w:t>»</w:t>
      </w:r>
      <w:r>
        <w:rPr>
          <w:rStyle w:val="FootnoteAnchor"/>
          <w:rtl w:val="true"/>
        </w:rPr>
        <w:footnoteReference w:id="2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الکیدری</w:t>
      </w:r>
      <w:r>
        <w:rPr>
          <w:rStyle w:val="FootnoteAnchor"/>
          <w:rtl w:val="true"/>
        </w:rPr>
        <w:footnoteReference w:id="2309"/>
      </w:r>
    </w:p>
    <w:p>
      <w:pPr>
        <w:pStyle w:val="BookText"/>
        <w:rPr/>
      </w:pPr>
      <w:r>
        <w:rPr>
          <w:rFonts w:ascii="IRNazanin" w:hAnsi="IRNazanin" w:eastAsia="IRNazanin"/>
          <w:color w:val="111111"/>
          <w:sz w:val="28"/>
          <w:sz w:val="28"/>
          <w:szCs w:val="28"/>
          <w:rtl w:val="true"/>
          <w:lang w:bidi="fa-IR"/>
        </w:rPr>
        <w:t>و ابن إدریس</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کون صومه شرعیّاً ففیه نظر؛ لاختصاص خطاب الشرع بالمکلّفین، و الأصحّ أنّه تمرینی لا شرعی</w:t>
      </w:r>
      <w:r>
        <w:rPr>
          <w:rFonts w:eastAsia="IRNazanin" w:cs="IRNazanin"/>
          <w:color w:val="111111"/>
          <w:sz w:val="28"/>
          <w:szCs w:val="28"/>
          <w:rtl w:val="true"/>
          <w:lang w:bidi="fa-IR"/>
        </w:rPr>
        <w:t>»</w:t>
      </w:r>
      <w:r>
        <w:rPr>
          <w:rStyle w:val="FootnoteAnchor"/>
          <w:rtl w:val="true"/>
        </w:rPr>
        <w:footnoteReference w:id="2311"/>
      </w:r>
      <w:r>
        <w:rPr>
          <w:rFonts w:ascii="IRNazanin" w:hAnsi="IRNazanin" w:eastAsia="IRNazanin"/>
          <w:color w:val="111111"/>
          <w:sz w:val="28"/>
          <w:sz w:val="28"/>
          <w:szCs w:val="28"/>
          <w:rtl w:val="true"/>
          <w:lang w:bidi="fa-IR"/>
        </w:rPr>
        <w:t>، و کذا فی الروضة</w:t>
      </w:r>
      <w:r>
        <w:rPr>
          <w:rStyle w:val="FootnoteAnchor"/>
          <w:rtl w:val="true"/>
        </w:rPr>
        <w:footnoteReference w:id="2312"/>
      </w:r>
    </w:p>
    <w:p>
      <w:pPr>
        <w:pStyle w:val="BookText"/>
        <w:rPr/>
      </w:pPr>
      <w:r>
        <w:rPr>
          <w:rFonts w:ascii="IRNazanin" w:hAnsi="IRNazanin" w:eastAsia="IRNazanin"/>
          <w:color w:val="111111"/>
          <w:sz w:val="28"/>
          <w:sz w:val="28"/>
          <w:szCs w:val="28"/>
          <w:rtl w:val="true"/>
          <w:lang w:bidi="fa-IR"/>
        </w:rPr>
        <w:t>و روض الجنان</w:t>
      </w:r>
      <w:r>
        <w:rPr>
          <w:rStyle w:val="FootnoteAnchor"/>
          <w:rtl w:val="true"/>
        </w:rPr>
        <w:footnoteReference w:id="2313"/>
      </w:r>
      <w:r>
        <w:rPr>
          <w:rFonts w:ascii="IRNazanin" w:hAnsi="IRNazanin" w:eastAsia="IRNazanin"/>
          <w:color w:val="111111"/>
          <w:sz w:val="28"/>
          <w:sz w:val="28"/>
          <w:szCs w:val="28"/>
          <w:rtl w:val="true"/>
          <w:lang w:bidi="fa-IR"/>
        </w:rPr>
        <w:t>و جامع المقاصد</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علی وجه التمرین لا علی کیفیّة أمر المکلّف بالنافلة</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عمله علی جهة التمرین مشروعاً</w:t>
      </w:r>
      <w:r>
        <w:rPr>
          <w:rFonts w:eastAsia="IRNazanin" w:cs="IRNazanin"/>
          <w:color w:val="111111"/>
          <w:sz w:val="28"/>
          <w:szCs w:val="28"/>
          <w:rtl w:val="true"/>
          <w:lang w:bidi="fa-IR"/>
        </w:rPr>
        <w:t>»</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الإیضاح، قوّی عدم صحّة صوم الصبیّ‌</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غایة المرام فی مسألة إمامة الصبیّ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غیر البالغ لیس من أهل التکلیف، و لا یقع منه الفعل علی وجه یُعدّ طاعة؛ لأنّها موافقة الأمر، و الصبیّ لیس بمأمور إجماعاً</w:t>
      </w:r>
      <w:r>
        <w:rPr>
          <w:rFonts w:eastAsia="IRNazanin" w:cs="IRNazanin"/>
          <w:color w:val="111111"/>
          <w:sz w:val="28"/>
          <w:szCs w:val="28"/>
          <w:rtl w:val="true"/>
          <w:lang w:bidi="fa-IR"/>
        </w:rPr>
        <w:t>»</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الحدائق فی مسألة من یصحّ منه الصوم و من لا یصحّ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لا یجب و لا یصحّ من الصبیّ و لا المجنون فهو ممّا لا خلاف فیه نصّاً و فتوی</w:t>
      </w:r>
      <w:r>
        <w:rPr>
          <w:rFonts w:eastAsia="IRNazanin" w:cs="IRNazanin"/>
          <w:color w:val="111111"/>
          <w:sz w:val="28"/>
          <w:szCs w:val="28"/>
          <w:rtl w:val="true"/>
          <w:lang w:bidi="fa-IR"/>
        </w:rPr>
        <w:t>»</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مناف لما ذکره فی مسألة شرعیّة عبادات الصبیّ،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بین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نیّة الصبیّ الممیّز صحیحة و صومه شرعیّ، و کذا جملة عباداته شرعیّة، بمعنی أنّها مستندةً إلی أمر الشارع، فیستحقّ علیها الثواب، لا تمرینیّة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إلیه الشیخ و جمع، و منهم المحقّق و غیره؛ لإطلاق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الظاهر أنّ إذن الشارع له فی الصدقة و الوقف و العتق و الإمامة موجب لترتّب الثواب علیها، فتکون شرعیّة</w:t>
      </w:r>
      <w:r>
        <w:rPr>
          <w:rFonts w:eastAsia="IRNazanin" w:cs="IRNazanin"/>
          <w:color w:val="111111"/>
          <w:sz w:val="28"/>
          <w:szCs w:val="28"/>
          <w:rtl w:val="true"/>
          <w:lang w:bidi="fa-IR"/>
        </w:rPr>
        <w:t>...»</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الصبیّ الممیّز صحیح علی إشکال</w:t>
      </w:r>
      <w:r>
        <w:rPr>
          <w:rFonts w:eastAsia="IRNazanin" w:cs="IRNazanin"/>
          <w:color w:val="111111"/>
          <w:sz w:val="28"/>
          <w:szCs w:val="28"/>
          <w:rtl w:val="true"/>
          <w:lang w:bidi="fa-IR"/>
        </w:rPr>
        <w:t>»</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ینشأ من إمکان توجّه الأمر إلیه و عدمه، و الحقّ</w:t>
      </w:r>
      <w:bookmarkStart w:id="665" w:name="pg11755_255127"/>
    </w:p>
    <w:p>
      <w:pPr>
        <w:pStyle w:val="BookText"/>
        <w:rPr/>
      </w:pPr>
      <w:bookmarkEnd w:id="665"/>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6" w:name="__RefHeading___Toc9587750_73709187"/>
      <w:bookmarkStart w:id="667" w:name="_Toc249"/>
      <w:bookmarkEnd w:id="666"/>
      <w:r>
        <w:rPr>
          <w:rtl w:val="true"/>
        </w:rPr>
        <w:t>أدلّة القول بتمرینیّة عبادات الصبیّ‌</w:t>
      </w:r>
      <w:bookmarkEnd w:id="667"/>
    </w:p>
    <w:p>
      <w:pPr>
        <w:pStyle w:val="BookText"/>
        <w:rPr/>
      </w:pPr>
      <w:r>
        <w:rPr>
          <w:rFonts w:ascii="IRNazanin" w:hAnsi="IRNazanin" w:eastAsia="IRNazanin"/>
          <w:color w:val="111111"/>
          <w:sz w:val="28"/>
          <w:sz w:val="28"/>
          <w:szCs w:val="28"/>
          <w:rtl w:val="true"/>
          <w:lang w:bidi="fa-IR"/>
        </w:rPr>
        <w:t>ما یمکن أن یستدلّ به لإثبات هذا القول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فإنّ الصحّة الشرعیّة هی موافقة أمر الشارع، و الأصل عدم تعلّق الأمر بالصبیّ‌</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الأوامر الندبیّة قد تتعلّق بعبادات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رفع القلم الشامل للندب أیضاً، و تخصیصه بالوجوب و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Style w:val="FootnoteAnchor"/>
          <w:rtl w:val="true"/>
        </w:rPr>
        <w:footnoteReference w:id="2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 الوجه</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إلی ما تقدّم فی تقریر الدلیل القول الأوّل من الأدلّة التی استدللنا بها علی مشروعیّة عبادات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رفع القلم لا یشمل المستحبّات 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امتنانی، و رفع المستحبّات یکون علی خلاف الامتنان؛ لأنّه یوجب محرومیّة الصبیّ عن الثواب</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لیس المراد بالقلم و لا برفعه حقیقته، و مجازه متعدّد، فلعلّه قلم التکلیف أو قلم المؤاخذة أو قلم کتابة السیّئات، کما ورد فی حدیث یوم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یوم یأمر اللّه سبحانه الکتبة أن یرفعوا القلم عن محبّی أهل البیت إلی ثلاثة أیّام، و لا یکتبوا خطأ و لا معصیة</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إلی أنّ النصوص المتقدّمة</w:t>
      </w:r>
      <w:r>
        <w:rPr>
          <w:rStyle w:val="FootnoteAnchor"/>
          <w:rtl w:val="true"/>
        </w:rPr>
        <w:footnoteReference w:id="2328"/>
      </w:r>
      <w:r>
        <w:rPr>
          <w:rFonts w:ascii="IRNazanin" w:hAnsi="IRNazanin" w:eastAsia="IRNazanin"/>
          <w:color w:val="111111"/>
          <w:sz w:val="28"/>
          <w:sz w:val="28"/>
          <w:szCs w:val="28"/>
          <w:rtl w:val="true"/>
          <w:lang w:bidi="fa-IR"/>
        </w:rPr>
        <w:t>التی استدللنا بها لإثبات استحباب عبادات الصبیّ آبیةٌ عن التخصیص، فلا یمکن أن تخصّص بحدیث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الأوامر الاستحبابیّة منساقة لبیان أصل الاستحباب، فأمّا من یستحبّ له فالمتضمّن للمستحبّات بالنسبة إلیه مجمل، و إنّ المتبادر منها غیر الصبیان</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خلاف ظاهر الکلام؛ لأنّ ظهور الکلام هو أنّ هذا الفعل مستحبّ لمن فعل ذلک، سواء کان صبیّاً أو غیره، فلا مانع من أن تشمل الصبیّ، و الشاهد علی ذلک النصوص المتقدّمة التی دلّت علی استحباب بعض العبادات للصبیّ، و وردت بلفظ وجب </w:t>
      </w:r>
      <w:r>
        <w:rPr>
          <w:rStyle w:val="FootnoteAnchor"/>
          <w:rtl w:val="true"/>
        </w:rPr>
        <w:footnoteReference w:id="2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الأدلّة الواردة فی التکالیف مطلقاً عن الصبیّ و اختصاصها بالبالغین</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مفصّلاً، من أنّه وردت نصوص تطلب من الصبیّ بعض العبادات ندباً، و هکذا وردت نصوص و تدلّ علی کتابة حسنات الصبیّ</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مشروط بالبلوغ و مع انتفاء الشرط ینتفی</w:t>
      </w:r>
    </w:p>
    <w:p>
      <w:pPr>
        <w:pStyle w:val="BookText"/>
        <w:rPr/>
      </w:pPr>
      <w:r>
        <w:rPr>
          <w:rFonts w:ascii="IRNazanin" w:hAnsi="IRNazanin" w:eastAsia="IRNazanin"/>
          <w:color w:val="111111"/>
          <w:sz w:val="28"/>
          <w:sz w:val="28"/>
          <w:szCs w:val="28"/>
          <w:rtl w:val="true"/>
          <w:lang w:bidi="fa-IR"/>
        </w:rPr>
        <w:t>المشروط‌</w:t>
      </w:r>
      <w:r>
        <w:rPr>
          <w:rStyle w:val="FootnoteAnchor"/>
          <w:rtl w:val="true"/>
        </w:rPr>
        <w:footnoteReference w:id="2332"/>
      </w:r>
      <w:r>
        <w:rPr>
          <w:rFonts w:ascii="IRNazanin" w:hAnsi="IRNazanin" w:eastAsia="IRNazanin"/>
          <w:color w:val="111111"/>
          <w:sz w:val="28"/>
          <w:sz w:val="28"/>
          <w:szCs w:val="28"/>
          <w:rtl w:val="true"/>
          <w:lang w:bidi="fa-IR"/>
        </w:rPr>
        <w:t>، و قرّره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غیر البالغ لیس من أهل التکلیف، و لا یقع منه الفعل علی وجه یعدّ طاعة؛ لأنّها موافقة الأمر، و الصبیّ لیس بمأمور</w:t>
      </w:r>
      <w:r>
        <w:rPr>
          <w:rFonts w:eastAsia="IRNazanin" w:cs="IRNazanin"/>
          <w:color w:val="111111"/>
          <w:sz w:val="28"/>
          <w:szCs w:val="28"/>
          <w:rtl w:val="true"/>
          <w:lang w:bidi="fa-IR"/>
        </w:rPr>
        <w:t>»</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ما تقدّم، من أنّ المستحبّات لم تکن مشروطة بالبلوغ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العقل لا یأبی توجّه الخطاب إلی الصبیّ الممیّز، و الشرع إنّما اقتضی توقّف التکلیف بالواجب و المحرّم علی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التکلیف بالمندوب و ما فی معناه فلا مانع عنه عقلاً و لا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فالخطاب بإطلاقه متناول له، و الفهم الّذی هو شرط التکلیف حاصل کما هو المقدّر، و من ادّعی اشتراط ما زاد علی ذلک طولب بدلیله</w:t>
      </w:r>
      <w:r>
        <w:rPr>
          <w:rFonts w:eastAsia="IRNazanin" w:cs="IRNazanin"/>
          <w:color w:val="111111"/>
          <w:sz w:val="28"/>
          <w:szCs w:val="28"/>
          <w:rtl w:val="true"/>
          <w:lang w:bidi="fa-IR"/>
        </w:rPr>
        <w:t>»</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رفع القلم مخصّص للعمومات و موجب</w:t>
      </w:r>
      <w:r>
        <w:rPr>
          <w:rStyle w:val="FootnoteAnchor"/>
          <w:rtl w:val="true"/>
        </w:rPr>
        <w:footnoteReference w:id="2335"/>
      </w:r>
      <w:r>
        <w:rPr>
          <w:rFonts w:ascii="IRNazanin" w:hAnsi="IRNazanin" w:eastAsia="IRNazanin"/>
          <w:color w:val="111111"/>
          <w:sz w:val="28"/>
          <w:sz w:val="28"/>
          <w:szCs w:val="28"/>
          <w:rtl w:val="true"/>
          <w:lang w:bidi="fa-IR"/>
        </w:rPr>
        <w:t>لقاعدة الأمر بالأمر هنا، بمعنی إرادة التمرین لا الأمر، فیصیر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ثواب تمرّن، لا ثواب أصل العمل</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حدیث الرفع یرفع الأحکام الإلزامیة و یخصّصها فقط، و المستحبّات لا إلزام فیها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کروایة الزهری الطویلة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الصوم علی أربعین وجهاً، فعشرة أوجه منها واجبة کوجوب شهر رمضان، و عشرة أوجه منها صیامهنّ حرام، و أربعة عشر وجهاً منها صاحبها فیها بالخیار،</w:t>
      </w:r>
    </w:p>
    <w:p>
      <w:pPr>
        <w:pStyle w:val="BookText"/>
        <w:rPr/>
      </w:pPr>
      <w:r>
        <w:rPr>
          <w:rFonts w:ascii="IRNazanin" w:hAnsi="IRNazanin" w:eastAsia="IRNazanin"/>
          <w:color w:val="111111"/>
          <w:sz w:val="28"/>
          <w:sz w:val="28"/>
          <w:szCs w:val="28"/>
          <w:rtl w:val="true"/>
          <w:lang w:bidi="fa-IR"/>
        </w:rPr>
        <w:t>إن شاء صام و إن شاء أفطر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الأقسام و عدّ من أقسام ما فیها بالخیار کثیراً من أقسام 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صوم التأدیب فإنّه یؤمر الصبیّ إذا راهق بالصوم تأدیباً، و لیس بفرض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الظاهر من جعل صوم الصبیّ تأدیباً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قسیم المندوب، مثل صوم الحائض و المسافر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کونه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فی المستفیضة من أخذه بالصوم بعض الیوم</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التأدیب علی صوم الصبیّ یکون باعتبار أنّه یستحبّ للولیّ تأدیبه للصوم حتّی یؤدّب، و یعدّ لامتثال التکالیف الواجبة بعد بلوغه، و هو لا ینافی استحباب الصوم للطفل أیضاً</w:t>
      </w:r>
      <w:r>
        <w:rPr>
          <w:rStyle w:val="FootnoteAnchor"/>
          <w:rtl w:val="true"/>
        </w:rPr>
        <w:footnoteReference w:id="2339"/>
      </w:r>
      <w:r>
        <w:rPr>
          <w:rFonts w:ascii="IRNazanin" w:hAnsi="IRNazanin" w:eastAsia="IRNazanin"/>
          <w:color w:val="111111"/>
          <w:sz w:val="28"/>
          <w:sz w:val="28"/>
          <w:szCs w:val="28"/>
          <w:rtl w:val="true"/>
          <w:lang w:bidi="fa-IR"/>
        </w:rPr>
        <w:t>، کما أنّه یطلق الإباحة علی الصوم و لا ینافی وجوبه أو استحبابه، و تقسیم الإمام علیه السلام الصوم علی أربعین وجهاً یکون باعتبارات مختلفة و لا ینافی تداخلها، کما أنّ صوم الأذن مستحبّ و لکن جعله علیه السلام قسیم صوم الخیار الذی هو أیضاً مستحبّ</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یترتّب علی صوم الصبیّ جهتان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التأدیب و المشروعیّة، و غرض التأدیب الّذی یستحبّ لولیّه یتحقّق ببعض الیوم أیضاً، و لا منافاة بأن یکون صومه مشروعاً إذا جمع فیه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ذلک ما ورد فی روایة إسحاق بن عمّار أنّه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أطاق الصبیّ الصوم وجب علیه الصیام</w:t>
      </w:r>
      <w:r>
        <w:rPr>
          <w:rFonts w:eastAsia="IRNazanin" w:cs="IRNazanin"/>
          <w:color w:val="111111"/>
          <w:sz w:val="28"/>
          <w:szCs w:val="28"/>
          <w:rtl w:val="true"/>
          <w:lang w:bidi="fa-IR"/>
        </w:rPr>
        <w:t>»</w:t>
      </w:r>
      <w:r>
        <w:rPr>
          <w:rStyle w:val="FootnoteAnchor"/>
          <w:rtl w:val="true"/>
        </w:rPr>
        <w:footnoteReference w:id="2340"/>
      </w:r>
      <w:r>
        <w:rPr>
          <w:rFonts w:ascii="IRNazanin" w:hAnsi="IRNazanin" w:eastAsia="IRNazanin"/>
          <w:color w:val="111111"/>
          <w:sz w:val="28"/>
          <w:sz w:val="28"/>
          <w:szCs w:val="28"/>
          <w:rtl w:val="true"/>
          <w:lang w:bidi="fa-IR"/>
        </w:rPr>
        <w:t>، فإنّها تدلّ علی استحباب الصوم للصبیّ علی القول بالتسامح فی أدلّة السنن؛ لأنّه وقع فی سند الروایة محمّد بن الحصین الّذی لا توثیق له، مضافاً إلی أنّ روایة الزهری ضعیفة من جهة سفیان بن عیینة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دلّت علی عدم جواز أمر الصبیّ حتّی یحتلم</w:t>
      </w:r>
      <w:r>
        <w:rPr>
          <w:rStyle w:val="FootnoteAnchor"/>
          <w:rtl w:val="true"/>
        </w:rPr>
        <w:footnoteReference w:id="2341"/>
      </w:r>
      <w:r>
        <w:rPr>
          <w:rFonts w:ascii="IRNazanin" w:hAnsi="IRNazanin" w:eastAsia="IRNazanin"/>
          <w:color w:val="111111"/>
          <w:sz w:val="28"/>
          <w:sz w:val="28"/>
          <w:szCs w:val="28"/>
          <w:rtl w:val="true"/>
          <w:lang w:bidi="fa-IR"/>
        </w:rPr>
        <w:t>و أنّ عمده خطأ</w:t>
      </w:r>
      <w:r>
        <w:rPr>
          <w:rStyle w:val="FootnoteAnchor"/>
          <w:rtl w:val="true"/>
        </w:rPr>
        <w:footnoteReference w:id="2342"/>
      </w:r>
      <w:r>
        <w:rPr>
          <w:rFonts w:ascii="IRNazanin" w:hAnsi="IRNazanin" w:eastAsia="IRNazanin"/>
          <w:color w:val="111111"/>
          <w:sz w:val="28"/>
          <w:sz w:val="28"/>
          <w:szCs w:val="28"/>
          <w:rtl w:val="true"/>
          <w:lang w:bidi="fa-IR"/>
        </w:rPr>
        <w:t>، فإنّه یستفاد منها عدم اعتبار أفعال الصبیّ، فتکون عباداته تمرینیّة</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الطائفة الاُولی وردت بالنسبة إلی معاملات الصبیّ و تصرّفاته المالیّة، و الطائفة الثانیة کما تقدّم راجعة إلی باب الجنایات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ادّعاه فی مهذّب الأحکام عن بعض علی عدم شرعیّة عبادات الصبیّ، و إنّما هی تمرینیّة فقط‌</w:t>
      </w:r>
      <w:r>
        <w:rPr>
          <w:rStyle w:val="FootnoteAnchor"/>
          <w:rtl w:val="true"/>
        </w:rPr>
        <w:footnoteReference w:id="2344"/>
      </w:r>
      <w:r>
        <w:rPr>
          <w:rFonts w:ascii="IRNazanin" w:hAnsi="IRNazanin" w:eastAsia="IRNazanin"/>
          <w:color w:val="111111"/>
          <w:sz w:val="28"/>
          <w:sz w:val="28"/>
          <w:szCs w:val="28"/>
          <w:rtl w:val="true"/>
          <w:lang w:bidi="fa-IR"/>
        </w:rPr>
        <w:t>، و ادّعی فی الحدائق عدم الخلاف فی ذلک</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مخدوش کبرویّاً و صغرویّاً، أمّا الکبری فلأنّه لم یکن کاشفاً عن رأی المعصوم علیه السلام؛ لأنّه مدرکی و لا أقلّ محتمله، و أمّا الصغری فلأنّ المشهور قال بخلافه</w:t>
      </w:r>
      <w:r>
        <w:rPr>
          <w:rFonts w:eastAsia="IRNazanin" w:cs="IRNazanin"/>
          <w:color w:val="111111"/>
          <w:sz w:val="28"/>
          <w:szCs w:val="28"/>
          <w:rtl w:val="true"/>
          <w:lang w:bidi="fa-IR"/>
        </w:rPr>
        <w:t>.</w:t>
      </w:r>
      <w:bookmarkStart w:id="668" w:name="pg11755_255138"/>
    </w:p>
    <w:p>
      <w:pPr>
        <w:pStyle w:val="Heading6"/>
        <w:numPr>
          <w:ilvl w:val="5"/>
          <w:numId w:val="1"/>
        </w:numPr>
        <w:rPr/>
      </w:pPr>
      <w:bookmarkStart w:id="669" w:name="__RefHeading___Toc9587752_73709187"/>
      <w:bookmarkStart w:id="670" w:name="_Toc250"/>
      <w:bookmarkEnd w:id="668"/>
      <w:bookmarkEnd w:id="669"/>
      <w:r>
        <w:rPr>
          <w:rtl w:val="true"/>
        </w:rPr>
        <w:t>معنی تمرینیّة عبادات الصبیّ‌</w:t>
      </w:r>
      <w:bookmarkEnd w:id="670"/>
    </w:p>
    <w:p>
      <w:pPr>
        <w:pStyle w:val="BookText"/>
        <w:rPr/>
      </w:pPr>
      <w:r>
        <w:rPr>
          <w:rFonts w:ascii="IRNazanin" w:hAnsi="IRNazanin" w:eastAsia="IRNazanin"/>
          <w:color w:val="111111"/>
          <w:sz w:val="28"/>
          <w:sz w:val="28"/>
          <w:szCs w:val="28"/>
          <w:rtl w:val="true"/>
          <w:lang w:bidi="fa-IR"/>
        </w:rPr>
        <w:t>القائلون بتمرینیّة عبادات الصبیّ ینقسمون إلی 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تقول بأنّ عباداته تمرینیّة صرفة</w:t>
      </w:r>
      <w:r>
        <w:rPr>
          <w:rStyle w:val="FootnoteAnchor"/>
          <w:rtl w:val="true"/>
        </w:rPr>
        <w:footnoteReference w:id="2346"/>
      </w:r>
      <w:r>
        <w:rPr>
          <w:rFonts w:ascii="Amiri" w:hAnsi="Amiri" w:eastAsia="Amiri" w:cs="Amiri"/>
          <w:color w:val="111111"/>
          <w:sz w:val="28"/>
          <w:sz w:val="28"/>
          <w:szCs w:val="28"/>
          <w:rtl w:val="true"/>
          <w:lang w:bidi="ar-SA"/>
        </w:rPr>
        <w:t>و اخری تقول بأنّها تمرینیّة، و لکنّ التعوّد یکون مشروعاً منه</w:t>
      </w:r>
      <w:r>
        <w:rPr>
          <w:rStyle w:val="FootnoteAnchor"/>
          <w:rtl w:val="true"/>
        </w:rPr>
        <w:footnoteReference w:id="2347"/>
      </w:r>
      <w:r>
        <w:rPr>
          <w:rFonts w:ascii="IRNazanin" w:hAnsi="IRNazanin" w:eastAsia="IRNazanin"/>
          <w:color w:val="111111"/>
          <w:sz w:val="28"/>
          <w:sz w:val="28"/>
          <w:szCs w:val="28"/>
          <w:rtl w:val="true"/>
          <w:lang w:bidi="fa-IR"/>
        </w:rPr>
        <w:t>، و الآثار المترتّبة علیهما توجب الافتراق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القول الأوّل عبادات الصبیّ تکون بمنزلة اللعب لا یترتّب علیها أجر و ثواب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جهة أنّ الولیّ مأمور بالتعوید فله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هذا المدّعی الأدلّة المتقدّمة، و قد مرّ الجواب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الثانی فعباداته فی حدّ ذاتها تکون لاغیة و لا یترتّب علیها الثواب، أمّا من جهة تعوّده فتکون مطلوبة و یترتّب علیها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القول مرکّب 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شرعیّة عبادات الصبیّ بعناوینها التی تعلّقت الأوامر بها؛ لحدیث رفع القلم الّذی یدلّ علی رفع قلم جمیع التکالیف و الأحکام الخمسة، و یکون مخصّصاً للأدلّة الأوّلیّة العامّة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الکثیرة الدالّة علی استحباب التمرّن للعبادات و التعوّد علیها، و لا یرتفع هذا الاستحباب بحدیث رفع القلم؛ لأنّ مفاده ارتفاع کلّ ما هو جار علی البالغ عن الصبیّ، فیرفع أصل العمل؛ لثبوته علی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رجحان التمرّن فلا یکون فی البالغ حتّی یکون مرفوعاً عن الصبیّ، فیصیر</w:t>
      </w:r>
    </w:p>
    <w:p>
      <w:pPr>
        <w:pStyle w:val="BookText"/>
        <w:rPr/>
      </w:pPr>
      <w:r>
        <w:rPr>
          <w:rFonts w:ascii="Amiri" w:hAnsi="Amiri" w:eastAsia="Amiri" w:cs="Amiri"/>
          <w:color w:val="111111"/>
          <w:sz w:val="28"/>
          <w:sz w:val="28"/>
          <w:szCs w:val="28"/>
          <w:rtl w:val="true"/>
          <w:lang w:bidi="ar-SA"/>
        </w:rPr>
        <w:t>الحاصل ثبوت ثواب التمرّن لا أصل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الأمران کلاهما ممنوع و إن کان منع أحدهما کافیاً فی إبطال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فی أدلّة المشروعیّة من أنّ حدیث رفع القلم لا یرفع المشروعیّة؛ لأنّه لا یشمل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فمضافاً إلی أنّ حدیث الرفع لو کان مفاده رفع الحکم الاستحبابی لکان مقتضاه نفی استحباب التمرّن بالنسبة إلی الصبیّ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تلک الأخبار ثبوت الاستحباب بالنسبة إلی الولیّ، و أنّ المستحبّ تمرینه و تعویده للصبیّ، و الثواب إنّما یترتّب علی عمله، فلا یکون فی فعل الصبیّ ثواب راجع إلیه أصلاً، إلّا إذا رجع الأمر إلی ما قلنا من مشروعیّة عبادات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أشار إلی ذلک بعض الأعلام</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عباداته صحیحة لا مشروعیّة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کلمات بعض الفقهاء أنّ عبادات الصبیّ صحیحة و إن لم تکن مأموراً بها و مشروعة، و یترتّب علیها ظاهراً بعض ما یترتّب علی الفعل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المسالک فی مسألة صوم الصبیّ الممیّز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صحّة نیّته و صومه فلا إشکال فیه؛ لأنّها من باب خطاب الوضع، و هو غیر متوقّف علی التکلیف، و أمّا کون صومه شرعیّاً ففیه نظر</w:t>
      </w:r>
      <w:r>
        <w:rPr>
          <w:rFonts w:eastAsia="IRNazanin" w:cs="IRNazanin"/>
          <w:color w:val="111111"/>
          <w:sz w:val="28"/>
          <w:szCs w:val="28"/>
          <w:rtl w:val="true"/>
          <w:lang w:bidi="fa-IR"/>
        </w:rPr>
        <w:t>»</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الصحّة من أحکام الوضع، فلا یقتضی الشرعیّة</w:t>
      </w:r>
      <w:r>
        <w:rPr>
          <w:rFonts w:eastAsia="IRNazanin" w:cs="IRNazanin"/>
          <w:color w:val="111111"/>
          <w:sz w:val="28"/>
          <w:szCs w:val="28"/>
          <w:rtl w:val="true"/>
          <w:lang w:bidi="fa-IR"/>
        </w:rPr>
        <w:t>»</w:t>
      </w:r>
      <w:r>
        <w:rPr>
          <w:rStyle w:val="FootnoteAnchor"/>
          <w:rtl w:val="true"/>
        </w:rPr>
        <w:footnoteReference w:id="23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أی یمکن ثبوت الصحّة من غیر ثبوت الشرعیّة؛ لأنّ الصحّة من الأحکام الوضعیّة و تعمّ المکلّف و غیر المکلّف، أمّا المطلوبیّة الشرعیّة إیجاباً أو استحباباً فمقتصرة علی مورد دلیلها، فلو حکمنا علی الصبیّ بحکم وضعی لا یستلزم ذلک الحکم علیه بالمطلوبیّة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فالمدّعی فی هذا القول أمران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الصحّة من الأحکام الوضعیّة، و لا تختصّ بالمکلّفین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تلازم بین الصحّة و الحکم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 الصحّة من الأحکام الوضعیّة فلا کلام فیه؛ لأنّ الأحکام التکلیفیّة تنحصر فی الخمس</w:t>
      </w:r>
      <w:r>
        <w:rPr>
          <w:rStyle w:val="FootnoteAnchor"/>
          <w:rtl w:val="true"/>
        </w:rPr>
        <w:footnoteReference w:id="2351"/>
      </w:r>
      <w:r>
        <w:rPr>
          <w:rFonts w:ascii="IRNazanin" w:hAnsi="IRNazanin" w:eastAsia="IRNazanin"/>
          <w:color w:val="111111"/>
          <w:sz w:val="28"/>
          <w:sz w:val="28"/>
          <w:szCs w:val="28"/>
          <w:rtl w:val="true"/>
          <w:lang w:bidi="fa-IR"/>
        </w:rPr>
        <w:t>، و غیرها 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الأحکام الوضعیّة تشمل غیر المکلّفین فهذا أیضاً لا إشکال فیه، بل ادّعی الإجماع علیه</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 أدلّة الأحکام الوضعیّة عامّة تشمل الصبیّ أیضاً، فإنّ الظاهر من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أحیا أرضاً مواتاً فهی له</w:t>
      </w:r>
      <w:r>
        <w:rPr>
          <w:rFonts w:eastAsia="IRNazanin" w:cs="IRNazanin"/>
          <w:color w:val="111111"/>
          <w:sz w:val="28"/>
          <w:szCs w:val="28"/>
          <w:rtl w:val="true"/>
          <w:lang w:bidi="fa-IR"/>
        </w:rPr>
        <w:t>»</w:t>
      </w:r>
      <w:r>
        <w:rPr>
          <w:rStyle w:val="FootnoteAnchor"/>
          <w:rtl w:val="true"/>
        </w:rPr>
        <w:footnoteReference w:id="2353"/>
      </w:r>
      <w:r>
        <w:rPr>
          <w:rFonts w:ascii="IRNazanin" w:hAnsi="IRNazanin" w:eastAsia="IRNazanin"/>
          <w:color w:val="111111"/>
          <w:sz w:val="28"/>
          <w:sz w:val="28"/>
          <w:szCs w:val="28"/>
          <w:rtl w:val="true"/>
          <w:lang w:bidi="fa-IR"/>
        </w:rPr>
        <w:t>أنّ الإحیاء سبب للملک، فالسببیّة وصف للإحیاء و لا خصوصیّة للمحیی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الید ما أخذت حتّی تؤدّیه</w:t>
      </w:r>
      <w:r>
        <w:rPr>
          <w:rFonts w:eastAsia="IRNazanin" w:cs="IRNazanin"/>
          <w:color w:val="111111"/>
          <w:sz w:val="28"/>
          <w:szCs w:val="28"/>
          <w:rtl w:val="true"/>
          <w:lang w:bidi="fa-IR"/>
        </w:rPr>
        <w:t>»</w:t>
      </w:r>
      <w:r>
        <w:rPr>
          <w:rStyle w:val="FootnoteAnchor"/>
          <w:rtl w:val="true"/>
        </w:rPr>
        <w:footnoteReference w:id="2354"/>
      </w:r>
      <w:r>
        <w:rPr>
          <w:rFonts w:ascii="IRNazanin" w:hAnsi="IRNazanin" w:eastAsia="IRNazanin"/>
          <w:color w:val="111111"/>
          <w:sz w:val="28"/>
          <w:sz w:val="28"/>
          <w:szCs w:val="28"/>
          <w:rtl w:val="true"/>
          <w:lang w:bidi="fa-IR"/>
        </w:rPr>
        <w:t>، فهو یدلّ علی أنّ الأخذ موجب للضمان، صدر من البالغ أو من الصبیّ، و کذا غیرهما من الأخبار</w:t>
      </w:r>
    </w:p>
    <w:p>
      <w:pPr>
        <w:pStyle w:val="BookText"/>
        <w:rPr/>
      </w:pPr>
      <w:r>
        <w:rPr>
          <w:rFonts w:ascii="IRNazanin" w:hAnsi="IRNazanin" w:eastAsia="IRNazanin"/>
          <w:color w:val="111111"/>
          <w:sz w:val="28"/>
          <w:sz w:val="28"/>
          <w:szCs w:val="28"/>
          <w:rtl w:val="true"/>
          <w:lang w:bidi="fa-IR"/>
        </w:rPr>
        <w:t>التی ذکرناها فی البحث عن شمول الأحکام الوضعیّة للصبیّ‌</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حدیث الرفع لا یمکن أن یکون مخصّصاً لهذه الأدلّة؛ لأنّه ورد لرفع ما هو یوجب الکلفة و المشقّة للصبیّ، و الأحکام الوضعیّة فی مثل الملکیّة لا تکون فیها کلفة و مشقّة، بل عدمها یوجب المحرومیّة، و هو خلاف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البجنوردی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الفقیه المتتبّع إذا نظر فی تلک الأدلّة مع کثرتها یتیقّن بشمولها لغیر البالغین مثل البالغین</w:t>
      </w:r>
      <w:r>
        <w:rPr>
          <w:rFonts w:eastAsia="IRNazanin" w:cs="IRNazanin"/>
          <w:color w:val="111111"/>
          <w:sz w:val="28"/>
          <w:szCs w:val="28"/>
          <w:rtl w:val="true"/>
          <w:lang w:bidi="fa-IR"/>
        </w:rPr>
        <w:t>»</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عدم التلازم بین الأحکام الوضعیّة و التکلیفیّة فنقول فی مسألة جعل الأحکام الوضعیّة قولان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الأحکام الوضعیّة منتزعة من الأحکام التکلیفیّة، و لیست لها جعل مستقلّ، کما ذهب إلیه الشیخ الأعظم،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المشهور قائلون به</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استقلال الأحکام الوضعیّة فی الجعل، کما قال به جماعة من الفقهاء</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النزاع فی السبب و الشرط و المانع و الجزء، و أمّا الصحّة و البطلان ففیهما خصوصیّة لا بدّ علی کلا المبنیّین أن یلازما الحکم التکلیفی؛ لأنّ الصحّة و البطلان اللذین هما موافقة الأمر و مخالفته لا یحتاج إلی توقیف من الشارع، بل یعرف بمجرّد حکم العقل</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الصحّة و الفساد فهما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الفعل</w:t>
      </w:r>
    </w:p>
    <w:p>
      <w:pPr>
        <w:pStyle w:val="BookText"/>
        <w:rPr/>
      </w:pPr>
      <w:r>
        <w:rPr>
          <w:rFonts w:ascii="IRNazanin" w:hAnsi="IRNazanin" w:eastAsia="IRNazanin"/>
          <w:color w:val="111111"/>
          <w:sz w:val="28"/>
          <w:sz w:val="28"/>
          <w:szCs w:val="28"/>
          <w:rtl w:val="true"/>
          <w:lang w:bidi="fa-IR"/>
        </w:rPr>
        <w:t xml:space="preserve">المأتیّ به للفعل المأمور به و مخالفته له، و من المعلوم أنّ هاتین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الموافقة و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لیستا بجعل جاعل</w:t>
      </w:r>
      <w:r>
        <w:rPr>
          <w:rFonts w:eastAsia="IRNazanin" w:cs="IRNazanin"/>
          <w:color w:val="111111"/>
          <w:sz w:val="28"/>
          <w:szCs w:val="28"/>
          <w:rtl w:val="true"/>
          <w:lang w:bidi="fa-IR"/>
        </w:rPr>
        <w:t>»</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 أنّ الصحّة و الفساد لیستا من المجعولات الشرعیّة مطلقاً، فإنّ الطبیعة الکلّیّة المجعولة لا تتّصف بالصحّة و الفساد، و إنّما المتّصف بهما هو الفرد الخارجی المحقّق أو المقدّر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فرق بین العبادات و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الصحّة و الفساد الواقعیّتین، و أمّا الصحّة و الفساد الظاهریّتین فحیث إنّ موضوعهما الفرد المشکوک فیه فللشارع أن یحکم بترتیب الأثر علیه و أن یحکم بعدمه، فلا محالة تکونان مجعولتین من قِبَلِ الشارع</w:t>
      </w:r>
      <w:r>
        <w:rPr>
          <w:rFonts w:eastAsia="IRNazanin" w:cs="IRNazanin"/>
          <w:color w:val="111111"/>
          <w:sz w:val="28"/>
          <w:szCs w:val="28"/>
          <w:rtl w:val="true"/>
          <w:lang w:bidi="fa-IR"/>
        </w:rPr>
        <w:t>»</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لا یمکن الحکم بالصحّة بدون تحقّق المأمور به لا یمکن أن نقول بالصحّة بدون المشروعیّة، فالصحّة و المشروعیّة متلازمتان لا انفکاک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الواجبات و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بعض الفقهاء فی مشروعیّة عبادات الصبیّ بین العبادات الواجبة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کالفرائض الیومیّة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المستحبّات، فقال بالشرعیّة فی الثانیة و عدمها فی الاُولی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المحقّق النراقی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شرعیّة صومه المستحبّ مطلقاً، و تمرینیّة الواجب، لا شرعیّته و صحّته</w:t>
      </w:r>
      <w:r>
        <w:rPr>
          <w:rFonts w:eastAsia="Amiri" w:cs="Amiri" w:ascii="Amiri" w:hAnsi="Amiri"/>
          <w:color w:val="111111"/>
          <w:sz w:val="28"/>
          <w:szCs w:val="28"/>
          <w:rtl w:val="true"/>
          <w:lang w:bidi="ar-SA"/>
        </w:rPr>
        <w:t>»</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یستدلّ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حدیث رفع القلم إنّما یرفع خصوص الأحکام</w:t>
      </w:r>
    </w:p>
    <w:p>
      <w:pPr>
        <w:pStyle w:val="BookText"/>
        <w:rPr/>
      </w:pPr>
      <w:r>
        <w:rPr>
          <w:rFonts w:ascii="IRNazanin" w:hAnsi="IRNazanin" w:eastAsia="IRNazanin"/>
          <w:color w:val="111111"/>
          <w:sz w:val="28"/>
          <w:sz w:val="28"/>
          <w:szCs w:val="28"/>
          <w:rtl w:val="true"/>
          <w:lang w:bidi="fa-IR"/>
        </w:rPr>
        <w:t>اللزومیّة رأساً، و یحکم بعدم شمول الأدلّة العامّة لها بالنسبة إلی الصبیّ، فلا یبقی لها مشروعیّة، و أمّا سائر الأحکام فلا دلالة للحدیث علی رفعها أصلاً، فهی باقیة علی عمومها و شمولها للصبیّ‌</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بأنّ استحباب الفرائض للصبیّ ثبت بالأدلّة، و هذه الأدلّة تُثْبِتُ الاستحباب مطلقاً، 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صبیانکم بالصلاة</w:t>
      </w:r>
      <w:r>
        <w:rPr>
          <w:rFonts w:eastAsia="IRNazanin" w:cs="IRNazanin"/>
          <w:color w:val="111111"/>
          <w:sz w:val="28"/>
          <w:szCs w:val="28"/>
          <w:rtl w:val="true"/>
          <w:lang w:bidi="fa-IR"/>
        </w:rPr>
        <w:t>»</w:t>
      </w:r>
      <w:r>
        <w:rPr>
          <w:rStyle w:val="FootnoteAnchor"/>
          <w:rtl w:val="true"/>
        </w:rPr>
        <w:footnoteReference w:id="2364"/>
      </w:r>
    </w:p>
    <w:p>
      <w:pPr>
        <w:pStyle w:val="BookText"/>
        <w:rPr/>
      </w:pPr>
      <w:r>
        <w:rPr>
          <w:rFonts w:ascii="IRNazanin" w:hAnsi="IRNazanin" w:eastAsia="IRNazanin"/>
          <w:color w:val="111111"/>
          <w:sz w:val="28"/>
          <w:sz w:val="28"/>
          <w:szCs w:val="28"/>
          <w:rtl w:val="true"/>
          <w:lang w:bidi="fa-IR"/>
        </w:rPr>
        <w:t>و غیره</w:t>
      </w:r>
      <w:r>
        <w:rPr>
          <w:rStyle w:val="FootnoteAnchor"/>
          <w:rtl w:val="true"/>
        </w:rPr>
        <w:footnoteReference w:id="2365"/>
      </w:r>
      <w:r>
        <w:rPr>
          <w:rFonts w:ascii="IRNazanin" w:hAnsi="IRNazanin" w:eastAsia="IRNazanin"/>
          <w:color w:val="111111"/>
          <w:sz w:val="28"/>
          <w:sz w:val="28"/>
          <w:szCs w:val="28"/>
          <w:rtl w:val="true"/>
          <w:lang w:bidi="fa-IR"/>
        </w:rPr>
        <w:t>ممّا تقدّم تدلّ علی تعلّق الأمر الشرعی بنفس تلک الأفعال بمقتضی الفهم العرفی</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ظهر ضعف القول بالتفصیل بعدم المشروعیّة فی الحجّ و المشروعیّة فی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فی الحجّ فلم یوجد ما یدلّ علی مشروعیّته مطلقاً حتّی یصحّ للصبیّ أیضاً</w:t>
      </w:r>
      <w:r>
        <w:rPr>
          <w:rFonts w:eastAsia="Amiri" w:cs="Amiri" w:ascii="Amiri" w:hAnsi="Amiri"/>
          <w:color w:val="111111"/>
          <w:sz w:val="28"/>
          <w:szCs w:val="28"/>
          <w:rtl w:val="true"/>
          <w:lang w:bidi="ar-SA"/>
        </w:rPr>
        <w:t>»</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سوف نذکر الجواب عن هذا القول أیضاً فی البحث عن حجّ الصبیّ إن شاء اللّه</w:t>
      </w:r>
      <w:r>
        <w:rPr>
          <w:rFonts w:eastAsia="IRNazanin" w:cs="IRNazanin"/>
          <w:color w:val="111111"/>
          <w:sz w:val="28"/>
          <w:szCs w:val="28"/>
          <w:rtl w:val="true"/>
          <w:lang w:bidi="fa-IR"/>
        </w:rPr>
        <w:t>.</w:t>
      </w:r>
      <w:bookmarkStart w:id="671" w:name="pg11755_255151"/>
    </w:p>
    <w:p>
      <w:pPr>
        <w:pStyle w:val="Heading4"/>
        <w:numPr>
          <w:ilvl w:val="3"/>
          <w:numId w:val="1"/>
        </w:numPr>
        <w:rPr/>
      </w:pPr>
      <w:bookmarkStart w:id="672" w:name="__RefHeading___Toc9587754_73709187"/>
      <w:bookmarkStart w:id="673" w:name="_Toc251"/>
      <w:bookmarkEnd w:id="671"/>
      <w:bookmarkEnd w:id="672"/>
      <w:r>
        <w:rPr>
          <w:rtl w:val="true"/>
        </w:rPr>
        <w:t>المبحث الثالث</w:t>
      </w:r>
      <w:r>
        <w:rPr>
          <w:rtl w:val="true"/>
        </w:rPr>
        <w:t xml:space="preserve">: </w:t>
      </w:r>
      <w:r>
        <w:rPr>
          <w:rtl w:val="true"/>
        </w:rPr>
        <w:t>فی الثمرات المتفرّعة علی مشروعیّة عبادات الصبیّ‌</w:t>
      </w:r>
      <w:bookmarkEnd w:id="673"/>
    </w:p>
    <w:p>
      <w:pPr>
        <w:pStyle w:val="Heading5"/>
        <w:numPr>
          <w:ilvl w:val="4"/>
          <w:numId w:val="1"/>
        </w:numPr>
        <w:rPr/>
      </w:pPr>
      <w:bookmarkStart w:id="674" w:name="__RefHeading___Toc9587756_73709187"/>
      <w:bookmarkStart w:id="675" w:name="_Toc252"/>
      <w:bookmarkEnd w:id="674"/>
      <w:r>
        <w:rPr>
          <w:rtl w:val="true"/>
        </w:rPr>
        <w:t>اشارة</w:t>
      </w:r>
      <w:bookmarkEnd w:id="675"/>
    </w:p>
    <w:p>
      <w:pPr>
        <w:pStyle w:val="BookText"/>
        <w:rPr/>
      </w:pPr>
      <w:r>
        <w:rPr>
          <w:rFonts w:ascii="IRNazanin" w:hAnsi="IRNazanin" w:eastAsia="IRNazanin"/>
          <w:color w:val="111111"/>
          <w:sz w:val="28"/>
          <w:sz w:val="28"/>
          <w:szCs w:val="28"/>
          <w:rtl w:val="true"/>
          <w:lang w:bidi="fa-IR"/>
        </w:rPr>
        <w:t>تترتّب علی القول بمشروعیّة عبادات الصبیّ مطلقاً امور،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 جمیع العبادات الواجبة و المستحبّة مستحبّة له، فالصلاة مع جمیع أذکارها و أورادها و مقدّماتها و مؤخّراتها مستحبّة له، و الصوم الواجب و المندوب مستحبّ له، و کذا الحجّ و غیرها من العبادات، کما أنّ المحرّمات و المکروهات مکروهة له</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 الصبیّ یوجب السقوط عن الغیر فی الواجب الکفائی، فبناء علی المشروعیّة یستحبّ له تجهیز المیّت من الغسل و الکفن و الصلاة علیه و إن کان علی البالغین واجباً کفائیّاً، فیجوز له أن یتصدّی و یرفع موضوع الوجوب عن البالغین، و أمّا علی عدم المشروعیّة فلیس له أن یجهّز المیّت و إن کان أباه أو امّه</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النیابة عن الغیر فیما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البجنوردی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مشروعیّة عبادات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ینوب فی عمله العبادی عن غیره بأُجرة کی یکون أجیراً، أو بدون اجرة کی یکون تبرّعاً؛ لأنّ عمله واجد للمصلحة التامّة بدون نقص فیها، غایة الأمر رفع الشارع الإلزام عنهم لطفاً و رحمة علیهم، و من باب الرفق بهم و الامتنان</w:t>
      </w:r>
      <w:r>
        <w:rPr>
          <w:rFonts w:eastAsia="IRNazanin" w:cs="IRNazanin"/>
          <w:color w:val="111111"/>
          <w:sz w:val="28"/>
          <w:szCs w:val="28"/>
          <w:rtl w:val="true"/>
          <w:lang w:bidi="fa-IR"/>
        </w:rPr>
        <w:t>»</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أذان الصبیّ و جواز إمامته، علی اختلاف فیهما أیضاً کما تقدّمت الإشارة إلیهما</w:t>
      </w:r>
      <w:r>
        <w:rPr>
          <w:rStyle w:val="FootnoteAnchor"/>
          <w:rtl w:val="true"/>
        </w:rPr>
        <w:footnoteReference w:id="2371"/>
      </w:r>
      <w:r>
        <w:rPr>
          <w:rFonts w:ascii="IRNazanin" w:hAnsi="IRNazanin" w:eastAsia="IRNazanin"/>
          <w:color w:val="111111"/>
          <w:sz w:val="28"/>
          <w:sz w:val="28"/>
          <w:szCs w:val="28"/>
          <w:rtl w:val="true"/>
          <w:lang w:bidi="fa-IR"/>
        </w:rPr>
        <w:t>، و سیأتی تفصیل الکلام فیهما فی المقام المناسب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ربّما یقال بظهور الثمرة فی نیّة العبادات الواجبة، فعلی القول بتمرینیّتها ینوی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قدس سره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هل ینوی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أو الندب؟ الأجود الأوّل لیقع التمرین موقعه، و یکون المراد بالوجوب فی حقّه ما لا بدّ منه</w:t>
      </w:r>
      <w:r>
        <w:rPr>
          <w:rFonts w:eastAsia="IRNazanin" w:cs="IRNazanin"/>
          <w:color w:val="111111"/>
          <w:sz w:val="28"/>
          <w:szCs w:val="28"/>
          <w:rtl w:val="true"/>
          <w:lang w:bidi="fa-IR"/>
        </w:rPr>
        <w:t>»</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القول بالمشروعیّة ینوی الاستحباب؛ لأنّه بناء علیها تکون جمیع العبادات مستحبّة بالنسبة إلی الصبیّ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أنّه بناء علی التمرین لا تلزم نیّة الوجوب؛ لأنّه و إن کان بناء علیه یکون المطلوب حصول صورة العمل بالنحو الّذی یقع من البالغ، إلّا أن لزوم نیّة الوجوب ممنوعة؛ لأنّ الغرض حصول التمرین العملی لیسهل علیه</w:t>
      </w:r>
      <w:bookmarkStart w:id="676" w:name="pg11755_255155"/>
    </w:p>
    <w:p>
      <w:pPr>
        <w:pStyle w:val="BookText"/>
        <w:rPr/>
      </w:pPr>
      <w:bookmarkEnd w:id="676"/>
      <w:r>
        <w:rPr>
          <w:rFonts w:ascii="IRNazanin" w:hAnsi="IRNazanin" w:eastAsia="IRNazanin"/>
          <w:color w:val="111111"/>
          <w:sz w:val="28"/>
          <w:sz w:val="28"/>
          <w:szCs w:val="28"/>
          <w:rtl w:val="true"/>
          <w:lang w:bidi="fa-IR"/>
        </w:rPr>
        <w:t>الإتیان به بعد البلوغ، و لا دخالة للنیّة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بعض الأعلام</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تظهر الثمرة بین الأقوال أیضاً فیما إذا بلغ الصبیّ فی أثناء العمل أو بعد أداء الصلاة إذا بقی من وقتها، فعلی القول بتمرینیّتها یجب علیه الإعادة، و أمّا علی القول بالمشروعیّة، فهل یجب علیه الإعادة أو لا یجب؟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سنذکر آراء الفقهاء و التحقیق فی المسألة و قول المختار فیها فی البحث فی صلاة الصبیّ إن شاء اللّه</w:t>
      </w:r>
      <w:r>
        <w:rPr>
          <w:rFonts w:eastAsia="IRNazanin" w:cs="IRNazanin"/>
          <w:color w:val="111111"/>
          <w:sz w:val="28"/>
          <w:szCs w:val="28"/>
          <w:rtl w:val="true"/>
          <w:lang w:bidi="fa-IR"/>
        </w:rPr>
        <w:t>.</w:t>
      </w:r>
    </w:p>
    <w:p>
      <w:pPr>
        <w:pStyle w:val="Heading5"/>
        <w:numPr>
          <w:ilvl w:val="4"/>
          <w:numId w:val="1"/>
        </w:numPr>
        <w:rPr/>
      </w:pPr>
      <w:bookmarkStart w:id="677" w:name="__RefHeading___Toc9587758_73709187"/>
      <w:bookmarkStart w:id="678" w:name="_Toc253"/>
      <w:bookmarkEnd w:id="677"/>
      <w:r>
        <w:rPr>
          <w:rtl w:val="true"/>
        </w:rPr>
        <w:t>آراء مذاهب أهل السنّة فی المسألة</w:t>
      </w:r>
      <w:bookmarkEnd w:id="678"/>
    </w:p>
    <w:p>
      <w:pPr>
        <w:pStyle w:val="Heading6"/>
        <w:numPr>
          <w:ilvl w:val="5"/>
          <w:numId w:val="1"/>
        </w:numPr>
        <w:rPr/>
      </w:pPr>
      <w:bookmarkStart w:id="679" w:name="__RefHeading___Toc9587760_73709187"/>
      <w:bookmarkStart w:id="680" w:name="_Toc254"/>
      <w:bookmarkEnd w:id="679"/>
      <w:r>
        <w:rPr>
          <w:rtl w:val="true"/>
        </w:rPr>
        <w:t>أ</w:t>
      </w:r>
      <w:r>
        <w:rPr>
          <w:rtl w:val="true"/>
        </w:rPr>
        <w:t xml:space="preserve">: </w:t>
      </w:r>
      <w:r>
        <w:rPr>
          <w:rtl w:val="true"/>
        </w:rPr>
        <w:t>المالکیّة</w:t>
      </w:r>
      <w:bookmarkEnd w:id="680"/>
    </w:p>
    <w:p>
      <w:pPr>
        <w:pStyle w:val="BookText"/>
        <w:rPr/>
      </w:pPr>
      <w:r>
        <w:rPr>
          <w:rFonts w:ascii="IRNazanin" w:hAnsi="IRNazanin" w:eastAsia="IRNazanin"/>
          <w:color w:val="111111"/>
          <w:sz w:val="28"/>
          <w:sz w:val="28"/>
          <w:szCs w:val="28"/>
          <w:rtl w:val="true"/>
          <w:lang w:bidi="fa-IR"/>
        </w:rPr>
        <w:t>یستفاد من کلماتهم فی المسألة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مواهب الجلیل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القرافی فی کتاب الیواقیت فی 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البلوغ لیس شرطاً فی ذلک، و أنّ الصبیّ یندب و یحصل له أجر المندوبات إذا فعلها؛ لحدیث الخثعمیّة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ثواب له، و لا هو مخاطب بندب و لا بغیره، بل المخاطب الولیّ، و أمر الصبیّ بالعبادات علی سبیل الإصلاح کریاضة الدابّة؛ لحدیث رفع القلم عن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حدیث الخثعمیّة أخصّ من هذا، فیقدّم الخاصّ علی العامّ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التمییز فهو شرط فی جمیع الأحکام إجماعاً، فالصبی قبل التمییز کالبهیمة لا یخاطب بإباحة فضلاً عن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للصغیر</w:t>
      </w:r>
      <w:bookmarkStart w:id="681" w:name="pg11755_255157"/>
    </w:p>
    <w:p>
      <w:pPr>
        <w:pStyle w:val="BookText"/>
        <w:rPr/>
      </w:pPr>
      <w:bookmarkEnd w:id="681"/>
      <w:r>
        <w:rPr>
          <w:rFonts w:ascii="IRNazanin" w:hAnsi="IRNazanin" w:eastAsia="IRNazanin"/>
          <w:color w:val="111111"/>
          <w:sz w:val="28"/>
          <w:sz w:val="28"/>
          <w:szCs w:val="28"/>
          <w:rtl w:val="true"/>
          <w:lang w:bidi="fa-IR"/>
        </w:rPr>
        <w:t>حسناته و لا تکتب علیه سیّئاته</w:t>
      </w:r>
      <w:r>
        <w:rPr>
          <w:rFonts w:eastAsia="IRNazanin" w:cs="IRNazanin"/>
          <w:color w:val="111111"/>
          <w:sz w:val="28"/>
          <w:szCs w:val="28"/>
          <w:rtl w:val="true"/>
          <w:lang w:bidi="fa-IR"/>
        </w:rPr>
        <w:t>»</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بلغة السالک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 و الطفل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من جهة الشارع، لکنّ الولیّ مأمور بالأمر بها، و الصبیّ مأمور بفعلها، و هذا بناء علی أنّ الأمر بالأمر بالشیء أمر بذلک الشیء، و علی هذا فالتکلیف طلب ما فیه کلفة کتکلیف الصبیّ بالمندوبات و المکروهات، و البلوغ إنّما شرط فی التکلیف بالواجبات و المحرّمات، و هذا هو المعتمد عندنا، و یترتّب علی تکلیفه بالمندوبات و المکروهات أنّه یثاب علی الصلاة، و أمّا علی القول بأنّ الأمر بالأمر بالشیء لیس أمراً بذلک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مکلّفاً بالمندوبات و لا بالمکروهات، و لا ثواب له و لا عقاب علیه، و الثواب علیها لأبویه،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السواء،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ثلثاه للاُمّ و ثلثه للأب</w:t>
      </w:r>
      <w:r>
        <w:rPr>
          <w:rFonts w:eastAsia="IRNazanin" w:cs="IRNazanin"/>
          <w:color w:val="111111"/>
          <w:sz w:val="28"/>
          <w:szCs w:val="28"/>
          <w:rtl w:val="true"/>
          <w:lang w:bidi="fa-IR"/>
        </w:rPr>
        <w:t>»</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2" w:name="__RefHeading___Toc9587762_73709187"/>
      <w:bookmarkStart w:id="683" w:name="_Toc255"/>
      <w:bookmarkEnd w:id="682"/>
      <w:r>
        <w:rPr>
          <w:rtl w:val="true"/>
        </w:rPr>
        <w:t>ب</w:t>
      </w:r>
      <w:r>
        <w:rPr>
          <w:rtl w:val="true"/>
        </w:rPr>
        <w:t xml:space="preserve">: </w:t>
      </w:r>
      <w:r>
        <w:rPr>
          <w:rtl w:val="true"/>
        </w:rPr>
        <w:t>الحنابلة</w:t>
      </w:r>
      <w:bookmarkEnd w:id="683"/>
    </w:p>
    <w:p>
      <w:pPr>
        <w:pStyle w:val="BookText"/>
        <w:rPr/>
      </w:pPr>
      <w:r>
        <w:rPr>
          <w:rFonts w:ascii="IRNazanin" w:hAnsi="IRNazanin" w:eastAsia="IRNazanin"/>
          <w:color w:val="111111"/>
          <w:sz w:val="28"/>
          <w:sz w:val="28"/>
          <w:szCs w:val="28"/>
          <w:rtl w:val="true"/>
          <w:lang w:bidi="fa-IR"/>
        </w:rPr>
        <w:t>إنّهم قائلون بمشروعیّة عبادات الصبیّ و صحّتها، و إلیک نصّ بعض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المغنی لابن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خلاف فی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من الصبیّ العاقل، و لا فرق بین الذکر و الاُنثی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 فی مسألة أذان الصبیّ قولین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یعتدّ بأذانه، و هو قول عطاء و الشعبی و ابن أبی لیلی و الشافعی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ممّا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ینکر، فیکون إجماعاً، و لأنّه ذکر تصحّ صلاته، فاعتدّ</w:t>
      </w:r>
      <w:bookmarkStart w:id="684" w:name="pg11755_255159"/>
    </w:p>
    <w:p>
      <w:pPr>
        <w:pStyle w:val="BookText"/>
        <w:rPr/>
      </w:pPr>
      <w:bookmarkEnd w:id="684"/>
      <w:r>
        <w:rPr>
          <w:rFonts w:ascii="IRNazanin" w:hAnsi="IRNazanin" w:eastAsia="IRNazanin"/>
          <w:color w:val="111111"/>
          <w:sz w:val="28"/>
          <w:sz w:val="28"/>
          <w:szCs w:val="28"/>
          <w:rtl w:val="true"/>
          <w:lang w:bidi="fa-IR"/>
        </w:rPr>
        <w:t>بأذانه کالعدل البالغ</w:t>
      </w:r>
      <w:r>
        <w:rPr>
          <w:rFonts w:eastAsia="IRNazanin" w:cs="IRNazanin"/>
          <w:color w:val="111111"/>
          <w:sz w:val="28"/>
          <w:szCs w:val="28"/>
          <w:rtl w:val="true"/>
          <w:lang w:bidi="fa-IR"/>
        </w:rPr>
        <w:t>»</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فی کشّاف القناع عن الاختیارات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الأذان الذی یسقط به الفرض عن أهل القریة و یعتمد فی وقت الصلاة و الصیام لا یجوز أن یباشره صبیّ قولاً واحداً، و لا یسقط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الأذان الّذی یکون سنّة مؤکّدة فی مثل المساجد التی فی المصر و نحو ذلک، فهذا فیه روایتان، و الصحیح جوازه</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فی الکافی بأنّ أذان الصبیّ العاقل صحیح؛ لأنّه مشروع لصلاته</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الصلاة من الصبیّ الممیّز، و ثواب فعله له، و نقل عن شرح مسلم فی حجّة أنّه صحیح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یقع تطوّعاً، یثاب علیه عند مالک و الشافعی 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أنه یثاب علی طاعات بدنه، و ما یخرج من العبادات المالیّة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منه، أی یکتب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أعمال البرّ کلّها، فهو یکتب له و لا یکتب علیه</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تصحّ إمامة الممیّز للبالغ فی نفل ککسوف و تراویح، و تصحّ إمامة ممیّز بمثله؛ لأنّه متنفّل یؤمّ متنفّلاً</w:t>
      </w:r>
      <w:r>
        <w:rPr>
          <w:rFonts w:eastAsia="Amiri" w:cs="Amiri" w:ascii="Amiri" w:hAnsi="Amiri"/>
          <w:color w:val="111111"/>
          <w:sz w:val="28"/>
          <w:szCs w:val="28"/>
          <w:rtl w:val="true"/>
          <w:lang w:bidi="ar-SA"/>
        </w:rPr>
        <w:t>»</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5" w:name="__RefHeading___Toc9587764_73709187"/>
      <w:bookmarkStart w:id="686" w:name="_Toc256"/>
      <w:bookmarkEnd w:id="685"/>
      <w:r>
        <w:rPr>
          <w:rtl w:val="true"/>
        </w:rPr>
        <w:t>ج</w:t>
      </w:r>
      <w:r>
        <w:rPr>
          <w:rtl w:val="true"/>
        </w:rPr>
        <w:t xml:space="preserve">: </w:t>
      </w:r>
      <w:r>
        <w:rPr>
          <w:rtl w:val="true"/>
        </w:rPr>
        <w:t>الحنفیّة</w:t>
      </w:r>
      <w:bookmarkEnd w:id="686"/>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کلمات أکثرهم مشروعیّة عبادات الصبیّ الممیّز، و الإشکال</w:t>
      </w:r>
    </w:p>
    <w:p>
      <w:pPr>
        <w:pStyle w:val="BookText"/>
        <w:rPr/>
      </w:pPr>
      <w:r>
        <w:rPr>
          <w:rFonts w:ascii="IRNazanin" w:hAnsi="IRNazanin" w:eastAsia="IRNazanin"/>
          <w:color w:val="111111"/>
          <w:sz w:val="28"/>
          <w:sz w:val="28"/>
          <w:szCs w:val="28"/>
          <w:rtl w:val="true"/>
          <w:lang w:bidi="fa-IR"/>
        </w:rPr>
        <w:t xml:space="preserve">من بعض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الموارد؛ مثل إمامة الصبیّ فی الصلاة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لجهات اخری، و إلیک نصّ بعض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تصحّ عباداته و إن لم تجب علیه، و اختلفوا فی ثوابها، و المعتمد أنّه له، و للمعلِّم ثواب التعلیم، و کذا جمیع حسناته</w:t>
      </w:r>
      <w:r>
        <w:rPr>
          <w:rFonts w:eastAsia="IRNazanin" w:cs="IRNazanin"/>
          <w:color w:val="111111"/>
          <w:sz w:val="28"/>
          <w:szCs w:val="28"/>
          <w:rtl w:val="true"/>
          <w:lang w:bidi="fa-IR"/>
        </w:rPr>
        <w:t>»</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ردّ المحتار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الصبیّ إذا غسّل المیّت جاز</w:t>
      </w:r>
      <w:r>
        <w:rPr>
          <w:rFonts w:eastAsia="Amiri" w:cs="Amiri" w:ascii="Amiri" w:hAnsi="Amiri"/>
          <w:color w:val="111111"/>
          <w:sz w:val="28"/>
          <w:szCs w:val="28"/>
          <w:rtl w:val="true"/>
          <w:lang w:bidi="ar-SA"/>
        </w:rPr>
        <w:t>»</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المبسوط للسرخسی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أذّن للقوم غلام مراهق أجزأهم</w:t>
      </w:r>
      <w:r>
        <w:rPr>
          <w:rFonts w:eastAsia="IRNazanin" w:cs="IRNazanin"/>
          <w:color w:val="111111"/>
          <w:sz w:val="28"/>
          <w:szCs w:val="28"/>
          <w:rtl w:val="true"/>
          <w:lang w:bidi="fa-IR"/>
        </w:rPr>
        <w:t>»</w:t>
      </w:r>
      <w:r>
        <w:rPr>
          <w:rStyle w:val="FootnoteAnchor"/>
          <w:rtl w:val="true"/>
        </w:rPr>
        <w:footnoteReference w:id="2383"/>
      </w:r>
      <w:r>
        <w:rPr>
          <w:rFonts w:ascii="IRNazanin" w:hAnsi="IRNazanin" w:eastAsia="IRNazanin"/>
          <w:color w:val="111111"/>
          <w:sz w:val="28"/>
          <w:sz w:val="28"/>
          <w:szCs w:val="28"/>
          <w:rtl w:val="true"/>
          <w:lang w:bidi="fa-IR"/>
        </w:rPr>
        <w:t>، و کذا فی البدائع</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یجوز الاقتداء بالصبیّ فی التراویح و السنن المطلقة علی قول بعض مشایخهم، و منهم الحسن و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اقتداء الصبیّ بالصبیّ؛ لأنّ الصلاة متّحدة؛ لعدم الضمان علی واحد منهما، و کان بناء الضعیف علی الضعیف</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الفتاوی الهندیّة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إمامة الصبیّ المراهق لصبیان مثله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قول أئمّة بلخ یصحّ الاقتداء بالصبیان فی التراویح و السنن المطلقة</w:t>
      </w:r>
      <w:r>
        <w:rPr>
          <w:rFonts w:eastAsia="IRNazanin" w:cs="IRNazanin"/>
          <w:color w:val="111111"/>
          <w:sz w:val="28"/>
          <w:szCs w:val="28"/>
          <w:rtl w:val="true"/>
          <w:lang w:bidi="fa-IR"/>
        </w:rPr>
        <w:t>»</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الفقه الحنفی و أدلّته</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البحر الرائق فی شرائط الصوم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البلوغ فلیس من شرط الصحّة؛</w:t>
      </w:r>
      <w:bookmarkStart w:id="687" w:name="pg11755_255163"/>
    </w:p>
    <w:p>
      <w:pPr>
        <w:pStyle w:val="BookText"/>
        <w:rPr/>
      </w:pPr>
      <w:bookmarkEnd w:id="687"/>
      <w:r>
        <w:rPr>
          <w:rFonts w:ascii="IRNazanin" w:hAnsi="IRNazanin" w:eastAsia="IRNazanin"/>
          <w:color w:val="111111"/>
          <w:sz w:val="28"/>
          <w:sz w:val="28"/>
          <w:szCs w:val="28"/>
          <w:rtl w:val="true"/>
          <w:lang w:bidi="fa-IR"/>
        </w:rPr>
        <w:t>لصحّته من الصبیّ العاقل، و لهذا یثاب علیه</w:t>
      </w:r>
      <w:r>
        <w:rPr>
          <w:rFonts w:eastAsia="IRNazanin" w:cs="IRNazanin"/>
          <w:color w:val="111111"/>
          <w:sz w:val="28"/>
          <w:szCs w:val="28"/>
          <w:rtl w:val="true"/>
          <w:lang w:bidi="fa-IR"/>
        </w:rPr>
        <w:t>»</w:t>
      </w:r>
      <w:r>
        <w:rPr>
          <w:rStyle w:val="FootnoteAnchor"/>
          <w:rtl w:val="true"/>
        </w:rPr>
        <w:footnoteReference w:id="2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مجمع الأنهر</w:t>
      </w:r>
      <w:r>
        <w:rPr>
          <w:rStyle w:val="FootnoteAnchor"/>
          <w:rtl w:val="true"/>
        </w:rPr>
        <w:footnoteReference w:id="2389"/>
      </w:r>
      <w:r>
        <w:rPr>
          <w:rFonts w:ascii="Amiri" w:hAnsi="Amiri" w:eastAsia="Amiri" w:cs="Amiri"/>
          <w:color w:val="111111"/>
          <w:sz w:val="28"/>
          <w:sz w:val="28"/>
          <w:szCs w:val="28"/>
          <w:rtl w:val="true"/>
          <w:lang w:bidi="ar-SA"/>
        </w:rPr>
        <w:t>و تحفة الفقهاء</w:t>
      </w:r>
      <w:r>
        <w:rPr>
          <w:rStyle w:val="FootnoteAnchor"/>
          <w:rtl w:val="true"/>
        </w:rPr>
        <w:footnoteReference w:id="2390"/>
      </w:r>
      <w:r>
        <w:rPr>
          <w:rFonts w:ascii="IRNazanin" w:hAnsi="IRNazanin" w:eastAsia="IRNazanin"/>
          <w:color w:val="111111"/>
          <w:sz w:val="28"/>
          <w:sz w:val="28"/>
          <w:szCs w:val="28"/>
          <w:rtl w:val="true"/>
          <w:lang w:bidi="fa-IR"/>
        </w:rPr>
        <w:t>و غیرها</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8" w:name="__RefHeading___Toc9587766_73709187"/>
      <w:bookmarkStart w:id="689" w:name="_Toc257"/>
      <w:bookmarkEnd w:id="688"/>
      <w:r>
        <w:rPr>
          <w:rtl w:val="true"/>
        </w:rPr>
        <w:t>د</w:t>
      </w:r>
      <w:r>
        <w:rPr>
          <w:rtl w:val="true"/>
        </w:rPr>
        <w:t xml:space="preserve">: </w:t>
      </w:r>
      <w:r>
        <w:rPr>
          <w:rtl w:val="true"/>
        </w:rPr>
        <w:t>الشافعیّة</w:t>
      </w:r>
      <w:bookmarkEnd w:id="689"/>
    </w:p>
    <w:p>
      <w:pPr>
        <w:pStyle w:val="BookText"/>
        <w:rPr/>
      </w:pPr>
      <w:r>
        <w:rPr>
          <w:rFonts w:ascii="IRNazanin" w:hAnsi="IRNazanin" w:eastAsia="IRNazanin"/>
          <w:color w:val="111111"/>
          <w:sz w:val="28"/>
          <w:sz w:val="28"/>
          <w:szCs w:val="28"/>
          <w:rtl w:val="true"/>
          <w:lang w:bidi="fa-IR"/>
        </w:rPr>
        <w:t>قال الزرکشی فی قواعده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فی العبادات کالبالغ علی المذهب، و من ثمّ یحکم علی مائه بالاستعمال، و طهارته کاملة حتّی لو توضأ فی صغره ثمّ بلغ و صلّی صحّت صلاته، و کذا لو وطأها زوجها قبل بلوغها، فاغتسلت ثمّ بلغت، فغسلها صحیح و لا تعید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صلّی ثمّ بلغ لم تجب علیه إعادة الصلاة علی الصحیح، و کذا لو جمع بین الصلاتین</w:t>
      </w:r>
      <w:r>
        <w:rPr>
          <w:rFonts w:eastAsia="IRNazanin" w:cs="IRNazanin"/>
          <w:color w:val="111111"/>
          <w:sz w:val="28"/>
          <w:szCs w:val="28"/>
          <w:rtl w:val="true"/>
          <w:lang w:bidi="fa-IR"/>
        </w:rPr>
        <w:t>»</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الصبیّ فی حال الصلاة أو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لزمه أن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الخلاف بیننا و بینه یعود إلی أن للصبیّ صلاة شرعیّة أم لا؟</w:t>
      </w:r>
    </w:p>
    <w:p>
      <w:pPr>
        <w:pStyle w:val="BookText"/>
        <w:rPr/>
      </w:pPr>
      <w:r>
        <w:rPr>
          <w:rFonts w:ascii="IRNazanin" w:hAnsi="IRNazanin" w:eastAsia="IRNazanin"/>
          <w:color w:val="111111"/>
          <w:sz w:val="28"/>
          <w:sz w:val="28"/>
          <w:szCs w:val="28"/>
          <w:rtl w:val="true"/>
          <w:lang w:bidi="fa-IR"/>
        </w:rPr>
        <w:t>فعندنا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صلاة شرعیّة، و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یؤمر بالصلاة لیتمرّن علی فعلها، و لیست بصلاة شرعیّة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مروهم بالصلاة و هم أبناء سبع، و اضربوهم علیها و هم أبناء عشر</w:t>
      </w:r>
      <w:r>
        <w:rPr>
          <w:rFonts w:eastAsia="IRNazanin" w:cs="IRNazanin"/>
          <w:color w:val="111111"/>
          <w:sz w:val="28"/>
          <w:szCs w:val="28"/>
          <w:rtl w:val="true"/>
          <w:lang w:bidi="fa-IR"/>
        </w:rPr>
        <w:t>»</w:t>
      </w:r>
      <w:r>
        <w:rPr>
          <w:rStyle w:val="FootnoteAnchor"/>
          <w:rtl w:val="true"/>
        </w:rPr>
        <w:footnoteReference w:id="2393"/>
      </w:r>
      <w:r>
        <w:rPr>
          <w:rFonts w:ascii="IRNazanin" w:hAnsi="IRNazanin" w:eastAsia="IRNazanin"/>
          <w:color w:val="111111"/>
          <w:sz w:val="28"/>
          <w:sz w:val="28"/>
          <w:szCs w:val="28"/>
          <w:rtl w:val="true"/>
          <w:lang w:bidi="fa-IR"/>
        </w:rPr>
        <w:t>، فلو لا أنّ ما یفعلونه عبادة لما أمر بضربهم علیها</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یصحّ أذان الصبیّ إذا کان ممیّزاً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أهل العبادة بدلیل أنّ إمامته صحیحة فکذلک أذانه</w:t>
      </w:r>
      <w:r>
        <w:rPr>
          <w:rFonts w:eastAsia="IRNazanin" w:cs="IRNazanin"/>
          <w:color w:val="111111"/>
          <w:sz w:val="28"/>
          <w:szCs w:val="28"/>
          <w:rtl w:val="true"/>
          <w:lang w:bidi="fa-IR"/>
        </w:rPr>
        <w:t>»</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یصحّ الاعتکاف من الصبیّ الممیّز کما تصحّ منه الصلاة و الصوم</w:t>
      </w:r>
      <w:r>
        <w:rPr>
          <w:rFonts w:eastAsia="IRNazanin" w:cs="IRNazanin"/>
          <w:color w:val="111111"/>
          <w:sz w:val="28"/>
          <w:szCs w:val="28"/>
          <w:rtl w:val="true"/>
          <w:lang w:bidi="fa-IR"/>
        </w:rPr>
        <w:t>»</w:t>
      </w:r>
      <w:r>
        <w:rPr>
          <w:rStyle w:val="FootnoteAnchor"/>
          <w:rtl w:val="true"/>
        </w:rPr>
        <w:footnoteReference w:id="2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العباب المحیط‌</w:t>
      </w:r>
      <w:r>
        <w:rPr>
          <w:rStyle w:val="FootnoteAnchor"/>
          <w:rtl w:val="true"/>
        </w:rPr>
        <w:footnoteReference w:id="2397"/>
      </w:r>
      <w:r>
        <w:rPr>
          <w:rFonts w:ascii="IRNazanin" w:hAnsi="IRNazanin" w:eastAsia="IRNazanin"/>
          <w:color w:val="111111"/>
          <w:sz w:val="28"/>
          <w:sz w:val="28"/>
          <w:szCs w:val="28"/>
          <w:rtl w:val="true"/>
          <w:lang w:bidi="fa-IR"/>
        </w:rPr>
        <w:t>و مغنی المحتاج</w:t>
      </w:r>
      <w:r>
        <w:rPr>
          <w:rStyle w:val="FootnoteAnchor"/>
          <w:rtl w:val="true"/>
        </w:rPr>
        <w:footnoteReference w:id="2398"/>
      </w:r>
      <w:r>
        <w:rPr>
          <w:rFonts w:ascii="IRNazanin" w:hAnsi="IRNazanin" w:eastAsia="IRNazanin"/>
          <w:color w:val="111111"/>
          <w:sz w:val="28"/>
          <w:sz w:val="28"/>
          <w:szCs w:val="28"/>
          <w:rtl w:val="true"/>
          <w:lang w:bidi="fa-IR"/>
        </w:rPr>
        <w:t>و غیرها</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bookmarkStart w:id="690" w:name="pg11755_255169"/>
    </w:p>
    <w:p>
      <w:pPr>
        <w:pStyle w:val="Heading3"/>
        <w:numPr>
          <w:ilvl w:val="2"/>
          <w:numId w:val="1"/>
        </w:numPr>
        <w:rPr/>
      </w:pPr>
      <w:bookmarkStart w:id="691" w:name="__RefHeading___Toc9587768_73709187"/>
      <w:bookmarkStart w:id="692" w:name="_Toc258"/>
      <w:bookmarkEnd w:id="690"/>
      <w:bookmarkEnd w:id="691"/>
      <w:r>
        <w:rPr>
          <w:rtl w:val="true"/>
        </w:rPr>
        <w:t>الفصل الثانی</w:t>
      </w:r>
      <w:r>
        <w:rPr>
          <w:rtl w:val="true"/>
        </w:rPr>
        <w:t xml:space="preserve">: </w:t>
      </w:r>
      <w:r>
        <w:rPr>
          <w:rtl w:val="true"/>
        </w:rPr>
        <w:t>صلاة الصبیّ</w:t>
      </w:r>
      <w:bookmarkEnd w:id="692"/>
    </w:p>
    <w:p>
      <w:pPr>
        <w:pStyle w:val="Heading4"/>
        <w:numPr>
          <w:ilvl w:val="3"/>
          <w:numId w:val="1"/>
        </w:numPr>
        <w:rPr/>
      </w:pPr>
      <w:bookmarkStart w:id="693" w:name="__RefHeading___Toc9587770_73709187"/>
      <w:bookmarkStart w:id="694" w:name="_Toc259"/>
      <w:bookmarkEnd w:id="693"/>
      <w:r>
        <w:rPr>
          <w:rtl w:val="true"/>
        </w:rPr>
        <w:t>اشارة</w:t>
      </w:r>
      <w:bookmarkEnd w:id="69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مباحث</w:t>
      </w:r>
      <w:bookmarkStart w:id="695" w:name="pg11755_255173"/>
    </w:p>
    <w:p>
      <w:pPr>
        <w:pStyle w:val="BookText"/>
        <w:rPr/>
      </w:pPr>
      <w:bookmarkEnd w:id="695"/>
      <w:r>
        <w:rPr>
          <w:rFonts w:ascii="Amiri" w:hAnsi="Amiri" w:eastAsia="Amiri" w:cs="Amiri"/>
          <w:color w:val="111111"/>
          <w:sz w:val="28"/>
          <w:sz w:val="28"/>
          <w:szCs w:val="28"/>
          <w:rtl w:val="true"/>
          <w:lang w:bidi="ar-SA"/>
        </w:rPr>
        <w:t>صلاة الصبیّ‌</w:t>
      </w:r>
    </w:p>
    <w:p>
      <w:pPr>
        <w:pStyle w:val="Heading4"/>
        <w:numPr>
          <w:ilvl w:val="3"/>
          <w:numId w:val="1"/>
        </w:numPr>
        <w:rPr/>
      </w:pPr>
      <w:bookmarkStart w:id="696" w:name="__RefHeading___Toc9587772_73709187"/>
      <w:bookmarkStart w:id="697" w:name="_Toc260"/>
      <w:bookmarkEnd w:id="696"/>
      <w:r>
        <w:rPr>
          <w:rtl w:val="true"/>
        </w:rPr>
        <w:t>تمهید</w:t>
      </w:r>
      <w:bookmarkEnd w:id="697"/>
    </w:p>
    <w:p>
      <w:pPr>
        <w:pStyle w:val="BookText"/>
        <w:rPr/>
      </w:pPr>
      <w:r>
        <w:rPr>
          <w:rFonts w:ascii="Amiri" w:hAnsi="Amiri" w:eastAsia="Amiri" w:cs="Amiri"/>
          <w:color w:val="111111"/>
          <w:sz w:val="28"/>
          <w:sz w:val="28"/>
          <w:szCs w:val="28"/>
          <w:rtl w:val="true"/>
          <w:lang w:bidi="ar-SA"/>
        </w:rPr>
        <w:t>تقدّم</w:t>
      </w:r>
      <w:r>
        <w:rPr>
          <w:rStyle w:val="FootnoteAnchor"/>
          <w:rtl w:val="true"/>
        </w:rPr>
        <w:footnoteReference w:id="2400"/>
      </w:r>
      <w:r>
        <w:rPr>
          <w:rFonts w:ascii="IRNazanin" w:hAnsi="IRNazanin" w:eastAsia="IRNazanin"/>
          <w:color w:val="111111"/>
          <w:sz w:val="28"/>
          <w:sz w:val="28"/>
          <w:szCs w:val="28"/>
          <w:rtl w:val="true"/>
          <w:lang w:bidi="fa-IR"/>
        </w:rPr>
        <w:t xml:space="preserve">أنّ الحقّ ما قال به مشهور الفقهاء من أنّ عبادات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مشروعة، فیقع الکلام فیها فی جهات، و هی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یشترط فی صحّة صلاة الصبیّ ما یشترط علی البالغین؟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یصحّ أن یکتفی بالأذان و الإقامة من الصبیّ فی الصلاة؟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فصل الصبیّ فی صفّ الجماعة؟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تنعقد به صلاة الجماعة؟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حکم صلاة الصبیّ فی السفر؟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یصحّ أن یکون الصبیّ نائباً عن الغیر فی الصلاة؟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یجب علی الصغیر الذی یکون من أکبر الأولاد إتیان الصلوات الّتی فاتت الأب أو الاُمّ و غیرها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للبحث فی هذه المسائل و ما شابهها عقدنا هذا الفصل، و فیه مباحث</w:t>
      </w:r>
      <w:r>
        <w:rPr>
          <w:rFonts w:eastAsia="IRNazanin" w:cs="IRNazanin"/>
          <w:color w:val="111111"/>
          <w:sz w:val="28"/>
          <w:szCs w:val="28"/>
          <w:rtl w:val="true"/>
          <w:lang w:bidi="fa-IR"/>
        </w:rPr>
        <w:t>:</w:t>
      </w:r>
      <w:bookmarkStart w:id="698" w:name="pg11755_255175"/>
    </w:p>
    <w:p>
      <w:pPr>
        <w:pStyle w:val="Heading4"/>
        <w:numPr>
          <w:ilvl w:val="3"/>
          <w:numId w:val="1"/>
        </w:numPr>
        <w:rPr/>
      </w:pPr>
      <w:bookmarkStart w:id="699" w:name="__RefHeading___Toc9587774_73709187"/>
      <w:bookmarkStart w:id="700" w:name="_Toc261"/>
      <w:bookmarkEnd w:id="698"/>
      <w:bookmarkEnd w:id="699"/>
      <w:r>
        <w:rPr>
          <w:rtl w:val="true"/>
        </w:rPr>
        <w:t>المبحث الأوّل</w:t>
      </w:r>
      <w:r>
        <w:rPr>
          <w:rtl w:val="true"/>
        </w:rPr>
        <w:t>:</w:t>
      </w:r>
      <w:r>
        <w:rPr>
          <w:rtl w:val="true"/>
        </w:rPr>
        <w:t>شرائط صلاة الصبیّ‌</w:t>
      </w:r>
      <w:bookmarkEnd w:id="700"/>
    </w:p>
    <w:p>
      <w:pPr>
        <w:pStyle w:val="Heading5"/>
        <w:numPr>
          <w:ilvl w:val="4"/>
          <w:numId w:val="1"/>
        </w:numPr>
        <w:rPr/>
      </w:pPr>
      <w:bookmarkStart w:id="701" w:name="__RefHeading___Toc9587776_73709187"/>
      <w:bookmarkStart w:id="702" w:name="_Toc262"/>
      <w:bookmarkEnd w:id="701"/>
      <w:r>
        <w:rPr>
          <w:rtl w:val="true"/>
        </w:rPr>
        <w:t>اشارة</w:t>
      </w:r>
      <w:bookmarkEnd w:id="702"/>
    </w:p>
    <w:p>
      <w:pPr>
        <w:pStyle w:val="BookText"/>
        <w:rPr/>
      </w:pPr>
      <w:r>
        <w:rPr>
          <w:rFonts w:ascii="IRNazanin" w:hAnsi="IRNazanin" w:eastAsia="IRNazanin"/>
          <w:color w:val="111111"/>
          <w:sz w:val="28"/>
          <w:sz w:val="28"/>
          <w:szCs w:val="28"/>
          <w:rtl w:val="true"/>
          <w:lang w:bidi="fa-IR"/>
        </w:rPr>
        <w:t>یستفاد من ظاهر کلمات بعض الفقهاء أنّه یعتبر فی صلاة الصبیّ ما یعتبر فی صلاة البالغین إلّا ما استثنی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البحث عن عدم جواز لبس الحریر للرجال فی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ضرورة کون المعتبر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صلاة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یعتبر فی صلاة المکلّف، و لذا جعلوا مورد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جاء بها جامعة للشرائط، فاقدة للموانع التی تراد من المکلّف</w:t>
      </w:r>
      <w:r>
        <w:rPr>
          <w:rFonts w:eastAsia="IRNazanin" w:cs="IRNazanin"/>
          <w:color w:val="111111"/>
          <w:sz w:val="28"/>
          <w:szCs w:val="28"/>
          <w:rtl w:val="true"/>
          <w:lang w:bidi="fa-IR"/>
        </w:rPr>
        <w:t>»</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المرأة کالرجل فی الواجبات و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صلاة الصبیّ کالرجل، و الصبیّة کالمرأة</w:t>
      </w:r>
      <w:r>
        <w:rPr>
          <w:rFonts w:eastAsia="IRNazanin" w:cs="IRNazanin"/>
          <w:color w:val="111111"/>
          <w:sz w:val="28"/>
          <w:szCs w:val="28"/>
          <w:rtl w:val="true"/>
          <w:lang w:bidi="fa-IR"/>
        </w:rPr>
        <w:t>»</w:t>
      </w:r>
      <w:r>
        <w:rPr>
          <w:rStyle w:val="FootnoteAnchor"/>
          <w:rtl w:val="true"/>
        </w:rPr>
        <w:footnoteReference w:id="2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مهذّب الأحکام</w:t>
      </w:r>
      <w:r>
        <w:rPr>
          <w:rStyle w:val="FootnoteAnchor"/>
          <w:rtl w:val="true"/>
        </w:rPr>
        <w:footnoteReference w:id="2403"/>
      </w:r>
      <w:r>
        <w:rPr>
          <w:rFonts w:ascii="Amiri" w:hAnsi="Amiri" w:eastAsia="Amiri" w:cs="Amiri"/>
          <w:color w:val="111111"/>
          <w:sz w:val="28"/>
          <w:sz w:val="28"/>
          <w:szCs w:val="28"/>
          <w:rtl w:val="true"/>
          <w:lang w:bidi="ar-SA"/>
        </w:rPr>
        <w:t>و مستند العروة</w:t>
      </w:r>
      <w:r>
        <w:rPr>
          <w:rStyle w:val="FootnoteAnchor"/>
          <w:rtl w:val="true"/>
        </w:rPr>
        <w:footnoteReference w:id="2404"/>
      </w:r>
      <w:r>
        <w:rPr>
          <w:rFonts w:ascii="IRNazanin" w:hAnsi="IRNazanin" w:eastAsia="IRNazanin"/>
          <w:color w:val="111111"/>
          <w:sz w:val="28"/>
          <w:sz w:val="28"/>
          <w:szCs w:val="28"/>
          <w:rtl w:val="true"/>
          <w:lang w:bidi="fa-IR"/>
        </w:rPr>
        <w:t>و المستمسک</w:t>
      </w:r>
      <w:r>
        <w:rPr>
          <w:rStyle w:val="FootnoteAnchor"/>
          <w:rtl w:val="true"/>
        </w:rPr>
        <w:footnoteReference w:id="2405"/>
      </w:r>
      <w:r>
        <w:rPr>
          <w:rFonts w:ascii="IRNazanin" w:hAnsi="IRNazanin" w:eastAsia="IRNazanin"/>
          <w:color w:val="111111"/>
          <w:sz w:val="28"/>
          <w:sz w:val="28"/>
          <w:szCs w:val="28"/>
          <w:rtl w:val="true"/>
          <w:lang w:bidi="fa-IR"/>
        </w:rPr>
        <w:t xml:space="preserve">و مدارک العروة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هذا الحکم أیضاً من مفهوم کلمات جملة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یصرّحوا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استثنوا حکم لباس الأمة و الصبیّة الحرّة، فقالوا بعدم وجوب ستر رأسهما فی الصلاة، فیستفاد من الاستثناء أنّ الصبیّ و الصبیّة کانا فی الشرائط الاُخری للصلاة کالبالغین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تصلّی المرأة الحرّة بغیر خمار علی رأسها، و یجوز ذلک للإماء و الصبیّات من حرائر النساء</w:t>
      </w:r>
      <w:r>
        <w:rPr>
          <w:rFonts w:eastAsia="IRNazanin" w:cs="IRNazanin"/>
          <w:color w:val="111111"/>
          <w:sz w:val="28"/>
          <w:szCs w:val="28"/>
          <w:rtl w:val="true"/>
          <w:lang w:bidi="fa-IR"/>
        </w:rPr>
        <w:t>»</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الصبیّة الّتی لم تبلغ فلا یجب علیها تغطیة الرأس، و حکمها حکم الأمة</w:t>
      </w:r>
      <w:r>
        <w:rPr>
          <w:rFonts w:eastAsia="IRNazanin" w:cs="IRNazanin"/>
          <w:color w:val="111111"/>
          <w:sz w:val="28"/>
          <w:szCs w:val="28"/>
          <w:rtl w:val="true"/>
          <w:lang w:bidi="fa-IR"/>
        </w:rPr>
        <w:t>»</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الأمة و الصبیّة تصلّیان بغیر خمار</w:t>
      </w:r>
      <w:r>
        <w:rPr>
          <w:rFonts w:eastAsia="IRNazanin" w:cs="IRNazanin"/>
          <w:color w:val="111111"/>
          <w:sz w:val="28"/>
          <w:szCs w:val="28"/>
          <w:rtl w:val="true"/>
          <w:lang w:bidi="fa-IR"/>
        </w:rPr>
        <w:t>»</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النهایة</w:t>
      </w:r>
      <w:r>
        <w:rPr>
          <w:rStyle w:val="FootnoteAnchor"/>
          <w:rtl w:val="true"/>
        </w:rPr>
        <w:footnoteReference w:id="2409"/>
      </w:r>
      <w:r>
        <w:rPr>
          <w:rFonts w:ascii="IRNazanin" w:hAnsi="IRNazanin" w:eastAsia="IRNazanin"/>
          <w:color w:val="111111"/>
          <w:sz w:val="28"/>
          <w:sz w:val="28"/>
          <w:szCs w:val="28"/>
          <w:rtl w:val="true"/>
          <w:lang w:bidi="fa-IR"/>
        </w:rPr>
        <w:t>و إصباح الشیعة</w:t>
      </w:r>
      <w:r>
        <w:rPr>
          <w:rStyle w:val="FootnoteAnchor"/>
          <w:rtl w:val="true"/>
        </w:rPr>
        <w:footnoteReference w:id="2410"/>
      </w:r>
      <w:r>
        <w:rPr>
          <w:rFonts w:ascii="IRNazanin" w:hAnsi="IRNazanin" w:eastAsia="IRNazanin"/>
          <w:color w:val="111111"/>
          <w:sz w:val="28"/>
          <w:sz w:val="28"/>
          <w:szCs w:val="28"/>
          <w:rtl w:val="true"/>
          <w:lang w:bidi="fa-IR"/>
        </w:rPr>
        <w:t>و الإرشاد</w:t>
      </w:r>
      <w:r>
        <w:rPr>
          <w:rStyle w:val="FootnoteAnchor"/>
          <w:rtl w:val="true"/>
        </w:rPr>
        <w:footnoteReference w:id="2411"/>
      </w:r>
      <w:r>
        <w:rPr>
          <w:rFonts w:ascii="IRNazanin" w:hAnsi="IRNazanin" w:eastAsia="IRNazanin"/>
          <w:color w:val="111111"/>
          <w:sz w:val="28"/>
          <w:sz w:val="28"/>
          <w:szCs w:val="28"/>
          <w:rtl w:val="true"/>
          <w:lang w:bidi="fa-IR"/>
        </w:rPr>
        <w:t>و الذکری</w:t>
      </w:r>
      <w:r>
        <w:rPr>
          <w:rStyle w:val="FootnoteAnchor"/>
          <w:rtl w:val="true"/>
        </w:rPr>
        <w:footnoteReference w:id="2412"/>
      </w:r>
      <w:r>
        <w:rPr>
          <w:rFonts w:ascii="IRNazanin" w:hAnsi="IRNazanin" w:eastAsia="IRNazanin"/>
          <w:color w:val="111111"/>
          <w:sz w:val="28"/>
          <w:sz w:val="28"/>
          <w:szCs w:val="28"/>
          <w:rtl w:val="true"/>
          <w:lang w:bidi="fa-IR"/>
        </w:rPr>
        <w:t>و المعتبر، و زاد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إجماع علماء الإسلام</w:t>
      </w:r>
      <w:r>
        <w:rPr>
          <w:rFonts w:eastAsia="IRNazanin" w:cs="IRNazanin"/>
          <w:color w:val="111111"/>
          <w:sz w:val="28"/>
          <w:szCs w:val="28"/>
          <w:rtl w:val="true"/>
          <w:lang w:bidi="fa-IR"/>
        </w:rPr>
        <w:t>»</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مستند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الصبیّة الغیر البالغة کالأمة فی عدم اشتراط ستر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تکلیف و لیست من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التکلیف هو الوجوب الشرعیّ، و الکلام فی الشرطی، و هی من أهله</w:t>
      </w:r>
      <w:r>
        <w:rPr>
          <w:rFonts w:eastAsia="IRNazanin" w:cs="IRNazanin"/>
          <w:color w:val="111111"/>
          <w:sz w:val="28"/>
          <w:szCs w:val="28"/>
          <w:rtl w:val="true"/>
          <w:lang w:bidi="fa-IR"/>
        </w:rPr>
        <w:t>»</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bookmarkStart w:id="703" w:name="pg11755_255179"/>
    </w:p>
    <w:p>
      <w:pPr>
        <w:pStyle w:val="BookText"/>
        <w:rPr/>
      </w:pPr>
      <w:bookmarkEnd w:id="703"/>
      <w:r>
        <w:rPr>
          <w:rFonts w:ascii="Amiri" w:hAnsi="Amiri" w:eastAsia="Amiri" w:cs="Amiri"/>
          <w:color w:val="111111"/>
          <w:sz w:val="28"/>
          <w:sz w:val="28"/>
          <w:szCs w:val="28"/>
          <w:rtl w:val="true"/>
          <w:lang w:bidi="ar-SA"/>
        </w:rPr>
        <w:t>و أیضاً صرّح به المحقّق العاملی</w:t>
      </w:r>
      <w:r>
        <w:rPr>
          <w:rStyle w:val="FootnoteAnchor"/>
          <w:rtl w:val="true"/>
        </w:rPr>
        <w:footnoteReference w:id="2415"/>
      </w:r>
      <w:r>
        <w:rPr>
          <w:rFonts w:ascii="IRNazanin" w:hAnsi="IRNazanin" w:eastAsia="IRNazanin"/>
          <w:color w:val="111111"/>
          <w:sz w:val="28"/>
          <w:sz w:val="28"/>
          <w:szCs w:val="28"/>
          <w:rtl w:val="true"/>
          <w:lang w:bidi="fa-IR"/>
        </w:rPr>
        <w:t>و الإمام الخمینی رحمه الله</w:t>
      </w:r>
      <w:r>
        <w:rPr>
          <w:rStyle w:val="FootnoteAnchor"/>
          <w:rtl w:val="true"/>
        </w:rPr>
        <w:footnoteReference w:id="2416"/>
      </w:r>
      <w:r>
        <w:rPr>
          <w:rFonts w:ascii="IRNazanin" w:hAnsi="IRNazanin" w:eastAsia="IRNazanin"/>
          <w:color w:val="111111"/>
          <w:sz w:val="28"/>
          <w:sz w:val="28"/>
          <w:szCs w:val="28"/>
          <w:rtl w:val="true"/>
          <w:lang w:bidi="fa-IR"/>
        </w:rPr>
        <w:t>و غیرهم</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إذا أراد الصبیّ أن یصلّی یلزم أن تکون صلاته جامعة للشرائط و الأجزاء، من الطهارة و رعایة الوقت و القبلة و الستر و النیّة و القیام و القراءة و الرکوع و السجود و غیرها من الأجزاء، إلّا ما استثنی و ورد فیها نصّ خاصّ یدلّ علی عدم لزوم رعایة بعض الشرائط، کما سیجیء البحث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یلزم أن تکون فاقدة للموانع، کالأکل و الشرب و الالتفات إلی ورائه، و الکلام بحرفین فصاعداً و غیرها من قواطع الصلاة</w:t>
      </w:r>
      <w:r>
        <w:rPr>
          <w:rFonts w:eastAsia="IRNazanin" w:cs="IRNazanin"/>
          <w:color w:val="111111"/>
          <w:sz w:val="28"/>
          <w:szCs w:val="28"/>
          <w:rtl w:val="true"/>
          <w:lang w:bidi="fa-IR"/>
        </w:rPr>
        <w:t>.</w:t>
      </w:r>
    </w:p>
    <w:p>
      <w:pPr>
        <w:pStyle w:val="Heading5"/>
        <w:numPr>
          <w:ilvl w:val="4"/>
          <w:numId w:val="1"/>
        </w:numPr>
        <w:rPr/>
      </w:pPr>
      <w:bookmarkStart w:id="704" w:name="__RefHeading___Toc9587778_73709187"/>
      <w:bookmarkStart w:id="705" w:name="_Toc263"/>
      <w:bookmarkEnd w:id="704"/>
      <w:r>
        <w:rPr>
          <w:rtl w:val="true"/>
        </w:rPr>
        <w:t>أدلّة هذا الحکم</w:t>
      </w:r>
      <w:bookmarkEnd w:id="705"/>
    </w:p>
    <w:p>
      <w:pPr>
        <w:pStyle w:val="Heading6"/>
        <w:numPr>
          <w:ilvl w:val="5"/>
          <w:numId w:val="1"/>
        </w:numPr>
        <w:rPr/>
      </w:pPr>
      <w:bookmarkStart w:id="706" w:name="__RefHeading___Toc9587780_73709187"/>
      <w:bookmarkStart w:id="707" w:name="_Toc264"/>
      <w:bookmarkEnd w:id="706"/>
      <w:r>
        <w:rPr>
          <w:rtl w:val="true"/>
        </w:rPr>
        <w:t>اشارة</w:t>
      </w:r>
      <w:bookmarkEnd w:id="707"/>
    </w:p>
    <w:p>
      <w:pPr>
        <w:pStyle w:val="BookText"/>
        <w:rPr/>
      </w:pPr>
      <w:r>
        <w:rPr>
          <w:rFonts w:ascii="IRNazanin" w:hAnsi="IRNazanin" w:eastAsia="IRNazanin"/>
          <w:color w:val="111111"/>
          <w:sz w:val="28"/>
          <w:sz w:val="28"/>
          <w:szCs w:val="28"/>
          <w:rtl w:val="true"/>
          <w:lang w:bidi="fa-IR"/>
        </w:rPr>
        <w:t>و یمکن أن یستدلّ لإثبات المدّعی فی المقام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الإلحاق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بها فی المستمسک</w:t>
      </w:r>
      <w:r>
        <w:rPr>
          <w:rStyle w:val="FootnoteAnchor"/>
          <w:rtl w:val="true"/>
        </w:rPr>
        <w:footnoteReference w:id="2418"/>
      </w:r>
      <w:r>
        <w:rPr>
          <w:rFonts w:ascii="IRNazanin" w:hAnsi="IRNazanin" w:eastAsia="IRNazanin"/>
          <w:color w:val="111111"/>
          <w:sz w:val="28"/>
          <w:sz w:val="28"/>
          <w:szCs w:val="28"/>
          <w:rtl w:val="true"/>
          <w:lang w:bidi="fa-IR"/>
        </w:rPr>
        <w:t>و فی مهذّب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الإلحاق المتسالم علیها بین الإمامیّة، بل المسلمین</w:t>
      </w:r>
      <w:r>
        <w:rPr>
          <w:rFonts w:eastAsia="IRNazanin" w:cs="IRNazanin"/>
          <w:color w:val="111111"/>
          <w:sz w:val="28"/>
          <w:szCs w:val="28"/>
          <w:rtl w:val="true"/>
          <w:lang w:bidi="fa-IR"/>
        </w:rPr>
        <w:t>»</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المقصود منها هی قاعدة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القواعد الفقهیّة المعروفة و یترتّب علیها فروعٌ کثیرةٌ، بل قلّما تخلو مسألة فی الفقه من الحاجة إلیها و الابتناء علیها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المقصود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ثبت حکم لواحد من المکلّفین أو لطائفة منهم و لم یکن</w:t>
      </w:r>
    </w:p>
    <w:p>
      <w:pPr>
        <w:pStyle w:val="BookText"/>
        <w:rPr/>
      </w:pPr>
      <w:r>
        <w:rPr>
          <w:rFonts w:ascii="IRNazanin" w:hAnsi="IRNazanin" w:eastAsia="IRNazanin"/>
          <w:color w:val="111111"/>
          <w:sz w:val="28"/>
          <w:sz w:val="28"/>
          <w:szCs w:val="28"/>
          <w:rtl w:val="true"/>
          <w:lang w:bidi="fa-IR"/>
        </w:rPr>
        <w:t>هناک ما یدلّ علی مدخلیّة خصوصیّة لا تنطبق إلّا علی شخص خاصّ أو طائفة خاصّة أو زمان خاصّ کزمان حضور الإمام علیه السلام، فالحکم مشترک بین جمیع المکلّفین رجالاً و نساءً إلی یوم القیامة، سواء کان ثبوته بخطاب لفظی أو دلیل لبّی من إجماع أو غیره</w:t>
      </w:r>
      <w:r>
        <w:rPr>
          <w:rFonts w:eastAsia="IRNazanin" w:cs="IRNazanin"/>
          <w:color w:val="111111"/>
          <w:sz w:val="28"/>
          <w:szCs w:val="28"/>
          <w:rtl w:val="true"/>
          <w:lang w:bidi="fa-IR"/>
        </w:rPr>
        <w:t>»</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المتوجّه إلی شخص أو طائفة خاصّة بحیث إنّ دلیل ذلک الحکم لا یشمل غیر ذلک الشخص أو غیر تلک الطائفة، فدلیل الاشتراک یوجب إثباته لکلّ من کان مصداقاً لما أخذ موضوعاً لذلک الحکم، أی کان متّحد الصنف مع ذلک الشخص أو تلک الطائفة فیما إذا توجّه الخطاب إلیهما</w:t>
      </w:r>
      <w:r>
        <w:rPr>
          <w:rFonts w:eastAsia="IRNazanin" w:cs="IRNazanin"/>
          <w:color w:val="111111"/>
          <w:sz w:val="28"/>
          <w:szCs w:val="28"/>
          <w:rtl w:val="true"/>
          <w:lang w:bidi="fa-IR"/>
        </w:rPr>
        <w:t>»</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بها فی المقام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صلاة البالغ أن تکون واجدة للشرائط و الأجزاء الصلاتیّة المقرّرة فی الشرع، و فاقدة للموانع و الخلل، و لم یکن المکلّف مأخوذاً فی الموضوع بخصوصیّة و قید لا ینطبق إلّا علیه خاصّة، فیلزم أن تکون صلاة الصبیّ أیضاً کذلک بدلیل الاشتراک؛ لأنّ المفروض أنّ الصبیّ مخاطب بفعل الصلاة کالبالغ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بینّاه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إلزامیّة فی حقّ المکلّف، فیعاقب بترکها، بخلاف الصبیّ فإنّها مندوبة فی حقّه بحیث یستحقّ علیها الأجر و الثواب الاُخروی، و لم یؤاخذ بترکها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و الإطلاقات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الأحکام الوضعیّة کالشرطیّة و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بین البالغین و الصبیان، و من جهة اخری وردت عمومات و إطلاقات فی النصوص تدلّ علی أنّه تعتبر فی الصلاة 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w:t>
      </w:r>
      <w:bookmarkStart w:id="708" w:name="pg11755_255183"/>
    </w:p>
    <w:p>
      <w:pPr>
        <w:pStyle w:val="BookText"/>
        <w:rPr/>
      </w:pPr>
      <w:bookmarkEnd w:id="708"/>
      <w:r>
        <w:rPr>
          <w:rFonts w:ascii="Amiri" w:hAnsi="Amiri" w:eastAsia="Amiri" w:cs="Amiri"/>
          <w:color w:val="111111"/>
          <w:sz w:val="28"/>
          <w:sz w:val="28"/>
          <w:szCs w:val="28"/>
          <w:rtl w:val="true"/>
          <w:lang w:bidi="ar-SA"/>
        </w:rPr>
        <w:t>النصوص تشمل الصبیّ أیضاً،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 وَ إِنْ کُنْتُمْ جُنُباً فَاطَّهَّرُوا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فالوضوء شرط للصلاة، سواء کان المصلّی بالغاً أو غیر بالغ بمقتضی خطاب الوضع، و هکذا کثیر من الروایات، و نذکر بعضها علی نحو المثال، و هی علی طوائف</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9587782_73709187"/>
      <w:bookmarkStart w:id="710" w:name="_Toc265"/>
      <w:bookmarkEnd w:id="709"/>
      <w:r>
        <w:rPr>
          <w:rtl w:val="true"/>
        </w:rPr>
        <w:t>الطائفة الاُولی‌</w:t>
      </w:r>
      <w:bookmarkEnd w:id="710"/>
    </w:p>
    <w:p>
      <w:pPr>
        <w:pStyle w:val="BookText"/>
        <w:rPr/>
      </w:pPr>
      <w:r>
        <w:rPr>
          <w:rFonts w:ascii="IRNazanin" w:hAnsi="IRNazanin" w:eastAsia="IRNazanin"/>
          <w:color w:val="111111"/>
          <w:sz w:val="28"/>
          <w:sz w:val="28"/>
          <w:szCs w:val="28"/>
          <w:rtl w:val="true"/>
          <w:lang w:bidi="fa-IR"/>
        </w:rPr>
        <w:t>ما تدلّ علی شرطیّة الطهارة فی الصلاة، کصحیحة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2422"/>
      </w:r>
      <w:r>
        <w:rPr>
          <w:rFonts w:ascii="IRNazanin" w:hAnsi="IRNazanin" w:eastAsia="IRNazanin"/>
          <w:color w:val="111111"/>
          <w:sz w:val="28"/>
          <w:sz w:val="28"/>
          <w:szCs w:val="28"/>
          <w:rtl w:val="true"/>
          <w:lang w:bidi="fa-IR"/>
        </w:rPr>
        <w:t>، و غیرها</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1" w:name="__RefHeading___Toc9587784_73709187"/>
      <w:bookmarkStart w:id="712" w:name="_Toc266"/>
      <w:bookmarkEnd w:id="711"/>
      <w:r>
        <w:rPr>
          <w:rtl w:val="true"/>
        </w:rPr>
        <w:t>الطائفة الثانیة</w:t>
      </w:r>
      <w:bookmarkEnd w:id="712"/>
    </w:p>
    <w:p>
      <w:pPr>
        <w:pStyle w:val="BookText"/>
        <w:rPr/>
      </w:pPr>
      <w:r>
        <w:rPr>
          <w:rFonts w:ascii="IRNazanin" w:hAnsi="IRNazanin" w:eastAsia="IRNazanin"/>
          <w:color w:val="111111"/>
          <w:sz w:val="28"/>
          <w:sz w:val="28"/>
          <w:szCs w:val="28"/>
          <w:rtl w:val="true"/>
          <w:lang w:bidi="fa-IR"/>
        </w:rPr>
        <w:t>ما تدلّ علی اعتبار الأجزاء الصلاتیّة، کصحیحة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الذی لا یقرأ بفاتحة الکتاب فی صلاته،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له إلّا أن یقرأ بها فی جهر أو إخفات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424"/>
      </w:r>
      <w:r>
        <w:rPr>
          <w:rFonts w:ascii="IRNazanin" w:hAnsi="IRNazanin" w:eastAsia="IRNazanin"/>
          <w:color w:val="111111"/>
          <w:sz w:val="28"/>
          <w:sz w:val="28"/>
          <w:szCs w:val="28"/>
          <w:rtl w:val="true"/>
          <w:lang w:bidi="fa-IR"/>
        </w:rPr>
        <w:t>، و غیرها</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3" w:name="__RefHeading___Toc9587786_73709187"/>
      <w:bookmarkStart w:id="714" w:name="_Toc267"/>
      <w:bookmarkEnd w:id="713"/>
      <w:r>
        <w:rPr>
          <w:rtl w:val="true"/>
        </w:rPr>
        <w:t>الطائفة الثالثة</w:t>
      </w:r>
      <w:bookmarkEnd w:id="714"/>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تدلّ علی قواطع الصلاة، کصحیحة زرارة عن أبی عبد اللّه علیه السلام قال</w:t>
      </w:r>
      <w:r>
        <w:rPr>
          <w:rFonts w:eastAsia="IRNazanin" w:cs="IRNazanin"/>
          <w:color w:val="111111"/>
          <w:sz w:val="28"/>
          <w:szCs w:val="28"/>
          <w:rtl w:val="true"/>
          <w:lang w:bidi="fa-IR"/>
        </w:rPr>
        <w:t>:</w:t>
      </w:r>
      <w:bookmarkStart w:id="715" w:name="pg11755_255185"/>
    </w:p>
    <w:p>
      <w:pPr>
        <w:pStyle w:val="BookText"/>
        <w:rPr/>
      </w:pPr>
      <w:bookmarkEnd w:id="7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القهقهة لا تنقض الوضوء و تنقض الصلاة</w:t>
      </w:r>
      <w:r>
        <w:rPr>
          <w:rFonts w:eastAsia="Amiri" w:cs="Amiri" w:ascii="Amiri" w:hAnsi="Amiri"/>
          <w:color w:val="111111"/>
          <w:sz w:val="28"/>
          <w:szCs w:val="28"/>
          <w:rtl w:val="true"/>
          <w:lang w:bidi="ar-SA"/>
        </w:rPr>
        <w:t>»</w:t>
      </w:r>
      <w:r>
        <w:rPr>
          <w:rStyle w:val="FootnoteAnchor"/>
          <w:rtl w:val="true"/>
        </w:rPr>
        <w:footnoteReference w:id="2426"/>
      </w:r>
      <w:r>
        <w:rPr>
          <w:rFonts w:ascii="IRNazanin" w:hAnsi="IRNazanin" w:eastAsia="IRNazanin"/>
          <w:color w:val="111111"/>
          <w:sz w:val="28"/>
          <w:sz w:val="28"/>
          <w:szCs w:val="28"/>
          <w:rtl w:val="true"/>
          <w:lang w:bidi="fa-IR"/>
        </w:rPr>
        <w:t>، و غیرها</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6" w:name="__RefHeading___Toc9587788_73709187"/>
      <w:bookmarkStart w:id="717" w:name="_Toc268"/>
      <w:bookmarkEnd w:id="716"/>
      <w:r>
        <w:rPr>
          <w:rtl w:val="true"/>
        </w:rPr>
        <w:t>الطائفة الرابعة</w:t>
      </w:r>
      <w:bookmarkEnd w:id="717"/>
    </w:p>
    <w:p>
      <w:pPr>
        <w:pStyle w:val="BookText"/>
        <w:rPr/>
      </w:pPr>
      <w:r>
        <w:rPr>
          <w:rFonts w:ascii="IRNazanin" w:hAnsi="IRNazanin" w:eastAsia="IRNazanin"/>
          <w:color w:val="111111"/>
          <w:sz w:val="28"/>
          <w:sz w:val="28"/>
          <w:szCs w:val="28"/>
          <w:rtl w:val="true"/>
          <w:lang w:bidi="fa-IR"/>
        </w:rPr>
        <w:t>هی التی تبیّن الموانع فی الصلاة، کموثّقة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زرارة أبا عبد اللّه علیه السلام عن الصلاة فی الثعالب و الفنک و السنجاب و غیره من الوبر، فأخرج کتاباً زعم أنّه إملاء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فی وبر کلّ شیء حرام أکله، فالصلاة فی وبره و شعره و جلده و بوله و روثه و کلّ شیء منه فاسد، لا تقبل تلک الصلاة حتّی یُصلّی فی غیره ممّا أحلّ اللّه 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2428"/>
      </w:r>
      <w:r>
        <w:rPr>
          <w:rFonts w:ascii="IRNazanin" w:hAnsi="IRNazanin" w:eastAsia="IRNazanin"/>
          <w:color w:val="111111"/>
          <w:sz w:val="28"/>
          <w:sz w:val="28"/>
          <w:szCs w:val="28"/>
          <w:rtl w:val="true"/>
          <w:lang w:bidi="fa-IR"/>
        </w:rPr>
        <w:t>، و غیره</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فالإطلاقات و العمومات الواردة التی تدلّ علی الأجزاء و الشرائط الصلاتیّة فی الصلاة تشمل الصبیّ؛ لأنّ متعلّقها هو طبیعة الصلاة من دون فرق بین أن یفعلها المکلّف أو الصبیّ، و لکن وردت نصوص خاصّة تدلّ علی عدم اعتبار بعض الشرائط فی صلاة الصبیّ أو عدم بطلانها مع وجود بعض الموانع، سنذکرها قریباً تحت عنوان فروع المسألة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توقیفیّة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العبادات توقیفیّة، تلقّیها من الشارع، واجبة کانت أو مستحبّة، و معنی توقیفیّتها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التصرّف فیها زیادةً و نقیصةً، بل هی علی ما وصلت إلینا من الشرع بما لها من الواجبات و الشروط و الموانع، و یجب الوقوف فیها علی ما قرّرها صاحب الشریعة، فمقتضی الأصل الأوّلی أن تکون صلاة الصبیّ فی الأجزاء و الشرائط و الموانع مثل صلاة البالغ؛ لأنّه</w:t>
      </w:r>
      <w:bookmarkStart w:id="718" w:name="pg11755_255187"/>
    </w:p>
    <w:p>
      <w:pPr>
        <w:pStyle w:val="BookText"/>
        <w:rPr/>
      </w:pPr>
      <w:bookmarkEnd w:id="718"/>
      <w:r>
        <w:rPr>
          <w:rFonts w:ascii="IRNazanin" w:hAnsi="IRNazanin" w:eastAsia="IRNazanin"/>
          <w:color w:val="111111"/>
          <w:sz w:val="28"/>
          <w:sz w:val="28"/>
          <w:szCs w:val="28"/>
          <w:rtl w:val="true"/>
          <w:lang w:bidi="fa-IR"/>
        </w:rPr>
        <w:t>لا فرق بینهما إلّا فی البلوغ، و هو لا یوجب جواز فعل الصلاة للصبیّ مع فقد الشرائط، إلّا فیما دلّت النصوص علیه بالخصوص</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القول بأنّ صلاة الصبیّ غیر صلاة البالغین فی الأجزاء و الشرائط موجب لتأسیس فقه جدید؛ بدیهة أنّ لازمه أن تصحّ صلاته و لو کانت فاقدة للطهارة و الأجزاء، مثل الرکوع و السجود، و عدم بطلانها بالمبطلات العمدیّة، و لا نظنّ أحداً یلتزم بهذه اللوازم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بالأمر بشیء أمر بذلک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بالأمر بشیء أمر بذلک الشیء، و لمّا أمر الشارع الولیّ بأمر الصبیّ بالصلاة، فکأنّ الشارع نفسه أمره بها، و حیث إنّ الأمر بشیء کان له أحکام خاصّة منساق إلی انحفاظها فیه أیضاً فلذلک یحکم باعتبار جمیع ما یعتبر فی صحّة الصلاة الواجبة فی المستحبّة منها؛ للانسباق المذکور و علیه یلزم اعتبار جمیع ما یعتبر فی صحّة صلاة البالغ فی صحّة صلاة الصبیّ حسب التبادر، کما أفاده بعض الأعلام</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9" w:name="__RefHeading___Toc9587790_73709187"/>
      <w:bookmarkStart w:id="720" w:name="_Toc269"/>
      <w:bookmarkEnd w:id="719"/>
      <w:r>
        <w:rPr>
          <w:rtl w:val="true"/>
        </w:rPr>
        <w:t>رأی أهل السنّة فی المسألة</w:t>
      </w:r>
      <w:bookmarkEnd w:id="720"/>
    </w:p>
    <w:p>
      <w:pPr>
        <w:pStyle w:val="BookText"/>
        <w:rPr/>
      </w:pPr>
      <w:r>
        <w:rPr>
          <w:rFonts w:ascii="IRNazanin" w:hAnsi="IRNazanin" w:eastAsia="IRNazanin"/>
          <w:color w:val="111111"/>
          <w:sz w:val="28"/>
          <w:sz w:val="28"/>
          <w:szCs w:val="28"/>
          <w:rtl w:val="true"/>
          <w:lang w:bidi="fa-IR"/>
        </w:rPr>
        <w:t>یستفاد من کلماتهم بالصراحة أو بالإطلاق أنّه یعتبر فی صلاة الصبیّ ما یعتبر فی صلاة البالغ من الأجزاء و الشرائط إلّا فی بعض الشرائط خاصّة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المذهب الحنفی قال ابن نجیم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بطلان عبادته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بفعل ما یفسدها من نحو کلام فی الصلاة و أکل و شرب فی الصوم</w:t>
      </w:r>
    </w:p>
    <w:p>
      <w:pPr>
        <w:pStyle w:val="BookText"/>
        <w:rPr/>
      </w:pPr>
      <w:r>
        <w:rPr>
          <w:rFonts w:ascii="IRNazanin" w:hAnsi="IRNazanin" w:eastAsia="IRNazanin"/>
          <w:color w:val="111111"/>
          <w:sz w:val="28"/>
          <w:sz w:val="28"/>
          <w:szCs w:val="28"/>
          <w:rtl w:val="true"/>
          <w:lang w:bidi="fa-IR"/>
        </w:rPr>
        <w:t>و جماع فی الحجّ قبل الوقوف بعرفة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تنتقض طهارته بالقهقهة فی صلاته و إن أبطلت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کالبالغ فی نواقض الوضوء إلّا القهقهة</w:t>
      </w:r>
      <w:r>
        <w:rPr>
          <w:rFonts w:eastAsia="IRNazanin" w:cs="IRNazanin"/>
          <w:color w:val="111111"/>
          <w:sz w:val="28"/>
          <w:szCs w:val="28"/>
          <w:rtl w:val="true"/>
          <w:lang w:bidi="fa-IR"/>
        </w:rPr>
        <w:t>»</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المذهب الحنبلی 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خلاف فی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من الصبیّ العاقل، و یشترط فی صحّة صلاته ما یشترط لصحّة صلاة الکبیر إلّا فی السترة</w:t>
      </w:r>
      <w:r>
        <w:rPr>
          <w:rFonts w:eastAsia="IRNazanin" w:cs="IRNazanin"/>
          <w:color w:val="111111"/>
          <w:sz w:val="28"/>
          <w:szCs w:val="28"/>
          <w:rtl w:val="true"/>
          <w:lang w:bidi="fa-IR"/>
        </w:rPr>
        <w:t>»</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الإنصاف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حیث قلنا تصحّ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الصغیر، فیشترط لها ما یشترط لصحّة صلاة الکبیر مطلقاً علی الصحیح من المذهب</w:t>
      </w:r>
      <w:r>
        <w:rPr>
          <w:rFonts w:eastAsia="IRNazanin" w:cs="IRNazanin"/>
          <w:color w:val="111111"/>
          <w:sz w:val="28"/>
          <w:szCs w:val="28"/>
          <w:rtl w:val="true"/>
          <w:lang w:bidi="fa-IR"/>
        </w:rPr>
        <w:t>»</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غایة المرام و مستدلاًّ بعموم الأدلّة</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الفقه المالکی قال القرافی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المراهقة بمنزلة الکبیرة؛ لأنّ من أمر بالصلاة أمر بشروطها و فضائلها، فلو صلّت بغیر 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تعید فی الوقت، و کذلک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بغیر وضوء أعادها</w:t>
      </w:r>
      <w:r>
        <w:rPr>
          <w:rFonts w:eastAsia="IRNazanin" w:cs="IRNazanin"/>
          <w:color w:val="111111"/>
          <w:sz w:val="28"/>
          <w:szCs w:val="28"/>
          <w:rtl w:val="true"/>
          <w:lang w:bidi="fa-IR"/>
        </w:rPr>
        <w:t>»</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شبه هذا فی المدوّنة</w:t>
      </w:r>
      <w:r>
        <w:rPr>
          <w:rStyle w:val="FootnoteAnchor"/>
          <w:rtl w:val="true"/>
        </w:rPr>
        <w:footnoteReference w:id="2437"/>
      </w:r>
      <w:r>
        <w:rPr>
          <w:rFonts w:ascii="IRNazanin" w:hAnsi="IRNazanin" w:eastAsia="IRNazanin"/>
          <w:color w:val="111111"/>
          <w:sz w:val="28"/>
          <w:sz w:val="28"/>
          <w:szCs w:val="28"/>
          <w:rtl w:val="true"/>
          <w:lang w:bidi="fa-IR"/>
        </w:rPr>
        <w:t>و حاشیة الدسوقی</w:t>
      </w:r>
      <w:r>
        <w:rPr>
          <w:rStyle w:val="FootnoteAnchor"/>
          <w:rtl w:val="true"/>
        </w:rPr>
        <w:footnoteReference w:id="2438"/>
      </w:r>
      <w:r>
        <w:rPr>
          <w:rFonts w:ascii="IRNazanin" w:hAnsi="IRNazanin" w:eastAsia="IRNazanin"/>
          <w:color w:val="111111"/>
          <w:sz w:val="28"/>
          <w:sz w:val="28"/>
          <w:szCs w:val="28"/>
          <w:rtl w:val="true"/>
          <w:lang w:bidi="fa-IR"/>
        </w:rPr>
        <w:t>و مواهب الجلیل</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الفقه الشافعی فقد جاء فی المنثور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کالبالغ علی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عمد الممیّز فیما</w:t>
      </w:r>
      <w:bookmarkStart w:id="721" w:name="pg11755_255191"/>
    </w:p>
    <w:p>
      <w:pPr>
        <w:pStyle w:val="BookText"/>
        <w:rPr/>
      </w:pPr>
      <w:bookmarkEnd w:id="721"/>
      <w:r>
        <w:rPr>
          <w:rFonts w:ascii="IRNazanin" w:hAnsi="IRNazanin" w:eastAsia="IRNazanin"/>
          <w:color w:val="111111"/>
          <w:sz w:val="28"/>
          <w:sz w:val="28"/>
          <w:szCs w:val="28"/>
          <w:rtl w:val="true"/>
          <w:lang w:bidi="fa-IR"/>
        </w:rPr>
        <w:t>یتعلّق بإفساد العبادات فعمد قطعاً کالبالغ حتّی لو تکلّم فی الصلاة أو أکل فی الصوم عامداً فسدا قطعاً</w:t>
      </w:r>
      <w:r>
        <w:rPr>
          <w:rFonts w:eastAsia="IRNazanin" w:cs="IRNazanin"/>
          <w:color w:val="111111"/>
          <w:sz w:val="28"/>
          <w:szCs w:val="28"/>
          <w:rtl w:val="true"/>
          <w:lang w:bidi="fa-IR"/>
        </w:rPr>
        <w:t>»</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2" w:name="__RefHeading___Toc9587792_73709187"/>
      <w:bookmarkStart w:id="723" w:name="_Toc270"/>
      <w:bookmarkEnd w:id="722"/>
      <w:r>
        <w:rPr>
          <w:rtl w:val="true"/>
        </w:rPr>
        <w:t>فروع</w:t>
      </w:r>
      <w:bookmarkEnd w:id="723"/>
    </w:p>
    <w:p>
      <w:pPr>
        <w:pStyle w:val="Heading6"/>
        <w:numPr>
          <w:ilvl w:val="5"/>
          <w:numId w:val="1"/>
        </w:numPr>
        <w:rPr/>
      </w:pPr>
      <w:bookmarkStart w:id="724" w:name="__RefHeading___Toc9587794_73709187"/>
      <w:bookmarkStart w:id="725" w:name="_Toc271"/>
      <w:bookmarkEnd w:id="724"/>
      <w:r>
        <w:rPr>
          <w:rtl w:val="true"/>
        </w:rPr>
        <w:t>الأوّل</w:t>
      </w:r>
      <w:r>
        <w:rPr>
          <w:rtl w:val="true"/>
        </w:rPr>
        <w:t xml:space="preserve">: </w:t>
      </w:r>
      <w:r>
        <w:rPr>
          <w:rtl w:val="true"/>
        </w:rPr>
        <w:t>طهارة الصبیّ فی الصلاة</w:t>
      </w:r>
      <w:bookmarkEnd w:id="725"/>
    </w:p>
    <w:p>
      <w:pPr>
        <w:pStyle w:val="BookText"/>
        <w:rPr/>
      </w:pPr>
      <w:r>
        <w:rPr>
          <w:rFonts w:ascii="IRNazanin" w:hAnsi="IRNazanin" w:eastAsia="IRNazanin"/>
          <w:color w:val="111111"/>
          <w:sz w:val="28"/>
          <w:sz w:val="28"/>
          <w:szCs w:val="28"/>
          <w:rtl w:val="true"/>
          <w:lang w:bidi="fa-IR"/>
        </w:rPr>
        <w:t xml:space="preserve">لا شکّ فی أنّ الطهارة و الوضوء شرط فی صحّة الصلاة، و کان فی هذا اتّفاق جمیع المسلمین، و لکن روی فی الفقیه عن عبد اللّه بن فضالة، عن أبی عبد اللّه أو أبی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الغلام 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یترک حتّی یتمّ له سبع سنین، فإذا تمّ له سبع سنین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وجهک و کفّیک، فإذا غسلهما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ثمّ یترک حتّی یتمّ له تسع سنین، فإذا تمّت له تسع سنین عُلِّمَ الوضوء و ضُرِبَ علیه، و أمر بالصلاة و ضرب علیها، فإذا تعلّم الوضوء و الصلاة غفر اللّه عزّ و جلّ له و لوالدیه إن شاء اللّه</w:t>
      </w:r>
      <w:r>
        <w:rPr>
          <w:rFonts w:eastAsia="IRNazanin" w:cs="IRNazanin"/>
          <w:color w:val="111111"/>
          <w:sz w:val="28"/>
          <w:szCs w:val="28"/>
          <w:rtl w:val="true"/>
          <w:lang w:bidi="fa-IR"/>
        </w:rPr>
        <w:t>»</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فاکتفی فی الطهارة للصلاة بغسل الوجه و الکفّین، و لا یحمل علی الوضوء المتعارف، و الشاهد علی ذلک ما قال الإمام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تمّت له تسع سنین علّم الوضوء و ضرب علیه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تدلّ الروایة علی أنّ الصبیّ فی سبع سنین إلی تسع سنین إن غسل وجهه و کفّیه للصلاة بدلاً عن الوضوء المتعارف یکفیه، إلّا أنّ الروایة ضعیفة سنداً؛ لأنّ طریق الصدوق إلی عبد اللّه بن فضالة ضعیف بمحمّد بن سنان</w:t>
      </w:r>
      <w:bookmarkStart w:id="726" w:name="pg11755_255194"/>
    </w:p>
    <w:p>
      <w:pPr>
        <w:pStyle w:val="BookText"/>
        <w:rPr/>
      </w:pPr>
      <w:bookmarkEnd w:id="726"/>
      <w:r>
        <w:rPr>
          <w:rFonts w:ascii="IRNazanin" w:hAnsi="IRNazanin" w:eastAsia="IRNazanin"/>
          <w:color w:val="111111"/>
          <w:sz w:val="28"/>
          <w:sz w:val="28"/>
          <w:szCs w:val="28"/>
          <w:rtl w:val="true"/>
          <w:lang w:bidi="fa-IR"/>
        </w:rPr>
        <w:t>و بندار بن حمّاد</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بناءً علی التسامح فی أدلّة السنن یمکن الاستناد إلی الروایة و تقیّد</w:t>
      </w:r>
      <w:r>
        <w:rPr>
          <w:rStyle w:val="FootnoteAnchor"/>
          <w:rtl w:val="true"/>
        </w:rPr>
        <w:footnoteReference w:id="2443"/>
      </w:r>
    </w:p>
    <w:p>
      <w:pPr>
        <w:pStyle w:val="BookText"/>
        <w:rPr/>
      </w:pPr>
      <w:r>
        <w:rPr>
          <w:rFonts w:ascii="IRNazanin" w:hAnsi="IRNazanin" w:eastAsia="IRNazanin"/>
          <w:color w:val="111111"/>
          <w:sz w:val="28"/>
          <w:sz w:val="28"/>
          <w:szCs w:val="28"/>
          <w:rtl w:val="true"/>
          <w:lang w:bidi="fa-IR"/>
        </w:rPr>
        <w:t>إطلاقات أدلّة اعتبار الوضوء بها، فنحکم بأنّ الصبیّ الذی یکون فی سبع سنین إلی تسع سنین، إن اکتفی للصلاة بغسل وجهه و کفّیه بدلاً عن الوضوء لا یبعد أن یکفیه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 نجد من الفقهاء من أفتی بذلک، مضافاً إلی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یکون بصدد بیان حسن الممارسة و التمرین فی الطهارة و الصلاة للصبیّ، و لا یکون فی مقام بیان أنّه یکتفی الصبیّ بغسل الوجه و الکفّین بدلاً عن الوضوء، و علی کلّ حال فالاحتیاط حسن</w:t>
      </w:r>
      <w:r>
        <w:rPr>
          <w:rFonts w:eastAsia="IRNazanin" w:cs="IRNazanin"/>
          <w:color w:val="111111"/>
          <w:sz w:val="28"/>
          <w:szCs w:val="28"/>
          <w:rtl w:val="true"/>
          <w:lang w:bidi="fa-IR"/>
        </w:rPr>
        <w:t>.</w:t>
      </w:r>
    </w:p>
    <w:p>
      <w:pPr>
        <w:pStyle w:val="Heading6"/>
        <w:numPr>
          <w:ilvl w:val="5"/>
          <w:numId w:val="1"/>
        </w:numPr>
        <w:rPr/>
      </w:pPr>
      <w:bookmarkStart w:id="727" w:name="__RefHeading___Toc9587796_73709187"/>
      <w:bookmarkStart w:id="728" w:name="_Toc272"/>
      <w:bookmarkEnd w:id="727"/>
      <w:r>
        <w:rPr>
          <w:rtl w:val="true"/>
        </w:rPr>
        <w:t>الفرع الثانی</w:t>
      </w:r>
      <w:r>
        <w:rPr>
          <w:rtl w:val="true"/>
        </w:rPr>
        <w:t xml:space="preserve">: </w:t>
      </w:r>
      <w:r>
        <w:rPr>
          <w:rtl w:val="true"/>
        </w:rPr>
        <w:t>لبس الصبیّ لباس الشهرة و ما یختصّ بالصبیّة</w:t>
      </w:r>
      <w:bookmarkEnd w:id="728"/>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لبس لباس الشهرة بأن یلبس خلاف زیّه من حیث جنس اللباس أو من حیث لونه أو من حیث وضعه، و تفصیله و خیاطته، کأن یلبس العالم لباس الجندی أو بالعکس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یحرم علی الأحوط لبس الرجال ما یختصّ بالنساء و بالعکس، و الأحوط ترک الصلاة فیهما و إن کان الأقوی عدم البطلان</w:t>
      </w:r>
      <w:r>
        <w:rPr>
          <w:rFonts w:eastAsia="IRNazanin" w:cs="IRNazanin"/>
          <w:color w:val="111111"/>
          <w:sz w:val="28"/>
          <w:szCs w:val="28"/>
          <w:rtl w:val="true"/>
          <w:lang w:bidi="fa-IR"/>
        </w:rPr>
        <w:t>»</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تحریر الوسیلة</w:t>
      </w:r>
      <w:r>
        <w:rPr>
          <w:rStyle w:val="FootnoteAnchor"/>
          <w:rtl w:val="true"/>
        </w:rPr>
        <w:footnoteReference w:id="2445"/>
      </w:r>
      <w:r>
        <w:rPr>
          <w:rFonts w:ascii="IRNazanin" w:hAnsi="IRNazanin" w:eastAsia="IRNazanin"/>
          <w:color w:val="111111"/>
          <w:sz w:val="28"/>
          <w:sz w:val="28"/>
          <w:szCs w:val="28"/>
          <w:rtl w:val="true"/>
          <w:lang w:bidi="fa-IR"/>
        </w:rPr>
        <w:t>و شرحها</w:t>
      </w:r>
      <w:r>
        <w:rPr>
          <w:rStyle w:val="FootnoteAnchor"/>
          <w:rtl w:val="true"/>
        </w:rPr>
        <w:footnoteReference w:id="2446"/>
      </w:r>
      <w:r>
        <w:rPr>
          <w:rFonts w:ascii="IRNazanin" w:hAnsi="IRNazanin" w:eastAsia="IRNazanin"/>
          <w:color w:val="111111"/>
          <w:sz w:val="28"/>
          <w:sz w:val="28"/>
          <w:szCs w:val="28"/>
          <w:rtl w:val="true"/>
          <w:lang w:bidi="fa-IR"/>
        </w:rPr>
        <w:t>و المستمسک</w:t>
      </w:r>
      <w:r>
        <w:rPr>
          <w:rStyle w:val="FootnoteAnchor"/>
          <w:rtl w:val="true"/>
        </w:rPr>
        <w:footnoteReference w:id="2447"/>
      </w:r>
      <w:r>
        <w:rPr>
          <w:rFonts w:ascii="IRNazanin" w:hAnsi="IRNazanin" w:eastAsia="IRNazanin"/>
          <w:color w:val="111111"/>
          <w:sz w:val="28"/>
          <w:sz w:val="28"/>
          <w:szCs w:val="28"/>
          <w:rtl w:val="true"/>
          <w:lang w:bidi="fa-IR"/>
        </w:rPr>
        <w:t>و مهذّب الأحکام، و ادّعی فی الأخیر ظهور الإجماع علیها</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کشف الغطاء فی البحث عن شرائط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محرّماً من جهة خصوص الزیّ کلباس الرجال للنساء و بالعکس، و لباس الشهرة البالغة حدّ النقص و الفضیحة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عرضت له صفة التحریم بوجه من الوجوه لا تصحّ به الصلاة علی الأقوی</w:t>
      </w:r>
      <w:r>
        <w:rPr>
          <w:rFonts w:eastAsia="IRNazanin" w:cs="IRNazanin"/>
          <w:color w:val="111111"/>
          <w:sz w:val="28"/>
          <w:szCs w:val="28"/>
          <w:rtl w:val="true"/>
          <w:lang w:bidi="fa-IR"/>
        </w:rPr>
        <w:t>»</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أجاد السیّد الخوئی فی المقام،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بناءً علی حرمة اللبس فی الفرعین المتقدّمین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لباس الشهرة و التشبّه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تثبت المانعیّة له أیضاً، فتبطل الصلاة فیه؟ ذهب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ذلک، بدعوی الملازمة بین الحرمة النفسیّة و المانعیّة، و هی کما تری، لعدم الملازمة بین الأمرین؛ إذ مجرّد النهی عن أمر خارج عن حقیقة الصلاة </w:t>
      </w:r>
      <w:r>
        <w:rPr>
          <w:rStyle w:val="FootnoteAnchor"/>
          <w:rtl w:val="true"/>
        </w:rPr>
        <w:footnoteReference w:id="2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یقتضی الفساد کما 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فبناءً علی ما اخترناه سابقاً من سرایة حرمة الشرط إلی المشروط اتّجه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ما اخترناه أخیراً من عدم السرایة؛ إذ لا مقتضی لها، فإنّ قضیّة الاشتراط لیست إلّا کون</w:t>
      </w:r>
    </w:p>
    <w:p>
      <w:pPr>
        <w:pStyle w:val="BookText"/>
        <w:rPr/>
      </w:pPr>
      <w:r>
        <w:rPr>
          <w:rFonts w:ascii="IRNazanin" w:hAnsi="IRNazanin" w:eastAsia="IRNazanin"/>
          <w:color w:val="111111"/>
          <w:sz w:val="28"/>
          <w:sz w:val="28"/>
          <w:szCs w:val="28"/>
          <w:rtl w:val="true"/>
          <w:lang w:bidi="fa-IR"/>
        </w:rPr>
        <w:t xml:space="preserve">المأمور به الحصّة الخاصّة من الطبیعی و هی الصلاة المقارنة للستر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مصداق الستر حراماً لا یستوجب عدم تحقّق تلک الحصّة الخاصّة، فالأقوی حینئذ الصحّة و إن کان آثماً</w:t>
      </w:r>
      <w:r>
        <w:rPr>
          <w:rFonts w:eastAsia="IRNazanin" w:cs="IRNazanin"/>
          <w:color w:val="111111"/>
          <w:sz w:val="28"/>
          <w:szCs w:val="28"/>
          <w:rtl w:val="true"/>
          <w:lang w:bidi="fa-IR"/>
        </w:rPr>
        <w:t>»</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الفرعین المتقدِّمین لا یشمل الصبیّ؛ لأنّه لا دلیل علی ثبوت الحکم الوضعی</w:t>
      </w:r>
      <w:r>
        <w:rPr>
          <w:rStyle w:val="FootnoteAnchor"/>
          <w:rtl w:val="true"/>
        </w:rPr>
        <w:footnoteReference w:id="2452"/>
      </w:r>
      <w:r>
        <w:rPr>
          <w:rFonts w:ascii="IRNazanin" w:hAnsi="IRNazanin" w:eastAsia="IRNazanin"/>
          <w:color w:val="111111"/>
          <w:sz w:val="28"/>
          <w:sz w:val="28"/>
          <w:szCs w:val="28"/>
          <w:rtl w:val="true"/>
          <w:lang w:bidi="fa-IR"/>
        </w:rPr>
        <w:t>فی المقام حتّی یتخیّل إثباته فی حقّ الصبیّ، کما صرّح به بعض الأعلام،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عدم إضرار لباس الشهرة و کذا ما عطف علیه بصحّة الصلاة فلعدم الدلیل علی ثبوت الحکم الوضعی فی مثله، کما قام فی الذهب و فی الحریر</w:t>
      </w:r>
      <w:r>
        <w:rPr>
          <w:rFonts w:eastAsia="IRNazanin" w:cs="IRNazanin"/>
          <w:color w:val="111111"/>
          <w:sz w:val="28"/>
          <w:szCs w:val="28"/>
          <w:rtl w:val="true"/>
          <w:lang w:bidi="fa-IR"/>
        </w:rPr>
        <w:t>»</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الحرمة التکلیفیّة فالظاهر أنّه لا یمکن إثباتها لضعف أدلّتها</w:t>
      </w:r>
      <w:r>
        <w:rPr>
          <w:rStyle w:val="FootnoteAnchor"/>
          <w:rtl w:val="true"/>
        </w:rPr>
        <w:footnoteReference w:id="2454"/>
      </w:r>
      <w:r>
        <w:rPr>
          <w:rFonts w:ascii="IRNazanin" w:hAnsi="IRNazanin" w:eastAsia="IRNazanin"/>
          <w:color w:val="111111"/>
          <w:sz w:val="28"/>
          <w:sz w:val="28"/>
          <w:szCs w:val="28"/>
          <w:rtl w:val="true"/>
          <w:lang w:bidi="fa-IR"/>
        </w:rPr>
        <w:t>سنداً و قصورها دلالة، و لذا صرّح بعض الفقهاء بالکراهة کما فی المبسوط‌</w:t>
      </w:r>
      <w:r>
        <w:rPr>
          <w:rStyle w:val="FootnoteAnchor"/>
          <w:rtl w:val="true"/>
        </w:rPr>
        <w:footnoteReference w:id="2455"/>
      </w:r>
    </w:p>
    <w:p>
      <w:pPr>
        <w:pStyle w:val="BookText"/>
        <w:rPr/>
      </w:pPr>
      <w:r>
        <w:rPr>
          <w:rFonts w:ascii="IRNazanin" w:hAnsi="IRNazanin" w:eastAsia="IRNazanin"/>
          <w:color w:val="111111"/>
          <w:sz w:val="28"/>
          <w:sz w:val="28"/>
          <w:szCs w:val="28"/>
          <w:rtl w:val="true"/>
          <w:lang w:bidi="fa-IR"/>
        </w:rPr>
        <w:t>و النهایة</w:t>
      </w:r>
      <w:r>
        <w:rPr>
          <w:rStyle w:val="FootnoteAnchor"/>
          <w:rtl w:val="true"/>
        </w:rPr>
        <w:footnoteReference w:id="2456"/>
      </w:r>
      <w:r>
        <w:rPr>
          <w:rFonts w:ascii="IRNazanin" w:hAnsi="IRNazanin" w:eastAsia="IRNazanin"/>
          <w:color w:val="111111"/>
          <w:sz w:val="28"/>
          <w:sz w:val="28"/>
          <w:szCs w:val="28"/>
          <w:rtl w:val="true"/>
          <w:lang w:bidi="fa-IR"/>
        </w:rPr>
        <w:t>و غیرهما</w:t>
      </w:r>
      <w:r>
        <w:rPr>
          <w:rStyle w:val="FootnoteAnchor"/>
          <w:rtl w:val="true"/>
        </w:rPr>
        <w:footnoteReference w:id="2457"/>
      </w:r>
      <w:r>
        <w:rPr>
          <w:rFonts w:ascii="IRNazanin" w:hAnsi="IRNazanin" w:eastAsia="IRNazanin"/>
          <w:color w:val="111111"/>
          <w:sz w:val="28"/>
          <w:sz w:val="28"/>
          <w:szCs w:val="28"/>
          <w:rtl w:val="true"/>
          <w:lang w:bidi="fa-IR"/>
        </w:rPr>
        <w:t>، و حملها بعض آخر</w:t>
      </w:r>
      <w:r>
        <w:rPr>
          <w:rStyle w:val="FootnoteAnchor"/>
          <w:rtl w:val="true"/>
        </w:rPr>
        <w:footnoteReference w:id="2458"/>
      </w:r>
      <w:r>
        <w:rPr>
          <w:rFonts w:ascii="IRNazanin" w:hAnsi="IRNazanin" w:eastAsia="IRNazanin"/>
          <w:color w:val="111111"/>
          <w:sz w:val="28"/>
          <w:sz w:val="28"/>
          <w:szCs w:val="28"/>
          <w:rtl w:val="true"/>
          <w:lang w:bidi="fa-IR"/>
        </w:rPr>
        <w:t>علی الحرمة فی حالة خاصّة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سلّم ثبوتها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فمضافاً إلی أنّه لا تتوجّه إلی الصبیّ التکالیف الإلزامیّة </w:t>
      </w:r>
      <w:r>
        <w:rPr>
          <w:rFonts w:eastAsia="IRNazanin" w:cs="IRNazanin"/>
          <w:color w:val="111111"/>
          <w:sz w:val="28"/>
          <w:szCs w:val="28"/>
          <w:rtl w:val="true"/>
          <w:lang w:bidi="fa-IR"/>
        </w:rPr>
        <w:t>-</w:t>
      </w:r>
      <w:bookmarkStart w:id="729" w:name="pg11755_255200"/>
    </w:p>
    <w:p>
      <w:pPr>
        <w:pStyle w:val="BookText"/>
        <w:rPr/>
      </w:pPr>
      <w:bookmarkEnd w:id="729"/>
      <w:r>
        <w:rPr>
          <w:rFonts w:ascii="IRNazanin" w:hAnsi="IRNazanin" w:eastAsia="IRNazanin"/>
          <w:color w:val="111111"/>
          <w:sz w:val="28"/>
          <w:sz w:val="28"/>
          <w:szCs w:val="28"/>
          <w:rtl w:val="true"/>
          <w:lang w:bidi="fa-IR"/>
        </w:rPr>
        <w:t>فالنهی الوارد فی الروایات یتعلّق بعنوان الرجال و النساء، فینصرف عن الصبیّ و الصبیّة، فصلاة الصبیّ و الصبیّة صحیحتان و إن لبسا لباس الشهرة أو لبست الصبیّة ما یختصّ بالصبیّ، أو لبس الصبیّ ما یختصّ بالصبیّة</w:t>
      </w:r>
      <w:r>
        <w:rPr>
          <w:rFonts w:eastAsia="IRNazanin" w:cs="IRNazanin"/>
          <w:color w:val="111111"/>
          <w:sz w:val="28"/>
          <w:szCs w:val="28"/>
          <w:rtl w:val="true"/>
          <w:lang w:bidi="fa-IR"/>
        </w:rPr>
        <w:t>.</w:t>
      </w:r>
    </w:p>
    <w:p>
      <w:pPr>
        <w:pStyle w:val="Heading6"/>
        <w:numPr>
          <w:ilvl w:val="5"/>
          <w:numId w:val="1"/>
        </w:numPr>
        <w:rPr/>
      </w:pPr>
      <w:bookmarkStart w:id="730" w:name="__RefHeading___Toc9587798_73709187"/>
      <w:bookmarkStart w:id="731" w:name="_Toc273"/>
      <w:bookmarkEnd w:id="730"/>
      <w:r>
        <w:rPr>
          <w:rtl w:val="true"/>
        </w:rPr>
        <w:t>الفرع الثالث</w:t>
      </w:r>
      <w:r>
        <w:rPr>
          <w:rtl w:val="true"/>
        </w:rPr>
        <w:t xml:space="preserve">: </w:t>
      </w:r>
      <w:r>
        <w:rPr>
          <w:rtl w:val="true"/>
        </w:rPr>
        <w:t>صلاة الصبیان فی لباس أو مکان مغصوبین</w:t>
      </w:r>
      <w:bookmarkEnd w:id="731"/>
    </w:p>
    <w:p>
      <w:pPr>
        <w:pStyle w:val="BookText"/>
        <w:rPr/>
      </w:pPr>
      <w:r>
        <w:rPr>
          <w:rFonts w:ascii="IRNazanin" w:hAnsi="IRNazanin" w:eastAsia="IRNazanin"/>
          <w:color w:val="111111"/>
          <w:sz w:val="28"/>
          <w:sz w:val="28"/>
          <w:szCs w:val="28"/>
          <w:rtl w:val="true"/>
          <w:lang w:bidi="fa-IR"/>
        </w:rPr>
        <w:t>لا خلاف بین الفقهاء فی أنّ الصلاة فی اللباس المغصوب باطلة، و کذا الصلاة فی المکان المغصوب إذا کان عالماً بالغصب و مع الاختیار، بل ادّعی علیه الإجماع</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المبسوط فی شرائط لباس المصلّی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ملکاً أو مباحاً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مغصوباً لم یجز الصلاة فیها</w:t>
      </w:r>
      <w:r>
        <w:rPr>
          <w:rFonts w:eastAsia="IRNazanin" w:cs="IRNazanin"/>
          <w:color w:val="111111"/>
          <w:sz w:val="28"/>
          <w:szCs w:val="28"/>
          <w:rtl w:val="true"/>
          <w:lang w:bidi="fa-IR"/>
        </w:rPr>
        <w:t>»</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شرائط مکان المصلّی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صلّی فی مکان مغصوب مع الاختیار ملم تجز الصلاة فیه</w:t>
      </w:r>
      <w:r>
        <w:rPr>
          <w:rFonts w:eastAsia="IRNazanin" w:cs="IRNazanin"/>
          <w:color w:val="111111"/>
          <w:sz w:val="28"/>
          <w:szCs w:val="28"/>
          <w:rtl w:val="true"/>
          <w:lang w:bidi="fa-IR"/>
        </w:rPr>
        <w:t>»</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النهایة</w:t>
      </w:r>
      <w:r>
        <w:rPr>
          <w:rStyle w:val="FootnoteAnchor"/>
          <w:rtl w:val="true"/>
        </w:rPr>
        <w:footnoteReference w:id="2462"/>
      </w:r>
      <w:r>
        <w:rPr>
          <w:rFonts w:ascii="IRNazanin" w:hAnsi="IRNazanin" w:eastAsia="IRNazanin"/>
          <w:color w:val="111111"/>
          <w:sz w:val="28"/>
          <w:sz w:val="28"/>
          <w:szCs w:val="28"/>
          <w:rtl w:val="true"/>
          <w:lang w:bidi="fa-IR"/>
        </w:rPr>
        <w:t>و الشرائع</w:t>
      </w:r>
      <w:r>
        <w:rPr>
          <w:rStyle w:val="FootnoteAnchor"/>
          <w:rtl w:val="true"/>
        </w:rPr>
        <w:footnoteReference w:id="2463"/>
      </w:r>
      <w:r>
        <w:rPr>
          <w:rFonts w:ascii="IRNazanin" w:hAnsi="IRNazanin" w:eastAsia="IRNazanin"/>
          <w:color w:val="111111"/>
          <w:sz w:val="28"/>
          <w:sz w:val="28"/>
          <w:szCs w:val="28"/>
          <w:rtl w:val="true"/>
          <w:lang w:bidi="fa-IR"/>
        </w:rPr>
        <w:t>و القواعد</w:t>
      </w:r>
      <w:r>
        <w:rPr>
          <w:rStyle w:val="FootnoteAnchor"/>
          <w:rtl w:val="true"/>
        </w:rPr>
        <w:footnoteReference w:id="2464"/>
      </w:r>
      <w:r>
        <w:rPr>
          <w:rFonts w:ascii="Amiri" w:hAnsi="Amiri" w:eastAsia="Amiri" w:cs="Amiri"/>
          <w:color w:val="111111"/>
          <w:sz w:val="28"/>
          <w:sz w:val="28"/>
          <w:szCs w:val="28"/>
          <w:rtl w:val="true"/>
          <w:lang w:bidi="ar-SA"/>
        </w:rPr>
        <w:t>و الروضة</w:t>
      </w:r>
      <w:r>
        <w:rPr>
          <w:rStyle w:val="FootnoteAnchor"/>
          <w:rtl w:val="true"/>
        </w:rPr>
        <w:footnoteReference w:id="2465"/>
      </w:r>
      <w:r>
        <w:rPr>
          <w:rFonts w:ascii="IRNazanin" w:hAnsi="IRNazanin" w:eastAsia="IRNazanin"/>
          <w:color w:val="111111"/>
          <w:sz w:val="28"/>
          <w:sz w:val="28"/>
          <w:szCs w:val="28"/>
          <w:rtl w:val="true"/>
          <w:lang w:bidi="fa-IR"/>
        </w:rPr>
        <w:t>و کشف اللثام</w:t>
      </w:r>
      <w:r>
        <w:rPr>
          <w:rStyle w:val="FootnoteAnchor"/>
          <w:rtl w:val="true"/>
        </w:rPr>
        <w:footnoteReference w:id="2466"/>
      </w:r>
    </w:p>
    <w:p>
      <w:pPr>
        <w:pStyle w:val="BookText"/>
        <w:rPr/>
      </w:pPr>
      <w:r>
        <w:rPr>
          <w:rFonts w:ascii="IRNazanin" w:hAnsi="IRNazanin" w:eastAsia="IRNazanin"/>
          <w:color w:val="111111"/>
          <w:sz w:val="28"/>
          <w:sz w:val="28"/>
          <w:szCs w:val="28"/>
          <w:rtl w:val="true"/>
          <w:lang w:bidi="fa-IR"/>
        </w:rPr>
        <w:t>و الریاض</w:t>
      </w:r>
      <w:r>
        <w:rPr>
          <w:rStyle w:val="FootnoteAnchor"/>
          <w:rtl w:val="true"/>
        </w:rPr>
        <w:footnoteReference w:id="2467"/>
      </w:r>
      <w:r>
        <w:rPr>
          <w:rFonts w:ascii="IRNazanin" w:hAnsi="IRNazanin" w:eastAsia="IRNazanin"/>
          <w:color w:val="111111"/>
          <w:sz w:val="28"/>
          <w:sz w:val="28"/>
          <w:szCs w:val="28"/>
          <w:rtl w:val="true"/>
          <w:lang w:bidi="fa-IR"/>
        </w:rPr>
        <w:t>و تحریر الوسیلة</w:t>
      </w:r>
      <w:r>
        <w:rPr>
          <w:rStyle w:val="FootnoteAnchor"/>
          <w:rtl w:val="true"/>
        </w:rPr>
        <w:footnoteReference w:id="2468"/>
      </w:r>
      <w:r>
        <w:rPr>
          <w:rFonts w:ascii="IRNazanin" w:hAnsi="IRNazanin" w:eastAsia="IRNazanin"/>
          <w:color w:val="111111"/>
          <w:sz w:val="28"/>
          <w:sz w:val="28"/>
          <w:szCs w:val="28"/>
          <w:rtl w:val="true"/>
          <w:lang w:bidi="fa-IR"/>
        </w:rPr>
        <w:t>و تفصیل الشریعة</w:t>
      </w:r>
      <w:r>
        <w:rPr>
          <w:rStyle w:val="FootnoteAnchor"/>
          <w:rtl w:val="true"/>
        </w:rPr>
        <w:footnoteReference w:id="2469"/>
      </w:r>
      <w:r>
        <w:rPr>
          <w:rFonts w:ascii="IRNazanin" w:hAnsi="IRNazanin" w:eastAsia="IRNazanin"/>
          <w:color w:val="111111"/>
          <w:sz w:val="28"/>
          <w:sz w:val="28"/>
          <w:szCs w:val="28"/>
          <w:rtl w:val="true"/>
          <w:lang w:bidi="fa-IR"/>
        </w:rPr>
        <w:t>و غیرها</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الحکم یختصّ بالبالغین، و أمّا الصبیان فلا موجب لبطلان صلاتهم؛ لعدم تعلّق وجوب الاجتناب عن الغصب بهم، فلا حرمة لهم حتّی تشملهم الوجوه التی استندوا بها لبطلان صلاة 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ضرورة کون المعتبر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صلاة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یعتبر فی صلاة المکلّف، و لذا جعلوا مورد البحث فی التشریع و التمرین ما لو جاء بها جامعة للشرائط فاقدة للموانع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یفرّق بین ما کان منشأ الشرطیة أو المانعیة فیه الحرمة المنتفیة فی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کالغصب مثلاً 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غیره، فیعتبر الثانی دون الأوّل</w:t>
      </w:r>
      <w:r>
        <w:rPr>
          <w:rFonts w:eastAsia="IRNazanin" w:cs="IRNazanin"/>
          <w:color w:val="111111"/>
          <w:sz w:val="28"/>
          <w:szCs w:val="28"/>
          <w:rtl w:val="true"/>
          <w:lang w:bidi="fa-IR"/>
        </w:rPr>
        <w:t>»</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بطلان الصلاة فی اللباس المغصوب، و کذا فی المکان المغصوب مبنیّةٌ علی مسألة اصولیّة، و هی أنّ النهی المتعلّق بالعبادة یقتضی الفساد مطلقاً، سواء کان لذاتها أو لجزئها، أو لشرطها، أو لوصفها؛ لأنّ النهی عن العبادة یکشف عن ثبوت مفسدة فی العبادة و عدم الملاک و المصلحة فی متعلّقه؛ و لأنّ العبادة إذا کانت محرّمة و مبغوضة للمولی لم یمکن التقرّب بها؛ لاستحالة التقرّب بما هو مبغوض له فعلاً، کیف و أنّه مبعّد و المبعّد لا یعقل أن یکون مقرّباً؟ و معه لا تنطبق الطبیعة المأمور بها علیه لا محالة، و هذا معنی</w:t>
      </w:r>
      <w:bookmarkStart w:id="732" w:name="pg11755_255204"/>
    </w:p>
    <w:p>
      <w:pPr>
        <w:pStyle w:val="BookText"/>
        <w:rPr/>
      </w:pPr>
      <w:bookmarkEnd w:id="732"/>
      <w:r>
        <w:rPr>
          <w:rFonts w:ascii="IRNazanin" w:hAnsi="IRNazanin" w:eastAsia="IRNazanin"/>
          <w:color w:val="111111"/>
          <w:sz w:val="28"/>
          <w:sz w:val="28"/>
          <w:szCs w:val="28"/>
          <w:rtl w:val="true"/>
          <w:lang w:bidi="fa-IR"/>
        </w:rPr>
        <w:t>فساده، و تفصیل ذلک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لبس الصبیّ اللباس المغصوب أو کونه فی المکان المغصوب لم یکن منهیّاً؛ لأنّ النهی لا یتعلّق بفعل من أفعال الصبیّ، فلا یکون موجباً لبطلان صلاته، و لکن مع ذلک کلّه الاحتیاط بالإباحة فیهما أولی، فلا ینبغی ترکه</w:t>
      </w:r>
      <w:r>
        <w:rPr>
          <w:rFonts w:eastAsia="IRNazanin" w:cs="IRNazanin"/>
          <w:color w:val="111111"/>
          <w:sz w:val="28"/>
          <w:szCs w:val="28"/>
          <w:rtl w:val="true"/>
          <w:lang w:bidi="fa-IR"/>
        </w:rPr>
        <w:t>.</w:t>
      </w:r>
    </w:p>
    <w:p>
      <w:pPr>
        <w:pStyle w:val="Heading6"/>
        <w:numPr>
          <w:ilvl w:val="5"/>
          <w:numId w:val="1"/>
        </w:numPr>
        <w:rPr/>
      </w:pPr>
      <w:bookmarkStart w:id="733" w:name="__RefHeading___Toc9587800_73709187"/>
      <w:bookmarkStart w:id="734" w:name="_Toc274"/>
      <w:bookmarkEnd w:id="733"/>
      <w:r>
        <w:rPr>
          <w:rtl w:val="true"/>
        </w:rPr>
        <w:t>الفرع الرابع</w:t>
      </w:r>
      <w:r>
        <w:rPr>
          <w:rtl w:val="true"/>
        </w:rPr>
        <w:t xml:space="preserve">: </w:t>
      </w:r>
      <w:r>
        <w:rPr>
          <w:rtl w:val="true"/>
        </w:rPr>
        <w:t>صلاة الصبیّ فی الحریر المحض</w:t>
      </w:r>
      <w:bookmarkEnd w:id="734"/>
    </w:p>
    <w:p>
      <w:pPr>
        <w:pStyle w:val="BookText"/>
        <w:rPr/>
      </w:pPr>
      <w:r>
        <w:rPr>
          <w:rFonts w:ascii="IRNazanin" w:hAnsi="IRNazanin" w:eastAsia="IRNazanin"/>
          <w:color w:val="111111"/>
          <w:sz w:val="28"/>
          <w:sz w:val="28"/>
          <w:szCs w:val="28"/>
          <w:rtl w:val="true"/>
          <w:lang w:bidi="fa-IR"/>
        </w:rPr>
        <w:t>لا خلاف بین الفقهاء فی أنّه یحرم علی الرجال لبس الحریر المحض، و تبطل الصلاة فیه، إلّا فی حال الضرورة أو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الصلاة للرجال فی الإبریسم المحض، فإن صلّی فیه مع الاختیار وجبت علیه إعادة الصلاة</w:t>
      </w:r>
      <w:r>
        <w:rPr>
          <w:rFonts w:eastAsia="IRNazanin" w:cs="IRNazanin"/>
          <w:color w:val="111111"/>
          <w:sz w:val="28"/>
          <w:szCs w:val="28"/>
          <w:rtl w:val="true"/>
          <w:lang w:bidi="fa-IR"/>
        </w:rPr>
        <w:t>»</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لبس الحریر المحض للرجال و لا الصلاة فیه إلا فی الحرب و عند الضرورة کالبرد المانع من نزعه، و یجوز للنساء مطلقاً</w:t>
      </w:r>
      <w:r>
        <w:rPr>
          <w:rFonts w:eastAsia="IRNazanin" w:cs="IRNazanin"/>
          <w:color w:val="111111"/>
          <w:sz w:val="28"/>
          <w:szCs w:val="28"/>
          <w:rtl w:val="true"/>
          <w:lang w:bidi="fa-IR"/>
        </w:rPr>
        <w:t>»</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القواعد</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ادّعی علیه الإجماع فی الخلاف</w:t>
      </w:r>
      <w:r>
        <w:rPr>
          <w:rStyle w:val="FootnoteAnchor"/>
          <w:rtl w:val="true"/>
        </w:rPr>
        <w:footnoteReference w:id="2475"/>
      </w:r>
      <w:r>
        <w:rPr>
          <w:rFonts w:ascii="IRNazanin" w:hAnsi="IRNazanin" w:eastAsia="IRNazanin"/>
          <w:color w:val="111111"/>
          <w:sz w:val="28"/>
          <w:sz w:val="28"/>
          <w:szCs w:val="28"/>
          <w:rtl w:val="true"/>
          <w:lang w:bidi="fa-IR"/>
        </w:rPr>
        <w:t>و التذکرة</w:t>
      </w:r>
      <w:r>
        <w:rPr>
          <w:rStyle w:val="FootnoteAnchor"/>
          <w:rtl w:val="true"/>
        </w:rPr>
        <w:footnoteReference w:id="2476"/>
      </w:r>
      <w:r>
        <w:rPr>
          <w:rFonts w:ascii="IRNazanin" w:hAnsi="IRNazanin" w:eastAsia="IRNazanin"/>
          <w:color w:val="111111"/>
          <w:sz w:val="28"/>
          <w:sz w:val="28"/>
          <w:szCs w:val="28"/>
          <w:rtl w:val="true"/>
          <w:lang w:bidi="fa-IR"/>
        </w:rPr>
        <w:t>و المنتهی</w:t>
      </w:r>
      <w:r>
        <w:rPr>
          <w:rStyle w:val="FootnoteAnchor"/>
          <w:rtl w:val="true"/>
        </w:rPr>
        <w:footnoteReference w:id="2477"/>
      </w:r>
      <w:r>
        <w:rPr>
          <w:rFonts w:ascii="IRNazanin" w:hAnsi="IRNazanin" w:eastAsia="IRNazanin"/>
          <w:color w:val="111111"/>
          <w:sz w:val="28"/>
          <w:sz w:val="28"/>
          <w:szCs w:val="28"/>
          <w:rtl w:val="true"/>
          <w:lang w:bidi="fa-IR"/>
        </w:rPr>
        <w:t>و کشف اللثام</w:t>
      </w:r>
      <w:r>
        <w:rPr>
          <w:rStyle w:val="FootnoteAnchor"/>
          <w:rtl w:val="true"/>
        </w:rPr>
        <w:footnoteReference w:id="2478"/>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غیرها</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bookmarkStart w:id="735" w:name="pg11755_255206"/>
    </w:p>
    <w:p>
      <w:pPr>
        <w:pStyle w:val="BookText"/>
        <w:rPr/>
      </w:pPr>
      <w:bookmarkEnd w:id="735"/>
      <w:r>
        <w:rPr>
          <w:rFonts w:ascii="IRNazanin" w:hAnsi="IRNazanin" w:eastAsia="IRNazanin"/>
          <w:color w:val="111111"/>
          <w:sz w:val="28"/>
          <w:sz w:val="28"/>
          <w:szCs w:val="28"/>
          <w:rtl w:val="true"/>
          <w:lang w:bidi="fa-IR"/>
        </w:rPr>
        <w:t>هذا حکم الرجال، و أمّا بالنسبة إلی الصبیّ فیقع الکلام فی جهات</w:t>
      </w:r>
      <w:r>
        <w:rPr>
          <w:rFonts w:eastAsia="IRNazanin" w:cs="IRNazanin"/>
          <w:color w:val="111111"/>
          <w:sz w:val="28"/>
          <w:szCs w:val="28"/>
          <w:rtl w:val="true"/>
          <w:lang w:bidi="fa-IR"/>
        </w:rPr>
        <w:t>:</w:t>
      </w:r>
    </w:p>
    <w:p>
      <w:pPr>
        <w:pStyle w:val="Heading6"/>
        <w:numPr>
          <w:ilvl w:val="5"/>
          <w:numId w:val="1"/>
        </w:numPr>
        <w:rPr/>
      </w:pPr>
      <w:bookmarkStart w:id="736" w:name="__RefHeading___Toc9587802_73709187"/>
      <w:bookmarkStart w:id="737" w:name="_Toc275"/>
      <w:bookmarkEnd w:id="736"/>
      <w:r>
        <w:rPr>
          <w:rtl w:val="true"/>
        </w:rPr>
        <w:t>الجهة الاُولی</w:t>
      </w:r>
      <w:r>
        <w:rPr>
          <w:rtl w:val="true"/>
        </w:rPr>
        <w:t xml:space="preserve">: </w:t>
      </w:r>
      <w:r>
        <w:rPr>
          <w:rtl w:val="true"/>
        </w:rPr>
        <w:t>إلباس الولیّ الصبیّ الحریر</w:t>
      </w:r>
      <w:bookmarkEnd w:id="737"/>
    </w:p>
    <w:p>
      <w:pPr>
        <w:pStyle w:val="BookText"/>
        <w:rPr/>
      </w:pPr>
      <w:r>
        <w:rPr>
          <w:rFonts w:ascii="IRNazanin" w:hAnsi="IRNazanin" w:eastAsia="IRNazanin"/>
          <w:color w:val="111111"/>
          <w:sz w:val="28"/>
          <w:sz w:val="28"/>
          <w:szCs w:val="28"/>
          <w:rtl w:val="true"/>
          <w:lang w:bidi="fa-IR"/>
        </w:rPr>
        <w:t>هل یجوز للولیّ تمکین الصبیّ من لبس الحریر المحض أم لا؟ 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قال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علی الولیّ تمکین الصغیر من لبس الحریر</w:t>
      </w:r>
      <w:r>
        <w:rPr>
          <w:rFonts w:eastAsia="IRNazanin" w:cs="IRNazanin"/>
          <w:color w:val="111111"/>
          <w:sz w:val="28"/>
          <w:szCs w:val="28"/>
          <w:rtl w:val="true"/>
          <w:lang w:bidi="fa-IR"/>
        </w:rPr>
        <w:t>»</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الصبیّ فهل یحرم علی الولیّ تمکینه منه؟ نحتمله</w:t>
      </w:r>
      <w:r>
        <w:rPr>
          <w:rFonts w:eastAsia="IRNazanin" w:cs="IRNazanin"/>
          <w:color w:val="111111"/>
          <w:sz w:val="28"/>
          <w:szCs w:val="28"/>
          <w:rtl w:val="true"/>
          <w:lang w:bidi="fa-IR"/>
        </w:rPr>
        <w:t>»</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روض الجنان</w:t>
      </w:r>
      <w:r>
        <w:rPr>
          <w:rStyle w:val="FootnoteAnchor"/>
          <w:rtl w:val="true"/>
        </w:rPr>
        <w:footnoteReference w:id="2482"/>
      </w:r>
      <w:r>
        <w:rPr>
          <w:rFonts w:ascii="IRNazanin" w:hAnsi="IRNazanin" w:eastAsia="IRNazanin"/>
          <w:color w:val="111111"/>
          <w:sz w:val="28"/>
          <w:sz w:val="28"/>
          <w:szCs w:val="28"/>
          <w:rtl w:val="true"/>
          <w:lang w:bidi="fa-IR"/>
        </w:rPr>
        <w:t>، و أسنده فی المدارک</w:t>
      </w:r>
      <w:r>
        <w:rPr>
          <w:rStyle w:val="FootnoteAnchor"/>
          <w:rtl w:val="true"/>
        </w:rPr>
        <w:footnoteReference w:id="2483"/>
      </w:r>
      <w:r>
        <w:rPr>
          <w:rFonts w:ascii="IRNazanin" w:hAnsi="IRNazanin" w:eastAsia="IRNazanin"/>
          <w:color w:val="111111"/>
          <w:sz w:val="28"/>
          <w:sz w:val="28"/>
          <w:szCs w:val="28"/>
          <w:rtl w:val="true"/>
          <w:lang w:bidi="fa-IR"/>
        </w:rPr>
        <w:t>و الذخیرة</w:t>
      </w:r>
      <w:r>
        <w:rPr>
          <w:rStyle w:val="FootnoteAnchor"/>
          <w:rtl w:val="true"/>
        </w:rPr>
        <w:footnoteReference w:id="2484"/>
      </w:r>
      <w:r>
        <w:rPr>
          <w:rFonts w:ascii="IRNazanin" w:hAnsi="IRNazanin" w:eastAsia="IRNazanin"/>
          <w:color w:val="111111"/>
          <w:sz w:val="28"/>
          <w:sz w:val="28"/>
          <w:szCs w:val="28"/>
          <w:rtl w:val="true"/>
          <w:lang w:bidi="fa-IR"/>
        </w:rPr>
        <w:t>إلی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 ما روی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أخذ حریراً بشماله و ذهباً بیمینه، ثمّ رفع بهما یدیه،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هذین حرام علی ذکور امّتی، حلّ لإناثهم</w:t>
      </w:r>
      <w:r>
        <w:rPr>
          <w:rFonts w:eastAsia="IRNazanin" w:cs="IRNazanin"/>
          <w:color w:val="111111"/>
          <w:sz w:val="28"/>
          <w:szCs w:val="28"/>
          <w:rtl w:val="true"/>
          <w:lang w:bidi="fa-IR"/>
        </w:rPr>
        <w:t>»</w:t>
      </w:r>
      <w:r>
        <w:rPr>
          <w:rStyle w:val="FootnoteAnchor"/>
          <w:rtl w:val="true"/>
        </w:rPr>
        <w:footnoteReference w:id="24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ننزعه عن الغلمان، و نترکه علی الجواری</w:t>
      </w:r>
      <w:r>
        <w:rPr>
          <w:rFonts w:eastAsia="IRNazanin" w:cs="IRNazanin"/>
          <w:color w:val="111111"/>
          <w:sz w:val="28"/>
          <w:szCs w:val="28"/>
          <w:rtl w:val="true"/>
          <w:lang w:bidi="fa-IR"/>
        </w:rPr>
        <w:t>»</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إطلاق روایة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لباس الحریر و الدیباج، و أمّا بیعهما فلا بأس</w:t>
      </w:r>
      <w:r>
        <w:rPr>
          <w:rFonts w:eastAsia="IRNazanin" w:cs="IRNazanin"/>
          <w:color w:val="111111"/>
          <w:sz w:val="28"/>
          <w:szCs w:val="28"/>
          <w:rtl w:val="true"/>
          <w:lang w:bidi="fa-IR"/>
        </w:rPr>
        <w:t>»</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 الأوّل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الصبیّ لیس بمکلّف، فلا یتناوله الخبر</w:t>
      </w:r>
      <w:r>
        <w:rPr>
          <w:rStyle w:val="FootnoteAnchor"/>
          <w:rtl w:val="true"/>
        </w:rPr>
        <w:footnoteReference w:id="2488"/>
      </w:r>
      <w:r>
        <w:rPr>
          <w:rFonts w:ascii="IRNazanin" w:hAnsi="IRNazanin" w:eastAsia="IRNazanin"/>
          <w:color w:val="111111"/>
          <w:sz w:val="28"/>
          <w:sz w:val="28"/>
          <w:szCs w:val="28"/>
          <w:rtl w:val="true"/>
          <w:lang w:bidi="fa-IR"/>
        </w:rPr>
        <w:t>، و کذا فی الذکری</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ردّه أیضاً بضعف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جابر لا یکون حجّة؛ لعدم إسناده إلی النبیّ صلی الله علیه و آله أو الولیّ علیه السلام، مضافاً إلی أنّه لا یدلّ علی الوجوب، و لذا قال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فعله جابر و غیره یمکن أن یحمل علی التنزّه و المبالغة فی التورّع</w:t>
      </w:r>
      <w:r>
        <w:rPr>
          <w:rFonts w:eastAsia="IRNazanin" w:cs="IRNazanin"/>
          <w:color w:val="111111"/>
          <w:sz w:val="28"/>
          <w:szCs w:val="28"/>
          <w:rtl w:val="true"/>
          <w:lang w:bidi="fa-IR"/>
        </w:rPr>
        <w:t>»</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یقیّد بما ورد فی غیر واحد من الأخبار من حرمته علی الرجال الدالّ مفهوماً علی عدم حرمته لغیرهم،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مقابل النساء لا الصبیان، و لذا صرّح فی بعض الأخبار بعد ذکر حکم الرجال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النساء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إطلاق فی الروایة أصلاً، بل المتیقّن إثبات أصل الحرمة فی الجملة فی مقابل البیع،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بقرینة جعل اللبس مقابلاً للبیع أنّه مختصّ بالبالغین، کما فی مدارک العروة</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قال به مشهور الفقهاء، و هو الجواز، 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علی الولیّ تمکین الصغیر من لبس الحریر</w:t>
      </w:r>
      <w:r>
        <w:rPr>
          <w:rFonts w:eastAsia="IRNazanin" w:cs="IRNazanin"/>
          <w:color w:val="111111"/>
          <w:sz w:val="28"/>
          <w:szCs w:val="28"/>
          <w:rtl w:val="true"/>
          <w:lang w:bidi="fa-IR"/>
        </w:rPr>
        <w:t>»</w:t>
      </w:r>
      <w:r>
        <w:rPr>
          <w:rStyle w:val="FootnoteAnchor"/>
          <w:rtl w:val="true"/>
        </w:rPr>
        <w:footnoteReference w:id="2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bookmarkStart w:id="738" w:name="pg11755_255211"/>
    </w:p>
    <w:p>
      <w:pPr>
        <w:pStyle w:val="BookText"/>
        <w:rPr/>
      </w:pPr>
      <w:bookmarkEnd w:id="738"/>
      <w:r>
        <w:rPr>
          <w:rFonts w:ascii="IRNazanin" w:hAnsi="IRNazanin" w:eastAsia="IRNazanin"/>
          <w:color w:val="111111"/>
          <w:sz w:val="28"/>
          <w:sz w:val="28"/>
          <w:szCs w:val="28"/>
          <w:rtl w:val="true"/>
          <w:lang w:bidi="fa-IR"/>
        </w:rPr>
        <w:t>فی جامع المقاصد</w:t>
      </w:r>
      <w:r>
        <w:rPr>
          <w:rStyle w:val="FootnoteAnchor"/>
          <w:rtl w:val="true"/>
        </w:rPr>
        <w:footnoteReference w:id="2493"/>
      </w:r>
      <w:r>
        <w:rPr>
          <w:rFonts w:ascii="IRNazanin" w:hAnsi="IRNazanin" w:eastAsia="IRNazanin"/>
          <w:color w:val="111111"/>
          <w:sz w:val="28"/>
          <w:sz w:val="28"/>
          <w:szCs w:val="28"/>
          <w:rtl w:val="true"/>
          <w:lang w:bidi="fa-IR"/>
        </w:rPr>
        <w:t>و الریاض</w:t>
      </w:r>
      <w:r>
        <w:rPr>
          <w:rStyle w:val="FootnoteAnchor"/>
          <w:rtl w:val="true"/>
        </w:rPr>
        <w:footnoteReference w:id="2494"/>
      </w:r>
      <w:r>
        <w:rPr>
          <w:rFonts w:ascii="IRNazanin" w:hAnsi="IRNazanin" w:eastAsia="IRNazanin"/>
          <w:color w:val="111111"/>
          <w:sz w:val="28"/>
          <w:sz w:val="28"/>
          <w:szCs w:val="28"/>
          <w:rtl w:val="true"/>
          <w:lang w:bidi="fa-IR"/>
        </w:rPr>
        <w:t>و الجواهر</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عبّر فی المدارک بأنّه الأصحّ‌</w:t>
      </w:r>
      <w:r>
        <w:rPr>
          <w:rStyle w:val="FootnoteAnchor"/>
          <w:rtl w:val="true"/>
        </w:rPr>
        <w:footnoteReference w:id="2496"/>
      </w:r>
      <w:r>
        <w:rPr>
          <w:rFonts w:ascii="IRNazanin" w:hAnsi="IRNazanin" w:eastAsia="IRNazanin"/>
          <w:color w:val="111111"/>
          <w:sz w:val="28"/>
          <w:sz w:val="28"/>
          <w:szCs w:val="28"/>
          <w:rtl w:val="true"/>
          <w:lang w:bidi="fa-IR"/>
        </w:rPr>
        <w:t>، 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المشهور عدم الحرمة</w:t>
      </w:r>
      <w:r>
        <w:rPr>
          <w:rFonts w:eastAsia="IRNazanin" w:cs="IRNazanin"/>
          <w:color w:val="111111"/>
          <w:sz w:val="28"/>
          <w:szCs w:val="28"/>
          <w:rtl w:val="true"/>
          <w:lang w:bidi="fa-IR"/>
        </w:rPr>
        <w:t>»</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فالأشبه عندی الکراهیة</w:t>
      </w:r>
      <w:r>
        <w:rPr>
          <w:rStyle w:val="FootnoteAnchor"/>
          <w:rtl w:val="true"/>
        </w:rPr>
        <w:footnoteReference w:id="2498"/>
      </w:r>
      <w:r>
        <w:rPr>
          <w:rFonts w:ascii="IRNazanin" w:hAnsi="IRNazanin" w:eastAsia="IRNazanin"/>
          <w:color w:val="111111"/>
          <w:sz w:val="28"/>
          <w:sz w:val="28"/>
          <w:szCs w:val="28"/>
          <w:rtl w:val="true"/>
          <w:lang w:bidi="fa-IR"/>
        </w:rPr>
        <w:t>، و تبعه الشهید فی الذکری بعد التردّد</w:t>
      </w:r>
      <w:r>
        <w:rPr>
          <w:rStyle w:val="FootnoteAnchor"/>
          <w:rtl w:val="true"/>
        </w:rPr>
        <w:footnoteReference w:id="2499"/>
      </w:r>
      <w:r>
        <w:rPr>
          <w:rFonts w:ascii="IRNazanin" w:hAnsi="IRNazanin" w:eastAsia="IRNazanin"/>
          <w:color w:val="111111"/>
          <w:sz w:val="28"/>
          <w:sz w:val="28"/>
          <w:szCs w:val="28"/>
          <w:rtl w:val="true"/>
          <w:lang w:bidi="fa-IR"/>
        </w:rPr>
        <w:t>، و عبّر بعض الأعلام بأنّ الاحتیاط فی ترک الإلباس</w:t>
      </w:r>
      <w:r>
        <w:rPr>
          <w:rStyle w:val="FootnoteAnchor"/>
          <w:rtl w:val="true"/>
        </w:rPr>
        <w:footnoteReference w:id="2500"/>
      </w:r>
      <w:r>
        <w:rPr>
          <w:rFonts w:ascii="IRNazanin" w:hAnsi="IRNazanin" w:eastAsia="IRNazanin"/>
          <w:color w:val="111111"/>
          <w:sz w:val="28"/>
          <w:sz w:val="28"/>
          <w:szCs w:val="28"/>
          <w:rtl w:val="true"/>
          <w:lang w:bidi="fa-IR"/>
        </w:rPr>
        <w:t>، و قال بعدم الحرمة أیضاً کثیر من الفقهاء المعاصرین</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أصالة البراءة عن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دلیل علی المنع کما صرّح به غیر واحد ممّن طرح هذه المسألة</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9" w:name="__RefHeading___Toc9587804_73709187"/>
      <w:bookmarkStart w:id="740" w:name="_Toc276"/>
      <w:bookmarkEnd w:id="739"/>
      <w:r>
        <w:rPr>
          <w:rtl w:val="true"/>
        </w:rPr>
        <w:t>التفصیل فی المسألة</w:t>
      </w:r>
      <w:bookmarkEnd w:id="740"/>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بعض الأصحاب بین الصبیّ غیر المراهق و الصبیّ المراهق، فالصبیّ الّذی لا یطلق علیه اسم الرجل یجوز</w:t>
      </w:r>
    </w:p>
    <w:p>
      <w:pPr>
        <w:pStyle w:val="BookText"/>
        <w:rPr/>
      </w:pPr>
      <w:r>
        <w:rPr>
          <w:rFonts w:ascii="IRNazanin" w:hAnsi="IRNazanin" w:eastAsia="IRNazanin"/>
          <w:color w:val="111111"/>
          <w:sz w:val="28"/>
          <w:sz w:val="28"/>
          <w:szCs w:val="28"/>
          <w:rtl w:val="true"/>
          <w:lang w:bidi="fa-IR"/>
        </w:rPr>
        <w:t>تمکینه من لبس الحریر، و أمّا الصبیّ المراهق الّذی یصدق علیه اسم الرجل فلا یجوز تمکینه</w:t>
      </w:r>
      <w:r>
        <w:rPr>
          <w:rStyle w:val="FootnoteAnchor"/>
          <w:rtl w:val="true"/>
        </w:rPr>
        <w:footnoteReference w:id="2503"/>
      </w:r>
      <w:r>
        <w:rPr>
          <w:rFonts w:ascii="Amiri" w:hAnsi="Amiri" w:eastAsia="Amiri" w:cs="Amiri"/>
          <w:color w:val="111111"/>
          <w:sz w:val="28"/>
          <w:sz w:val="28"/>
          <w:szCs w:val="28"/>
          <w:rtl w:val="true"/>
          <w:lang w:bidi="ar-SA"/>
        </w:rPr>
        <w:t>، و هو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أجاد المحقّق الهمدانی رحمه الله فی بیان وجهه،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بالنسبة إلی الصبیّ الذی لا یطلق علیه اسم الرجل عرفاً فالوجه الجواز؛ لقصور أدلّة الحرمة عن شمولها للأطفال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بالنسبة إلی من یصدق علیه اسم الرجل من المجانین و الأطفال المراهقین للبلوغ ممّن تعمّهم أدلّة الحرمة بظاهرها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حدیث رفع القلم و اشتراط صحّة التکلیف بالبلوغ و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یقوی فی النظر أیضاً جواز تمکینهم منه؛ لانتفاء الحرمة فی حقّ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لا یحرم علیهما اللبس فلا مانع من جواز تمکینهما منه، فإنّ حرمة تمکین الغیر من لبس الحریر إنّما هی لکونه إعانة علی الإثم، و لا إثم فی الفرض کی یکون تمکینهما منه إعانة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الأقوی عدم الجواز؛ إذ لو صحّ ما ذکر لاقتضی جواز ذلک بعث المجانین و الأطفال علی ارتکاب سائر المحرّمات من شرب الخمر، و أکل مال الغیر و غیره من النجاسات و المحرّمات، و هو واضح الفساد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یستفاد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محرّمان علی ذکور امّتی</w:t>
      </w:r>
      <w:r>
        <w:rPr>
          <w:rFonts w:eastAsia="IRNazanin" w:cs="IRNazanin"/>
          <w:color w:val="111111"/>
          <w:sz w:val="28"/>
          <w:szCs w:val="28"/>
          <w:rtl w:val="true"/>
          <w:lang w:bidi="fa-IR"/>
        </w:rPr>
        <w:t>»</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bookmarkStart w:id="741" w:name="pg11755_255215"/>
    </w:p>
    <w:p>
      <w:pPr>
        <w:pStyle w:val="BookText"/>
        <w:rPr/>
      </w:pPr>
      <w:bookmarkEnd w:id="741"/>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 ذلک علی الرجال</w:t>
      </w:r>
      <w:r>
        <w:rPr>
          <w:rFonts w:eastAsia="IRNazanin" w:cs="IRNazanin"/>
          <w:color w:val="111111"/>
          <w:sz w:val="28"/>
          <w:szCs w:val="28"/>
          <w:rtl w:val="true"/>
          <w:lang w:bidi="fa-IR"/>
        </w:rPr>
        <w:t>»</w:t>
      </w:r>
      <w:r>
        <w:rPr>
          <w:rStyle w:val="FootnoteAnchor"/>
          <w:rtl w:val="true"/>
        </w:rPr>
        <w:footnoteReference w:id="2505"/>
      </w:r>
      <w:r>
        <w:rPr>
          <w:rFonts w:ascii="IRNazanin" w:hAnsi="IRNazanin" w:eastAsia="IRNazanin"/>
          <w:color w:val="111111"/>
          <w:sz w:val="28"/>
          <w:sz w:val="28"/>
          <w:szCs w:val="28"/>
          <w:rtl w:val="true"/>
          <w:lang w:bidi="fa-IR"/>
        </w:rPr>
        <w:t xml:space="preserve">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لبس الرجال للحریر مبغوض للشارع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 و استحقّ بذلک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أوجد هذا الفعل شخص آخر بأن مکّن ذلک الشخص هذا الرجل من إیجاد هذا الفعل بحیث صدر منه لا عن اختیار، فقد صدر القبیح من ذلک الشخص حیث أوجد بالتسبیب ما هو مبغوض للشارع </w:t>
      </w:r>
      <w:r>
        <w:rPr>
          <w:rStyle w:val="FootnoteAnchor"/>
          <w:rtl w:val="true"/>
        </w:rPr>
        <w:footnoteReference w:id="2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غیر البالغین و المجانین مکلّفین باجتناب المحرّمات و فعل الواجبات لنقص فیهم لا لقصور فی أدلّة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فالتکالیف تکالیف شأنیّة فی حقّهم، بحیث لو جاز تنجّزها فی حقّهم و مؤاخذتهم علی مخالفتها لتنجّزت، و لکنّه لا یجوز شرعاً و عقلاً، فمن حملهم علی مخالفتها لیس إلّا کمن أوقع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مخالفة التکالیف الواقعیّة</w:t>
      </w:r>
      <w:r>
        <w:rPr>
          <w:rFonts w:eastAsia="IRNazanin" w:cs="IRNazanin"/>
          <w:color w:val="111111"/>
          <w:sz w:val="28"/>
          <w:szCs w:val="28"/>
          <w:rtl w:val="true"/>
          <w:lang w:bidi="fa-IR"/>
        </w:rPr>
        <w:t>»</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2" w:name="__RefHeading___Toc9587806_73709187"/>
      <w:bookmarkStart w:id="743" w:name="_Toc277"/>
      <w:bookmarkEnd w:id="742"/>
      <w:r>
        <w:rPr>
          <w:rtl w:val="true"/>
        </w:rPr>
        <w:t>الجهة الثانیة</w:t>
      </w:r>
      <w:r>
        <w:rPr>
          <w:rtl w:val="true"/>
        </w:rPr>
        <w:t xml:space="preserve">: </w:t>
      </w:r>
      <w:r>
        <w:rPr>
          <w:rtl w:val="true"/>
        </w:rPr>
        <w:t>لبس الصبیّ نفسه الحریر</w:t>
      </w:r>
      <w:bookmarkEnd w:id="743"/>
    </w:p>
    <w:p>
      <w:pPr>
        <w:pStyle w:val="BookText"/>
        <w:rPr/>
      </w:pPr>
      <w:r>
        <w:rPr>
          <w:rFonts w:ascii="IRNazanin" w:hAnsi="IRNazanin" w:eastAsia="IRNazanin"/>
          <w:color w:val="111111"/>
          <w:sz w:val="28"/>
          <w:sz w:val="28"/>
          <w:szCs w:val="28"/>
          <w:rtl w:val="true"/>
          <w:lang w:bidi="fa-IR"/>
        </w:rPr>
        <w:t>ظهر ممّا ذکرنا أنّه لا بأس بأن یلبس الصبیّ نفسه الحریر؛ لعدم التکلیف علیه، و قصور المقتضی للمنع، فلا وجه للحرمة بالنسبة إلیه، کما صرّح به کثیر من الفقهاء</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ریب فی عدم التحریم علی الصبیان؛ لأنّه</w:t>
      </w:r>
      <w:bookmarkStart w:id="744" w:name="pg11755_255217"/>
    </w:p>
    <w:p>
      <w:pPr>
        <w:pStyle w:val="BookText"/>
        <w:rPr/>
      </w:pPr>
      <w:bookmarkEnd w:id="744"/>
      <w:r>
        <w:rPr>
          <w:rFonts w:ascii="IRNazanin" w:hAnsi="IRNazanin" w:eastAsia="IRNazanin"/>
          <w:color w:val="111111"/>
          <w:sz w:val="28"/>
          <w:sz w:val="28"/>
          <w:szCs w:val="28"/>
          <w:rtl w:val="true"/>
          <w:lang w:bidi="fa-IR"/>
        </w:rPr>
        <w:t>من خطاب الشرع المشروط بالتکلیف</w:t>
      </w:r>
      <w:r>
        <w:rPr>
          <w:rFonts w:eastAsia="IRNazanin" w:cs="IRNazanin"/>
          <w:color w:val="111111"/>
          <w:sz w:val="28"/>
          <w:szCs w:val="28"/>
          <w:rtl w:val="true"/>
          <w:lang w:bidi="fa-IR"/>
        </w:rPr>
        <w:t>»</w:t>
      </w:r>
      <w:r>
        <w:rPr>
          <w:rStyle w:val="FootnoteAnchor"/>
          <w:rtl w:val="true"/>
        </w:rPr>
        <w:footnoteReference w:id="2508"/>
      </w:r>
      <w:r>
        <w:rPr>
          <w:rFonts w:ascii="IRNazanin" w:hAnsi="IRNazanin" w:eastAsia="IRNazanin"/>
          <w:color w:val="111111"/>
          <w:sz w:val="28"/>
          <w:sz w:val="28"/>
          <w:szCs w:val="28"/>
          <w:rtl w:val="true"/>
          <w:lang w:bidi="fa-IR"/>
        </w:rPr>
        <w:t>، و کذا فی مستند الشیعة</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تحریم علی الخناثی و الصبیان قطعاً فی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للأصل و عدم صدق الرجال علیهم، مع عدم قابلیّتهم لتوجّه المنع إلیهم</w:t>
      </w:r>
      <w:r>
        <w:rPr>
          <w:rFonts w:eastAsia="IRNazanin" w:cs="IRNazanin"/>
          <w:color w:val="111111"/>
          <w:sz w:val="28"/>
          <w:szCs w:val="28"/>
          <w:rtl w:val="true"/>
          <w:lang w:bidi="fa-IR"/>
        </w:rPr>
        <w:t>»</w:t>
      </w:r>
      <w:r>
        <w:rPr>
          <w:rStyle w:val="FootnoteAnchor"/>
          <w:rtl w:val="true"/>
        </w:rPr>
        <w:footnoteReference w:id="2510"/>
      </w:r>
      <w:r>
        <w:rPr>
          <w:rFonts w:ascii="IRNazanin" w:hAnsi="IRNazanin" w:eastAsia="IRNazanin"/>
          <w:color w:val="111111"/>
          <w:sz w:val="28"/>
          <w:sz w:val="28"/>
          <w:szCs w:val="28"/>
          <w:rtl w:val="true"/>
          <w:lang w:bidi="fa-IR"/>
        </w:rPr>
        <w:t>، و کذا فی العروة</w:t>
      </w:r>
      <w:r>
        <w:rPr>
          <w:rStyle w:val="FootnoteAnchor"/>
          <w:rtl w:val="true"/>
        </w:rPr>
        <w:footnoteReference w:id="2511"/>
      </w:r>
      <w:r>
        <w:rPr>
          <w:rFonts w:ascii="IRNazanin" w:hAnsi="IRNazanin" w:eastAsia="IRNazanin"/>
          <w:color w:val="111111"/>
          <w:sz w:val="28"/>
          <w:sz w:val="28"/>
          <w:szCs w:val="28"/>
          <w:rtl w:val="true"/>
          <w:lang w:bidi="fa-IR"/>
        </w:rPr>
        <w:t>و المستمسک، و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ضروریّ‌</w:t>
      </w:r>
      <w:r>
        <w:rPr>
          <w:rStyle w:val="FootnoteAnchor"/>
          <w:rtl w:val="true"/>
        </w:rPr>
        <w:footnoteReference w:id="2512"/>
      </w:r>
      <w:r>
        <w:rPr>
          <w:rFonts w:ascii="IRNazanin" w:hAnsi="IRNazanin" w:eastAsia="IRNazanin"/>
          <w:color w:val="111111"/>
          <w:sz w:val="28"/>
          <w:sz w:val="28"/>
          <w:szCs w:val="28"/>
          <w:rtl w:val="true"/>
          <w:lang w:bidi="fa-IR"/>
        </w:rPr>
        <w:t>، و به قال فی المستند</w:t>
      </w:r>
      <w:r>
        <w:rPr>
          <w:rStyle w:val="FootnoteAnchor"/>
          <w:rtl w:val="true"/>
        </w:rPr>
        <w:footnoteReference w:id="2513"/>
      </w:r>
    </w:p>
    <w:p>
      <w:pPr>
        <w:pStyle w:val="BookText"/>
        <w:rPr/>
      </w:pPr>
      <w:r>
        <w:rPr>
          <w:rFonts w:ascii="IRNazanin" w:hAnsi="IRNazanin" w:eastAsia="IRNazanin"/>
          <w:color w:val="111111"/>
          <w:sz w:val="28"/>
          <w:sz w:val="28"/>
          <w:szCs w:val="28"/>
          <w:rtl w:val="true"/>
          <w:lang w:bidi="fa-IR"/>
        </w:rPr>
        <w:t>و تحریر الوسیلة</w:t>
      </w:r>
      <w:r>
        <w:rPr>
          <w:rStyle w:val="FootnoteAnchor"/>
          <w:rtl w:val="true"/>
        </w:rPr>
        <w:footnoteReference w:id="2514"/>
      </w:r>
      <w:r>
        <w:rPr>
          <w:rFonts w:ascii="IRNazanin" w:hAnsi="IRNazanin" w:eastAsia="IRNazanin"/>
          <w:color w:val="111111"/>
          <w:sz w:val="28"/>
          <w:sz w:val="28"/>
          <w:szCs w:val="28"/>
          <w:rtl w:val="true"/>
          <w:lang w:bidi="fa-IR"/>
        </w:rPr>
        <w:t>و تفصیل الشریعة</w:t>
      </w:r>
      <w:r>
        <w:rPr>
          <w:rStyle w:val="FootnoteAnchor"/>
          <w:rtl w:val="true"/>
        </w:rPr>
        <w:footnoteReference w:id="2515"/>
      </w:r>
      <w:r>
        <w:rPr>
          <w:rFonts w:ascii="IRNazanin" w:hAnsi="IRNazanin" w:eastAsia="IRNazanin"/>
          <w:color w:val="111111"/>
          <w:sz w:val="28"/>
          <w:sz w:val="28"/>
          <w:szCs w:val="28"/>
          <w:rtl w:val="true"/>
          <w:lang w:bidi="fa-IR"/>
        </w:rPr>
        <w:t>و غیرها</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5" w:name="__RefHeading___Toc9587808_73709187"/>
      <w:bookmarkStart w:id="746" w:name="_Toc278"/>
      <w:bookmarkEnd w:id="745"/>
      <w:r>
        <w:rPr>
          <w:rtl w:val="true"/>
        </w:rPr>
        <w:t>الجهة الثالثة</w:t>
      </w:r>
      <w:r>
        <w:rPr>
          <w:rtl w:val="true"/>
        </w:rPr>
        <w:t xml:space="preserve">: </w:t>
      </w:r>
      <w:r>
        <w:rPr>
          <w:rtl w:val="true"/>
        </w:rPr>
        <w:t>حکم صلاة الصبیّ فی الحریر المحض</w:t>
      </w:r>
      <w:bookmarkEnd w:id="746"/>
    </w:p>
    <w:p>
      <w:pPr>
        <w:pStyle w:val="BookText"/>
        <w:rPr/>
      </w:pPr>
      <w:r>
        <w:rPr>
          <w:rFonts w:ascii="IRNazanin" w:hAnsi="IRNazanin" w:eastAsia="IRNazanin"/>
          <w:color w:val="111111"/>
          <w:sz w:val="28"/>
          <w:sz w:val="28"/>
          <w:szCs w:val="28"/>
          <w:rtl w:val="true"/>
          <w:lang w:bidi="fa-IR"/>
        </w:rPr>
        <w:t>هل تبطل صلاة الصبیّ فی الحریر المحض أم لا؟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و هو الأقوی</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القول بأنّه لا یجب علی الولیّ منعه منه، بل لا یحرم علیه تمکینه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لا تصحّ صلاته فیه بناءً علی شرعیّتها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یفرّق بین ما کان منشأ الشرطیة أو المانعیّة فیه الحرمة المنتفیة فی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کالغصب مثلاً 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غیره، فیعتبر الثانی دون الأوّل</w:t>
      </w:r>
      <w:r>
        <w:rPr>
          <w:rFonts w:eastAsia="IRNazanin" w:cs="IRNazanin"/>
          <w:color w:val="111111"/>
          <w:sz w:val="28"/>
          <w:szCs w:val="28"/>
          <w:rtl w:val="true"/>
          <w:lang w:bidi="fa-IR"/>
        </w:rPr>
        <w:t>»</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المستمسک</w:t>
      </w:r>
      <w:r>
        <w:rPr>
          <w:rStyle w:val="FootnoteAnchor"/>
          <w:rtl w:val="true"/>
        </w:rPr>
        <w:footnoteReference w:id="2518"/>
      </w:r>
      <w:r>
        <w:rPr>
          <w:rFonts w:ascii="IRNazanin" w:hAnsi="IRNazanin" w:eastAsia="IRNazanin"/>
          <w:color w:val="111111"/>
          <w:sz w:val="28"/>
          <w:sz w:val="28"/>
          <w:szCs w:val="28"/>
          <w:rtl w:val="true"/>
          <w:lang w:bidi="fa-IR"/>
        </w:rPr>
        <w:t>و المستند</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أیضاً الفقهاء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الأصفهانی</w:t>
      </w:r>
      <w:r>
        <w:rPr>
          <w:rStyle w:val="FootnoteAnchor"/>
          <w:rtl w:val="true"/>
        </w:rPr>
        <w:footnoteReference w:id="2520"/>
      </w:r>
      <w:r>
        <w:rPr>
          <w:rFonts w:ascii="IRNazanin" w:hAnsi="IRNazanin" w:eastAsia="IRNazanin"/>
          <w:color w:val="111111"/>
          <w:sz w:val="28"/>
          <w:sz w:val="28"/>
          <w:szCs w:val="28"/>
          <w:rtl w:val="true"/>
          <w:lang w:bidi="fa-IR"/>
        </w:rPr>
        <w:t>و البروجردی و الخوانساری و الگلپایگانی</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یستدلّ لإثبات هذا الحکم بإطلاق النصوص، کقوله علیه السلام فی صحیحة محمّد بن عبد الجبّار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الصلاة فی حریر محض</w:t>
      </w:r>
      <w:r>
        <w:rPr>
          <w:rFonts w:eastAsia="IRNazanin" w:cs="IRNazanin"/>
          <w:color w:val="111111"/>
          <w:sz w:val="28"/>
          <w:szCs w:val="28"/>
          <w:rtl w:val="true"/>
          <w:lang w:bidi="fa-IR"/>
        </w:rPr>
        <w:t>»</w:t>
      </w:r>
      <w:r>
        <w:rPr>
          <w:rStyle w:val="FootnoteAnchor"/>
          <w:rtl w:val="true"/>
        </w:rPr>
        <w:footnoteReference w:id="2522"/>
      </w:r>
      <w:r>
        <w:rPr>
          <w:rFonts w:ascii="IRNazanin" w:hAnsi="IRNazanin" w:eastAsia="IRNazanin"/>
          <w:color w:val="111111"/>
          <w:sz w:val="28"/>
          <w:sz w:val="28"/>
          <w:szCs w:val="28"/>
          <w:rtl w:val="true"/>
          <w:lang w:bidi="fa-IR"/>
        </w:rPr>
        <w:t>، و فی صحیحة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الصلاة فی الحریر المحض</w:t>
      </w:r>
      <w:r>
        <w:rPr>
          <w:rFonts w:eastAsia="IRNazanin" w:cs="IRNazanin"/>
          <w:color w:val="111111"/>
          <w:sz w:val="28"/>
          <w:szCs w:val="28"/>
          <w:rtl w:val="true"/>
          <w:lang w:bidi="fa-IR"/>
        </w:rPr>
        <w:t>»</w:t>
      </w:r>
      <w:r>
        <w:rPr>
          <w:rStyle w:val="FootnoteAnchor"/>
          <w:rtl w:val="true"/>
        </w:rPr>
        <w:footnoteReference w:id="2523"/>
      </w:r>
      <w:r>
        <w:rPr>
          <w:rFonts w:ascii="IRNazanin" w:hAnsi="IRNazanin" w:eastAsia="IRNazanin"/>
          <w:color w:val="111111"/>
          <w:sz w:val="28"/>
          <w:sz w:val="28"/>
          <w:szCs w:val="28"/>
          <w:rtl w:val="true"/>
          <w:lang w:bidi="fa-IR"/>
        </w:rPr>
        <w:t>، و غیرها</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بها یتوقّف علی بیان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المقصود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الوضعی؛ لأنّه فی بیان ما هو مانع للصلاة لا الحکم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الظاهر أنّ الحلّیّة فی الروایة یراد بها الوضعیّة دون التکلیفیّة؛ کی تختص بالأوّل</w:t>
      </w:r>
      <w:r>
        <w:rPr>
          <w:rFonts w:eastAsia="IRNazanin" w:cs="IRNazanin"/>
          <w:color w:val="111111"/>
          <w:sz w:val="28"/>
          <w:szCs w:val="28"/>
          <w:rtl w:val="true"/>
          <w:lang w:bidi="fa-IR"/>
        </w:rPr>
        <w:t>»</w:t>
      </w:r>
      <w:r>
        <w:rPr>
          <w:rStyle w:val="FootnoteAnchor"/>
          <w:rtl w:val="true"/>
        </w:rPr>
        <w:footnoteReference w:id="2525"/>
      </w:r>
      <w:r>
        <w:rPr>
          <w:rFonts w:ascii="IRNazanin" w:hAnsi="IRNazanin" w:eastAsia="IRNazanin"/>
          <w:color w:val="111111"/>
          <w:sz w:val="28"/>
          <w:sz w:val="28"/>
          <w:szCs w:val="28"/>
          <w:rtl w:val="true"/>
          <w:lang w:bidi="fa-IR"/>
        </w:rPr>
        <w:t>، أی بالرجال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الصلاة فی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الصلاة فی الحریر مطلقاً من دون فرق بین البالغ و غیره؛ لما عرفت من عدم کون المراد من نفی الحلّیّة هو الحکم المولوی، بل هو</w:t>
      </w:r>
    </w:p>
    <w:p>
      <w:pPr>
        <w:pStyle w:val="BookText"/>
        <w:rPr/>
      </w:pPr>
      <w:r>
        <w:rPr>
          <w:rFonts w:ascii="IRNazanin" w:hAnsi="IRNazanin" w:eastAsia="IRNazanin"/>
          <w:color w:val="111111"/>
          <w:sz w:val="28"/>
          <w:sz w:val="28"/>
          <w:szCs w:val="28"/>
          <w:rtl w:val="true"/>
          <w:lang w:bidi="fa-IR"/>
        </w:rPr>
        <w:t>إرشاد إلی الفساد و البطلان الذی هو حکم وضعی</w:t>
      </w:r>
      <w:r>
        <w:rPr>
          <w:rFonts w:eastAsia="IRNazanin" w:cs="IRNazanin"/>
          <w:color w:val="111111"/>
          <w:sz w:val="28"/>
          <w:szCs w:val="28"/>
          <w:rtl w:val="true"/>
          <w:lang w:bidi="fa-IR"/>
        </w:rPr>
        <w:t>...»</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الأحکام الوضعیّة تشمل الصبیّ کما سیأتی فی موضعه</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الرفع لا یرفع الأحکام الوضعیّة؛ لأنّ المراد بالحدیث علی ما یتبادر منه رفع قلم المؤاخذة، دنیویّةً کانت أم اخرویّة، فلا یؤاخذ الصبیّ و المجنون بشیء من مخالفة التکالیف و الالتزامات الصادرة منه من العقود و الإیقاعات و غیرها، لا أنّهما غیر ملحوظین رأساً فی مقام شرع التکالیف</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إطلاق النصوص محکم، و یشمل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شمول دلیل الاعتبار نفسه للبالغ و الصبیّ علی السواء، فما دلّ علی اعتبار وجود شیء أو عدمه فی صحّة الصلاة شامل لهما بلا میز، کشمول دلیل أصل التکلیف، و لکنّ قام حدیث رفع القلم لبیان انتفاء خصوص التکلیف، و أمّا سائر الأحکام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یحکم فی المعاملات بضمان الصبیّ المتلف لمال الغیر، مع انتفاء حرمة الإتلاف تکلیفاً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یکون دلیل المنع الوضعی باقیاً بحاله</w:t>
      </w:r>
      <w:r>
        <w:rPr>
          <w:rFonts w:eastAsia="IRNazanin" w:cs="IRNazanin"/>
          <w:color w:val="111111"/>
          <w:sz w:val="28"/>
          <w:szCs w:val="28"/>
          <w:rtl w:val="true"/>
          <w:lang w:bidi="fa-IR"/>
        </w:rPr>
        <w:t>»</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یستدلّ لإثبات الحکم بظاهر النصوص أیضاً بأن یقال</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لبس الحریر مانع لطبیعة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طبیعة الصلاة فی الحریر المحض مبغوض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لبسه البالغ أم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هذا من کلام صاحب الجواهر،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النصوص تدلّ علی مانعیّة الحریر للصلاة،</w:t>
      </w:r>
    </w:p>
    <w:p>
      <w:pPr>
        <w:pStyle w:val="BookText"/>
        <w:rPr/>
      </w:pPr>
      <w:r>
        <w:rPr>
          <w:rFonts w:ascii="Amiri" w:hAnsi="Amiri" w:eastAsia="Amiri" w:cs="Amiri"/>
          <w:color w:val="111111"/>
          <w:sz w:val="28"/>
          <w:sz w:val="28"/>
          <w:szCs w:val="28"/>
          <w:rtl w:val="true"/>
          <w:lang w:bidi="ar-SA"/>
        </w:rPr>
        <w:t>لا حرمة اللّبس</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المأخوذ فی لسان بعض النصوص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القاصر عن الشمول للصبیّ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التقابل بین النساء و الرجال دالّ علی أنّ المراد من الرجل من لم یکن امرأة، فیشمل الصبیّ الممیّز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قال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تصحّ صلاته فیه</w:t>
      </w:r>
      <w:r>
        <w:rPr>
          <w:rFonts w:eastAsia="IRNazanin" w:cs="IRNazanin"/>
          <w:color w:val="111111"/>
          <w:sz w:val="28"/>
          <w:szCs w:val="28"/>
          <w:rtl w:val="true"/>
          <w:lang w:bidi="fa-IR"/>
        </w:rPr>
        <w:t>»</w:t>
      </w:r>
      <w:r>
        <w:rPr>
          <w:rStyle w:val="FootnoteAnchor"/>
          <w:rtl w:val="true"/>
        </w:rPr>
        <w:footnoteReference w:id="2531"/>
      </w:r>
      <w:r>
        <w:rPr>
          <w:rFonts w:ascii="IRNazanin" w:hAnsi="IRNazanin" w:eastAsia="IRNazanin"/>
          <w:color w:val="111111"/>
          <w:sz w:val="28"/>
          <w:sz w:val="28"/>
          <w:szCs w:val="28"/>
          <w:rtl w:val="true"/>
          <w:lang w:bidi="fa-IR"/>
        </w:rPr>
        <w:t>، و کذا فی تحریر الوسیلة</w:t>
      </w:r>
      <w:r>
        <w:rPr>
          <w:rStyle w:val="FootnoteAnchor"/>
          <w:rtl w:val="true"/>
        </w:rPr>
        <w:footnoteReference w:id="2532"/>
      </w:r>
      <w:r>
        <w:rPr>
          <w:rFonts w:ascii="Amiri" w:hAnsi="Amiri" w:eastAsia="Amiri" w:cs="Amiri"/>
          <w:color w:val="111111"/>
          <w:sz w:val="28"/>
          <w:sz w:val="28"/>
          <w:szCs w:val="28"/>
          <w:rtl w:val="true"/>
          <w:lang w:bidi="ar-SA"/>
        </w:rPr>
        <w:t>و المهذّب</w:t>
      </w:r>
      <w:r>
        <w:rPr>
          <w:rStyle w:val="FootnoteAnchor"/>
          <w:rtl w:val="true"/>
        </w:rPr>
        <w:footnoteReference w:id="2533"/>
      </w:r>
      <w:r>
        <w:rPr>
          <w:rFonts w:ascii="IRNazanin" w:hAnsi="IRNazanin" w:eastAsia="IRNazanin"/>
          <w:color w:val="111111"/>
          <w:sz w:val="28"/>
          <w:sz w:val="28"/>
          <w:szCs w:val="28"/>
          <w:rtl w:val="true"/>
          <w:lang w:bidi="fa-IR"/>
        </w:rPr>
        <w:t>و تفصیل الشریعة</w:t>
      </w:r>
      <w:r>
        <w:rPr>
          <w:rStyle w:val="FootnoteAnchor"/>
          <w:rtl w:val="true"/>
        </w:rPr>
        <w:footnoteReference w:id="2534"/>
      </w:r>
      <w:r>
        <w:rPr>
          <w:rFonts w:ascii="IRNazanin" w:hAnsi="IRNazanin" w:eastAsia="IRNazanin"/>
          <w:color w:val="111111"/>
          <w:sz w:val="28"/>
          <w:sz w:val="28"/>
          <w:szCs w:val="28"/>
          <w:rtl w:val="true"/>
          <w:lang w:bidi="fa-IR"/>
        </w:rPr>
        <w:t>و مدارک العروة</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یستدلّ لعدم البطلان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المانعیّة من النهی النفسی، و المفروض عدمه بالنسبة إلی الصبیّ، فتصحّ صلاته فیه قهراً؛ إذ لا مانعیّة بعد عدم النهی لعدم البلوغ، و کون المانع مع النهی النفسی معلوم و غیره مشکوک، و مقتضی الأصل عدمه، کما فی المهذّب</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المانعیّة لا تنحصر بالنهی النفسی، بل تثبت و إن لم یکن النهی نفسیّاً، کما أنّ النهی عن الصلاة فی الثوب النجس أو ما لا یؤکل لحمه یدلّ علی المانعیّة، حیث إنّه لا تصحّ الصلاة فیهما مع جواز لبسهما تکلیفاً، و مع</w:t>
      </w:r>
    </w:p>
    <w:p>
      <w:pPr>
        <w:pStyle w:val="BookText"/>
        <w:rPr/>
      </w:pPr>
      <w:r>
        <w:rPr>
          <w:rFonts w:ascii="IRNazanin" w:hAnsi="IRNazanin" w:eastAsia="IRNazanin"/>
          <w:color w:val="111111"/>
          <w:sz w:val="28"/>
          <w:sz w:val="28"/>
          <w:szCs w:val="28"/>
          <w:rtl w:val="true"/>
          <w:lang w:bidi="fa-IR"/>
        </w:rPr>
        <w:t>وجود الدلیل لا یجری الأصل، و الدلیل هو إطلاق النصوص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العراقی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الأصحاب فی غیر النواهی النفسیّة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عدم القرینة علی بعض المحتملات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الحمل علی الإرشاد إلی المخلیة و المانعیّة، من غیر فرق بین الجزء أو الشرط أو الوصف، و لعلّه من جهة ظهور ثانوی فی النواهی الغیریّة فی الإرشاد إلی المانعیّة و المخلیة</w:t>
      </w:r>
      <w:r>
        <w:rPr>
          <w:rFonts w:eastAsia="IRNazanin" w:cs="IRNazanin"/>
          <w:color w:val="111111"/>
          <w:sz w:val="28"/>
          <w:szCs w:val="28"/>
          <w:rtl w:val="true"/>
          <w:lang w:bidi="fa-IR"/>
        </w:rPr>
        <w:t>»</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الملازمة</w:t>
      </w:r>
      <w:r>
        <w:rPr>
          <w:rStyle w:val="FootnoteAnchor"/>
          <w:rtl w:val="true"/>
        </w:rPr>
        <w:footnoteReference w:id="2538"/>
      </w:r>
      <w:r>
        <w:rPr>
          <w:rFonts w:ascii="IRNazanin" w:hAnsi="IRNazanin" w:eastAsia="IRNazanin"/>
          <w:color w:val="111111"/>
          <w:sz w:val="28"/>
          <w:sz w:val="28"/>
          <w:szCs w:val="28"/>
          <w:rtl w:val="true"/>
          <w:lang w:bidi="fa-IR"/>
        </w:rPr>
        <w:t>، فإنّ المستفاد من الروایات الواردة فی حکم الحریر تکلیفاً و وضعاً ثبوت الملازمة بین الحکمین، بمعنی ثبوت البطلان فی موضع ثبوت التحریم، و عدم ثبوت الأوّل مع عدم ثبوت الثانی، و بملاحظة هذه الملازمة لا تبعد دعوی صحّة صلاة الصبیّ فی الحریر أیضاً، کعدم حرمة لبسه، کما فی تفصیل الشریعة</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ملازمة بین الأحکام الوضعیّة و التکلیفیّة، حیث إنّ الأحکام الوضعیّة قابلة للجعل، و لا تلازم بین المانعیّة و الحرمة فی الحریر بعد ثبوت کلّ منهما بدلیل مستقلّ، و عدم تبعیّة أحدهما للآخر کما فی الغصب و الضمان، فارتفاع الإثم بدلیل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ارتفاع المانعیّة بعد إطلاق دلیلها</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bookmarkStart w:id="747" w:name="pg11755_255227"/>
    </w:p>
    <w:p>
      <w:pPr>
        <w:pStyle w:val="BookText"/>
        <w:rPr/>
      </w:pPr>
      <w:bookmarkEnd w:id="747"/>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المانعیّة لیست معلولة</w:t>
      </w:r>
      <w:r>
        <w:rPr>
          <w:rStyle w:val="FootnoteAnchor"/>
          <w:rtl w:val="true"/>
        </w:rPr>
        <w:footnoteReference w:id="2541"/>
      </w:r>
      <w:r>
        <w:rPr>
          <w:rFonts w:ascii="IRNazanin" w:hAnsi="IRNazanin" w:eastAsia="IRNazanin"/>
          <w:color w:val="111111"/>
          <w:sz w:val="28"/>
          <w:sz w:val="28"/>
          <w:szCs w:val="28"/>
          <w:rtl w:val="true"/>
          <w:lang w:bidi="fa-IR"/>
        </w:rPr>
        <w:t>للحرمة و مسبّبة عنها حتّی یکون ارتفاعها موجباً لارتفاع المانعیّة، بل المانعیّة و الحرمة معاً معلولان لعلّة ثالثة، و هی الملاک و المفسدة الّتی أوجبت الحرمة و أوجبت المانعیّة، و من المعلوم أنّ ارتفاع أحد معلولی علّة ثالثة لا یوجب ارتفاع المعلول الآخر، إلّا إذا ارتفعت نفس العلّة</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الانصراف فی دلیل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مناسبة الحکم و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خصوص اللبس المحرّم، فإذا حلّ اللبس لم یکن مانعاً من الصلاة، کما فی المستمسک</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عدم ثبوت الانصراف؛ لأنّ الانصراف یحتاج إلی خفاء فی الصدق، و هنا لیس بموجود، بل الإطلاق فی النصوص یشمل الصبیّ کما تقدّم</w:t>
      </w:r>
      <w:r>
        <w:rPr>
          <w:rFonts w:eastAsia="IRNazanin" w:cs="IRNazanin"/>
          <w:color w:val="111111"/>
          <w:sz w:val="28"/>
          <w:szCs w:val="28"/>
          <w:rtl w:val="true"/>
          <w:lang w:bidi="fa-IR"/>
        </w:rPr>
        <w:t>.</w:t>
      </w:r>
    </w:p>
    <w:p>
      <w:pPr>
        <w:pStyle w:val="Heading6"/>
        <w:numPr>
          <w:ilvl w:val="5"/>
          <w:numId w:val="1"/>
        </w:numPr>
        <w:rPr/>
      </w:pPr>
      <w:bookmarkStart w:id="748" w:name="__RefHeading___Toc9587810_73709187"/>
      <w:bookmarkStart w:id="749" w:name="_Toc279"/>
      <w:bookmarkEnd w:id="748"/>
      <w:r>
        <w:rPr>
          <w:rtl w:val="true"/>
        </w:rPr>
        <w:t>رأی أهل السنّة فی هذا الفرع</w:t>
      </w:r>
      <w:bookmarkEnd w:id="749"/>
    </w:p>
    <w:p>
      <w:pPr>
        <w:pStyle w:val="BookText"/>
        <w:rPr/>
      </w:pPr>
      <w:r>
        <w:rPr>
          <w:rFonts w:ascii="IRNazanin" w:hAnsi="IRNazanin" w:eastAsia="IRNazanin"/>
          <w:color w:val="111111"/>
          <w:sz w:val="28"/>
          <w:sz w:val="28"/>
          <w:szCs w:val="28"/>
          <w:rtl w:val="true"/>
          <w:lang w:bidi="fa-IR"/>
        </w:rPr>
        <w:t>یستفاد من کلماتهم فی إلباس الولی للصبیّ قولان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نجیم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 الحریر الخالص حرام علی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حرم علی البالغ فعله حرم علیه فعله لولده الصغیر، فلا یجوز أن یسقیه خمراً،</w:t>
      </w:r>
    </w:p>
    <w:p>
      <w:pPr>
        <w:pStyle w:val="BookText"/>
        <w:rPr/>
      </w:pPr>
      <w:r>
        <w:rPr>
          <w:rFonts w:ascii="IRNazanin" w:hAnsi="IRNazanin" w:eastAsia="IRNazanin"/>
          <w:color w:val="111111"/>
          <w:sz w:val="28"/>
          <w:sz w:val="28"/>
          <w:szCs w:val="28"/>
          <w:rtl w:val="true"/>
          <w:lang w:bidi="fa-IR"/>
        </w:rPr>
        <w:t>و لا أن یلبسه حریراً</w:t>
      </w:r>
      <w:r>
        <w:rPr>
          <w:rFonts w:eastAsia="IRNazanin" w:cs="IRNazanin"/>
          <w:color w:val="111111"/>
          <w:sz w:val="28"/>
          <w:szCs w:val="28"/>
          <w:rtl w:val="true"/>
          <w:lang w:bidi="fa-IR"/>
        </w:rPr>
        <w:t>»</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للولیّ إلباسه الحریر و الذهب</w:t>
      </w:r>
      <w:r>
        <w:rPr>
          <w:rFonts w:eastAsia="IRNazanin" w:cs="IRNazanin"/>
          <w:color w:val="111111"/>
          <w:sz w:val="28"/>
          <w:szCs w:val="28"/>
          <w:rtl w:val="true"/>
          <w:lang w:bidi="fa-IR"/>
        </w:rPr>
        <w:t>»</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 إلباس الصبیّ ذهباً أو حریراً، فإنّ ما حرم لبسه و شربه حرم إلباسه و إشرابه</w:t>
      </w:r>
      <w:r>
        <w:rPr>
          <w:rFonts w:eastAsia="IRNazanin" w:cs="IRNazanin"/>
          <w:color w:val="111111"/>
          <w:sz w:val="28"/>
          <w:szCs w:val="28"/>
          <w:rtl w:val="true"/>
          <w:lang w:bidi="fa-IR"/>
        </w:rPr>
        <w:t>»</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المرداوی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المسألة روایتین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الولیّ إلباسه الحریر، و هو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یحرم؛ لعدم تکلیفه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إلباسه الذهب حکم إلباسه الحریر خلافاً و مذهباً</w:t>
      </w:r>
      <w:r>
        <w:rPr>
          <w:rFonts w:eastAsia="IRNazanin" w:cs="IRNazanin"/>
          <w:color w:val="111111"/>
          <w:sz w:val="28"/>
          <w:szCs w:val="28"/>
          <w:rtl w:val="true"/>
          <w:lang w:bidi="fa-IR"/>
        </w:rPr>
        <w:t>»</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هل یحرم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لبس الحریر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الصبیان؟ فیه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یحرم علیهم؛ لأنّهم غیر مکلّفین،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علیهم کما یحرم علی البالغین،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دون سبع سنین لم یحرم، و إن کان له سبع فما زاد حرم</w:t>
      </w:r>
      <w:r>
        <w:rPr>
          <w:rFonts w:eastAsia="IRNazanin" w:cs="IRNazanin"/>
          <w:color w:val="111111"/>
          <w:sz w:val="28"/>
          <w:szCs w:val="28"/>
          <w:rtl w:val="true"/>
          <w:lang w:bidi="fa-IR"/>
        </w:rPr>
        <w:t>»</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إنّهم قالوا بصحّة صلاة الرجال فی الحریر، فیستفاد من کلماتهم صحّة صلاة الصبیّ بمفهوم الأوّلیّة</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للرجل أن یصلّی فی ثوب حریر و لا علی ثوب حریر؛ لأنّه یحرم علیه استعماله فی غیر الصلاة؛ فلأن یحرم فی الصلاة أولی، فإن صلّی فیه أو صلّی علیه صحّت صلاته؛ لأنّ التحریم لا یختصّ بالصلاة و لا النهی یعود إلیها، فلم یمنع من صحّتها</w:t>
      </w:r>
      <w:r>
        <w:rPr>
          <w:rFonts w:eastAsia="IRNazanin" w:cs="IRNazanin"/>
          <w:color w:val="111111"/>
          <w:sz w:val="28"/>
          <w:szCs w:val="28"/>
          <w:rtl w:val="true"/>
          <w:lang w:bidi="fa-IR"/>
        </w:rPr>
        <w:t>»</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bookmarkStart w:id="750" w:name="pg11755_255232"/>
    </w:p>
    <w:p>
      <w:pPr>
        <w:pStyle w:val="BookText"/>
        <w:rPr/>
      </w:pPr>
      <w:bookmarkEnd w:id="750"/>
      <w:r>
        <w:rPr>
          <w:rFonts w:ascii="IRNazanin" w:hAnsi="IRNazanin" w:eastAsia="IRNazanin"/>
          <w:color w:val="111111"/>
          <w:sz w:val="28"/>
          <w:sz w:val="28"/>
          <w:szCs w:val="28"/>
          <w:rtl w:val="true"/>
          <w:lang w:bidi="fa-IR"/>
        </w:rPr>
        <w:t>و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أجمع العلماء علی أنّه یحرم علی الرجل أن یصلّی فی ثوب حریر، و علیه فإن صلّی فیه صحّت صلاته عندنا و عند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أصحّ الروایتین لا یصحّ</w:t>
      </w:r>
      <w:r>
        <w:rPr>
          <w:rFonts w:eastAsia="IRNazanin" w:cs="IRNazanin"/>
          <w:color w:val="111111"/>
          <w:sz w:val="28"/>
          <w:szCs w:val="28"/>
          <w:rtl w:val="true"/>
          <w:lang w:bidi="fa-IR"/>
        </w:rPr>
        <w:t>»</w:t>
      </w:r>
      <w:r>
        <w:rPr>
          <w:rStyle w:val="FootnoteAnchor"/>
          <w:rtl w:val="true"/>
        </w:rPr>
        <w:footnoteReference w:id="2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صلّی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فیه کالصلاة فی الثوب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مسألة الصلاة فی المغصوب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هل تصحّ الصلاة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و هو قول أبی حنیفة و الشافعی؛ لأنّ التحریم لا یختصّ الصلاة و لا النهی یعود إلیها، فلم یمنع الصحّة</w:t>
      </w:r>
      <w:r>
        <w:rPr>
          <w:rFonts w:eastAsia="IRNazanin" w:cs="IRNazanin"/>
          <w:color w:val="111111"/>
          <w:sz w:val="28"/>
          <w:szCs w:val="28"/>
          <w:rtl w:val="true"/>
          <w:lang w:bidi="fa-IR"/>
        </w:rPr>
        <w:t>»</w:t>
      </w:r>
      <w:r>
        <w:rPr>
          <w:rStyle w:val="FootnoteAnchor"/>
          <w:rtl w:val="true"/>
        </w:rPr>
        <w:footnoteReference w:id="2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لازم کلامهم صحّة اجتماع الأمر و النهی فی حالة واحدة، و فی موضوع واحد و هو کالقول باجتماع الضدّین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لبس الحریر مبغوض للشارع، و قد نهی عنه، و الصلاة مطلوبة له، و تتوقّف علی قصد القربة، فکیف یمکن للمصلّی أن یقصد القربة حال کونه فاعلاً لما هو مبغوض للشرع؟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الغصب، فقولهم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التحریم لا یختصّ بالصلاة و لا النهی یعود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مجازفة کما هو ظاهر</w:t>
      </w:r>
      <w:r>
        <w:rPr>
          <w:rFonts w:eastAsia="IRNazanin" w:cs="IRNazanin"/>
          <w:color w:val="111111"/>
          <w:sz w:val="28"/>
          <w:szCs w:val="28"/>
          <w:rtl w:val="true"/>
          <w:lang w:bidi="fa-IR"/>
        </w:rPr>
        <w:t>.</w:t>
      </w:r>
    </w:p>
    <w:p>
      <w:pPr>
        <w:pStyle w:val="Heading6"/>
        <w:numPr>
          <w:ilvl w:val="5"/>
          <w:numId w:val="1"/>
        </w:numPr>
        <w:rPr/>
      </w:pPr>
      <w:bookmarkStart w:id="751" w:name="__RefHeading___Toc9587812_73709187"/>
      <w:bookmarkStart w:id="752" w:name="_Toc280"/>
      <w:bookmarkEnd w:id="751"/>
      <w:r>
        <w:rPr>
          <w:rtl w:val="true"/>
        </w:rPr>
        <w:t>الفرع الخامس</w:t>
      </w:r>
      <w:r>
        <w:rPr>
          <w:rtl w:val="true"/>
        </w:rPr>
        <w:t xml:space="preserve">: </w:t>
      </w:r>
      <w:r>
        <w:rPr>
          <w:rtl w:val="true"/>
        </w:rPr>
        <w:t>صلاة الصبیّ فی الثوب المموّه بالذهب</w:t>
      </w:r>
      <w:bookmarkEnd w:id="752"/>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الفقهاء بطلان صلاة الرجال فی الثوب المموّه بالذهب</w:t>
      </w:r>
      <w:r>
        <w:rPr>
          <w:rFonts w:eastAsia="IRNazanin" w:cs="IRNazanin"/>
          <w:color w:val="111111"/>
          <w:sz w:val="28"/>
          <w:szCs w:val="28"/>
          <w:rtl w:val="true"/>
          <w:lang w:bidi="fa-IR"/>
        </w:rPr>
        <w:t>.</w:t>
      </w:r>
      <w:bookmarkStart w:id="753" w:name="pg11755_255234"/>
    </w:p>
    <w:p>
      <w:pPr>
        <w:pStyle w:val="BookText"/>
        <w:rPr/>
      </w:pPr>
      <w:bookmarkEnd w:id="753"/>
      <w:r>
        <w:rPr>
          <w:rFonts w:ascii="IRNazanin" w:hAnsi="IRNazanin" w:eastAsia="IRNazanin"/>
          <w:color w:val="111111"/>
          <w:sz w:val="28"/>
          <w:sz w:val="28"/>
          <w:szCs w:val="28"/>
          <w:rtl w:val="true"/>
          <w:lang w:bidi="fa-IR"/>
        </w:rPr>
        <w:t>قال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الصلاة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علی الرجال فلو موّه به ثوباً و صلّی فیه بطل، بل لو لبس خاتماً منه و صلّی فیه بطلت صلاته</w:t>
      </w:r>
      <w:r>
        <w:rPr>
          <w:rFonts w:eastAsia="IRNazanin" w:cs="IRNazanin"/>
          <w:color w:val="111111"/>
          <w:sz w:val="28"/>
          <w:szCs w:val="28"/>
          <w:rtl w:val="true"/>
          <w:lang w:bidi="fa-IR"/>
        </w:rPr>
        <w:t>»</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التذکرة</w:t>
      </w:r>
      <w:r>
        <w:rPr>
          <w:rStyle w:val="FootnoteAnchor"/>
          <w:rtl w:val="true"/>
        </w:rPr>
        <w:footnoteReference w:id="2554"/>
      </w:r>
      <w:r>
        <w:rPr>
          <w:rFonts w:ascii="IRNazanin" w:hAnsi="IRNazanin" w:eastAsia="IRNazanin"/>
          <w:color w:val="111111"/>
          <w:sz w:val="28"/>
          <w:sz w:val="28"/>
          <w:szCs w:val="28"/>
          <w:rtl w:val="true"/>
          <w:lang w:bidi="fa-IR"/>
        </w:rPr>
        <w:t>، و ادّعی فی الجواهر علیه الإجماع و الضرورة</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مستند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ضروریّ الدین</w:t>
      </w:r>
      <w:r>
        <w:rPr>
          <w:rFonts w:eastAsia="IRNazanin" w:cs="IRNazanin"/>
          <w:color w:val="111111"/>
          <w:sz w:val="28"/>
          <w:szCs w:val="28"/>
          <w:rtl w:val="true"/>
          <w:lang w:bidi="fa-IR"/>
        </w:rPr>
        <w:t>»</w:t>
      </w:r>
      <w:r>
        <w:rPr>
          <w:rStyle w:val="FootnoteAnchor"/>
          <w:rtl w:val="true"/>
        </w:rPr>
        <w:footnoteReference w:id="2556"/>
      </w:r>
      <w:r>
        <w:rPr>
          <w:rFonts w:ascii="IRNazanin" w:hAnsi="IRNazanin" w:eastAsia="IRNazanin"/>
          <w:color w:val="111111"/>
          <w:sz w:val="28"/>
          <w:sz w:val="28"/>
          <w:szCs w:val="28"/>
          <w:rtl w:val="true"/>
          <w:lang w:bidi="fa-IR"/>
        </w:rPr>
        <w:t>، و کذلک فی غیرها</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بالنسبة إلی الصبیّ فالظاهر أنّه لم یتعرّض لهذه المسألة فی کتب قدماء أصحابنا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بحث عنها بعض الأعلام من المعاصرین أو من قارب عصرنا، و یقع الکلام فیها أیضاً من جهات</w:t>
      </w:r>
      <w:r>
        <w:rPr>
          <w:rFonts w:eastAsia="IRNazanin" w:cs="IRNazanin"/>
          <w:color w:val="111111"/>
          <w:sz w:val="28"/>
          <w:szCs w:val="28"/>
          <w:rtl w:val="true"/>
          <w:lang w:bidi="fa-IR"/>
        </w:rPr>
        <w:t>:</w:t>
      </w:r>
    </w:p>
    <w:p>
      <w:pPr>
        <w:pStyle w:val="Heading6"/>
        <w:numPr>
          <w:ilvl w:val="5"/>
          <w:numId w:val="1"/>
        </w:numPr>
        <w:rPr/>
      </w:pPr>
      <w:bookmarkStart w:id="754" w:name="__RefHeading___Toc9587814_73709187"/>
      <w:bookmarkStart w:id="755" w:name="_Toc281"/>
      <w:bookmarkEnd w:id="754"/>
      <w:r>
        <w:rPr>
          <w:rtl w:val="true"/>
        </w:rPr>
        <w:t>الاُولی و الثانیة</w:t>
      </w:r>
      <w:r>
        <w:rPr>
          <w:rtl w:val="true"/>
        </w:rPr>
        <w:t xml:space="preserve">: </w:t>
      </w:r>
      <w:r>
        <w:rPr>
          <w:rtl w:val="true"/>
        </w:rPr>
        <w:t>بیان الحکم التکلیفی فی المسألة</w:t>
      </w:r>
      <w:bookmarkEnd w:id="755"/>
    </w:p>
    <w:p>
      <w:pPr>
        <w:pStyle w:val="BookText"/>
        <w:rPr/>
      </w:pPr>
      <w:r>
        <w:rPr>
          <w:rFonts w:ascii="IRNazanin" w:hAnsi="IRNazanin" w:eastAsia="IRNazanin"/>
          <w:color w:val="111111"/>
          <w:sz w:val="28"/>
          <w:sz w:val="28"/>
          <w:szCs w:val="28"/>
          <w:rtl w:val="true"/>
          <w:lang w:bidi="fa-IR"/>
        </w:rPr>
        <w:t>هل یجوز للصبیّ لبس الذهب أو تمکین الولیّ للصبیّ من لبس الذهب تکلیفاً؟ و الظاهر أنّه لا خلاف فی جوازهما، قال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الصبیّ الممیّز فلا یحرم علیه لبسه</w:t>
      </w:r>
      <w:r>
        <w:rPr>
          <w:rFonts w:eastAsia="IRNazanin" w:cs="IRNazanin"/>
          <w:color w:val="111111"/>
          <w:sz w:val="28"/>
          <w:szCs w:val="28"/>
          <w:rtl w:val="true"/>
          <w:lang w:bidi="fa-IR"/>
        </w:rPr>
        <w:t>»</w:t>
      </w:r>
      <w:r>
        <w:rPr>
          <w:rStyle w:val="FootnoteAnchor"/>
          <w:rtl w:val="true"/>
        </w:rPr>
        <w:footnoteReference w:id="2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به من علّق علیها</w:t>
      </w:r>
      <w:r>
        <w:rPr>
          <w:rStyle w:val="FootnoteAnchor"/>
          <w:rtl w:val="true"/>
        </w:rPr>
        <w:footnoteReference w:id="2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المهذّب</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منهاج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للولیّ إلباس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w:t>
      </w:r>
      <w:r>
        <w:rPr>
          <w:rStyle w:val="FootnoteAnchor"/>
          <w:rtl w:val="true"/>
        </w:rPr>
        <w:footnoteReference w:id="2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فی مبانی المنهاج</w:t>
      </w:r>
      <w:r>
        <w:rPr>
          <w:rStyle w:val="FootnoteAnchor"/>
          <w:rtl w:val="true"/>
        </w:rPr>
        <w:footnoteReference w:id="2562"/>
      </w:r>
      <w:r>
        <w:rPr>
          <w:rFonts w:ascii="IRNazanin" w:hAnsi="IRNazanin" w:eastAsia="IRNazanin"/>
          <w:color w:val="111111"/>
          <w:sz w:val="28"/>
          <w:sz w:val="28"/>
          <w:szCs w:val="28"/>
          <w:rtl w:val="true"/>
          <w:lang w:bidi="fa-IR"/>
        </w:rPr>
        <w:t>، و ادّعی فی المستمسک عدم الخلاف فیه ظاهراً</w:t>
      </w:r>
      <w:r>
        <w:rPr>
          <w:rStyle w:val="FootnoteAnchor"/>
          <w:rtl w:val="true"/>
        </w:rPr>
        <w:footnoteReference w:id="2563"/>
      </w:r>
      <w:r>
        <w:rPr>
          <w:rFonts w:ascii="IRNazanin" w:hAnsi="IRNazanin" w:eastAsia="IRNazanin"/>
          <w:color w:val="111111"/>
          <w:sz w:val="28"/>
          <w:sz w:val="28"/>
          <w:szCs w:val="28"/>
          <w:rtl w:val="true"/>
          <w:lang w:bidi="fa-IR"/>
        </w:rPr>
        <w:t>، و کذا فی غیرها</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حدیث رفع القلم عن الصبیّ‌</w:t>
      </w:r>
      <w:r>
        <w:rPr>
          <w:rStyle w:val="FootnoteAnchor"/>
          <w:rtl w:val="true"/>
        </w:rPr>
        <w:footnoteReference w:id="2565"/>
      </w:r>
      <w:r>
        <w:rPr>
          <w:rFonts w:ascii="IRNazanin" w:hAnsi="IRNazanin" w:eastAsia="IRNazanin"/>
          <w:color w:val="111111"/>
          <w:sz w:val="28"/>
          <w:sz w:val="28"/>
          <w:szCs w:val="28"/>
          <w:rtl w:val="true"/>
          <w:lang w:bidi="fa-IR"/>
        </w:rPr>
        <w:t xml:space="preserve">، و أنّه لیس من أهل التکلیف، و قصور المقتضی للمنع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الذهب یحلّی به الصبیان،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 السلام یحلّی ولده و نساءه بالذهب و الفضّة</w:t>
      </w:r>
      <w:r>
        <w:rPr>
          <w:rFonts w:eastAsia="IRNazanin" w:cs="IRNazanin"/>
          <w:color w:val="111111"/>
          <w:sz w:val="28"/>
          <w:szCs w:val="28"/>
          <w:rtl w:val="true"/>
          <w:lang w:bidi="fa-IR"/>
        </w:rPr>
        <w:t>»</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داود بن سرحان،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الذهب یحلّی به الصبیان،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أبی لیحلّی ولده و نساءه الذهب و الفضة، فلا بأس به</w:t>
      </w:r>
      <w:r>
        <w:rPr>
          <w:rFonts w:eastAsia="IRNazanin" w:cs="IRNazanin"/>
          <w:color w:val="111111"/>
          <w:sz w:val="28"/>
          <w:szCs w:val="28"/>
          <w:rtl w:val="true"/>
          <w:lang w:bidi="fa-IR"/>
        </w:rPr>
        <w:t>»</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إطلاقهما یشمل الممیّز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مانع للأولیاء من تحلیة صبیانهم بالذهب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الصحیحتان معارضتان بما رواه ابن إدریس فی آخر سرائره نقلاً من روایة جعفر بن محمّد بن قولویه عن أبی بصیر عن أبی عبد اللّه علیه السلام قال</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الرجل یحلّی أهله بالذهب،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النساء و الجواری، فأمّا الغلمان فلا</w:t>
      </w:r>
      <w:r>
        <w:rPr>
          <w:rFonts w:eastAsia="IRNazanin" w:cs="IRNazanin"/>
          <w:color w:val="111111"/>
          <w:sz w:val="28"/>
          <w:szCs w:val="28"/>
          <w:rtl w:val="true"/>
          <w:lang w:bidi="fa-IR"/>
        </w:rPr>
        <w:t>»</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bookmarkStart w:id="756" w:name="pg11755_255238"/>
    </w:p>
    <w:p>
      <w:pPr>
        <w:pStyle w:val="BookText"/>
        <w:rPr/>
      </w:pPr>
      <w:bookmarkEnd w:id="756"/>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إلی أنّ الروایة ضعیفة بالإرسال؛ لامتناع روایة ابن قولویه عن أبی بصیر بلا 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الغلام یصدق علی الممیّز فی أوان بلوغه، بل بعد التجاوز عنه بسنین قلیلة ما لم یصل إلی حدّ الرجولیّة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یعمّ الصبیّ و البالغ، و لا یختصّ بالأوّل، و موضوع الحکم فی الصحیحتین هو الصبیّ، فلا تعارض بینهما و بین هذا الخبر؛ لإمکان حمل الغلمان فی الخبر علی غیر الصبیان، کما فی الوسائل</w:t>
      </w:r>
      <w:r>
        <w:rPr>
          <w:rStyle w:val="FootnoteAnchor"/>
          <w:rtl w:val="true"/>
        </w:rPr>
        <w:footnoteReference w:id="2569"/>
      </w:r>
      <w:r>
        <w:rPr>
          <w:rFonts w:ascii="Amiri" w:hAnsi="Amiri" w:eastAsia="Amiri" w:cs="Amiri"/>
          <w:color w:val="111111"/>
          <w:sz w:val="28"/>
          <w:sz w:val="28"/>
          <w:szCs w:val="28"/>
          <w:rtl w:val="true"/>
          <w:lang w:bidi="ar-SA"/>
        </w:rPr>
        <w:t>و المهذّب</w:t>
      </w:r>
      <w:r>
        <w:rPr>
          <w:rStyle w:val="FootnoteAnchor"/>
          <w:rtl w:val="true"/>
        </w:rPr>
        <w:footnoteReference w:id="2570"/>
      </w:r>
      <w:r>
        <w:rPr>
          <w:rFonts w:ascii="IRNazanin" w:hAnsi="IRNazanin" w:eastAsia="IRNazanin"/>
          <w:color w:val="111111"/>
          <w:sz w:val="28"/>
          <w:sz w:val="28"/>
          <w:szCs w:val="28"/>
          <w:rtl w:val="true"/>
          <w:lang w:bidi="fa-IR"/>
        </w:rPr>
        <w:t>و المستند</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7" w:name="__RefHeading___Toc9587816_73709187"/>
      <w:bookmarkStart w:id="758" w:name="_Toc282"/>
      <w:bookmarkEnd w:id="757"/>
      <w:r>
        <w:rPr>
          <w:rtl w:val="true"/>
        </w:rPr>
        <w:t>الثالثة</w:t>
      </w:r>
      <w:r>
        <w:rPr>
          <w:rtl w:val="true"/>
        </w:rPr>
        <w:t xml:space="preserve">: </w:t>
      </w:r>
      <w:r>
        <w:rPr>
          <w:rtl w:val="true"/>
        </w:rPr>
        <w:t>الحکم الوضعی فی المسألة</w:t>
      </w:r>
      <w:bookmarkEnd w:id="758"/>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تصحّ صلاة الصبیّ فی الثوب المموّه بالذهب أو لا؟ الظاهر صحّتها، کما قال به فی المستند</w:t>
      </w:r>
      <w:r>
        <w:rPr>
          <w:rStyle w:val="FootnoteAnchor"/>
          <w:rtl w:val="true"/>
        </w:rPr>
        <w:footnoteReference w:id="2572"/>
      </w:r>
      <w:r>
        <w:rPr>
          <w:rFonts w:ascii="Amiri" w:hAnsi="Amiri" w:eastAsia="Amiri" w:cs="Amiri"/>
          <w:color w:val="111111"/>
          <w:sz w:val="28"/>
          <w:sz w:val="28"/>
          <w:szCs w:val="28"/>
          <w:rtl w:val="true"/>
          <w:lang w:bidi="ar-SA"/>
        </w:rPr>
        <w:t>و المهذّب</w:t>
      </w:r>
      <w:r>
        <w:rPr>
          <w:rStyle w:val="FootnoteAnchor"/>
          <w:rtl w:val="true"/>
        </w:rPr>
        <w:footnoteReference w:id="2573"/>
      </w:r>
      <w:r>
        <w:rPr>
          <w:rFonts w:ascii="IRNazanin" w:hAnsi="IRNazanin" w:eastAsia="IRNazanin"/>
          <w:color w:val="111111"/>
          <w:sz w:val="28"/>
          <w:sz w:val="28"/>
          <w:szCs w:val="28"/>
          <w:rtl w:val="true"/>
          <w:lang w:bidi="fa-IR"/>
        </w:rPr>
        <w:t>و مدارک العروة</w:t>
      </w:r>
      <w:r>
        <w:rPr>
          <w:rStyle w:val="FootnoteAnchor"/>
          <w:rtl w:val="true"/>
        </w:rPr>
        <w:footnoteReference w:id="2574"/>
      </w:r>
      <w:r>
        <w:rPr>
          <w:rFonts w:ascii="IRNazanin" w:hAnsi="IRNazanin" w:eastAsia="IRNazanin"/>
          <w:color w:val="111111"/>
          <w:sz w:val="28"/>
          <w:sz w:val="28"/>
          <w:szCs w:val="28"/>
          <w:rtl w:val="true"/>
          <w:lang w:bidi="fa-IR"/>
        </w:rPr>
        <w:t xml:space="preserve">؛ لأنّه لا دلیل علی مانعیّة الذهب لصلاة الصبیّ؛ إذ ما تدلّ علی المانعیّة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کموثّقة عمّار عن أبی عبد اللّه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یلبس الرجل الذهب و لا یصلّی فیه؛ لأنّه من لباس أهل الجنّة</w:t>
      </w:r>
      <w:r>
        <w:rPr>
          <w:rFonts w:eastAsia="IRNazanin" w:cs="IRNazanin"/>
          <w:color w:val="111111"/>
          <w:sz w:val="28"/>
          <w:szCs w:val="28"/>
          <w:rtl w:val="true"/>
          <w:lang w:bidi="fa-IR"/>
        </w:rPr>
        <w:t>»</w:t>
      </w:r>
      <w:r>
        <w:rPr>
          <w:rStyle w:val="FootnoteAnchor"/>
          <w:rtl w:val="true"/>
        </w:rPr>
        <w:footnoteReference w:id="2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رواها الصدوق بطریق معتبر</w:t>
      </w:r>
      <w:r>
        <w:rPr>
          <w:rStyle w:val="FootnoteAnchor"/>
          <w:rtl w:val="true"/>
        </w:rPr>
        <w:footnoteReference w:id="2576"/>
      </w:r>
      <w:r>
        <w:rPr>
          <w:rFonts w:ascii="IRNazanin" w:hAnsi="IRNazanin" w:eastAsia="IRNazanin"/>
          <w:color w:val="111111"/>
          <w:sz w:val="28"/>
          <w:sz w:val="28"/>
          <w:szCs w:val="28"/>
          <w:rtl w:val="true"/>
          <w:lang w:bidi="fa-IR"/>
        </w:rPr>
        <w:t xml:space="preserve">و غیرها </w:t>
      </w:r>
      <w:r>
        <w:rPr>
          <w:rFonts w:eastAsia="IRNazanin" w:cs="IRNazanin"/>
          <w:color w:val="111111"/>
          <w:sz w:val="28"/>
          <w:szCs w:val="28"/>
          <w:rtl w:val="true"/>
          <w:lang w:bidi="fa-IR"/>
        </w:rPr>
        <w:t xml:space="preserve">- </w:t>
      </w:r>
      <w:r>
        <w:rPr>
          <w:rStyle w:val="FootnoteAnchor"/>
          <w:rtl w:val="true"/>
        </w:rPr>
        <w:footnoteReference w:id="2577"/>
      </w:r>
      <w:r>
        <w:rPr>
          <w:rFonts w:ascii="IRNazanin" w:hAnsi="IRNazanin" w:eastAsia="IRNazanin"/>
          <w:color w:val="111111"/>
          <w:sz w:val="28"/>
          <w:sz w:val="28"/>
          <w:szCs w:val="28"/>
          <w:rtl w:val="true"/>
          <w:lang w:bidi="fa-IR"/>
        </w:rPr>
        <w:t>موضوعها الرجل غیر الصادق علی الصبیّ</w:t>
      </w:r>
      <w:r>
        <w:rPr>
          <w:rFonts w:eastAsia="IRNazanin" w:cs="IRNazanin"/>
          <w:color w:val="111111"/>
          <w:sz w:val="28"/>
          <w:szCs w:val="28"/>
          <w:rtl w:val="true"/>
          <w:lang w:bidi="fa-IR"/>
        </w:rPr>
        <w:t>.</w:t>
      </w:r>
      <w:bookmarkStart w:id="759" w:name="pg11755_255240"/>
    </w:p>
    <w:p>
      <w:pPr>
        <w:pStyle w:val="BookText"/>
        <w:rPr/>
      </w:pPr>
      <w:bookmarkEnd w:id="759"/>
      <w:r>
        <w:rPr>
          <w:rFonts w:ascii="IRNazanin" w:hAnsi="IRNazanin" w:eastAsia="IRNazanin"/>
          <w:color w:val="111111"/>
          <w:sz w:val="28"/>
          <w:sz w:val="28"/>
          <w:szCs w:val="28"/>
          <w:rtl w:val="true"/>
          <w:lang w:bidi="fa-IR"/>
        </w:rPr>
        <w:t>و دعوی أنّ المراد به مطلق الذکر فی مقابل الاُنثی، لا خصوص الرجل المقابل للمرأة و الصبیّ، لا شاهد علیها، بل ظاهر أخذ عنوان الرجل دخل الخصوصیّة فی ترتّب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التنزّل فلا أقلّ من الاحتمال المورّث للإجمال، فتسقط أدلّة المانعیّة عن الاستدلال، فیرجع إلی البراءة عن المانعیّة بالإضافة إلیه</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مع ذلک کلّه الاحتیاط حسن، فلا ینبغی ترکه، کما فی العروة</w:t>
      </w:r>
      <w:r>
        <w:rPr>
          <w:rStyle w:val="FootnoteAnchor"/>
          <w:rtl w:val="true"/>
        </w:rPr>
        <w:footnoteReference w:id="2579"/>
      </w:r>
    </w:p>
    <w:p>
      <w:pPr>
        <w:pStyle w:val="BookText"/>
        <w:rPr/>
      </w:pPr>
      <w:r>
        <w:rPr>
          <w:rFonts w:ascii="IRNazanin" w:hAnsi="IRNazanin" w:eastAsia="IRNazanin"/>
          <w:color w:val="111111"/>
          <w:sz w:val="28"/>
          <w:sz w:val="28"/>
          <w:szCs w:val="28"/>
          <w:rtl w:val="true"/>
          <w:lang w:bidi="fa-IR"/>
        </w:rPr>
        <w:t>و المستمسک</w:t>
      </w:r>
      <w:r>
        <w:rPr>
          <w:rStyle w:val="FootnoteAnchor"/>
          <w:rtl w:val="true"/>
        </w:rPr>
        <w:footnoteReference w:id="2580"/>
      </w:r>
      <w:r>
        <w:rPr>
          <w:rFonts w:ascii="IRNazanin" w:hAnsi="IRNazanin" w:eastAsia="IRNazanin"/>
          <w:color w:val="111111"/>
          <w:sz w:val="28"/>
          <w:sz w:val="28"/>
          <w:szCs w:val="28"/>
          <w:rtl w:val="true"/>
          <w:lang w:bidi="fa-IR"/>
        </w:rPr>
        <w:t>، و به قال أیضاً بعض أعلام العصر</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0" w:name="__RefHeading___Toc9587818_73709187"/>
      <w:bookmarkStart w:id="761" w:name="_Toc283"/>
      <w:bookmarkEnd w:id="760"/>
      <w:r>
        <w:rPr>
          <w:rtl w:val="true"/>
        </w:rPr>
        <w:t>الفرع السادس</w:t>
      </w:r>
      <w:r>
        <w:rPr>
          <w:rtl w:val="true"/>
        </w:rPr>
        <w:t xml:space="preserve">: </w:t>
      </w:r>
      <w:r>
        <w:rPr>
          <w:rtl w:val="true"/>
        </w:rPr>
        <w:t>صحّة صلاة الصبیّة مع عدم تغطیة رأسها</w:t>
      </w:r>
      <w:bookmarkEnd w:id="761"/>
    </w:p>
    <w:p>
      <w:pPr>
        <w:pStyle w:val="BookText"/>
        <w:rPr/>
      </w:pPr>
      <w:r>
        <w:rPr>
          <w:rStyle w:val="FootnoteAnchor"/>
          <w:rtl w:val="true"/>
        </w:rPr>
        <w:footnoteReference w:id="2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ثبت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لا یشترط فی صحّة صلاة الصبیّة تغطیة رأسها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بأس للأمة و الصبیّة الحرّة الّتی لم تبلغ أن تصلّیا بغیر قناع</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المبسوط‌</w:t>
      </w:r>
      <w:r>
        <w:rPr>
          <w:rStyle w:val="FootnoteAnchor"/>
          <w:rtl w:val="true"/>
        </w:rPr>
        <w:footnoteReference w:id="2585"/>
      </w:r>
      <w:r>
        <w:rPr>
          <w:rFonts w:ascii="IRNazanin" w:hAnsi="IRNazanin" w:eastAsia="IRNazanin"/>
          <w:color w:val="111111"/>
          <w:sz w:val="28"/>
          <w:sz w:val="28"/>
          <w:szCs w:val="28"/>
          <w:rtl w:val="true"/>
          <w:lang w:bidi="fa-IR"/>
        </w:rPr>
        <w:t>و إصباح الشیعة</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الأمة و الصبیّة تصلّیان بغیر خمار</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88"/>
      </w:r>
      <w:r>
        <w:rPr>
          <w:rFonts w:ascii="IRNazanin" w:hAnsi="IRNazanin" w:eastAsia="IRNazanin"/>
          <w:color w:val="111111"/>
          <w:sz w:val="28"/>
          <w:sz w:val="28"/>
          <w:szCs w:val="28"/>
          <w:rtl w:val="true"/>
          <w:lang w:bidi="fa-IR"/>
        </w:rPr>
        <w:t>، و کذا فی الإرشاد</w:t>
      </w:r>
      <w:r>
        <w:rPr>
          <w:rStyle w:val="FootnoteAnchor"/>
          <w:rtl w:val="true"/>
        </w:rPr>
        <w:footnoteReference w:id="2589"/>
      </w:r>
      <w:r>
        <w:rPr>
          <w:rFonts w:ascii="IRNazanin" w:hAnsi="IRNazanin" w:eastAsia="IRNazanin"/>
          <w:color w:val="111111"/>
          <w:sz w:val="28"/>
          <w:sz w:val="28"/>
          <w:szCs w:val="28"/>
          <w:rtl w:val="true"/>
          <w:lang w:bidi="fa-IR"/>
        </w:rPr>
        <w:t>و التذکرة</w:t>
      </w:r>
      <w:r>
        <w:rPr>
          <w:rStyle w:val="FootnoteAnchor"/>
          <w:rtl w:val="true"/>
        </w:rPr>
        <w:footnoteReference w:id="2590"/>
      </w:r>
      <w:r>
        <w:rPr>
          <w:rFonts w:ascii="IRNazanin" w:hAnsi="IRNazanin" w:eastAsia="IRNazanin"/>
          <w:color w:val="111111"/>
          <w:sz w:val="28"/>
          <w:sz w:val="28"/>
          <w:szCs w:val="28"/>
          <w:rtl w:val="true"/>
          <w:lang w:bidi="fa-IR"/>
        </w:rPr>
        <w:t>و التحریر</w:t>
      </w:r>
      <w:r>
        <w:rPr>
          <w:rStyle w:val="FootnoteAnchor"/>
          <w:rtl w:val="true"/>
        </w:rPr>
        <w:footnoteReference w:id="2591"/>
      </w:r>
      <w:r>
        <w:rPr>
          <w:rFonts w:ascii="IRNazanin" w:hAnsi="IRNazanin" w:eastAsia="IRNazanin"/>
          <w:color w:val="111111"/>
          <w:sz w:val="28"/>
          <w:sz w:val="28"/>
          <w:szCs w:val="28"/>
          <w:rtl w:val="true"/>
          <w:lang w:bidi="fa-IR"/>
        </w:rPr>
        <w:t>و القواعد</w:t>
      </w:r>
      <w:r>
        <w:rPr>
          <w:rStyle w:val="FootnoteAnchor"/>
          <w:rtl w:val="true"/>
        </w:rPr>
        <w:footnoteReference w:id="2592"/>
      </w:r>
      <w:r>
        <w:rPr>
          <w:rFonts w:ascii="IRNazanin" w:hAnsi="IRNazanin" w:eastAsia="IRNazanin"/>
          <w:color w:val="111111"/>
          <w:sz w:val="28"/>
          <w:sz w:val="28"/>
          <w:szCs w:val="28"/>
          <w:rtl w:val="true"/>
          <w:lang w:bidi="fa-IR"/>
        </w:rPr>
        <w:t>و الدروس</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ادّعی علیه الإجماع، کما فی المعتبر</w:t>
      </w:r>
      <w:r>
        <w:rPr>
          <w:rStyle w:val="FootnoteAnchor"/>
          <w:rtl w:val="true"/>
        </w:rPr>
        <w:footnoteReference w:id="2594"/>
      </w:r>
      <w:r>
        <w:rPr>
          <w:rFonts w:ascii="IRNazanin" w:hAnsi="IRNazanin" w:eastAsia="IRNazanin"/>
          <w:color w:val="111111"/>
          <w:sz w:val="28"/>
          <w:sz w:val="28"/>
          <w:szCs w:val="28"/>
          <w:rtl w:val="true"/>
          <w:lang w:bidi="fa-IR"/>
        </w:rPr>
        <w:t>و الذکری</w:t>
      </w:r>
      <w:r>
        <w:rPr>
          <w:rStyle w:val="FootnoteAnchor"/>
          <w:rtl w:val="true"/>
        </w:rPr>
        <w:footnoteReference w:id="2595"/>
      </w:r>
      <w:r>
        <w:rPr>
          <w:rFonts w:ascii="IRNazanin" w:hAnsi="IRNazanin" w:eastAsia="IRNazanin"/>
          <w:color w:val="111111"/>
          <w:sz w:val="28"/>
          <w:sz w:val="28"/>
          <w:szCs w:val="28"/>
          <w:rtl w:val="true"/>
          <w:lang w:bidi="fa-IR"/>
        </w:rPr>
        <w:t>و کشف اللثام</w:t>
      </w:r>
      <w:r>
        <w:rPr>
          <w:rStyle w:val="FootnoteAnchor"/>
          <w:rtl w:val="true"/>
        </w:rPr>
        <w:footnoteReference w:id="2596"/>
      </w:r>
    </w:p>
    <w:p>
      <w:pPr>
        <w:pStyle w:val="BookText"/>
        <w:rPr/>
      </w:pPr>
      <w:r>
        <w:rPr>
          <w:rFonts w:ascii="IRNazanin" w:hAnsi="IRNazanin" w:eastAsia="IRNazanin"/>
          <w:color w:val="111111"/>
          <w:sz w:val="28"/>
          <w:sz w:val="28"/>
          <w:szCs w:val="28"/>
          <w:rtl w:val="true"/>
          <w:lang w:bidi="fa-IR"/>
        </w:rPr>
        <w:t>و مدارک الأحکام</w:t>
      </w:r>
      <w:r>
        <w:rPr>
          <w:rStyle w:val="FootnoteAnchor"/>
          <w:rtl w:val="true"/>
        </w:rPr>
        <w:footnoteReference w:id="2597"/>
      </w:r>
      <w:r>
        <w:rPr>
          <w:rFonts w:ascii="IRNazanin" w:hAnsi="IRNazanin" w:eastAsia="IRNazanin"/>
          <w:color w:val="111111"/>
          <w:sz w:val="28"/>
          <w:sz w:val="28"/>
          <w:szCs w:val="28"/>
          <w:rtl w:val="true"/>
          <w:lang w:bidi="fa-IR"/>
        </w:rPr>
        <w:t>و الجواهر</w:t>
      </w:r>
      <w:r>
        <w:rPr>
          <w:rStyle w:val="FootnoteAnchor"/>
          <w:rtl w:val="true"/>
        </w:rPr>
        <w:footnoteReference w:id="2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موضع وفاق</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الصبیّة و إن کان لا بدّ من ستر بدنها لتکون صلاتها شرعیّة أو تمرینیّة کما فی طهارتها بالنسبة إلی الصلاة، إلّا أنّه لا یشترط ستر رأسها</w:t>
      </w:r>
      <w:r>
        <w:rPr>
          <w:rFonts w:eastAsia="IRNazanin" w:cs="IRNazanin"/>
          <w:color w:val="111111"/>
          <w:sz w:val="28"/>
          <w:szCs w:val="28"/>
          <w:rtl w:val="true"/>
          <w:lang w:bidi="fa-IR"/>
        </w:rPr>
        <w:t>»</w:t>
      </w:r>
      <w:r>
        <w:rPr>
          <w:rStyle w:val="FootnoteAnchor"/>
          <w:rtl w:val="true"/>
        </w:rPr>
        <w:footnoteReference w:id="2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أیضاً عدّة من أعلام المعاصرین</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bookmarkStart w:id="762" w:name="pg11755_255245"/>
    </w:p>
    <w:p>
      <w:pPr>
        <w:pStyle w:val="Heading6"/>
        <w:numPr>
          <w:ilvl w:val="5"/>
          <w:numId w:val="1"/>
        </w:numPr>
        <w:rPr/>
      </w:pPr>
      <w:bookmarkStart w:id="763" w:name="__RefHeading___Toc9587820_73709187"/>
      <w:bookmarkStart w:id="764" w:name="_Toc284"/>
      <w:bookmarkEnd w:id="762"/>
      <w:bookmarkEnd w:id="763"/>
      <w:r>
        <w:rPr>
          <w:rtl w:val="true"/>
        </w:rPr>
        <w:t>أدلّة عدم اشتراط ستر الرأس للصبیّة فی الصلاة</w:t>
      </w:r>
      <w:bookmarkEnd w:id="764"/>
    </w:p>
    <w:p>
      <w:pPr>
        <w:pStyle w:val="BookText"/>
        <w:rPr/>
      </w:pPr>
      <w:r>
        <w:rPr>
          <w:rFonts w:ascii="Amiri" w:hAnsi="Amiri" w:eastAsia="Amiri" w:cs="Amiri"/>
          <w:color w:val="111111"/>
          <w:sz w:val="28"/>
          <w:sz w:val="28"/>
          <w:szCs w:val="28"/>
          <w:rtl w:val="true"/>
          <w:lang w:bidi="ar-SA"/>
        </w:rPr>
        <w:t>و یدلّ علی هذا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کما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الجاریة التی لم تدرک، متی ینبغی لها أن تغطّی رأسها ممّن لیس بینها و بینه محرم؟ و متی یجب علیها أن تقنّع رأسها للصلاة؟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تغطی رأسها حتّی تحرم علیها الصلاة</w:t>
      </w:r>
      <w:r>
        <w:rPr>
          <w:rFonts w:eastAsia="IRNazanin" w:cs="IRNazanin"/>
          <w:color w:val="111111"/>
          <w:sz w:val="28"/>
          <w:szCs w:val="28"/>
          <w:rtl w:val="true"/>
          <w:lang w:bidi="fa-IR"/>
        </w:rPr>
        <w:t>»</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الجاریة تشمل الصبیّة بمقتضی الاستعمالات الواردة فی الروایات فی أبواب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أنکر هذا المعنی فنفس الروایة صریحة علی ذلک؛ لأنّ السائل سئل عن الجاریة التی لم تدرک، و هذا نصّ فی عدم بلوغها، و الشاهد علی ذلک أنّ الأمة لا بأس بعدم تغطیة رأسها و لو بعد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تحرم علیها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الحیض و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حرمة الصلاة بدون القناع علی ما ذهب إلیه فی مرآة العقول</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سأل أبا عبد اللّه علیه السلام عن الرجل یصلّی فی ثوب واحد،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لا یصلح للحرّة إذا حاضت إلّا الخمار، إلّا أن لا تجده</w:t>
      </w:r>
      <w:r>
        <w:rPr>
          <w:rFonts w:eastAsia="IRNazanin" w:cs="IRNazanin"/>
          <w:color w:val="111111"/>
          <w:sz w:val="28"/>
          <w:szCs w:val="28"/>
          <w:rtl w:val="true"/>
          <w:lang w:bidi="fa-IR"/>
        </w:rPr>
        <w:t>»</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ثمانیة لا یقبل اللّه لهم صلاة،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المدرکة تصلّی بغیر خمار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البرقی فی المحاسن عن النبیّ صلی الله علیه و آله فی وصیّته لعلیّ علیه السلام، إلّا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الجاریة المدرکة</w:t>
      </w:r>
      <w:r>
        <w:rPr>
          <w:rFonts w:eastAsia="IRNazanin" w:cs="IRNazanin"/>
          <w:color w:val="111111"/>
          <w:sz w:val="28"/>
          <w:szCs w:val="28"/>
          <w:rtl w:val="true"/>
          <w:lang w:bidi="fa-IR"/>
        </w:rPr>
        <w:t>»</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روایة أبی البختری، عن جعفر بن محمّد، عن أبیه، عن علیّ علیهم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حاضت الجاریة فلا تصلّی إلّا بخمار</w:t>
      </w:r>
      <w:r>
        <w:rPr>
          <w:rFonts w:eastAsia="IRNazanin" w:cs="IRNazanin"/>
          <w:color w:val="111111"/>
          <w:sz w:val="28"/>
          <w:szCs w:val="28"/>
          <w:rtl w:val="true"/>
          <w:lang w:bidi="fa-IR"/>
        </w:rPr>
        <w:t>»</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الوسائل بعد نقل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بالجاریة الصبیّة الحرّة، و الحیض المراد به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ظاهر</w:t>
      </w:r>
      <w:r>
        <w:rPr>
          <w:rFonts w:eastAsia="IRNazanin" w:cs="IRNazanin"/>
          <w:color w:val="111111"/>
          <w:sz w:val="28"/>
          <w:szCs w:val="28"/>
          <w:rtl w:val="true"/>
          <w:lang w:bidi="fa-IR"/>
        </w:rPr>
        <w:t>»</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دلّت هذه الروایة بمقتضی المفهوم علی عدم لزوم الاختمار و الستر لغیر البالغة، إلّا أنّ السند ضعیف بأبی البختری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یؤیّده روایة أبی بصیر 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 الجاریة إذا حاضت الصیام و الخمار</w:t>
      </w:r>
      <w:r>
        <w:rPr>
          <w:rStyle w:val="FootnoteAnchor"/>
          <w:rtl w:val="true"/>
        </w:rPr>
        <w:footnoteReference w:id="2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بالتقریب المتقدّم، و هذا أیضاً ضعیف بعلیّ بن أبی حمزة البطائنی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یدلّ علیه أیضاً موثّقة عبد اللّه بن بکیر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بالمرأة المسلمة الحرّة أن تصلّی و هی مکشوفة الرأس</w:t>
      </w:r>
      <w:r>
        <w:rPr>
          <w:rFonts w:eastAsia="IRNazanin" w:cs="IRNazanin"/>
          <w:color w:val="111111"/>
          <w:sz w:val="28"/>
          <w:szCs w:val="28"/>
          <w:rtl w:val="true"/>
          <w:lang w:bidi="fa-IR"/>
        </w:rPr>
        <w:t>»</w:t>
      </w:r>
      <w:r>
        <w:rPr>
          <w:rStyle w:val="FootnoteAnchor"/>
          <w:rtl w:val="true"/>
        </w:rPr>
        <w:footnoteReference w:id="2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روایة اخری منه</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أن یکون المراد بالمرأة فیهما الصغیرة من النساء لا الکبیرة الحرّة؛ لدلالة الأخبار علی اعتبار الستر فی الصلاة علی المرأة الکبیرة الحرّة، کذا حمله</w:t>
      </w:r>
      <w:bookmarkStart w:id="765" w:name="pg11755_255250"/>
    </w:p>
    <w:p>
      <w:pPr>
        <w:pStyle w:val="BookText"/>
        <w:rPr/>
      </w:pPr>
      <w:bookmarkEnd w:id="765"/>
      <w:r>
        <w:rPr>
          <w:rFonts w:ascii="IRNazanin" w:hAnsi="IRNazanin" w:eastAsia="IRNazanin"/>
          <w:color w:val="111111"/>
          <w:sz w:val="28"/>
          <w:sz w:val="28"/>
          <w:szCs w:val="28"/>
          <w:rtl w:val="true"/>
          <w:lang w:bidi="fa-IR"/>
        </w:rPr>
        <w:t>الشیخ فی التهذیب</w:t>
      </w:r>
      <w:r>
        <w:rPr>
          <w:rStyle w:val="FootnoteAnchor"/>
          <w:rtl w:val="true"/>
        </w:rPr>
        <w:footnoteReference w:id="2611"/>
      </w:r>
      <w:r>
        <w:rPr>
          <w:rFonts w:ascii="IRNazanin" w:hAnsi="IRNazanin" w:eastAsia="IRNazanin"/>
          <w:color w:val="111111"/>
          <w:sz w:val="28"/>
          <w:sz w:val="28"/>
          <w:szCs w:val="28"/>
          <w:rtl w:val="true"/>
          <w:lang w:bidi="fa-IR"/>
        </w:rPr>
        <w:t>، و العلّامة فی المنتهی‌</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6" w:name="__RefHeading___Toc9587822_73709187"/>
      <w:bookmarkStart w:id="767" w:name="_Toc285"/>
      <w:bookmarkEnd w:id="766"/>
      <w:r>
        <w:rPr>
          <w:rtl w:val="true"/>
        </w:rPr>
        <w:t>رأی أهل السنّة فی المسألة</w:t>
      </w:r>
      <w:bookmarkEnd w:id="767"/>
    </w:p>
    <w:p>
      <w:pPr>
        <w:pStyle w:val="BookText"/>
        <w:rPr/>
      </w:pPr>
      <w:r>
        <w:rPr>
          <w:rFonts w:ascii="IRNazanin" w:hAnsi="IRNazanin" w:eastAsia="IRNazanin"/>
          <w:color w:val="111111"/>
          <w:sz w:val="28"/>
          <w:sz w:val="28"/>
          <w:szCs w:val="28"/>
          <w:rtl w:val="true"/>
          <w:lang w:bidi="fa-IR"/>
        </w:rPr>
        <w:t>ذهب الجمهور من الحنفیّة و الشافعیّة و الحنابلة إلی عدم اشتراط ستر الرأس للصغیرة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لصحّة صلاته ما یشترط لصحّة صلاة الکبیر، إلّا فی السترة، فإنّ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اللّه صلاة حائض إلّا بخمار</w:t>
      </w:r>
      <w:r>
        <w:rPr>
          <w:rFonts w:eastAsia="IRNazanin" w:cs="IRNazanin"/>
          <w:color w:val="111111"/>
          <w:sz w:val="28"/>
          <w:szCs w:val="28"/>
          <w:rtl w:val="true"/>
          <w:lang w:bidi="fa-IR"/>
        </w:rPr>
        <w:t>»</w:t>
      </w:r>
      <w:r>
        <w:rPr>
          <w:rStyle w:val="FootnoteAnchor"/>
          <w:rtl w:val="true"/>
        </w:rPr>
        <w:footnoteReference w:id="2613"/>
      </w:r>
      <w:r>
        <w:rPr>
          <w:rFonts w:ascii="IRNazanin" w:hAnsi="IRNazanin" w:eastAsia="IRNazanin"/>
          <w:color w:val="111111"/>
          <w:sz w:val="28"/>
          <w:sz w:val="28"/>
          <w:szCs w:val="28"/>
          <w:rtl w:val="true"/>
          <w:lang w:bidi="fa-IR"/>
        </w:rPr>
        <w:t>یدلّ علی صحّتها بدون الخمار</w:t>
      </w:r>
      <w:r>
        <w:rPr>
          <w:rFonts w:eastAsia="IRNazanin" w:cs="IRNazanin"/>
          <w:color w:val="111111"/>
          <w:sz w:val="28"/>
          <w:szCs w:val="28"/>
          <w:rtl w:val="true"/>
          <w:lang w:bidi="fa-IR"/>
        </w:rPr>
        <w:t>»</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الإنصاف</w:t>
      </w:r>
      <w:r>
        <w:rPr>
          <w:rStyle w:val="FootnoteAnchor"/>
          <w:rtl w:val="true"/>
        </w:rPr>
        <w:footnoteReference w:id="2615"/>
      </w:r>
      <w:r>
        <w:rPr>
          <w:rFonts w:ascii="IRNazanin" w:hAnsi="IRNazanin" w:eastAsia="IRNazanin"/>
          <w:color w:val="111111"/>
          <w:sz w:val="28"/>
          <w:sz w:val="28"/>
          <w:szCs w:val="28"/>
          <w:rtl w:val="true"/>
          <w:lang w:bidi="fa-IR"/>
        </w:rPr>
        <w:t>و البحر الرائق</w:t>
      </w:r>
      <w:r>
        <w:rPr>
          <w:rStyle w:val="FootnoteAnchor"/>
          <w:rtl w:val="true"/>
        </w:rPr>
        <w:footnoteReference w:id="2616"/>
      </w:r>
      <w:r>
        <w:rPr>
          <w:rFonts w:ascii="IRNazanin" w:hAnsi="IRNazanin" w:eastAsia="IRNazanin"/>
          <w:color w:val="111111"/>
          <w:sz w:val="28"/>
          <w:sz w:val="28"/>
          <w:szCs w:val="28"/>
          <w:rtl w:val="true"/>
          <w:lang w:bidi="fa-IR"/>
        </w:rPr>
        <w:t>و حاشیة ردّ المحتار</w:t>
      </w:r>
      <w:r>
        <w:rPr>
          <w:rStyle w:val="FootnoteAnchor"/>
          <w:rtl w:val="true"/>
        </w:rPr>
        <w:footnoteReference w:id="2617"/>
      </w:r>
    </w:p>
    <w:p>
      <w:pPr>
        <w:pStyle w:val="BookText"/>
        <w:rPr/>
      </w:pPr>
      <w:r>
        <w:rPr>
          <w:rFonts w:ascii="IRNazanin" w:hAnsi="IRNazanin" w:eastAsia="IRNazanin"/>
          <w:color w:val="111111"/>
          <w:sz w:val="28"/>
          <w:sz w:val="28"/>
          <w:szCs w:val="28"/>
          <w:rtl w:val="true"/>
          <w:lang w:bidi="fa-IR"/>
        </w:rPr>
        <w:t>و المجموع</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المالکیّة بوجوبها، ففی الذخیرة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المراهقة بمنزلة الکبیرة؛ لأنّ من أمر بالصلاة أمر بشروطها و فضائلها، فلو صلّت بغیر 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تعید فی الوقت</w:t>
      </w:r>
      <w:r>
        <w:rPr>
          <w:rFonts w:eastAsia="IRNazanin" w:cs="IRNazanin"/>
          <w:color w:val="111111"/>
          <w:sz w:val="28"/>
          <w:szCs w:val="28"/>
          <w:rtl w:val="true"/>
          <w:lang w:bidi="fa-IR"/>
        </w:rPr>
        <w:t>»</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مواهب الجلیل</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bookmarkStart w:id="768" w:name="pg11755_255252"/>
    </w:p>
    <w:p>
      <w:pPr>
        <w:pStyle w:val="Heading6"/>
        <w:numPr>
          <w:ilvl w:val="5"/>
          <w:numId w:val="1"/>
        </w:numPr>
        <w:rPr/>
      </w:pPr>
      <w:bookmarkStart w:id="769" w:name="__RefHeading___Toc9587824_73709187"/>
      <w:bookmarkStart w:id="770" w:name="_Toc286"/>
      <w:bookmarkEnd w:id="768"/>
      <w:bookmarkEnd w:id="769"/>
      <w:r>
        <w:rPr>
          <w:rtl w:val="true"/>
        </w:rPr>
        <w:t>الفرع السابع</w:t>
      </w:r>
      <w:r>
        <w:rPr>
          <w:rtl w:val="true"/>
        </w:rPr>
        <w:t xml:space="preserve">: </w:t>
      </w:r>
      <w:r>
        <w:rPr>
          <w:rtl w:val="true"/>
        </w:rPr>
        <w:t>حکم تقدّم الصبیّة علی الصبیّ فی الصلاة</w:t>
      </w:r>
      <w:bookmarkEnd w:id="770"/>
    </w:p>
    <w:p>
      <w:pPr>
        <w:pStyle w:val="BookText"/>
        <w:rPr/>
      </w:pPr>
      <w:r>
        <w:rPr>
          <w:rFonts w:ascii="IRNazanin" w:hAnsi="IRNazanin" w:eastAsia="IRNazanin"/>
          <w:color w:val="111111"/>
          <w:sz w:val="28"/>
          <w:sz w:val="28"/>
          <w:szCs w:val="28"/>
          <w:rtl w:val="true"/>
          <w:lang w:bidi="fa-IR"/>
        </w:rPr>
        <w:t>ذکروا فی شرائط المصلّی أنّه إذا صلّت المرأة و الرجل فی مکان واحد، بحیث تکون المرأة مقدّمة علی الرجل أو مساویة له؟ ففی بطلان صلاتها أو عدم بطلانها مع الکراهة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المنع إلی أکثر المتقدّمین</w:t>
      </w:r>
      <w:r>
        <w:rPr>
          <w:rStyle w:val="FootnoteAnchor"/>
          <w:rtl w:val="true"/>
        </w:rPr>
        <w:footnoteReference w:id="2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للرجل الصلاة إذا کان إلی جنبه أو بین یدیه امرأة 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صلّی و صلّت هی عن یمینه أو شماله أو قدّامه بطلت صلاتهما معاً</w:t>
      </w:r>
      <w:r>
        <w:rPr>
          <w:rFonts w:eastAsia="IRNazanin" w:cs="IRNazanin"/>
          <w:color w:val="111111"/>
          <w:sz w:val="28"/>
          <w:szCs w:val="28"/>
          <w:rtl w:val="true"/>
          <w:lang w:bidi="fa-IR"/>
        </w:rPr>
        <w:t>»</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المبسوط‌</w:t>
      </w:r>
      <w:r>
        <w:rPr>
          <w:rStyle w:val="FootnoteAnchor"/>
          <w:rtl w:val="true"/>
        </w:rPr>
        <w:footnoteReference w:id="2623"/>
      </w:r>
      <w:r>
        <w:rPr>
          <w:rFonts w:ascii="Amiri" w:hAnsi="Amiri" w:eastAsia="Amiri" w:cs="Amiri"/>
          <w:color w:val="111111"/>
          <w:sz w:val="28"/>
          <w:sz w:val="28"/>
          <w:szCs w:val="28"/>
          <w:rtl w:val="true"/>
          <w:lang w:bidi="ar-SA"/>
        </w:rPr>
        <w:t>و المقنعة</w:t>
      </w:r>
      <w:r>
        <w:rPr>
          <w:rStyle w:val="FootnoteAnchor"/>
          <w:rtl w:val="true"/>
        </w:rPr>
        <w:footnoteReference w:id="2624"/>
      </w:r>
      <w:r>
        <w:rPr>
          <w:rFonts w:ascii="IRNazanin" w:hAnsi="IRNazanin" w:eastAsia="IRNazanin"/>
          <w:color w:val="111111"/>
          <w:sz w:val="28"/>
          <w:sz w:val="28"/>
          <w:szCs w:val="28"/>
          <w:rtl w:val="true"/>
          <w:lang w:bidi="fa-IR"/>
        </w:rPr>
        <w:t>و الوسیلة</w:t>
      </w:r>
      <w:r>
        <w:rPr>
          <w:rStyle w:val="FootnoteAnchor"/>
          <w:rtl w:val="true"/>
        </w:rPr>
        <w:footnoteReference w:id="2625"/>
      </w:r>
      <w:r>
        <w:rPr>
          <w:rFonts w:ascii="IRNazanin" w:hAnsi="IRNazanin" w:eastAsia="IRNazanin"/>
          <w:color w:val="111111"/>
          <w:sz w:val="28"/>
          <w:sz w:val="28"/>
          <w:szCs w:val="28"/>
          <w:rtl w:val="true"/>
          <w:lang w:bidi="fa-IR"/>
        </w:rPr>
        <w:t>، و ادّعی علیه الإجماع فی الخلاف</w:t>
      </w:r>
      <w:r>
        <w:rPr>
          <w:rStyle w:val="FootnoteAnchor"/>
          <w:rtl w:val="true"/>
        </w:rPr>
        <w:footnoteReference w:id="2626"/>
      </w:r>
      <w:r>
        <w:rPr>
          <w:rFonts w:ascii="IRNazanin" w:hAnsi="IRNazanin" w:eastAsia="IRNazanin"/>
          <w:color w:val="111111"/>
          <w:sz w:val="28"/>
          <w:sz w:val="28"/>
          <w:szCs w:val="28"/>
          <w:rtl w:val="true"/>
          <w:lang w:bidi="fa-IR"/>
        </w:rPr>
        <w:t>و الغنیة</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المشهور بین عامّة المتأخّرین</w:t>
      </w:r>
      <w:r>
        <w:rPr>
          <w:rStyle w:val="FootnoteAnchor"/>
          <w:rtl w:val="true"/>
        </w:rPr>
        <w:footnoteReference w:id="2628"/>
      </w:r>
      <w:r>
        <w:rPr>
          <w:rFonts w:ascii="IRNazanin" w:hAnsi="IRNazanin" w:eastAsia="IRNazanin"/>
          <w:color w:val="111111"/>
          <w:sz w:val="28"/>
          <w:sz w:val="28"/>
          <w:szCs w:val="28"/>
          <w:rtl w:val="true"/>
          <w:lang w:bidi="fa-IR"/>
        </w:rPr>
        <w:t>الجواز مع الکراهة، إلّا مع الحائل أو البعد عشرة أذرع بذراع الید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مدارک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قولان، أظهرهما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علی کراهة و هو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المتأخّرین</w:t>
      </w:r>
      <w:r>
        <w:rPr>
          <w:rFonts w:eastAsia="IRNazanin" w:cs="IRNazanin"/>
          <w:color w:val="111111"/>
          <w:sz w:val="28"/>
          <w:szCs w:val="28"/>
          <w:rtl w:val="true"/>
          <w:lang w:bidi="fa-IR"/>
        </w:rPr>
        <w:t>»</w:t>
      </w:r>
      <w:r>
        <w:rPr>
          <w:rStyle w:val="FootnoteAnchor"/>
          <w:rtl w:val="true"/>
        </w:rPr>
        <w:footnoteReference w:id="2629"/>
      </w:r>
      <w:r>
        <w:rPr>
          <w:rFonts w:ascii="IRNazanin" w:hAnsi="IRNazanin" w:eastAsia="IRNazanin"/>
          <w:color w:val="111111"/>
          <w:sz w:val="28"/>
          <w:sz w:val="28"/>
          <w:szCs w:val="28"/>
          <w:rtl w:val="true"/>
          <w:lang w:bidi="fa-IR"/>
        </w:rPr>
        <w:t>، و کذا فی جامع المقاصد</w:t>
      </w:r>
      <w:r>
        <w:rPr>
          <w:rStyle w:val="FootnoteAnchor"/>
          <w:rtl w:val="true"/>
        </w:rPr>
        <w:footnoteReference w:id="2630"/>
      </w:r>
    </w:p>
    <w:p>
      <w:pPr>
        <w:pStyle w:val="BookText"/>
        <w:rPr/>
      </w:pPr>
      <w:r>
        <w:rPr>
          <w:rFonts w:ascii="IRNazanin" w:hAnsi="IRNazanin" w:eastAsia="IRNazanin"/>
          <w:color w:val="111111"/>
          <w:sz w:val="28"/>
          <w:sz w:val="28"/>
          <w:szCs w:val="28"/>
          <w:rtl w:val="true"/>
          <w:lang w:bidi="fa-IR"/>
        </w:rPr>
        <w:t>و غیرهما</w:t>
      </w:r>
      <w:r>
        <w:rPr>
          <w:rStyle w:val="FootnoteAnchor"/>
          <w:rtl w:val="true"/>
        </w:rPr>
        <w:footnoteReference w:id="2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یختصّ هذا الحکم منعاً و جوازاً بالبالغین أو یعمّ غیر البالغین أیضاً؟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الصبیّ مع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فی روض الجنان عن بعض حواشی الشهید رحمه الله علی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الصبیّ و البالغ یقرب حکمهما من الرجل و المرأة، و عنی بالبالغ المرأة</w:t>
      </w:r>
      <w:r>
        <w:rPr>
          <w:rFonts w:eastAsia="IRNazanin" w:cs="IRNazanin"/>
          <w:color w:val="111111"/>
          <w:sz w:val="28"/>
          <w:szCs w:val="28"/>
          <w:rtl w:val="true"/>
          <w:lang w:bidi="fa-IR"/>
        </w:rPr>
        <w:t>»</w:t>
      </w:r>
      <w:r>
        <w:rPr>
          <w:rStyle w:val="FootnoteAnchor"/>
          <w:rtl w:val="true"/>
        </w:rPr>
        <w:footnoteReference w:id="2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العبارة المنقولة عن الشهید تارةً کما فی روض الجنان، و حکاها عنه فی الحدائق</w:t>
      </w:r>
      <w:r>
        <w:rPr>
          <w:rStyle w:val="FootnoteAnchor"/>
          <w:rtl w:val="true"/>
        </w:rPr>
        <w:footnoteReference w:id="2633"/>
      </w:r>
      <w:r>
        <w:rPr>
          <w:rFonts w:ascii="IRNazanin" w:hAnsi="IRNazanin" w:eastAsia="IRNazanin"/>
          <w:color w:val="111111"/>
          <w:sz w:val="28"/>
          <w:sz w:val="28"/>
          <w:szCs w:val="28"/>
          <w:rtl w:val="true"/>
          <w:lang w:bidi="fa-IR"/>
        </w:rPr>
        <w:t>أیضاً، و اخری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و المرأة الغیر البالغ یقرب حکمهما من الرجل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مفتاح الکرامة</w:t>
      </w:r>
      <w:r>
        <w:rPr>
          <w:rStyle w:val="FootnoteAnchor"/>
          <w:rtl w:val="true"/>
        </w:rPr>
        <w:footnoteReference w:id="2634"/>
      </w:r>
      <w:r>
        <w:rPr>
          <w:rFonts w:ascii="IRNazanin" w:hAnsi="IRNazanin" w:eastAsia="IRNazanin"/>
          <w:color w:val="111111"/>
          <w:sz w:val="28"/>
          <w:sz w:val="28"/>
          <w:szCs w:val="28"/>
          <w:rtl w:val="true"/>
          <w:lang w:bidi="fa-IR"/>
        </w:rPr>
        <w:t>، و 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و الصبیّة یقرب حکمهما من الرجل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الجواهر</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الاختلاف فی النقل قرینة علی أنّ العبارة نقلت بالمعنی، و الأصحّ ما فی مفتاح الکرامة و الجواهر؛ لأنّ الظاهر من کلامه قدس سره أنّه بصدد عطف غیر البالغ من الرجل و المرأة علی البالغ منهما، و نسبه فی کشف اللثام إلی القیل</w:t>
      </w:r>
      <w:r>
        <w:rPr>
          <w:rStyle w:val="FootnoteAnchor"/>
          <w:rtl w:val="true"/>
        </w:rPr>
        <w:footnoteReference w:id="2636"/>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الحکم المذکور کراهة أو حرمة بین المحارم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کونهما بالغین أو غیر بالغین أو مختلفین بناءً علی المختار من صحّة</w:t>
      </w:r>
    </w:p>
    <w:p>
      <w:pPr>
        <w:pStyle w:val="BookText"/>
        <w:rPr/>
      </w:pPr>
      <w:r>
        <w:rPr>
          <w:rFonts w:ascii="Amiri" w:hAnsi="Amiri" w:eastAsia="Amiri" w:cs="Amiri"/>
          <w:color w:val="111111"/>
          <w:sz w:val="28"/>
          <w:sz w:val="28"/>
          <w:szCs w:val="28"/>
          <w:rtl w:val="true"/>
          <w:lang w:bidi="ar-SA"/>
        </w:rPr>
        <w:t>عبادات الصبیّ و الصبیّة</w:t>
      </w:r>
      <w:r>
        <w:rPr>
          <w:rFonts w:eastAsia="Amiri" w:cs="Amiri" w:ascii="Amiri" w:hAnsi="Amiri"/>
          <w:color w:val="111111"/>
          <w:sz w:val="28"/>
          <w:szCs w:val="28"/>
          <w:rtl w:val="true"/>
          <w:lang w:bidi="ar-SA"/>
        </w:rPr>
        <w:t>»</w:t>
      </w:r>
      <w:r>
        <w:rPr>
          <w:rStyle w:val="FootnoteAnchor"/>
          <w:rtl w:val="true"/>
        </w:rPr>
        <w:footnoteReference w:id="2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فی تحریر الوسیلة</w:t>
      </w:r>
      <w:r>
        <w:rPr>
          <w:rStyle w:val="FootnoteAnchor"/>
          <w:rtl w:val="true"/>
        </w:rPr>
        <w:footnoteReference w:id="2638"/>
      </w:r>
      <w:r>
        <w:rPr>
          <w:rFonts w:ascii="IRNazanin" w:hAnsi="IRNazanin" w:eastAsia="IRNazanin"/>
          <w:color w:val="111111"/>
          <w:sz w:val="28"/>
          <w:sz w:val="28"/>
          <w:szCs w:val="28"/>
          <w:rtl w:val="true"/>
          <w:lang w:bidi="fa-IR"/>
        </w:rPr>
        <w:t>و تفصیل الشریعة</w:t>
      </w:r>
      <w:r>
        <w:rPr>
          <w:rStyle w:val="FootnoteAnchor"/>
          <w:rtl w:val="true"/>
        </w:rPr>
        <w:footnoteReference w:id="2639"/>
      </w:r>
    </w:p>
    <w:p>
      <w:pPr>
        <w:pStyle w:val="BookText"/>
        <w:rPr/>
      </w:pPr>
      <w:r>
        <w:rPr>
          <w:rFonts w:ascii="Amiri" w:hAnsi="Amiri" w:eastAsia="Amiri" w:cs="Amiri"/>
          <w:color w:val="111111"/>
          <w:sz w:val="28"/>
          <w:sz w:val="28"/>
          <w:szCs w:val="28"/>
          <w:rtl w:val="true"/>
          <w:lang w:bidi="ar-SA"/>
        </w:rPr>
        <w:t>و المهذّب</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یستند لإثبات هذا القول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القیود للصلاة أو للمصلّی باعتبار الصلاة، فتشمل کلّ ما تکون صلاة شرعاً، و ذکر الرجل و المرأة من باب الغالب و المثال، لا لموضوعیّة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ذلک ما ورد فی صحیحة محمّد بن مسلم عن أحدهما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الرجل یصلّی فی زاویة الحجرة و امرأته أو ابنته تصلّی بحذاه فی الزاویة الاُخری،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ذلک، فإن کان بینهما شبر أجزأه</w:t>
      </w:r>
      <w:r>
        <w:rPr>
          <w:rFonts w:eastAsia="IRNazanin" w:cs="IRNazanin"/>
          <w:color w:val="111111"/>
          <w:sz w:val="28"/>
          <w:szCs w:val="28"/>
          <w:rtl w:val="true"/>
          <w:lang w:bidi="fa-IR"/>
        </w:rPr>
        <w:t>»</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الرجل متقدّماً للمرأة بشبرٍ</w:t>
      </w:r>
      <w:r>
        <w:rPr>
          <w:rFonts w:eastAsia="IRNazanin" w:cs="IRNazanin"/>
          <w:color w:val="111111"/>
          <w:sz w:val="28"/>
          <w:szCs w:val="28"/>
          <w:rtl w:val="true"/>
          <w:lang w:bidi="fa-IR"/>
        </w:rPr>
        <w:t>»</w:t>
      </w:r>
      <w:r>
        <w:rPr>
          <w:rStyle w:val="FootnoteAnchor"/>
          <w:rtl w:val="true"/>
        </w:rPr>
        <w:footnoteReference w:id="2642"/>
      </w:r>
      <w:r>
        <w:rPr>
          <w:rFonts w:ascii="IRNazanin" w:hAnsi="IRNazanin" w:eastAsia="IRNazanin"/>
          <w:color w:val="111111"/>
          <w:sz w:val="28"/>
          <w:sz w:val="28"/>
          <w:szCs w:val="28"/>
          <w:rtl w:val="true"/>
          <w:lang w:bidi="fa-IR"/>
        </w:rPr>
        <w:t xml:space="preserve">، و مثله صحیحة الحلبی عن أبی عبد اللّه علیه السلام، إلّا أنّ فی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بینهما ستر، فإن کان بینهما ستر أجزأه</w:t>
      </w:r>
      <w:r>
        <w:rPr>
          <w:rFonts w:eastAsia="IRNazanin" w:cs="IRNazanin"/>
          <w:color w:val="111111"/>
          <w:sz w:val="28"/>
          <w:szCs w:val="28"/>
          <w:rtl w:val="true"/>
          <w:lang w:bidi="fa-IR"/>
        </w:rPr>
        <w:t>»</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الابنة فی السؤال و الجواب فی الصحیحة و روایة الحلبیّ مطلقة؛ تشمل الکبیرة و الصغیرة، و لا یمکن حملها علی البالغة</w:t>
      </w:r>
      <w:r>
        <w:rPr>
          <w:rStyle w:val="FootnoteAnchor"/>
          <w:rtl w:val="true"/>
        </w:rPr>
        <w:footnoteReference w:id="2644"/>
      </w:r>
      <w:r>
        <w:rPr>
          <w:rFonts w:ascii="IRNazanin" w:hAnsi="IRNazanin" w:eastAsia="IRNazanin"/>
          <w:color w:val="111111"/>
          <w:sz w:val="28"/>
          <w:sz w:val="28"/>
          <w:szCs w:val="28"/>
          <w:rtl w:val="true"/>
          <w:lang w:bidi="fa-IR"/>
        </w:rPr>
        <w:t>، فلا تکون مختصّة بها</w:t>
      </w:r>
      <w:r>
        <w:rPr>
          <w:rStyle w:val="FootnoteAnchor"/>
          <w:rtl w:val="true"/>
        </w:rPr>
        <w:footnoteReference w:id="264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فی کتب اللغة من إطلاق الرجل علی غیر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بالضمّ معروف، و إنّما هو لمن شبّ و احتلم، أو هو رجل ساعة یولد</w:t>
      </w:r>
      <w:r>
        <w:rPr>
          <w:rStyle w:val="FootnoteAnchor"/>
          <w:rtl w:val="true"/>
        </w:rPr>
        <w:footnoteReference w:id="2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الذکر من الأناسی</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خلاف المرأة</w:t>
      </w:r>
      <w:r>
        <w:rPr>
          <w:rFonts w:eastAsia="IRNazanin" w:cs="IRNazanin"/>
          <w:color w:val="111111"/>
          <w:sz w:val="28"/>
          <w:szCs w:val="28"/>
          <w:rtl w:val="true"/>
          <w:lang w:bidi="fa-IR"/>
        </w:rPr>
        <w:t>»</w:t>
      </w:r>
      <w:r>
        <w:rPr>
          <w:rStyle w:val="FootnoteAnchor"/>
          <w:rtl w:val="true"/>
        </w:rPr>
        <w:footnoteReference w:id="2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معروفٌ، الذکر من نوع الإنسان خلاف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رجلٌ ساعة تلده امّه إلی ما بعد ذلک</w:t>
      </w:r>
      <w:r>
        <w:rPr>
          <w:rStyle w:val="FootnoteAnchor"/>
          <w:rtl w:val="true"/>
        </w:rPr>
        <w:footnoteReference w:id="2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هو الجنین ما دام فی بطن امّه، فإن انفصل ذکراً فصبیٌّ، و یسمّی رجلاً کما فی آیة المواریث</w:t>
      </w:r>
      <w:r>
        <w:rPr>
          <w:rStyle w:val="FootnoteAnchor"/>
          <w:rtl w:val="true"/>
        </w:rPr>
        <w:footnoteReference w:id="2650"/>
      </w:r>
      <w:r>
        <w:rPr>
          <w:rFonts w:ascii="IRNazanin" w:hAnsi="IRNazanin" w:eastAsia="IRNazanin"/>
          <w:color w:val="111111"/>
          <w:sz w:val="28"/>
          <w:sz w:val="28"/>
          <w:szCs w:val="28"/>
          <w:rtl w:val="true"/>
          <w:lang w:bidi="fa-IR"/>
        </w:rPr>
        <w:t>،</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52"/>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یمکن أن یدّعی أنّ الأخبار التی وردت فی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صحاح و موثّقات</w:t>
      </w:r>
      <w:r>
        <w:rPr>
          <w:rStyle w:val="FootnoteAnchor"/>
          <w:rtl w:val="true"/>
        </w:rPr>
        <w:footnoteReference w:id="2653"/>
      </w:r>
      <w:r>
        <w:rPr>
          <w:rFonts w:ascii="IRNazanin" w:hAnsi="IRNazanin" w:eastAsia="IRNazanin"/>
          <w:color w:val="111111"/>
          <w:sz w:val="28"/>
          <w:sz w:val="28"/>
          <w:szCs w:val="28"/>
          <w:rtl w:val="true"/>
          <w:lang w:bidi="fa-IR"/>
        </w:rPr>
        <w:t xml:space="preserve">، و تشتمل علی لفظ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الصبیّ أیضاً، و یثبت الحکم فی الصبیّة بعدم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المستفاد من إطلاق العرف العامّ و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عرفهم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البالغ خاصّة، و متی ارید غیره عبّر بلفظ الصبیّ و نحوه، و اللّه العالم</w:t>
      </w:r>
      <w:r>
        <w:rPr>
          <w:rFonts w:eastAsia="IRNazanin" w:cs="IRNazanin"/>
          <w:color w:val="111111"/>
          <w:sz w:val="28"/>
          <w:szCs w:val="28"/>
          <w:rtl w:val="true"/>
          <w:lang w:bidi="fa-IR"/>
        </w:rPr>
        <w:t>»</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ما 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خلاف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کتب کثیر من المحقّقین تقییده بالبالغ، و هو أقرب، و یؤیّده العرف</w:t>
      </w:r>
      <w:r>
        <w:rPr>
          <w:rFonts w:eastAsia="IRNazanin" w:cs="IRNazanin"/>
          <w:color w:val="111111"/>
          <w:sz w:val="28"/>
          <w:szCs w:val="28"/>
          <w:rtl w:val="true"/>
          <w:lang w:bidi="fa-IR"/>
        </w:rPr>
        <w:t>»</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الکثیرة الواردة فی أبواب متعدّدة، کلّها تشتمل علی لفظ الرجل و المرأة، و الأصل فی العناوین التی اخذت فی الأدلّة أن تکون موضوعة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لفظة الابنة فی الصحیحتین فلا إطلاق لها حتّی یشمل الصبیّة؛ لأنّ الإطلاق لو کان مستفاداً من اللفظ نحتاج إلی إعمال مقدّمات الحکمة، و منها انتفاء القدر المتیقّن فی مقام التخاطب، و المراد من القدر المتیقّن فی مقام التخاطب هو ثبوت القدر المتیقّن بحسب دلالة اللفظ و ظهوره</w:t>
      </w:r>
      <w:r>
        <w:rPr>
          <w:rStyle w:val="FootnoteAnchor"/>
          <w:rtl w:val="true"/>
        </w:rPr>
        <w:footnoteReference w:id="2656"/>
      </w:r>
      <w:r>
        <w:rPr>
          <w:rFonts w:ascii="IRNazanin" w:hAnsi="IRNazanin" w:eastAsia="IRNazanin"/>
          <w:color w:val="111111"/>
          <w:sz w:val="28"/>
          <w:sz w:val="28"/>
          <w:szCs w:val="28"/>
          <w:rtl w:val="true"/>
          <w:lang w:bidi="fa-IR"/>
        </w:rPr>
        <w:t>، و القدر المتیقّن من لفظة الابنة فی الروایة هو الابنة البالغة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المتعلِّقة بغیر البالغین تفهم ممّا ثبت فی حقّ البالغین، و أنّ الطبیعة هی تلک الطبیعة ما لم ینهض دلیل علی الخلاف، إذن فکلّ ما یعتبر فی صلاة البالغین من الأجزاء و الشرائط و الموانع التی منها قادحیّة المحاذاة بین الرجل و المرأة فی الموقف معتبر فی الصلاة المطلوبة استحباباً من غیر البالغین</w:t>
      </w:r>
    </w:p>
    <w:p>
      <w:pPr>
        <w:pStyle w:val="BookText"/>
        <w:rPr/>
      </w:pPr>
      <w:r>
        <w:rPr>
          <w:rFonts w:ascii="IRNazanin" w:hAnsi="IRNazanin" w:eastAsia="IRNazanin"/>
          <w:color w:val="111111"/>
          <w:sz w:val="28"/>
          <w:sz w:val="28"/>
          <w:szCs w:val="28"/>
          <w:rtl w:val="true"/>
          <w:lang w:bidi="fa-IR"/>
        </w:rPr>
        <w:t>بمقتضی الإطلاق المقامی</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 عدّة من الأعلام</w:t>
      </w:r>
      <w:r>
        <w:rPr>
          <w:rStyle w:val="FootnoteAnchor"/>
          <w:rtl w:val="true"/>
        </w:rPr>
        <w:footnoteReference w:id="2658"/>
      </w:r>
      <w:r>
        <w:rPr>
          <w:rFonts w:ascii="IRNazanin" w:hAnsi="IRNazanin" w:eastAsia="IRNazanin"/>
          <w:color w:val="111111"/>
          <w:sz w:val="28"/>
          <w:sz w:val="28"/>
          <w:szCs w:val="28"/>
          <w:rtl w:val="true"/>
          <w:lang w:bidi="fa-IR"/>
        </w:rPr>
        <w:t>عن التمسّک بالإطلاق المقامی، بأنّه إنّما یقتضی إلحاق الصبیّ بالرجل فی قدح محاذاته للمرأة فی صلاته، و إلحاق الصبیّة بالمرأة فی قدح محاذاتها للرجل فی صلاتها، و معنی ذلک أنّ صلاة الرجل کما أنّها تبطل بمحاذاتها لصلاة المرأة أو تقدَّم المرأة علیه فی الصلاة، فکذلک تبطل صلاة الصبیّ بمحاذاتها لصلاة المرأة، و کذا الصبیّة بمحاذاة صلاة الرجل، فإنّ هذا هو مقتضی الإطلاق المقامی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صلاة الرجل بمحاذاة صلاة الصبیّة أو صلاة المرأة بمحاذاة صلاة الصبیّ، أو کلّ من الصبیّ و الصبیّة بمحاذاة الآخر فلا یکاد یقتضیه الإطلاق المقامی؛ ضرورة أنّ مانعیّة محاذاة الصبیّ و الصبیّة لصلاة البالغ غیر ثابتة، فإنّها عین الدعوی و أوّل الکلام، فکیف یتعدّی إلی غیر البالغ، و یحکم بثبوتها لصلاة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اعتبر الشرط أو المانع لطبیعة الصلاة فیمکن أن تثبت لغیر البالغین بدلیل الاشتراک و الإطلاق، أمّا إذا تعلّق الحکم بعنوان خاصّ کالرجل أو المرأة فی مانعیّة المحاذاة فلا تثبت فی حقّ غیرهما، و لا أقلّ من الشکّ فی ذلک، فتجری البراءة</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هو القول الثانی فی المسألة الذی ذهب إلیه مشهور الفقهاء</w:t>
      </w:r>
    </w:p>
    <w:p>
      <w:pPr>
        <w:pStyle w:val="BookText"/>
        <w:rPr/>
      </w:pPr>
      <w:r>
        <w:rPr>
          <w:rFonts w:ascii="IRNazanin" w:hAnsi="IRNazanin" w:eastAsia="IRNazanin"/>
          <w:color w:val="111111"/>
          <w:sz w:val="28"/>
          <w:sz w:val="28"/>
          <w:szCs w:val="28"/>
          <w:rtl w:val="true"/>
          <w:lang w:bidi="fa-IR"/>
        </w:rPr>
        <w:t>من اختصاص الحکم منعاً و جوازاً بالبالغین، و صحّة صلاة الصبیّ أو الصبیّة و لو قام أحدهما محاذیاً للآخر، أو قامت الصبیّة محاذیة للرجل، أو قام الصبیّ محاذیاً للمرأة، و کذا صحّة صلاة الرجل و المرأة و لو قام الرجل محاذیاً للصبیّة أو قامت المرأة محاذیة للصبیّ؛ لعدم ثبوت مانعیّة المحاذاة فی حقّ غیر 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کان، فالعمل علی المشهور من اختصاص الحکم بالمکلّفین؛ لعدم الدلیل الدالّ علی الإلحاق</w:t>
      </w:r>
      <w:r>
        <w:rPr>
          <w:rFonts w:eastAsia="IRNazanin" w:cs="IRNazanin"/>
          <w:color w:val="111111"/>
          <w:sz w:val="28"/>
          <w:szCs w:val="28"/>
          <w:rtl w:val="true"/>
          <w:lang w:bidi="fa-IR"/>
        </w:rPr>
        <w:t>»</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الحدائق</w:t>
      </w:r>
      <w:r>
        <w:rPr>
          <w:rStyle w:val="FootnoteAnchor"/>
          <w:rtl w:val="true"/>
        </w:rPr>
        <w:footnoteReference w:id="2660"/>
      </w:r>
      <w:r>
        <w:rPr>
          <w:rFonts w:ascii="IRNazanin" w:hAnsi="IRNazanin" w:eastAsia="IRNazanin"/>
          <w:color w:val="111111"/>
          <w:sz w:val="28"/>
          <w:sz w:val="28"/>
          <w:szCs w:val="28"/>
          <w:rtl w:val="true"/>
          <w:lang w:bidi="fa-IR"/>
        </w:rPr>
        <w:t>، و هو الظاهر من مفتاح الکرامة</w:t>
      </w:r>
      <w:r>
        <w:rPr>
          <w:rStyle w:val="FootnoteAnchor"/>
          <w:rtl w:val="true"/>
        </w:rPr>
        <w:footnoteReference w:id="2661"/>
      </w:r>
      <w:r>
        <w:rPr>
          <w:rFonts w:ascii="IRNazanin" w:hAnsi="IRNazanin" w:eastAsia="IRNazanin"/>
          <w:color w:val="111111"/>
          <w:sz w:val="28"/>
          <w:sz w:val="28"/>
          <w:szCs w:val="28"/>
          <w:rtl w:val="true"/>
          <w:lang w:bidi="fa-IR"/>
        </w:rPr>
        <w:t>و الجواهر</w:t>
      </w:r>
      <w:r>
        <w:rPr>
          <w:rStyle w:val="FootnoteAnchor"/>
          <w:rtl w:val="true"/>
        </w:rPr>
        <w:footnoteReference w:id="2662"/>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اختاره المحقّق النائینی،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أخبار الباب اختصاص الحکم بالرجل و المرأة، و لا یعمّ الصبیّ و الصبیّة و إن قلنا بشرعیّة عبادتهما، من غیر فرق بین تقدّم الصبیّة علی الصبیّ أو علی الرجل، أو تقدّم الصبیّ علی المرأة</w:t>
      </w:r>
      <w:r>
        <w:rPr>
          <w:rFonts w:eastAsia="IRNazanin" w:cs="IRNazanin"/>
          <w:color w:val="111111"/>
          <w:sz w:val="28"/>
          <w:szCs w:val="28"/>
          <w:rtl w:val="true"/>
          <w:lang w:bidi="fa-IR"/>
        </w:rPr>
        <w:t>»</w:t>
      </w:r>
      <w:r>
        <w:rPr>
          <w:rStyle w:val="FootnoteAnchor"/>
          <w:rtl w:val="true"/>
        </w:rPr>
        <w:footnoteReference w:id="2663"/>
      </w:r>
      <w:r>
        <w:rPr>
          <w:rFonts w:ascii="IRNazanin" w:hAnsi="IRNazanin" w:eastAsia="IRNazanin"/>
          <w:color w:val="111111"/>
          <w:sz w:val="28"/>
          <w:sz w:val="28"/>
          <w:szCs w:val="28"/>
          <w:rtl w:val="true"/>
          <w:lang w:bidi="fa-IR"/>
        </w:rPr>
        <w:t>، و کذا فی المستمسک</w:t>
      </w:r>
      <w:r>
        <w:rPr>
          <w:rStyle w:val="FootnoteAnchor"/>
          <w:rtl w:val="true"/>
        </w:rPr>
        <w:footnoteReference w:id="2664"/>
      </w:r>
      <w:r>
        <w:rPr>
          <w:rFonts w:ascii="IRNazanin" w:hAnsi="IRNazanin" w:eastAsia="IRNazanin"/>
          <w:color w:val="111111"/>
          <w:sz w:val="28"/>
          <w:sz w:val="28"/>
          <w:szCs w:val="28"/>
          <w:rtl w:val="true"/>
          <w:lang w:bidi="fa-IR"/>
        </w:rPr>
        <w:t>و المستند</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w:t>
      </w:r>
      <w:bookmarkStart w:id="771" w:name="pg11755_255267"/>
    </w:p>
    <w:p>
      <w:pPr>
        <w:pStyle w:val="Heading4"/>
        <w:numPr>
          <w:ilvl w:val="3"/>
          <w:numId w:val="1"/>
        </w:numPr>
        <w:rPr/>
      </w:pPr>
      <w:bookmarkStart w:id="772" w:name="__RefHeading___Toc9587826_73709187"/>
      <w:bookmarkStart w:id="773" w:name="_Toc287"/>
      <w:bookmarkEnd w:id="771"/>
      <w:bookmarkEnd w:id="772"/>
      <w:r>
        <w:rPr>
          <w:rtl w:val="true"/>
        </w:rPr>
        <w:t>المبحث الثانی</w:t>
      </w:r>
      <w:r>
        <w:rPr>
          <w:rtl w:val="true"/>
        </w:rPr>
        <w:t>:</w:t>
      </w:r>
      <w:r>
        <w:rPr>
          <w:rtl w:val="true"/>
        </w:rPr>
        <w:t>أذان الصبیّ و إقامته</w:t>
      </w:r>
      <w:bookmarkEnd w:id="773"/>
    </w:p>
    <w:p>
      <w:pPr>
        <w:pStyle w:val="Heading5"/>
        <w:numPr>
          <w:ilvl w:val="4"/>
          <w:numId w:val="1"/>
        </w:numPr>
        <w:rPr/>
      </w:pPr>
      <w:bookmarkStart w:id="774" w:name="__RefHeading___Toc9587828_73709187"/>
      <w:bookmarkStart w:id="775" w:name="_Toc288"/>
      <w:bookmarkEnd w:id="774"/>
      <w:r>
        <w:rPr>
          <w:rtl w:val="true"/>
        </w:rPr>
        <w:t>المطلب الأوّل</w:t>
      </w:r>
      <w:r>
        <w:rPr>
          <w:rtl w:val="true"/>
        </w:rPr>
        <w:t xml:space="preserve">: </w:t>
      </w:r>
      <w:r>
        <w:rPr>
          <w:rtl w:val="true"/>
        </w:rPr>
        <w:t>أذان الصبیّ‌</w:t>
      </w:r>
      <w:bookmarkEnd w:id="775"/>
    </w:p>
    <w:p>
      <w:pPr>
        <w:pStyle w:val="Heading6"/>
        <w:numPr>
          <w:ilvl w:val="5"/>
          <w:numId w:val="1"/>
        </w:numPr>
        <w:rPr/>
      </w:pPr>
      <w:bookmarkStart w:id="776" w:name="__RefHeading___Toc9587830_73709187"/>
      <w:bookmarkStart w:id="777" w:name="_Toc289"/>
      <w:bookmarkEnd w:id="776"/>
      <w:r>
        <w:rPr>
          <w:rtl w:val="true"/>
        </w:rPr>
        <w:t>اشارة</w:t>
      </w:r>
      <w:bookmarkEnd w:id="777"/>
    </w:p>
    <w:p>
      <w:pPr>
        <w:pStyle w:val="BookText"/>
        <w:rPr/>
      </w:pPr>
      <w:r>
        <w:rPr>
          <w:rFonts w:ascii="IRNazanin" w:hAnsi="IRNazanin" w:eastAsia="IRNazanin"/>
          <w:color w:val="111111"/>
          <w:sz w:val="28"/>
          <w:sz w:val="28"/>
          <w:szCs w:val="28"/>
          <w:rtl w:val="true"/>
          <w:lang w:bidi="fa-IR"/>
        </w:rPr>
        <w:t>الظاهر أنّه لا خلاف بین الفقهاء، بل ثبت الاتّفاق و الإجماع علی أنّه یصحّ أذان الصبیّ الممیّز، و یکتفی به للبالغین، و أمّا غیر الممیّز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للصبیّ أن یؤذّن للرجال و یصحّ ذلک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w:t>
      </w:r>
      <w:r>
        <w:rPr>
          <w:rFonts w:eastAsia="IRNazanin" w:cs="IRNazanin"/>
          <w:color w:val="111111"/>
          <w:sz w:val="28"/>
          <w:szCs w:val="28"/>
          <w:rtl w:val="true"/>
          <w:lang w:bidi="fa-IR"/>
        </w:rPr>
        <w:t>»</w:t>
      </w:r>
      <w:r>
        <w:rPr>
          <w:rStyle w:val="FootnoteAnchor"/>
          <w:rtl w:val="true"/>
        </w:rPr>
        <w:footnoteReference w:id="2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المبسوط‌</w:t>
      </w:r>
      <w:r>
        <w:rPr>
          <w:rStyle w:val="FootnoteAnchor"/>
          <w:rtl w:val="true"/>
        </w:rPr>
        <w:footnoteReference w:id="2667"/>
      </w:r>
      <w:r>
        <w:rPr>
          <w:rFonts w:ascii="IRNazanin" w:hAnsi="IRNazanin" w:eastAsia="IRNazanin"/>
          <w:color w:val="111111"/>
          <w:sz w:val="28"/>
          <w:sz w:val="28"/>
          <w:szCs w:val="28"/>
          <w:rtl w:val="true"/>
          <w:lang w:bidi="fa-IR"/>
        </w:rPr>
        <w:t>و النهایة</w:t>
      </w:r>
      <w:r>
        <w:rPr>
          <w:rStyle w:val="FootnoteAnchor"/>
          <w:rtl w:val="true"/>
        </w:rPr>
        <w:footnoteReference w:id="2668"/>
      </w:r>
      <w:r>
        <w:rPr>
          <w:rFonts w:ascii="IRNazanin" w:hAnsi="IRNazanin" w:eastAsia="IRNazanin"/>
          <w:color w:val="111111"/>
          <w:sz w:val="28"/>
          <w:sz w:val="28"/>
          <w:szCs w:val="28"/>
          <w:rtl w:val="true"/>
          <w:lang w:bidi="fa-IR"/>
        </w:rPr>
        <w:t>و السرائر</w:t>
      </w:r>
      <w:r>
        <w:rPr>
          <w:rStyle w:val="FootnoteAnchor"/>
          <w:rtl w:val="true"/>
        </w:rPr>
        <w:footnoteReference w:id="2669"/>
      </w:r>
      <w:r>
        <w:rPr>
          <w:rFonts w:ascii="IRNazanin" w:hAnsi="IRNazanin" w:eastAsia="IRNazanin"/>
          <w:color w:val="111111"/>
          <w:sz w:val="28"/>
          <w:sz w:val="28"/>
          <w:szCs w:val="28"/>
          <w:rtl w:val="true"/>
          <w:lang w:bidi="fa-IR"/>
        </w:rPr>
        <w:t>و إصباح الشیعة</w:t>
      </w:r>
      <w:r>
        <w:rPr>
          <w:rStyle w:val="FootnoteAnchor"/>
          <w:rtl w:val="true"/>
        </w:rPr>
        <w:footnoteReference w:id="2670"/>
      </w:r>
      <w:r>
        <w:rPr>
          <w:rFonts w:ascii="IRNazanin" w:hAnsi="IRNazanin" w:eastAsia="IRNazanin"/>
          <w:color w:val="111111"/>
          <w:sz w:val="28"/>
          <w:sz w:val="28"/>
          <w:szCs w:val="28"/>
          <w:rtl w:val="true"/>
          <w:lang w:bidi="fa-IR"/>
        </w:rPr>
        <w:t>و الجامع للشرائع</w:t>
      </w:r>
      <w:r>
        <w:rPr>
          <w:rStyle w:val="FootnoteAnchor"/>
          <w:rtl w:val="true"/>
        </w:rPr>
        <w:footnoteReference w:id="2671"/>
      </w:r>
      <w:r>
        <w:rPr>
          <w:rFonts w:ascii="IRNazanin" w:hAnsi="IRNazanin" w:eastAsia="IRNazanin"/>
          <w:color w:val="111111"/>
          <w:sz w:val="28"/>
          <w:sz w:val="28"/>
          <w:szCs w:val="28"/>
          <w:rtl w:val="true"/>
          <w:lang w:bidi="fa-IR"/>
        </w:rPr>
        <w:t>و المختصر</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یعتبر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الإسلام و الذکورة و لا یشترط البلوغ، بل یکفی کونه ممیّزاً</w:t>
      </w:r>
      <w:r>
        <w:rPr>
          <w:rStyle w:val="FootnoteAnchor"/>
          <w:rtl w:val="true"/>
        </w:rPr>
        <w:footnoteReference w:id="2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المعتبر</w:t>
      </w:r>
      <w:r>
        <w:rPr>
          <w:rStyle w:val="FootnoteAnchor"/>
          <w:rtl w:val="true"/>
        </w:rPr>
        <w:footnoteReference w:id="2674"/>
      </w:r>
      <w:r>
        <w:rPr>
          <w:rFonts w:ascii="IRNazanin" w:hAnsi="IRNazanin" w:eastAsia="IRNazanin"/>
          <w:color w:val="111111"/>
          <w:sz w:val="28"/>
          <w:sz w:val="28"/>
          <w:szCs w:val="28"/>
          <w:rtl w:val="true"/>
          <w:lang w:bidi="fa-IR"/>
        </w:rPr>
        <w:t>و الإرشاد</w:t>
      </w:r>
      <w:r>
        <w:rPr>
          <w:rStyle w:val="FootnoteAnchor"/>
          <w:rtl w:val="true"/>
        </w:rPr>
        <w:footnoteReference w:id="2675"/>
      </w:r>
    </w:p>
    <w:p>
      <w:pPr>
        <w:pStyle w:val="BookText"/>
        <w:rPr/>
      </w:pPr>
      <w:r>
        <w:rPr>
          <w:rFonts w:ascii="IRNazanin" w:hAnsi="IRNazanin" w:eastAsia="IRNazanin"/>
          <w:color w:val="111111"/>
          <w:sz w:val="28"/>
          <w:sz w:val="28"/>
          <w:szCs w:val="28"/>
          <w:rtl w:val="true"/>
          <w:lang w:bidi="fa-IR"/>
        </w:rPr>
        <w:t>و التذکرة، و أضاف فی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علمائنا أجمع</w:t>
      </w:r>
      <w:r>
        <w:rPr>
          <w:rFonts w:eastAsia="IRNazanin" w:cs="IRNazanin"/>
          <w:color w:val="111111"/>
          <w:sz w:val="28"/>
          <w:szCs w:val="28"/>
          <w:rtl w:val="true"/>
          <w:lang w:bidi="fa-IR"/>
        </w:rPr>
        <w:t>»</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یکتفی بأذان الممیّز</w:t>
      </w:r>
      <w:r>
        <w:rPr>
          <w:rFonts w:eastAsia="IRNazanin" w:cs="IRNazanin"/>
          <w:color w:val="111111"/>
          <w:sz w:val="28"/>
          <w:szCs w:val="28"/>
          <w:rtl w:val="true"/>
          <w:lang w:bidi="fa-IR"/>
        </w:rPr>
        <w:t>»</w:t>
      </w:r>
      <w:r>
        <w:rPr>
          <w:rStyle w:val="FootnoteAnchor"/>
          <w:rtl w:val="true"/>
        </w:rPr>
        <w:footnoteReference w:id="2677"/>
      </w:r>
      <w:r>
        <w:rPr>
          <w:rFonts w:ascii="IRNazanin" w:hAnsi="IRNazanin" w:eastAsia="IRNazanin"/>
          <w:color w:val="111111"/>
          <w:sz w:val="28"/>
          <w:sz w:val="28"/>
          <w:szCs w:val="28"/>
          <w:rtl w:val="true"/>
          <w:lang w:bidi="fa-IR"/>
        </w:rPr>
        <w:t>، و فی نهایة الإحکام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غیر الممیّز فلا عبرة بأذانه؛ لعدم رشده فأشبه المجنون</w:t>
      </w:r>
      <w:r>
        <w:rPr>
          <w:rFonts w:eastAsia="IRNazanin" w:cs="IRNazanin"/>
          <w:color w:val="111111"/>
          <w:sz w:val="28"/>
          <w:szCs w:val="28"/>
          <w:rtl w:val="true"/>
          <w:lang w:bidi="fa-IR"/>
        </w:rPr>
        <w:t>»</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 هذا فی کشف الرموز</w:t>
      </w:r>
      <w:r>
        <w:rPr>
          <w:rStyle w:val="FootnoteAnchor"/>
          <w:rtl w:val="true"/>
        </w:rPr>
        <w:footnoteReference w:id="2679"/>
      </w:r>
      <w:r>
        <w:rPr>
          <w:rFonts w:ascii="IRNazanin" w:hAnsi="IRNazanin" w:eastAsia="IRNazanin"/>
          <w:color w:val="111111"/>
          <w:sz w:val="28"/>
          <w:sz w:val="28"/>
          <w:szCs w:val="28"/>
          <w:rtl w:val="true"/>
          <w:lang w:bidi="fa-IR"/>
        </w:rPr>
        <w:t>و روض الجنان</w:t>
      </w:r>
      <w:r>
        <w:rPr>
          <w:rStyle w:val="FootnoteAnchor"/>
          <w:rtl w:val="true"/>
        </w:rPr>
        <w:footnoteReference w:id="2680"/>
      </w:r>
      <w:r>
        <w:rPr>
          <w:rFonts w:ascii="Amiri" w:hAnsi="Amiri" w:eastAsia="Amiri" w:cs="Amiri"/>
          <w:color w:val="111111"/>
          <w:sz w:val="28"/>
          <w:sz w:val="28"/>
          <w:szCs w:val="28"/>
          <w:rtl w:val="true"/>
          <w:lang w:bidi="ar-SA"/>
        </w:rPr>
        <w:t>و مجمع الفائدة</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غیر الممیّز؛ لعدم الاعتداد بعبارته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یکتفی بأذان الممیّز إذا کان ذکراً مطلقاً أو انثی للنساء أو محارم الرجال إجماعاً منّا</w:t>
      </w:r>
      <w:r>
        <w:rPr>
          <w:rFonts w:eastAsia="IRNazanin" w:cs="IRNazanin"/>
          <w:color w:val="111111"/>
          <w:sz w:val="28"/>
          <w:szCs w:val="28"/>
          <w:rtl w:val="true"/>
          <w:lang w:bidi="fa-IR"/>
        </w:rPr>
        <w:t>»</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مدارک الأحکام فی شرح قول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یشترط البلوغ، بل یکفی کونه ممیّزاً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لا یشترط فی الاعتداد بالأذان فی الصلاة، و قیام الشعار به فی البلد صدوره من بالغ، بل یکفی کونه ممیّزاً، و هو اتّفاق علمائنا</w:t>
      </w:r>
      <w:r>
        <w:rPr>
          <w:rFonts w:eastAsia="IRNazanin" w:cs="IRNazanin"/>
          <w:color w:val="111111"/>
          <w:sz w:val="28"/>
          <w:szCs w:val="28"/>
          <w:rtl w:val="true"/>
          <w:lang w:bidi="fa-IR"/>
        </w:rPr>
        <w:t>»</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bookmarkStart w:id="778" w:name="pg11755_255271"/>
    </w:p>
    <w:p>
      <w:pPr>
        <w:pStyle w:val="BookText"/>
        <w:rPr/>
      </w:pPr>
      <w:bookmarkEnd w:id="778"/>
      <w:r>
        <w:rPr>
          <w:rFonts w:ascii="Amiri" w:hAnsi="Amiri" w:eastAsia="Amiri" w:cs="Amiri"/>
          <w:color w:val="111111"/>
          <w:sz w:val="28"/>
          <w:sz w:val="28"/>
          <w:szCs w:val="28"/>
          <w:rtl w:val="true"/>
          <w:lang w:bidi="ar-SA"/>
        </w:rPr>
        <w:t>و فی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محصّلاً و منقولاً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غیر الممیّز فلا عبرة بأذانه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لمسلوبیّة عبارته</w:t>
      </w:r>
      <w:r>
        <w:rPr>
          <w:rFonts w:eastAsia="IRNazanin" w:cs="IRNazanin"/>
          <w:color w:val="111111"/>
          <w:sz w:val="28"/>
          <w:szCs w:val="28"/>
          <w:rtl w:val="true"/>
          <w:lang w:bidi="fa-IR"/>
        </w:rPr>
        <w:t>»</w:t>
      </w:r>
      <w:r>
        <w:rPr>
          <w:rStyle w:val="FootnoteAnchor"/>
          <w:rtl w:val="true"/>
        </w:rPr>
        <w:footnoteReference w:id="2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کشف اللثام</w:t>
      </w:r>
      <w:r>
        <w:rPr>
          <w:rStyle w:val="FootnoteAnchor"/>
          <w:rtl w:val="true"/>
        </w:rPr>
        <w:footnoteReference w:id="2685"/>
      </w:r>
      <w:r>
        <w:rPr>
          <w:rFonts w:ascii="IRNazanin" w:hAnsi="IRNazanin" w:eastAsia="IRNazanin"/>
          <w:color w:val="111111"/>
          <w:sz w:val="28"/>
          <w:sz w:val="28"/>
          <w:szCs w:val="28"/>
          <w:rtl w:val="true"/>
          <w:lang w:bidi="fa-IR"/>
        </w:rPr>
        <w:t>و مستند الشیعة</w:t>
      </w:r>
      <w:r>
        <w:rPr>
          <w:rStyle w:val="FootnoteAnchor"/>
          <w:rtl w:val="true"/>
        </w:rPr>
        <w:footnoteReference w:id="2686"/>
      </w:r>
      <w:r>
        <w:rPr>
          <w:rFonts w:ascii="IRNazanin" w:hAnsi="IRNazanin" w:eastAsia="IRNazanin"/>
          <w:color w:val="111111"/>
          <w:sz w:val="28"/>
          <w:sz w:val="28"/>
          <w:szCs w:val="28"/>
          <w:rtl w:val="true"/>
          <w:lang w:bidi="fa-IR"/>
        </w:rPr>
        <w:t>و غیرها</w:t>
      </w:r>
      <w:r>
        <w:rPr>
          <w:rStyle w:val="FootnoteAnchor"/>
          <w:rtl w:val="true"/>
        </w:rPr>
        <w:footnoteReference w:id="2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أیضاً بعض الأعلام من الفقهاء المعاصرین</w:t>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الخوئی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الإشکال فی الاجتزاء بأذان الصبیّ، من غیر فرق بین أذان الإعلام و الإعظام؛ لنصوص دلّت علیه فی خصوص المقام</w:t>
      </w:r>
      <w:r>
        <w:rPr>
          <w:rFonts w:eastAsia="IRNazanin" w:cs="IRNazanin"/>
          <w:color w:val="111111"/>
          <w:sz w:val="28"/>
          <w:szCs w:val="28"/>
          <w:rtl w:val="true"/>
          <w:lang w:bidi="fa-IR"/>
        </w:rPr>
        <w:t>»</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9" w:name="__RefHeading___Toc9587832_73709187"/>
      <w:bookmarkStart w:id="780" w:name="_Toc290"/>
      <w:bookmarkEnd w:id="779"/>
      <w:r>
        <w:rPr>
          <w:rtl w:val="true"/>
        </w:rPr>
        <w:t>أدلّة صحّة أذان الصبیّ الممیّز و جواز الاکتفاء به</w:t>
      </w:r>
      <w:bookmarkEnd w:id="780"/>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الاجتزاء بأذان الصبیّ، کما لو أذّن للإعلام أو لصلاة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الاجتزاء بسماعه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الاُولی فاستندوا لإثبات حکمها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تقدّم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القول بمشروعیّة عبادات الصبیّ تشمله إطلاقات الأدلّة</w:t>
      </w:r>
      <w:r>
        <w:rPr>
          <w:rStyle w:val="FootnoteAnchor"/>
          <w:rtl w:val="true"/>
        </w:rPr>
        <w:footnoteReference w:id="269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الرجل فی بعض الأدلّة من باب المثال لا لإخراج غیر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الانصراف إلی البالغ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حصول التقرّب منه مجرّد دعوی، فالمقتضی للصحّة و الإجزاء موجود، و المانع عنهما مفقود بجمیع احتمالاته، کما فی المهذّب</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و قد عقد لها باباً فی الوسائل،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عبد اللّه بن سنان عن أبی عبد 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یؤذّن الغلام الذی لم یحتلم</w:t>
      </w:r>
      <w:r>
        <w:rPr>
          <w:rFonts w:eastAsia="IRNazanin" w:cs="IRNazanin"/>
          <w:color w:val="111111"/>
          <w:sz w:val="28"/>
          <w:szCs w:val="28"/>
          <w:rtl w:val="true"/>
          <w:lang w:bidi="fa-IR"/>
        </w:rPr>
        <w:t>»</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إطلاقها یشمل الأذانین، أی أذان الإعلام و الأذان للصلاة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طلحة بن زید، عن جعفر، عن أبیه، عن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یؤذّن الغلام الذی لم یحتلم</w:t>
      </w:r>
      <w:r>
        <w:rPr>
          <w:rFonts w:eastAsia="IRNazanin" w:cs="IRNazanin"/>
          <w:color w:val="111111"/>
          <w:sz w:val="28"/>
          <w:szCs w:val="28"/>
          <w:rtl w:val="true"/>
          <w:lang w:bidi="fa-IR"/>
        </w:rPr>
        <w:t>»</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طلحة و إن کان عامّیّاً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ذکره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کتابه معتمد</w:t>
      </w:r>
      <w:r>
        <w:rPr>
          <w:rFonts w:eastAsia="Amiri" w:cs="Amiri" w:ascii="Amiri" w:hAnsi="Amiri"/>
          <w:color w:val="111111"/>
          <w:sz w:val="28"/>
          <w:szCs w:val="28"/>
          <w:rtl w:val="true"/>
          <w:lang w:bidi="ar-SA"/>
        </w:rPr>
        <w:t>»</w:t>
      </w:r>
      <w:r>
        <w:rPr>
          <w:rStyle w:val="FootnoteAnchor"/>
          <w:rtl w:val="true"/>
        </w:rPr>
        <w:footnoteReference w:id="2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الاستثناء أنّ الاعتماد علی الکتاب من أجل وثاقته لا لخصوصیّة فیه کی یختصّ الاعتماد بما یروی عن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غیاث بن إبراهیم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بالغلام الذی لم یبلغ الحلم أن یؤمّ القوم و أن یؤذّن</w:t>
      </w:r>
      <w:r>
        <w:rPr>
          <w:rFonts w:eastAsia="IRNazanin" w:cs="IRNazanin"/>
          <w:color w:val="111111"/>
          <w:sz w:val="28"/>
          <w:szCs w:val="28"/>
          <w:rtl w:val="true"/>
          <w:lang w:bidi="fa-IR"/>
        </w:rPr>
        <w:t>»</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إسحاق بن عمّار عن أبی عبد اللّه علیه السلام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یؤذّن الغلام قبل أن یحتلم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سماعة بن مهران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صدقة الغلام و عتقه، و یؤمّ الناس إذا کان له عشر سنین</w:t>
      </w:r>
      <w:r>
        <w:rPr>
          <w:rFonts w:eastAsia="IRNazanin" w:cs="IRNazanin"/>
          <w:color w:val="111111"/>
          <w:sz w:val="28"/>
          <w:szCs w:val="28"/>
          <w:rtl w:val="true"/>
          <w:lang w:bidi="fa-IR"/>
        </w:rPr>
        <w:t>»</w:t>
      </w:r>
      <w:r>
        <w:rPr>
          <w:rStyle w:val="FootnoteAnchor"/>
          <w:rtl w:val="true"/>
        </w:rPr>
        <w:footnoteReference w:id="2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تدلّ بالإطلاق علی جواز إمامته حتّی للبالغین، فیجوز أذانه أیضاً بطبیعة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التقیید بالعشر من أجل رعایة التمییز؛ إذ لا تمییز قبله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دعائم الإسلام عن جعفر بن محمّد علیهما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یؤذّن العبد و الغلام الذی لم یحتلم</w:t>
      </w:r>
      <w:r>
        <w:rPr>
          <w:rFonts w:eastAsia="IRNazanin" w:cs="IRNazanin"/>
          <w:color w:val="111111"/>
          <w:sz w:val="28"/>
          <w:szCs w:val="28"/>
          <w:rtl w:val="true"/>
          <w:lang w:bidi="fa-IR"/>
        </w:rPr>
        <w:t>»</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الروایات علی جواز أذان الصبیّ و جواز الاکتفاء به للبالغین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إمامته تتعارض مع موثّقة إسحاق بن عمّار و غیرها، و نذکرها فی البحث عن إمامة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إجزاؤه لصلاة نفسه فلا إشکال فیه قطعاً؛ لأنّه کنفس صلاته، و قد أثبتنا کونها شرعیّة</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الصبیّة کالصبیّ، فیصحّ أذانها لصلاتها، و کذا یجزی لصلاة النساء و المحارم من الرجال بلا إشکالٍ ظاهر، و یقتضیه عدم تعرّض الشارع الأقدس لکیفیّة جماعة النساء و ما لها من الأحکام، فإنّ ذلک ظاهر فی اکتفائه فی ذلک ببیانه لأحکام جماعة الرجال، و علیه فکلّ حکم لجماعة الرجال و الصبیّ یتعدّی به إلی جماعة النساء و الصبیّة، فإذا اجتزی فی جماعة الرجال بأذان الصبیّ لا بدّ من البناء علی الاجتزاء فی جماعة النساء بأذان الصبیّة</w:t>
      </w:r>
      <w:r>
        <w:rPr>
          <w:rStyle w:val="FootnoteAnchor"/>
          <w:rtl w:val="true"/>
        </w:rPr>
        <w:footnoteReference w:id="2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الجهة الثانیة و هی الاجتزاء بسماع</w:t>
      </w:r>
      <w:r>
        <w:rPr>
          <w:rStyle w:val="FootnoteAnchor"/>
          <w:rtl w:val="true"/>
        </w:rPr>
        <w:footnoteReference w:id="2699"/>
      </w:r>
      <w:r>
        <w:rPr>
          <w:rFonts w:ascii="IRNazanin" w:hAnsi="IRNazanin" w:eastAsia="IRNazanin"/>
          <w:color w:val="111111"/>
          <w:sz w:val="28"/>
          <w:sz w:val="28"/>
          <w:szCs w:val="28"/>
          <w:rtl w:val="true"/>
          <w:lang w:bidi="fa-IR"/>
        </w:rPr>
        <w:t>أذان الصبیّ أو الصبیّة فالظاهر أنّه لا دلیل علیه؛ لعدم الإطلاق فی أدلّة السماع</w:t>
      </w:r>
      <w:r>
        <w:rPr>
          <w:rStyle w:val="FootnoteAnchor"/>
          <w:rtl w:val="true"/>
        </w:rPr>
        <w:footnoteReference w:id="2700"/>
      </w:r>
      <w:r>
        <w:rPr>
          <w:rFonts w:ascii="IRNazanin" w:hAnsi="IRNazanin" w:eastAsia="IRNazanin"/>
          <w:color w:val="111111"/>
          <w:sz w:val="28"/>
          <w:sz w:val="28"/>
          <w:szCs w:val="28"/>
          <w:rtl w:val="true"/>
          <w:lang w:bidi="fa-IR"/>
        </w:rPr>
        <w:t>، فإنّ عمدتها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مریم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أبو جعفر علیه السلام فی قمیص بلا إزار و لا رداء، و لا أذان و لا 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مررت بجعفر و هو یؤذّن و یقیم، فلم أتکلّم فأجزأنی ذلک</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عمرو بن خالد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معه فسمع إقامة جارٍ له بالصلاة،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فصلّینا معه بغیر أذان و لا إقامة،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یجزیکم أذان جارکم</w:t>
      </w:r>
      <w:r>
        <w:rPr>
          <w:rFonts w:eastAsia="IRNazanin" w:cs="IRNazanin"/>
          <w:color w:val="111111"/>
          <w:sz w:val="28"/>
          <w:szCs w:val="28"/>
          <w:rtl w:val="true"/>
          <w:lang w:bidi="fa-IR"/>
        </w:rPr>
        <w:t>»</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شیء منهما لا إطلاق له حتّی یشمل الصبیّ و الصبیّة؛ لانصرافها إلی الأذان الغالب المتعارف، و هو کون المؤذّن رجلاً لا صبیّاً و لا صبیّة، لندرة أذانهما بحیث ینصرف الذهن عنهما،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قضیّة فی واقعة، فلا إطلاق لها من أصله، کما فی المستند</w:t>
      </w:r>
      <w:r>
        <w:rPr>
          <w:rStyle w:val="FootnoteAnchor"/>
          <w:rtl w:val="true"/>
        </w:rPr>
        <w:footnoteReference w:id="2703"/>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 بثبوت الإطلاق فیهما، 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یجزیکم أذان جارکم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یشمل غیر الجار، سواء کان بالغاً أم لا، و لا خصوصیّة للأذان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علیه ما ذکر قبله بغیر أذان و لا إقامة، و لذا قال بعضهم</w:t>
      </w:r>
      <w:r>
        <w:rPr>
          <w:rFonts w:eastAsia="IRNazanin" w:cs="IRNazanin"/>
          <w:color w:val="111111"/>
          <w:sz w:val="28"/>
          <w:szCs w:val="28"/>
          <w:rtl w:val="true"/>
          <w:lang w:bidi="fa-IR"/>
        </w:rPr>
        <w:t>:</w:t>
      </w:r>
      <w:bookmarkStart w:id="781" w:name="pg11755_255279"/>
    </w:p>
    <w:p>
      <w:pPr>
        <w:pStyle w:val="BookText"/>
        <w:rPr/>
      </w:pPr>
      <w:bookmarkEnd w:id="7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یصلح للدلالة علی الاکتفاء به فی الجماعة یصلح للدلالة علی اجتزاء المنفرد به، بل هو أولی</w:t>
      </w:r>
      <w:r>
        <w:rPr>
          <w:rFonts w:eastAsia="IRNazanin" w:cs="IRNazanin"/>
          <w:color w:val="111111"/>
          <w:sz w:val="28"/>
          <w:szCs w:val="28"/>
          <w:rtl w:val="true"/>
          <w:lang w:bidi="fa-IR"/>
        </w:rPr>
        <w:t>»</w:t>
      </w:r>
      <w:r>
        <w:rPr>
          <w:rStyle w:val="FootnoteAnchor"/>
          <w:rtl w:val="true"/>
        </w:rPr>
        <w:footnoteReference w:id="2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یستفاد الإطلاق من روایة أبی مریم حیث لا خصوصیّة للإمام جعفر بن محمّد علیه السلام؛ لأنّ الملاک سماع الأذان و الإقامة ممّن تصحّ منه و لو کان غیر بالغ، و لعلّه لذلک صرّح بعض الفقهاء بالجواز مطلقاً،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 أذان الممیّز و إقامته إذا سمعه أو حکاه أو فیما لو أتی بهما للجماعة</w:t>
      </w:r>
      <w:r>
        <w:rPr>
          <w:rFonts w:eastAsia="IRNazanin" w:cs="IRNazanin"/>
          <w:color w:val="111111"/>
          <w:sz w:val="28"/>
          <w:szCs w:val="28"/>
          <w:rtl w:val="true"/>
          <w:lang w:bidi="fa-IR"/>
        </w:rPr>
        <w:t>»</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2" w:name="__RefHeading___Toc9587834_73709187"/>
      <w:bookmarkStart w:id="783" w:name="_Toc291"/>
      <w:bookmarkEnd w:id="782"/>
      <w:r>
        <w:rPr>
          <w:rtl w:val="true"/>
        </w:rPr>
        <w:t>أذان الصبیّ عند أهل السنّة</w:t>
      </w:r>
      <w:bookmarkEnd w:id="783"/>
    </w:p>
    <w:p>
      <w:pPr>
        <w:pStyle w:val="BookText"/>
        <w:rPr/>
      </w:pPr>
      <w:r>
        <w:rPr>
          <w:rFonts w:ascii="IRNazanin" w:hAnsi="IRNazanin" w:eastAsia="IRNazanin"/>
          <w:color w:val="111111"/>
          <w:sz w:val="28"/>
          <w:sz w:val="28"/>
          <w:szCs w:val="28"/>
          <w:rtl w:val="true"/>
          <w:lang w:bidi="fa-IR"/>
        </w:rPr>
        <w:t>فی صحّة أذان الصبیّ و الاجتزاء به عندهم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الاجتزاء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الاجتزاء به، و هو قول الجمهور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هل یشترط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و البلوغ للاعتداد به علی روایتین فی الصبیّ، و وجهین فی الفاسق،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ذلک، و لا یعتدّ بأذان صبیّ و لا فاسق؛ لأنّه مشروع للإعلام، و لا یحصل الإعلام بقولهما؛ لأنّهما ممّن لا یقبل خبره و لا روایته؛ و لأنّه 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لیؤذِّن لکم خیارکم</w:t>
      </w:r>
      <w:r>
        <w:rPr>
          <w:rFonts w:eastAsia="IRNazanin" w:cs="IRNazanin"/>
          <w:color w:val="111111"/>
          <w:sz w:val="28"/>
          <w:szCs w:val="28"/>
          <w:rtl w:val="true"/>
          <w:lang w:bidi="fa-IR"/>
        </w:rPr>
        <w:t>»</w:t>
      </w:r>
      <w:r>
        <w:rPr>
          <w:rStyle w:val="FootnoteAnchor"/>
          <w:rtl w:val="true"/>
        </w:rPr>
        <w:footnoteReference w:id="2706"/>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یعتدّ بأذانه، و هو قول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الشافعی و روی ابن المنذر عن عبد اللّه بن أبی بکر بن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عمومتی یأمروننی أن أُؤَذِّن لهم و أنا غلام و لم أحلم، و أنس بن مالک شاهد لم ینکر ذلک، و هذا ممّا یظهر و لا یخفی</w:t>
      </w:r>
    </w:p>
    <w:p>
      <w:pPr>
        <w:pStyle w:val="BookText"/>
        <w:rPr/>
      </w:pPr>
      <w:r>
        <w:rPr>
          <w:rFonts w:ascii="IRNazanin" w:hAnsi="IRNazanin" w:eastAsia="IRNazanin"/>
          <w:color w:val="111111"/>
          <w:sz w:val="28"/>
          <w:sz w:val="28"/>
          <w:szCs w:val="28"/>
          <w:rtl w:val="true"/>
          <w:lang w:bidi="fa-IR"/>
        </w:rPr>
        <w:t>و لم ینکر، فیکون إجماعاً؛ و لأنّه ذکر تصحّ صلاته، فاعتدّ بأذانه کالعدل البالغ</w:t>
      </w:r>
      <w:r>
        <w:rPr>
          <w:rFonts w:eastAsia="IRNazanin" w:cs="IRNazanin"/>
          <w:color w:val="111111"/>
          <w:sz w:val="28"/>
          <w:szCs w:val="28"/>
          <w:rtl w:val="true"/>
          <w:lang w:bidi="fa-IR"/>
        </w:rPr>
        <w:t>»</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الإنصاف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یجزی أذان الممیّز للبالغین؟ علی 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یجزی، و هو المذهب، و علیه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بعض الأصحاب عدم الصحّة بأنّه فرض کفایة، و فعل الصبیّ نفل</w:t>
      </w:r>
      <w:r>
        <w:rPr>
          <w:rFonts w:eastAsia="IRNazanin" w:cs="IRNazanin"/>
          <w:color w:val="111111"/>
          <w:sz w:val="28"/>
          <w:szCs w:val="28"/>
          <w:rtl w:val="true"/>
          <w:lang w:bidi="fa-IR"/>
        </w:rPr>
        <w:t>»</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یصحّ من الصبیّ العاقل؛ لأنّه من أهل العبادات</w:t>
      </w:r>
      <w:r>
        <w:rPr>
          <w:rFonts w:eastAsia="IRNazanin" w:cs="IRNazanin"/>
          <w:color w:val="111111"/>
          <w:sz w:val="28"/>
          <w:szCs w:val="28"/>
          <w:rtl w:val="true"/>
          <w:lang w:bidi="fa-IR"/>
        </w:rPr>
        <w:t>»</w:t>
      </w:r>
      <w:r>
        <w:rPr>
          <w:rStyle w:val="FootnoteAnchor"/>
          <w:rtl w:val="true"/>
        </w:rPr>
        <w:footnoteReference w:id="2709"/>
      </w:r>
      <w:r>
        <w:rPr>
          <w:rFonts w:ascii="IRNazanin" w:hAnsi="IRNazanin" w:eastAsia="IRNazanin"/>
          <w:color w:val="111111"/>
          <w:sz w:val="28"/>
          <w:sz w:val="28"/>
          <w:szCs w:val="28"/>
          <w:rtl w:val="true"/>
          <w:lang w:bidi="fa-IR"/>
        </w:rPr>
        <w:t>، و کذا فی المجموع</w:t>
      </w:r>
      <w:r>
        <w:rPr>
          <w:rStyle w:val="FootnoteAnchor"/>
          <w:rtl w:val="true"/>
        </w:rPr>
        <w:footnoteReference w:id="2710"/>
      </w:r>
      <w:r>
        <w:rPr>
          <w:rFonts w:ascii="IRNazanin" w:hAnsi="IRNazanin" w:eastAsia="IRNazanin"/>
          <w:color w:val="111111"/>
          <w:sz w:val="28"/>
          <w:sz w:val="28"/>
          <w:szCs w:val="28"/>
          <w:rtl w:val="true"/>
          <w:lang w:bidi="fa-IR"/>
        </w:rPr>
        <w:t>و غایة المرام</w:t>
      </w:r>
      <w:r>
        <w:rPr>
          <w:rStyle w:val="FootnoteAnchor"/>
          <w:rtl w:val="true"/>
        </w:rPr>
        <w:footnoteReference w:id="2711"/>
      </w:r>
      <w:r>
        <w:rPr>
          <w:rFonts w:ascii="IRNazanin" w:hAnsi="IRNazanin" w:eastAsia="IRNazanin"/>
          <w:color w:val="111111"/>
          <w:sz w:val="28"/>
          <w:sz w:val="28"/>
          <w:szCs w:val="28"/>
          <w:rtl w:val="true"/>
          <w:lang w:bidi="fa-IR"/>
        </w:rPr>
        <w:t>و المبسوط‌</w:t>
      </w:r>
      <w:r>
        <w:rPr>
          <w:rStyle w:val="FootnoteAnchor"/>
          <w:rtl w:val="true"/>
        </w:rPr>
        <w:footnoteReference w:id="2712"/>
      </w:r>
      <w:r>
        <w:rPr>
          <w:rFonts w:ascii="Amiri" w:hAnsi="Amiri" w:eastAsia="Amiri" w:cs="Amiri"/>
          <w:color w:val="111111"/>
          <w:sz w:val="28"/>
          <w:sz w:val="28"/>
          <w:szCs w:val="28"/>
          <w:rtl w:val="true"/>
          <w:lang w:bidi="ar-SA"/>
        </w:rPr>
        <w:t>و الاُمّ‌</w:t>
      </w:r>
      <w:r>
        <w:rPr>
          <w:rStyle w:val="FootnoteAnchor"/>
          <w:rtl w:val="true"/>
        </w:rPr>
        <w:footnoteReference w:id="2713"/>
      </w:r>
      <w:r>
        <w:rPr>
          <w:rFonts w:ascii="IRNazanin" w:hAnsi="IRNazanin" w:eastAsia="IRNazanin"/>
          <w:color w:val="111111"/>
          <w:sz w:val="28"/>
          <w:sz w:val="28"/>
          <w:szCs w:val="28"/>
          <w:rtl w:val="true"/>
          <w:lang w:bidi="fa-IR"/>
        </w:rPr>
        <w:t>و مغنی المحتاج</w:t>
      </w:r>
      <w:r>
        <w:rPr>
          <w:rStyle w:val="FootnoteAnchor"/>
          <w:rtl w:val="true"/>
        </w:rPr>
        <w:footnoteReference w:id="2714"/>
      </w:r>
    </w:p>
    <w:p>
      <w:pPr>
        <w:pStyle w:val="BookText"/>
        <w:rPr/>
      </w:pPr>
      <w:r>
        <w:rPr>
          <w:rFonts w:ascii="IRNazanin" w:hAnsi="IRNazanin" w:eastAsia="IRNazanin"/>
          <w:color w:val="111111"/>
          <w:sz w:val="28"/>
          <w:sz w:val="28"/>
          <w:szCs w:val="28"/>
          <w:rtl w:val="true"/>
          <w:lang w:bidi="fa-IR"/>
        </w:rPr>
        <w:t>و الذخیرة</w:t>
      </w:r>
      <w:r>
        <w:rPr>
          <w:rStyle w:val="FootnoteAnchor"/>
          <w:rtl w:val="true"/>
        </w:rPr>
        <w:footnoteReference w:id="2715"/>
      </w:r>
      <w:r>
        <w:rPr>
          <w:rFonts w:ascii="IRNazanin" w:hAnsi="IRNazanin" w:eastAsia="IRNazanin"/>
          <w:color w:val="111111"/>
          <w:sz w:val="28"/>
          <w:sz w:val="28"/>
          <w:szCs w:val="28"/>
          <w:rtl w:val="true"/>
          <w:lang w:bidi="fa-IR"/>
        </w:rPr>
        <w:t>و حاشیة ردّ المحتار</w:t>
      </w:r>
      <w:r>
        <w:rPr>
          <w:rStyle w:val="FootnoteAnchor"/>
          <w:rtl w:val="true"/>
        </w:rPr>
        <w:footnoteReference w:id="2716"/>
      </w:r>
      <w:r>
        <w:rPr>
          <w:rFonts w:ascii="IRNazanin" w:hAnsi="IRNazanin" w:eastAsia="IRNazanin"/>
          <w:color w:val="111111"/>
          <w:sz w:val="28"/>
          <w:sz w:val="28"/>
          <w:szCs w:val="28"/>
          <w:rtl w:val="true"/>
          <w:lang w:bidi="fa-IR"/>
        </w:rPr>
        <w:t>و غیرها</w:t>
      </w:r>
      <w:r>
        <w:rPr>
          <w:rStyle w:val="FootnoteAnchor"/>
          <w:rtl w:val="true"/>
        </w:rPr>
        <w:footnoteReference w:id="2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یکره أذان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أذان الصبیّ العاقل و إن کان جائزاً حتّی لا 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المقصود، و هو الإعلام، لکن أذان البالغ أفضل؛ لأنّه فی مراعاة الحرمة أبلغ</w:t>
      </w:r>
      <w:r>
        <w:rPr>
          <w:rFonts w:eastAsia="IRNazanin" w:cs="IRNazanin"/>
          <w:color w:val="111111"/>
          <w:sz w:val="28"/>
          <w:szCs w:val="28"/>
          <w:rtl w:val="true"/>
          <w:lang w:bidi="fa-IR"/>
        </w:rPr>
        <w:t>»</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النبویّة مع الغضّ عن ضعف سندها تدلّ علی الأمر بالخیار،</w:t>
      </w:r>
      <w:bookmarkStart w:id="784" w:name="pg11755_255283"/>
    </w:p>
    <w:p>
      <w:pPr>
        <w:pStyle w:val="BookText"/>
        <w:rPr/>
      </w:pPr>
      <w:bookmarkEnd w:id="784"/>
      <w:r>
        <w:rPr>
          <w:rFonts w:ascii="IRNazanin" w:hAnsi="IRNazanin" w:eastAsia="IRNazanin"/>
          <w:color w:val="111111"/>
          <w:sz w:val="28"/>
          <w:sz w:val="28"/>
          <w:szCs w:val="28"/>
          <w:rtl w:val="true"/>
          <w:lang w:bidi="fa-IR"/>
        </w:rPr>
        <w:t>و لا تدلّ علی المنع من أذان الصبیّ، و قیاس الأذان بالخبر باطل؛ لعدم الجامع فیه، و الفرق ظاهر؛ لأنّ إخباره یحتمل الکذب بخلاف إیقاعه للأذان، کما فی المنتهی</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5" w:name="__RefHeading___Toc9587836_73709187"/>
      <w:bookmarkStart w:id="786" w:name="_Toc292"/>
      <w:bookmarkEnd w:id="785"/>
      <w:r>
        <w:rPr>
          <w:rtl w:val="true"/>
        </w:rPr>
        <w:t>المطلب الثانی</w:t>
      </w:r>
      <w:r>
        <w:rPr>
          <w:rtl w:val="true"/>
        </w:rPr>
        <w:t xml:space="preserve">: </w:t>
      </w:r>
      <w:r>
        <w:rPr>
          <w:rtl w:val="true"/>
        </w:rPr>
        <w:t>إقامة الصبیّ‌</w:t>
      </w:r>
      <w:bookmarkEnd w:id="786"/>
    </w:p>
    <w:p>
      <w:pPr>
        <w:pStyle w:val="BookText"/>
        <w:rPr/>
      </w:pPr>
      <w:r>
        <w:rPr>
          <w:rFonts w:ascii="IRNazanin" w:hAnsi="IRNazanin" w:eastAsia="IRNazanin"/>
          <w:color w:val="111111"/>
          <w:sz w:val="28"/>
          <w:sz w:val="28"/>
          <w:szCs w:val="28"/>
          <w:rtl w:val="true"/>
          <w:lang w:bidi="fa-IR"/>
        </w:rPr>
        <w:t>لا شکّ فی أنّه علی القول بمشروعیّة عبادات الصبیّ تصحّ إقامة الصبیّ الممیّز لصلاته، کما صرّح به بعض الفقهاء</w:t>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الاجتزاء بإقامة الصبیّ لصلاة البالغین ففیه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الاکتفاء، کما صرّح به فی المستند،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إقامته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یرد فیها نصّ، و التعدّی من الأذان إلیها بلا وجه</w:t>
      </w:r>
      <w:r>
        <w:rPr>
          <w:rFonts w:eastAsia="IRNazanin" w:cs="IRNazanin"/>
          <w:color w:val="111111"/>
          <w:sz w:val="28"/>
          <w:szCs w:val="28"/>
          <w:rtl w:val="true"/>
          <w:lang w:bidi="fa-IR"/>
        </w:rPr>
        <w:t>»</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النائینی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عدم الاکتفاء بإقامته فی الجماعة و غیرها</w:t>
      </w:r>
      <w:r>
        <w:rPr>
          <w:rFonts w:eastAsia="IRNazanin" w:cs="IRNazanin"/>
          <w:color w:val="111111"/>
          <w:sz w:val="28"/>
          <w:szCs w:val="28"/>
          <w:rtl w:val="true"/>
          <w:lang w:bidi="fa-IR"/>
        </w:rPr>
        <w:t>»</w:t>
      </w:r>
      <w:r>
        <w:rPr>
          <w:rStyle w:val="FootnoteAnchor"/>
          <w:rtl w:val="true"/>
        </w:rPr>
        <w:footnoteReference w:id="2722"/>
      </w:r>
      <w:r>
        <w:rPr>
          <w:rFonts w:ascii="IRNazanin" w:hAnsi="IRNazanin" w:eastAsia="IRNazanin"/>
          <w:color w:val="111111"/>
          <w:sz w:val="28"/>
          <w:sz w:val="28"/>
          <w:szCs w:val="28"/>
          <w:rtl w:val="true"/>
          <w:lang w:bidi="fa-IR"/>
        </w:rPr>
        <w:t>، و به قال أیضاً الشیخ ضیاء الدین العراقی</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سیأتی من أنّه علی القول بمشروعیّة عبادات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التحقیق و المفروض فی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فتشملها الإطلاقات و العمومات، مضافاً إلی أنّه ورد فی بعض الأخبار الآتیة من التعبیر عن الأذان و الإقامة معاً بالأذان</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مشهور الفقهاء من جواز الاجتزاء بإقامة الصبیّ،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بأس أن یؤذّن الصبیّ الذی لم یبلغ الحلم و یقیم، و إن تولّی ذلک الرجال کان أفضل</w:t>
      </w:r>
      <w:r>
        <w:rPr>
          <w:rFonts w:eastAsia="IRNazanin" w:cs="IRNazanin"/>
          <w:color w:val="111111"/>
          <w:sz w:val="28"/>
          <w:szCs w:val="28"/>
          <w:rtl w:val="true"/>
          <w:lang w:bidi="fa-IR"/>
        </w:rPr>
        <w:t>»</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أن یؤذّن و یقیم الصبیّ</w:t>
      </w:r>
      <w:r>
        <w:rPr>
          <w:rFonts w:eastAsia="IRNazanin" w:cs="IRNazanin"/>
          <w:color w:val="111111"/>
          <w:sz w:val="28"/>
          <w:szCs w:val="28"/>
          <w:rtl w:val="true"/>
          <w:lang w:bidi="fa-IR"/>
        </w:rPr>
        <w:t>»</w:t>
      </w:r>
      <w:r>
        <w:rPr>
          <w:rStyle w:val="FootnoteAnchor"/>
          <w:rtl w:val="true"/>
        </w:rPr>
        <w:footnoteReference w:id="2725"/>
      </w:r>
      <w:r>
        <w:rPr>
          <w:rFonts w:ascii="IRNazanin" w:hAnsi="IRNazanin" w:eastAsia="IRNazanin"/>
          <w:color w:val="111111"/>
          <w:sz w:val="28"/>
          <w:sz w:val="28"/>
          <w:szCs w:val="28"/>
          <w:rtl w:val="true"/>
          <w:lang w:bidi="fa-IR"/>
        </w:rPr>
        <w:t>، و به قال ابن إدریس</w:t>
      </w:r>
      <w:r>
        <w:rPr>
          <w:rStyle w:val="FootnoteAnchor"/>
          <w:rtl w:val="true"/>
        </w:rPr>
        <w:footnoteReference w:id="2726"/>
      </w:r>
      <w:r>
        <w:rPr>
          <w:rFonts w:ascii="IRNazanin" w:hAnsi="IRNazanin" w:eastAsia="IRNazanin"/>
          <w:color w:val="111111"/>
          <w:sz w:val="28"/>
          <w:sz w:val="28"/>
          <w:szCs w:val="28"/>
          <w:rtl w:val="true"/>
          <w:lang w:bidi="fa-IR"/>
        </w:rPr>
        <w:t>، و هو ظاهر مفتاح الکرامة</w:t>
      </w:r>
      <w:r>
        <w:rPr>
          <w:rStyle w:val="FootnoteAnchor"/>
          <w:rtl w:val="true"/>
        </w:rPr>
        <w:footnoteReference w:id="2727"/>
      </w:r>
      <w:r>
        <w:rPr>
          <w:rFonts w:ascii="IRNazanin" w:hAnsi="IRNazanin" w:eastAsia="IRNazanin"/>
          <w:color w:val="111111"/>
          <w:sz w:val="28"/>
          <w:sz w:val="28"/>
          <w:szCs w:val="28"/>
          <w:rtl w:val="true"/>
          <w:lang w:bidi="fa-IR"/>
        </w:rPr>
        <w:t>و المستمسک</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البلوغ فالأقوی عدم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فیجزی أذان الممیّز و إقامته إذا سمعه أو حکاه أو فیما لو أتی بهما للجماعة</w:t>
      </w:r>
      <w:r>
        <w:rPr>
          <w:rFonts w:eastAsia="IRNazanin" w:cs="IRNazanin"/>
          <w:color w:val="111111"/>
          <w:sz w:val="28"/>
          <w:szCs w:val="28"/>
          <w:rtl w:val="true"/>
          <w:lang w:bidi="fa-IR"/>
        </w:rPr>
        <w:t>»</w:t>
      </w:r>
      <w:r>
        <w:rPr>
          <w:rStyle w:val="FootnoteAnchor"/>
          <w:rtl w:val="true"/>
        </w:rPr>
        <w:footnoteReference w:id="2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غیرها</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بناءً علی مشروعیّة عبادات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إطلاقات الأدلّة، کما فی المهذّب</w:t>
      </w:r>
      <w:r>
        <w:rPr>
          <w:rStyle w:val="FootnoteAnchor"/>
          <w:rtl w:val="true"/>
        </w:rPr>
        <w:footnoteReference w:id="2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الأذان و الإقامة من العبادات، فتشملهما الإطلاقات، و المفروض صحّتهما، فیترتّب علیها آثارها التی منها جواز الاکتفاء بإقامته فی الجماعة و غیرها ممّا یصحّ فیه ذلک</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قد عبّر فی بعض الأخبار عن الأذان و الإقامة معاً بالأذان، کما رواه عبید بن زرارة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نسی الأذان و الإقامة حتّی دخل فی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فلیمض فی صلاته، فإنّما</w:t>
      </w:r>
    </w:p>
    <w:p>
      <w:pPr>
        <w:pStyle w:val="BookText"/>
        <w:rPr/>
      </w:pPr>
      <w:r>
        <w:rPr>
          <w:rFonts w:ascii="Amiri" w:hAnsi="Amiri" w:eastAsia="Amiri" w:cs="Amiri"/>
          <w:color w:val="111111"/>
          <w:sz w:val="28"/>
          <w:sz w:val="28"/>
          <w:szCs w:val="28"/>
          <w:rtl w:val="true"/>
          <w:lang w:bidi="ar-SA"/>
        </w:rPr>
        <w:t>الأذان سنّة</w:t>
      </w:r>
      <w:r>
        <w:rPr>
          <w:rFonts w:eastAsia="Amiri" w:cs="Amiri" w:ascii="Amiri" w:hAnsi="Amiri"/>
          <w:color w:val="111111"/>
          <w:sz w:val="28"/>
          <w:szCs w:val="28"/>
          <w:rtl w:val="true"/>
          <w:lang w:bidi="ar-SA"/>
        </w:rPr>
        <w:t>»</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الأذان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الأذان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خصوص الأذان المقابل للإقامة، و إلّا لم یکن وجه لتعلیل المضی فی الصلاة و لو مع نسیان الإقامة، کما هو مورد السؤال بکون الأذان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ورد من صحّة أذان الصبیّ تشمل الإقامة أیضاً</w:t>
      </w:r>
      <w:r>
        <w:rPr>
          <w:rStyle w:val="FootnoteAnchor"/>
          <w:rtl w:val="true"/>
        </w:rPr>
        <w:footnoteReference w:id="2733"/>
      </w:r>
      <w:r>
        <w:rPr>
          <w:rFonts w:ascii="IRNazanin" w:hAnsi="IRNazanin" w:eastAsia="IRNazanin"/>
          <w:color w:val="111111"/>
          <w:sz w:val="28"/>
          <w:sz w:val="28"/>
          <w:szCs w:val="28"/>
          <w:rtl w:val="true"/>
          <w:lang w:bidi="fa-IR"/>
        </w:rPr>
        <w:t>؛ إذ لا خصوصیّة للأذان بعد کونهما عبادة مندوبة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یستفاد ذلک من الکتاب العزیز، حیث ورد ذکر الأذان فی موضعین منه،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المائدة،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نادَیْتُمْ إِلَی الصَّلاةِ اتَّخَذُوها هُزُواً وَ لَعِباً ذلِکَ بِأَنَّهُمْ قَوْمٌ لا یَعْقِلُونَ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الجمعة،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المراد بالنداء إلی الصلاة فی الآیتین هو الأذان؛ إذ لو کان المراد به غیره لنقل ذلک فی کتب التواریخ و السیر المعدّة لنقل جمیع حالات النبیّ صلی الله علیه و آله و المسلمین فی زمانه، و من المعلوم عدمه، فلا ینبغی التأمّل فی أنّ المراد به هو الأذان لا شیء آخر</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التعبیر عنه بالنداء إلی الصلاة یشعر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یدلّ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مجعول لدعوة</w:t>
      </w:r>
      <w:bookmarkStart w:id="787" w:name="pg11755_255291"/>
    </w:p>
    <w:p>
      <w:pPr>
        <w:pStyle w:val="BookText"/>
        <w:rPr/>
      </w:pPr>
      <w:bookmarkEnd w:id="787"/>
      <w:r>
        <w:rPr>
          <w:rFonts w:ascii="IRNazanin" w:hAnsi="IRNazanin" w:eastAsia="IRNazanin"/>
          <w:color w:val="111111"/>
          <w:sz w:val="28"/>
          <w:sz w:val="28"/>
          <w:szCs w:val="28"/>
          <w:rtl w:val="true"/>
          <w:lang w:bidi="fa-IR"/>
        </w:rPr>
        <w:t>الناس إلی إقامة الجماعة فی المساجد؛ إذ النداء لغة عبارة عن الصوت البلیغ الذی یسمعه جمع من الناس، و هو لا یناسب الصلاة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الإقامة أیضاً نداء، غایة الأمر أنّ الأذان نداء و دعوة للغائبین، و الإقامة تنبیه للحاضرین المجمعین فی المسجد؛ نظراً إلی اشتغالهم نوعاً بذکر الاُمور الدنیویّة بعد حصول الاجتماع و الحضور فی المسجد، فربّما لا یلتفتون إلی قیام الصلاة إلّا بعد رکعة أو أزید، و الإقامة تنبیه لهم إلی قیامها، کما فی تفصیل الشریعة</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ظهر ما فی کلام بعض الأعلام،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قلنا بعدم مشروعیّة عبادة الصبیّ کان البناء علی الاجتزاء بإقامة الصبیّ مشکلاً؛ لعدم شمول ما تقدّم فی الأذان من النصّ و الإجماع لها، و التعدّی من الأذان إلیها غیر ظاهر</w:t>
      </w:r>
      <w:r>
        <w:rPr>
          <w:rFonts w:eastAsia="IRNazanin" w:cs="IRNazanin"/>
          <w:color w:val="111111"/>
          <w:sz w:val="28"/>
          <w:szCs w:val="28"/>
          <w:rtl w:val="true"/>
          <w:lang w:bidi="fa-IR"/>
        </w:rPr>
        <w:t>»</w:t>
      </w:r>
      <w:r>
        <w:rPr>
          <w:rStyle w:val="FootnoteAnchor"/>
          <w:rtl w:val="true"/>
        </w:rPr>
        <w:footnoteReference w:id="2735"/>
      </w:r>
      <w:r>
        <w:rPr>
          <w:rFonts w:ascii="IRNazanin" w:hAnsi="IRNazanin" w:eastAsia="IRNazanin"/>
          <w:color w:val="111111"/>
          <w:sz w:val="28"/>
          <w:sz w:val="28"/>
          <w:szCs w:val="28"/>
          <w:rtl w:val="true"/>
          <w:lang w:bidi="fa-IR"/>
        </w:rPr>
        <w:t>؛ إذ الأذان الوارد فی النصّ شامل للإقامة بالإطلاق أو المناط، و هذا بضمیمة الإطلاقات الّتی لا دلیل علی تقییدها بالبالغ صار دلیلاً؛ لما یستفاد من ظاهر کلماتهم من وحدة الإقامة و الأذان فی الحکم المذکور</w:t>
      </w:r>
      <w:r>
        <w:rPr>
          <w:rFonts w:eastAsia="IRNazanin" w:cs="IRNazanin"/>
          <w:color w:val="111111"/>
          <w:sz w:val="28"/>
          <w:szCs w:val="28"/>
          <w:rtl w:val="true"/>
          <w:lang w:bidi="fa-IR"/>
        </w:rPr>
        <w:t>.</w:t>
      </w:r>
    </w:p>
    <w:p>
      <w:pPr>
        <w:pStyle w:val="Heading5"/>
        <w:numPr>
          <w:ilvl w:val="4"/>
          <w:numId w:val="1"/>
        </w:numPr>
        <w:rPr/>
      </w:pPr>
      <w:bookmarkStart w:id="788" w:name="__RefHeading___Toc9587838_73709187"/>
      <w:bookmarkStart w:id="789" w:name="_Toc293"/>
      <w:bookmarkEnd w:id="788"/>
      <w:r>
        <w:rPr>
          <w:rtl w:val="true"/>
        </w:rPr>
        <w:t>إقامة الصبیّ عند أهل السنّة</w:t>
      </w:r>
      <w:bookmarkEnd w:id="789"/>
    </w:p>
    <w:p>
      <w:pPr>
        <w:pStyle w:val="BookText"/>
        <w:rPr/>
      </w:pPr>
      <w:r>
        <w:rPr>
          <w:rFonts w:ascii="IRNazanin" w:hAnsi="IRNazanin" w:eastAsia="IRNazanin"/>
          <w:color w:val="111111"/>
          <w:sz w:val="28"/>
          <w:sz w:val="28"/>
          <w:szCs w:val="28"/>
          <w:rtl w:val="true"/>
          <w:lang w:bidi="fa-IR"/>
        </w:rPr>
        <w:t>یستفاد من کلماتهم فی المسألة قولان</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المالکیّة من اشتراط البلوغ فی المقیم، فلا یکتفی بإقامة الصبیّ، قال فی الذخیرة فی صفة المؤذّن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أن یکون مسلماً عاقلاً ممیّزاً</w:t>
      </w:r>
    </w:p>
    <w:p>
      <w:pPr>
        <w:pStyle w:val="BookText"/>
        <w:rPr/>
      </w:pPr>
      <w:r>
        <w:rPr>
          <w:rFonts w:ascii="IRNazanin" w:hAnsi="IRNazanin" w:eastAsia="IRNazanin"/>
          <w:color w:val="111111"/>
          <w:sz w:val="28"/>
          <w:sz w:val="28"/>
          <w:szCs w:val="28"/>
          <w:rtl w:val="true"/>
          <w:lang w:bidi="fa-IR"/>
        </w:rPr>
        <w:t>ذکراً بالغاً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یؤذّن الصبیّ و لا یقیم إلّا مع النساء أو فی موضع لیس فیه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 مالک فی الحاوی الأذان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الإقامة، و منع فی الکتاب أذانه،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المؤذِّن إمام، و هو لا یکون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الفرق بین الأذان و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آکد من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ترکها عمداً بطلت صلاته</w:t>
      </w:r>
      <w:r>
        <w:rPr>
          <w:rFonts w:eastAsia="IRNazanin" w:cs="IRNazanin"/>
          <w:color w:val="111111"/>
          <w:sz w:val="28"/>
          <w:szCs w:val="28"/>
          <w:rtl w:val="true"/>
          <w:lang w:bidi="fa-IR"/>
        </w:rPr>
        <w:t>»</w:t>
      </w:r>
      <w:r>
        <w:rPr>
          <w:rStyle w:val="FootnoteAnchor"/>
          <w:rtl w:val="true"/>
        </w:rPr>
        <w:footnoteReference w:id="2736"/>
      </w:r>
      <w:r>
        <w:rPr>
          <w:rFonts w:ascii="IRNazanin" w:hAnsi="IRNazanin" w:eastAsia="IRNazanin"/>
          <w:color w:val="111111"/>
          <w:sz w:val="28"/>
          <w:sz w:val="28"/>
          <w:szCs w:val="28"/>
          <w:rtl w:val="true"/>
          <w:lang w:bidi="fa-IR"/>
        </w:rPr>
        <w:t>، و کذا فی مواهب الجلیل</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الاشتراط، ففی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شرط المؤذّن و المقیم الإسلام، فلا یصحّان من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التمیّز، فلا یصحّان من غیر ممیّز؛ لعدم أهلیّته للعبادة</w:t>
      </w:r>
      <w:r>
        <w:rPr>
          <w:rFonts w:eastAsia="IRNazanin" w:cs="IRNazanin"/>
          <w:color w:val="111111"/>
          <w:sz w:val="28"/>
          <w:szCs w:val="28"/>
          <w:rtl w:val="true"/>
          <w:lang w:bidi="fa-IR"/>
        </w:rPr>
        <w:t>»</w:t>
      </w:r>
      <w:r>
        <w:rPr>
          <w:rStyle w:val="FootnoteAnchor"/>
          <w:rtl w:val="true"/>
        </w:rPr>
        <w:footnoteReference w:id="2738"/>
      </w:r>
      <w:r>
        <w:rPr>
          <w:rFonts w:ascii="IRNazanin" w:hAnsi="IRNazanin" w:eastAsia="IRNazanin"/>
          <w:color w:val="111111"/>
          <w:sz w:val="28"/>
          <w:sz w:val="28"/>
          <w:szCs w:val="28"/>
          <w:rtl w:val="true"/>
          <w:lang w:bidi="fa-IR"/>
        </w:rPr>
        <w:t>، و کذا فی حواشی تحفة المحتاج</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w:t>
      </w:r>
      <w:bookmarkStart w:id="790" w:name="pg11755_255295"/>
    </w:p>
    <w:p>
      <w:pPr>
        <w:pStyle w:val="Heading4"/>
        <w:numPr>
          <w:ilvl w:val="3"/>
          <w:numId w:val="1"/>
        </w:numPr>
        <w:rPr/>
      </w:pPr>
      <w:bookmarkStart w:id="791" w:name="__RefHeading___Toc9587840_73709187"/>
      <w:bookmarkStart w:id="792" w:name="_Toc294"/>
      <w:bookmarkEnd w:id="790"/>
      <w:bookmarkEnd w:id="791"/>
      <w:r>
        <w:rPr>
          <w:rtl w:val="true"/>
        </w:rPr>
        <w:t>المبحث الثالث</w:t>
      </w:r>
      <w:r>
        <w:rPr>
          <w:rtl w:val="true"/>
        </w:rPr>
        <w:t>:</w:t>
      </w:r>
      <w:r>
        <w:rPr>
          <w:rtl w:val="true"/>
        </w:rPr>
        <w:t>انعقاد الجماعة بالصبیّ‌</w:t>
      </w:r>
      <w:bookmarkEnd w:id="792"/>
    </w:p>
    <w:p>
      <w:pPr>
        <w:pStyle w:val="Heading5"/>
        <w:numPr>
          <w:ilvl w:val="4"/>
          <w:numId w:val="1"/>
        </w:numPr>
        <w:rPr/>
      </w:pPr>
      <w:bookmarkStart w:id="793" w:name="__RefHeading___Toc9587842_73709187"/>
      <w:bookmarkStart w:id="794" w:name="_Toc295"/>
      <w:bookmarkEnd w:id="793"/>
      <w:r>
        <w:rPr>
          <w:rtl w:val="true"/>
        </w:rPr>
        <w:t>اشارة</w:t>
      </w:r>
      <w:bookmarkEnd w:id="794"/>
    </w:p>
    <w:p>
      <w:pPr>
        <w:pStyle w:val="BookText"/>
        <w:rPr/>
      </w:pPr>
      <w:r>
        <w:rPr>
          <w:rFonts w:ascii="IRNazanin" w:hAnsi="IRNazanin" w:eastAsia="IRNazanin"/>
          <w:color w:val="111111"/>
          <w:sz w:val="28"/>
          <w:sz w:val="28"/>
          <w:szCs w:val="28"/>
          <w:rtl w:val="true"/>
          <w:lang w:bidi="fa-IR"/>
        </w:rPr>
        <w:t>الظاهر أنّه لا خلاف بین الفقهاء فی أنّه علی القول بمشروعیّة عبادات الصبیّ تنعقد الجماعة بالصبیّ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ذلک من إطلاق کلام بعضهم و تصریح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أقلّ ما تکون الجماعة اثنان فصاعداً</w:t>
      </w:r>
      <w:r>
        <w:rPr>
          <w:rFonts w:eastAsia="IRNazanin" w:cs="IRNazanin"/>
          <w:color w:val="111111"/>
          <w:sz w:val="28"/>
          <w:szCs w:val="28"/>
          <w:rtl w:val="true"/>
          <w:lang w:bidi="fa-IR"/>
        </w:rPr>
        <w:t>»</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ما تنعقد باثنین، الإمام أحدهما</w:t>
      </w:r>
      <w:r>
        <w:rPr>
          <w:rFonts w:eastAsia="IRNazanin" w:cs="IRNazanin"/>
          <w:color w:val="111111"/>
          <w:sz w:val="28"/>
          <w:szCs w:val="28"/>
          <w:rtl w:val="true"/>
          <w:lang w:bidi="fa-IR"/>
        </w:rPr>
        <w:t>»</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یصلّی بالصبیّ فی الفرض و النفل عند علمائنا</w:t>
      </w:r>
      <w:r>
        <w:rPr>
          <w:rFonts w:eastAsia="IRNazanin" w:cs="IRNazanin"/>
          <w:color w:val="111111"/>
          <w:sz w:val="28"/>
          <w:szCs w:val="28"/>
          <w:rtl w:val="true"/>
          <w:lang w:bidi="fa-IR"/>
        </w:rPr>
        <w:t>»</w:t>
      </w:r>
      <w:r>
        <w:rPr>
          <w:rStyle w:val="FootnoteAnchor"/>
          <w:rtl w:val="true"/>
        </w:rPr>
        <w:footnoteReference w:id="2742"/>
      </w:r>
      <w:r>
        <w:rPr>
          <w:rFonts w:ascii="IRNazanin" w:hAnsi="IRNazanin" w:eastAsia="IRNazanin"/>
          <w:color w:val="111111"/>
          <w:sz w:val="28"/>
          <w:sz w:val="28"/>
          <w:szCs w:val="28"/>
          <w:rtl w:val="true"/>
          <w:lang w:bidi="fa-IR"/>
        </w:rPr>
        <w:t>، و کذا فی النهایة</w:t>
      </w:r>
      <w:r>
        <w:rPr>
          <w:rStyle w:val="FootnoteAnchor"/>
          <w:rtl w:val="true"/>
        </w:rPr>
        <w:footnoteReference w:id="2743"/>
      </w:r>
      <w:r>
        <w:rPr>
          <w:rFonts w:ascii="IRNazanin" w:hAnsi="IRNazanin" w:eastAsia="IRNazanin"/>
          <w:color w:val="111111"/>
          <w:sz w:val="28"/>
          <w:sz w:val="28"/>
          <w:szCs w:val="28"/>
          <w:rtl w:val="true"/>
          <w:lang w:bidi="fa-IR"/>
        </w:rPr>
        <w:t>و الذکری</w:t>
      </w:r>
      <w:r>
        <w:rPr>
          <w:rStyle w:val="FootnoteAnchor"/>
          <w:rtl w:val="true"/>
        </w:rPr>
        <w:footnoteReference w:id="2744"/>
      </w:r>
      <w:r>
        <w:rPr>
          <w:rFonts w:ascii="IRNazanin" w:hAnsi="IRNazanin" w:eastAsia="IRNazanin"/>
          <w:color w:val="111111"/>
          <w:sz w:val="28"/>
          <w:sz w:val="28"/>
          <w:szCs w:val="28"/>
          <w:rtl w:val="true"/>
          <w:lang w:bidi="fa-IR"/>
        </w:rPr>
        <w:t>و الذخیرة</w:t>
      </w:r>
      <w:r>
        <w:rPr>
          <w:rStyle w:val="FootnoteAnchor"/>
          <w:rtl w:val="true"/>
        </w:rPr>
        <w:footnoteReference w:id="2745"/>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یکفی أن یکون أحدهما </w:t>
      </w:r>
      <w:r>
        <w:rPr>
          <w:rStyle w:val="FootnoteAnchor"/>
          <w:rtl w:val="true"/>
        </w:rPr>
        <w:footnoteReference w:id="2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صبیّاً ممیّزاً</w:t>
      </w:r>
      <w:r>
        <w:rPr>
          <w:rFonts w:eastAsia="Amiri" w:cs="Amiri" w:ascii="Amiri" w:hAnsi="Amiri"/>
          <w:color w:val="111111"/>
          <w:sz w:val="28"/>
          <w:szCs w:val="28"/>
          <w:rtl w:val="true"/>
          <w:lang w:bidi="ar-SA"/>
        </w:rPr>
        <w:t>)»</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w:t>
      </w:r>
      <w:bookmarkStart w:id="795" w:name="pg11755_255297"/>
    </w:p>
    <w:p>
      <w:pPr>
        <w:pStyle w:val="BookText"/>
        <w:rPr/>
      </w:pPr>
      <w:bookmarkEnd w:id="795"/>
      <w:r>
        <w:rPr>
          <w:rFonts w:ascii="IRNazanin" w:hAnsi="IRNazanin" w:eastAsia="IRNazanin"/>
          <w:color w:val="111111"/>
          <w:sz w:val="28"/>
          <w:sz w:val="28"/>
          <w:szCs w:val="28"/>
          <w:rtl w:val="true"/>
          <w:lang w:bidi="fa-IR"/>
        </w:rPr>
        <w:t>و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عدد تنعقد به الجماعة فی غیر الجمعة و العیدین اثنان، أحدهما الإمام، سواء کان المأموم رجلاً أو امرأة، بل و صبیّاً ممیّزاً علی الأقوی</w:t>
      </w:r>
      <w:r>
        <w:rPr>
          <w:rFonts w:eastAsia="IRNazanin" w:cs="IRNazanin"/>
          <w:color w:val="111111"/>
          <w:sz w:val="28"/>
          <w:szCs w:val="28"/>
          <w:rtl w:val="true"/>
          <w:lang w:bidi="fa-IR"/>
        </w:rPr>
        <w:t>»</w:t>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السیّد الحکیم</w:t>
      </w:r>
      <w:r>
        <w:rPr>
          <w:rStyle w:val="FootnoteAnchor"/>
          <w:rtl w:val="true"/>
        </w:rPr>
        <w:footnoteReference w:id="2749"/>
      </w:r>
      <w:r>
        <w:rPr>
          <w:rFonts w:ascii="IRNazanin" w:hAnsi="IRNazanin" w:eastAsia="IRNazanin"/>
          <w:color w:val="111111"/>
          <w:sz w:val="28"/>
          <w:sz w:val="28"/>
          <w:szCs w:val="28"/>
          <w:rtl w:val="true"/>
          <w:lang w:bidi="fa-IR"/>
        </w:rPr>
        <w:t>و الإمام الخمینی رحمه الله</w:t>
      </w:r>
      <w:r>
        <w:rPr>
          <w:rStyle w:val="FootnoteAnchor"/>
          <w:rtl w:val="true"/>
        </w:rPr>
        <w:footnoteReference w:id="2750"/>
      </w:r>
      <w:r>
        <w:rPr>
          <w:rFonts w:ascii="IRNazanin" w:hAnsi="IRNazanin" w:eastAsia="IRNazanin"/>
          <w:color w:val="111111"/>
          <w:sz w:val="28"/>
          <w:sz w:val="28"/>
          <w:szCs w:val="28"/>
          <w:rtl w:val="true"/>
          <w:lang w:bidi="fa-IR"/>
        </w:rPr>
        <w:t>و الشیخ الفاضل اللنکرانی</w:t>
      </w:r>
      <w:r>
        <w:rPr>
          <w:rStyle w:val="FootnoteAnchor"/>
          <w:rtl w:val="true"/>
        </w:rPr>
        <w:footnoteReference w:id="2751"/>
      </w:r>
      <w:r>
        <w:rPr>
          <w:rFonts w:ascii="IRNazanin" w:hAnsi="IRNazanin" w:eastAsia="IRNazanin"/>
          <w:color w:val="111111"/>
          <w:sz w:val="28"/>
          <w:sz w:val="28"/>
          <w:szCs w:val="28"/>
          <w:rtl w:val="true"/>
          <w:lang w:bidi="fa-IR"/>
        </w:rPr>
        <w:t>و غیرهم</w:t>
      </w:r>
      <w:r>
        <w:rPr>
          <w:rStyle w:val="FootnoteAnchor"/>
          <w:rtl w:val="true"/>
        </w:rPr>
        <w:footnoteReference w:id="2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6" w:name="__RefHeading___Toc9587844_73709187"/>
      <w:bookmarkStart w:id="797" w:name="_Toc296"/>
      <w:bookmarkEnd w:id="796"/>
      <w:r>
        <w:rPr>
          <w:rtl w:val="true"/>
        </w:rPr>
        <w:t>أدلّة انعقاد الجماعة بالصبیّ‌</w:t>
      </w:r>
      <w:bookmarkEnd w:id="797"/>
    </w:p>
    <w:p>
      <w:pPr>
        <w:pStyle w:val="BookText"/>
        <w:rPr/>
      </w:pPr>
      <w:r>
        <w:rPr>
          <w:rFonts w:ascii="IRNazanin" w:hAnsi="IRNazanin" w:eastAsia="IRNazanin"/>
          <w:color w:val="111111"/>
          <w:sz w:val="28"/>
          <w:sz w:val="28"/>
          <w:szCs w:val="28"/>
          <w:rtl w:val="true"/>
          <w:lang w:bidi="fa-IR"/>
        </w:rPr>
        <w:t>یمکن أن یستدلّ لصحّة انعقاد الجماعة بالصبیّ بوجهین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البختری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 عن یمین الرجل فی الصلاة إذا ضبط الصفّ جماعة، و المریض القاعد عن یمین المصلّی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w:t>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إبراهیم بن میمون التی رواها المشایخ الثلاثة عن أبی عبد اللّه علیه السلام، فی الرجل یؤمّ النساء لیس معهنّ رجل فی الفریضة، قال</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إن کان معه صبیّ فلیقم إلی جانبه</w:t>
      </w:r>
      <w:r>
        <w:rPr>
          <w:rFonts w:eastAsia="IRNazanin" w:cs="IRNazanin"/>
          <w:color w:val="111111"/>
          <w:sz w:val="28"/>
          <w:szCs w:val="28"/>
          <w:rtl w:val="true"/>
          <w:lang w:bidi="fa-IR"/>
        </w:rPr>
        <w:t>»</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استشکل فی الاستدلال بهما بضعف سندیهما، و لم تثبت شهرة جابرة له</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میمون یکون معتبراً؛ لما قاله المولی الوحید البهبهانی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سیجیء من المصنّف عند ذکر طریق الصدوق إلیه ما یشیر إلی حسن حاله فی الجملة</w:t>
      </w:r>
      <w:r>
        <w:rPr>
          <w:rStyle w:val="FootnoteAnchor"/>
          <w:rtl w:val="true"/>
        </w:rPr>
        <w:footnoteReference w:id="2756"/>
      </w:r>
      <w:r>
        <w:rPr>
          <w:rFonts w:ascii="IRNazanin" w:hAnsi="IRNazanin" w:eastAsia="IRNazanin"/>
          <w:color w:val="111111"/>
          <w:sz w:val="28"/>
          <w:sz w:val="28"/>
          <w:szCs w:val="28"/>
          <w:rtl w:val="true"/>
          <w:lang w:bidi="fa-IR"/>
        </w:rPr>
        <w:t>، و یروی عنه ابن أبی عمیر بواسطة حمّاد، و کذا فضالة، و کذا ابن أبی عمیر بواسطة معاویة بن عمّار، و کذا صفوان بواسطة ابن مسکان، و کذا علیّ بن رئاب، و فیما ذکر إشارة إلی الوثاقة و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تقریب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صدوق</w:t>
      </w:r>
      <w:r>
        <w:rPr>
          <w:rFonts w:eastAsia="IRNazanin" w:cs="IRNazanin"/>
          <w:color w:val="111111"/>
          <w:sz w:val="28"/>
          <w:szCs w:val="28"/>
          <w:rtl w:val="true"/>
          <w:lang w:bidi="fa-IR"/>
        </w:rPr>
        <w:t>»</w:t>
      </w:r>
      <w:r>
        <w:rPr>
          <w:rStyle w:val="FootnoteAnchor"/>
          <w:rtl w:val="true"/>
        </w:rPr>
        <w:footnoteReference w:id="2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یظهر من استقامة روایاته و کثرتها، فتأمّل</w:t>
      </w:r>
      <w:r>
        <w:rPr>
          <w:rFonts w:eastAsia="IRNazanin" w:cs="IRNazanin"/>
          <w:color w:val="111111"/>
          <w:sz w:val="28"/>
          <w:szCs w:val="28"/>
          <w:rtl w:val="true"/>
          <w:lang w:bidi="fa-IR"/>
        </w:rPr>
        <w:t>»</w:t>
      </w:r>
      <w:r>
        <w:rPr>
          <w:rStyle w:val="FootnoteAnchor"/>
          <w:rtl w:val="true"/>
        </w:rPr>
        <w:footnoteReference w:id="2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البختری، و هو وهب بن وهب، فضعّفه الشیخ فی الفهرست</w:t>
      </w:r>
      <w:r>
        <w:rPr>
          <w:rStyle w:val="FootnoteAnchor"/>
          <w:rtl w:val="true"/>
        </w:rPr>
        <w:footnoteReference w:id="2759"/>
      </w:r>
    </w:p>
    <w:p>
      <w:pPr>
        <w:pStyle w:val="BookText"/>
        <w:rPr/>
      </w:pPr>
      <w:r>
        <w:rPr>
          <w:rFonts w:ascii="IRNazanin" w:hAnsi="IRNazanin" w:eastAsia="IRNazanin"/>
          <w:color w:val="111111"/>
          <w:sz w:val="28"/>
          <w:sz w:val="28"/>
          <w:szCs w:val="28"/>
          <w:rtl w:val="true"/>
          <w:lang w:bidi="fa-IR"/>
        </w:rPr>
        <w:t>و التهذیب</w:t>
      </w:r>
      <w:r>
        <w:rPr>
          <w:rStyle w:val="FootnoteAnchor"/>
          <w:rtl w:val="true"/>
        </w:rPr>
        <w:footnoteReference w:id="2760"/>
      </w:r>
      <w:r>
        <w:rPr>
          <w:rFonts w:ascii="IRNazanin" w:hAnsi="IRNazanin" w:eastAsia="IRNazanin"/>
          <w:color w:val="111111"/>
          <w:sz w:val="28"/>
          <w:sz w:val="28"/>
          <w:szCs w:val="28"/>
          <w:rtl w:val="true"/>
          <w:lang w:bidi="fa-IR"/>
        </w:rPr>
        <w:t>و الاستبصار</w:t>
      </w:r>
      <w:r>
        <w:rPr>
          <w:rStyle w:val="FootnoteAnchor"/>
          <w:rtl w:val="true"/>
        </w:rPr>
        <w:footnoteReference w:id="2761"/>
      </w:r>
      <w:r>
        <w:rPr>
          <w:rFonts w:ascii="Amiri" w:hAnsi="Amiri" w:eastAsia="Amiri" w:cs="Amiri"/>
          <w:color w:val="111111"/>
          <w:sz w:val="28"/>
          <w:sz w:val="28"/>
          <w:szCs w:val="28"/>
          <w:rtl w:val="true"/>
          <w:lang w:bidi="ar-SA"/>
        </w:rPr>
        <w:t>، و ضعّفه أیضاً الصدوق</w:t>
      </w:r>
      <w:r>
        <w:rPr>
          <w:rStyle w:val="FootnoteAnchor"/>
          <w:rtl w:val="true"/>
        </w:rPr>
        <w:footnoteReference w:id="2762"/>
      </w:r>
      <w:r>
        <w:rPr>
          <w:rFonts w:ascii="IRNazanin" w:hAnsi="IRNazanin" w:eastAsia="IRNazanin"/>
          <w:color w:val="111111"/>
          <w:sz w:val="28"/>
          <w:sz w:val="28"/>
          <w:szCs w:val="28"/>
          <w:rtl w:val="true"/>
          <w:lang w:bidi="fa-IR"/>
        </w:rPr>
        <w:t>و النجاشی</w:t>
      </w:r>
      <w:r>
        <w:rPr>
          <w:rStyle w:val="FootnoteAnchor"/>
          <w:rtl w:val="true"/>
        </w:rPr>
        <w:footnoteReference w:id="2763"/>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العلّامة</w:t>
      </w:r>
      <w:r>
        <w:rPr>
          <w:rStyle w:val="FootnoteAnchor"/>
          <w:rtl w:val="true"/>
        </w:rPr>
        <w:footnoteReference w:id="2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رجال الکشّی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أکذب البریّة</w:t>
      </w:r>
      <w:r>
        <w:rPr>
          <w:rFonts w:eastAsia="Amiri" w:cs="Amiri" w:ascii="Amiri" w:hAnsi="Amiri"/>
          <w:color w:val="111111"/>
          <w:sz w:val="28"/>
          <w:szCs w:val="28"/>
          <w:rtl w:val="true"/>
          <w:lang w:bidi="ar-SA"/>
        </w:rPr>
        <w:t>»</w:t>
      </w:r>
      <w:r>
        <w:rPr>
          <w:rStyle w:val="FootnoteAnchor"/>
          <w:rtl w:val="true"/>
        </w:rPr>
        <w:footnoteReference w:id="2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ذلک کلّه قال ابن الغضائری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 بن وهب أبو البختری کذّاب عامّی، إلّا أنّ له عن جعفر بن محمّد علیهما السلام أحادیث کلّها یوثق بها</w:t>
      </w:r>
      <w:r>
        <w:rPr>
          <w:rFonts w:eastAsia="IRNazanin" w:cs="IRNazanin"/>
          <w:color w:val="111111"/>
          <w:sz w:val="28"/>
          <w:szCs w:val="28"/>
          <w:rtl w:val="true"/>
          <w:lang w:bidi="fa-IR"/>
        </w:rPr>
        <w:t>»</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 ضعیف، و لم تثبت شهرة جابرة له، و إن کان لا یبعد اعتبار الحدیث بلا حاجة إلی جابرٍ</w:t>
      </w:r>
      <w:r>
        <w:rPr>
          <w:rFonts w:eastAsia="IRNazanin" w:cs="IRNazanin"/>
          <w:color w:val="111111"/>
          <w:sz w:val="28"/>
          <w:szCs w:val="28"/>
          <w:rtl w:val="true"/>
          <w:lang w:bidi="fa-IR"/>
        </w:rPr>
        <w:t>»</w:t>
      </w:r>
      <w:r>
        <w:rPr>
          <w:rStyle w:val="FootnoteAnchor"/>
          <w:rtl w:val="true"/>
        </w:rPr>
        <w:footnoteReference w:id="2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معالم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البختری وهب بن وهب صاحب المغازی، القاضی ببغداد، لقی الصادق علیه السلام، له کتاب مولد أمیر المؤمنین، و خبره مع رسول اللّه</w:t>
      </w:r>
      <w:r>
        <w:rPr>
          <w:rFonts w:eastAsia="IRNazanin" w:cs="IRNazanin"/>
          <w:color w:val="111111"/>
          <w:sz w:val="28"/>
          <w:szCs w:val="28"/>
          <w:rtl w:val="true"/>
          <w:lang w:bidi="fa-IR"/>
        </w:rPr>
        <w:t>»</w:t>
      </w:r>
      <w:r>
        <w:rPr>
          <w:rStyle w:val="FootnoteAnchor"/>
          <w:rtl w:val="true"/>
        </w:rPr>
        <w:footnoteReference w:id="2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الرواة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یروی کثیراً ابن أبی عمیر عن أبی البختری</w:t>
      </w:r>
      <w:r>
        <w:rPr>
          <w:rFonts w:eastAsia="IRNazanin" w:cs="IRNazanin"/>
          <w:color w:val="111111"/>
          <w:sz w:val="28"/>
          <w:szCs w:val="28"/>
          <w:rtl w:val="true"/>
          <w:lang w:bidi="fa-IR"/>
        </w:rPr>
        <w:t>»</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مضمرة عبد اللّه 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إلیه بمسألة فی مسائل إبراهیم فدفعها إلی ابن سدیر، فسأل عنها و إبراهیم بن میمون 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الرجل یؤمّ النساء،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عنهنّ إذا کان معهنّ غلمان لم یدرکوا، أ یقومون معهنّ فی الصفّ أم یتقدّمونهنّ؟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یتقدّمونهنّ، و إن کانوا عبیداً</w:t>
      </w:r>
      <w:r>
        <w:rPr>
          <w:rFonts w:eastAsia="IRNazanin" w:cs="IRNazanin"/>
          <w:color w:val="111111"/>
          <w:sz w:val="28"/>
          <w:szCs w:val="28"/>
          <w:rtl w:val="true"/>
          <w:lang w:bidi="fa-IR"/>
        </w:rPr>
        <w:t>»</w:t>
      </w:r>
      <w:r>
        <w:rPr>
          <w:rStyle w:val="FootnoteAnchor"/>
          <w:rtl w:val="true"/>
        </w:rPr>
        <w:footnoteReference w:id="2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یؤمّ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إن کان معهنّ غلمان، فأقیموهم بین أیدیهنّ و إن کانوا عبیداً</w:t>
      </w:r>
      <w:r>
        <w:rPr>
          <w:rFonts w:eastAsia="IRNazanin" w:cs="IRNazanin"/>
          <w:color w:val="111111"/>
          <w:sz w:val="28"/>
          <w:szCs w:val="28"/>
          <w:rtl w:val="true"/>
          <w:lang w:bidi="fa-IR"/>
        </w:rPr>
        <w:t>»</w:t>
      </w:r>
      <w:r>
        <w:rPr>
          <w:rStyle w:val="FootnoteAnchor"/>
          <w:rtl w:val="true"/>
        </w:rPr>
        <w:footnoteReference w:id="2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الغلمان مطلقة تشمل البالغ و غیر البالغ</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هاتان الروایتان تدلّان علی صحّة انعقاد الجماعة بالصبیان؛ فإنّه</w:t>
      </w:r>
    </w:p>
    <w:p>
      <w:pPr>
        <w:pStyle w:val="BookText"/>
        <w:rPr/>
      </w:pPr>
      <w:r>
        <w:rPr>
          <w:rFonts w:ascii="IRNazanin" w:hAnsi="IRNazanin" w:eastAsia="IRNazanin"/>
          <w:color w:val="111111"/>
          <w:sz w:val="28"/>
          <w:sz w:val="28"/>
          <w:szCs w:val="28"/>
          <w:rtl w:val="true"/>
          <w:lang w:bidi="fa-IR"/>
        </w:rPr>
        <w:t>لو لم تنعقد الجماعة و لم تصحّ صلاتهم، فیصیرون حائلین بین الإمام و المأموم، و قد ثبت فی محلّه أنّه یشترط فی الجماعة أن لا یکون بین الإمام و المأموم 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الإطلاقات الواردة فی أبواب صلاة الجماعة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کروایة أبی علیّ بن راشد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إلّا خلف من تثق بدینه</w:t>
      </w:r>
      <w:r>
        <w:rPr>
          <w:rStyle w:val="FootnoteAnchor"/>
          <w:rtl w:val="true"/>
        </w:rPr>
        <w:footnoteReference w:id="27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73"/>
      </w:r>
      <w:r>
        <w:rPr>
          <w:rFonts w:ascii="IRNazanin" w:hAnsi="IRNazanin" w:eastAsia="IRNazanin"/>
          <w:color w:val="111111"/>
          <w:sz w:val="28"/>
          <w:sz w:val="28"/>
          <w:szCs w:val="28"/>
          <w:rtl w:val="true"/>
          <w:lang w:bidi="fa-IR"/>
        </w:rPr>
        <w:t>، و یکون مفادها صلِّ خلف من تثق بدینه، حیث لا قصور فی شمولها للصبیّ الممیّز، فإنّه إذا وثق الصبیّ بدین إمام الجماعة شمله الإطلاق و انعقدت الجماعة، سواء کان معه غیره أم لا، و یحکم بصحّة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نقله الشهید فی الذکری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خلف عالمٍ فکأنّما صلّی خلف رسول اللّه صلی الله علیه و آله</w:t>
      </w:r>
      <w:r>
        <w:rPr>
          <w:rFonts w:eastAsia="IRNazanin" w:cs="IRNazanin"/>
          <w:color w:val="111111"/>
          <w:sz w:val="28"/>
          <w:szCs w:val="28"/>
          <w:rtl w:val="true"/>
          <w:lang w:bidi="fa-IR"/>
        </w:rPr>
        <w:t>»</w:t>
      </w:r>
      <w:r>
        <w:rPr>
          <w:rStyle w:val="FootnoteAnchor"/>
          <w:rtl w:val="true"/>
        </w:rPr>
        <w:footnoteReference w:id="2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القوم وافدهم، فقدّموا أفضلکم</w:t>
      </w:r>
      <w:r>
        <w:rPr>
          <w:rFonts w:eastAsia="IRNazanin" w:cs="IRNazanin"/>
          <w:color w:val="111111"/>
          <w:sz w:val="28"/>
          <w:szCs w:val="28"/>
          <w:rtl w:val="true"/>
          <w:lang w:bidi="fa-IR"/>
        </w:rPr>
        <w:t>»</w:t>
      </w:r>
      <w:r>
        <w:rPr>
          <w:rStyle w:val="FootnoteAnchor"/>
          <w:rtl w:val="true"/>
        </w:rPr>
        <w:footnoteReference w:id="2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فی عیون الأخبار، عن الرضا، عن آبائه علیهم السلام، عن النبیّ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الاثنان فما فوقهما جماعة</w:t>
      </w:r>
      <w:r>
        <w:rPr>
          <w:rFonts w:eastAsia="Amiri" w:cs="Amiri" w:ascii="Amiri" w:hAnsi="Amiri"/>
          <w:color w:val="111111"/>
          <w:sz w:val="28"/>
          <w:szCs w:val="28"/>
          <w:rtl w:val="true"/>
          <w:lang w:bidi="ar-SA"/>
        </w:rPr>
        <w:t>»</w:t>
      </w:r>
      <w:r>
        <w:rPr>
          <w:rStyle w:val="FootnoteAnchor"/>
          <w:rtl w:val="true"/>
        </w:rPr>
        <w:footnoteReference w:id="2776"/>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بعض متأخِّری المتأخِّرین فی التمسّک بالإطلاقات بأنّها واردة فی مقام أصل التشریع، و مساقة لبیان فضل الائتمام و ترتّب الثواب علیه،</w:t>
      </w:r>
    </w:p>
    <w:p>
      <w:pPr>
        <w:pStyle w:val="BookText"/>
        <w:rPr/>
      </w:pPr>
      <w:r>
        <w:rPr>
          <w:rFonts w:ascii="IRNazanin" w:hAnsi="IRNazanin" w:eastAsia="IRNazanin"/>
          <w:color w:val="111111"/>
          <w:sz w:val="28"/>
          <w:sz w:val="28"/>
          <w:szCs w:val="28"/>
          <w:rtl w:val="true"/>
          <w:lang w:bidi="fa-IR"/>
        </w:rPr>
        <w:t>من دون نظر إلی من یأتمّ بالإمام</w:t>
      </w:r>
      <w:r>
        <w:rPr>
          <w:rStyle w:val="FootnoteAnchor"/>
          <w:rtl w:val="true"/>
        </w:rPr>
        <w:footnoteReference w:id="2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هذا حاله لا یعتمد علیه فی نفی الشرائط المشکوکة، فیکون المرجع حینئذٍ أصالة عدم ترتّب الأثر فیما لیس فیه دلیل 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السبزواری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الموضوع العام البلوی فی جمیع الأزمنة و الأمکنة لا یقصر عن نفس الصلاة و سائر العبادات التی فیها مطلقات و مقیّدات، بل أولی بأن یهتمّ به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من أهمّ العبادات الاجتماعیّة الابتلائیّة فی کلّ یوم و لیلة للمسلمین، و لا بدّ أن یسهّل الأمر فیه کما هو عادة الشرع فی مثل هذه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ذکر جملة من إطلاقات روایات الباب</w:t>
      </w:r>
      <w:r>
        <w:rPr>
          <w:rStyle w:val="FootnoteAnchor"/>
          <w:rtl w:val="true"/>
        </w:rPr>
        <w:footnoteReference w:id="2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الصبیّ الممیّز إذا اقتدی بإمام تشمله الإطلاقات و تنعقد به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إذا انعقدت الجماعة بالصبیّ یترتّب ما تترتّب علی جماعة البالغین، من الاتّصال، و رجوع کلّ من الإمام أو المأموم إلی الآخر عند الشکّ، و سقوط الأذان و الإقامة، و زیادة الأجر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المستند للکلّ إطلاقات الأدلّة بالتقریب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بعدم مشروعیّة عبادات الصبیّ و کونها تمرینیّة فظاهر کلمات بعضهم انعقاد الجماعة به أیضاً</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حصول الجماعة بالصبیّ الممیّز الذی کلّف بالصلاة تمریناً و إن قلنا بعدم کون عبادته شرعیّة؛ لصدق ظاهر الأخبار علیه،</w:t>
      </w:r>
      <w:bookmarkStart w:id="798" w:name="pg11755_255307"/>
    </w:p>
    <w:p>
      <w:pPr>
        <w:pStyle w:val="BookText"/>
        <w:rPr/>
      </w:pPr>
      <w:bookmarkEnd w:id="798"/>
      <w:r>
        <w:rPr>
          <w:rFonts w:ascii="IRNazanin" w:hAnsi="IRNazanin" w:eastAsia="IRNazanin"/>
          <w:color w:val="111111"/>
          <w:sz w:val="28"/>
          <w:sz w:val="28"/>
          <w:szCs w:val="28"/>
          <w:rtl w:val="true"/>
          <w:lang w:bidi="fa-IR"/>
        </w:rPr>
        <w:t>و التخصیص خلاف الأصل</w:t>
      </w:r>
      <w:r>
        <w:rPr>
          <w:rFonts w:eastAsia="IRNazanin" w:cs="IRNazanin"/>
          <w:color w:val="111111"/>
          <w:sz w:val="28"/>
          <w:szCs w:val="28"/>
          <w:rtl w:val="true"/>
          <w:lang w:bidi="fa-IR"/>
        </w:rPr>
        <w:t>»</w:t>
      </w:r>
      <w:r>
        <w:rPr>
          <w:rStyle w:val="FootnoteAnchor"/>
          <w:rtl w:val="true"/>
        </w:rPr>
        <w:footnoteReference w:id="2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استند إلی روایة أبی البختری و روایة إبراهیم بن میمون المتقدّمتین، و مقتضاهما عدم الفرق بین القول بکون عباداته شرعیّة أو تمرینیّة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شبهة فی أنّه علی القول بتمرینیّة عبادات الصبیّ لا تشمله الإطلاقات کی یتمسّک بها فی المقام، فلا دلیل علی الصحّة بحیث تترتّب علی ذلک أحکام الجماعة</w:t>
      </w:r>
      <w:r>
        <w:rPr>
          <w:rStyle w:val="FootnoteAnchor"/>
          <w:rtl w:val="true"/>
        </w:rPr>
        <w:footnoteReference w:id="2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9" w:name="__RefHeading___Toc9587846_73709187"/>
      <w:bookmarkStart w:id="800" w:name="_Toc297"/>
      <w:bookmarkEnd w:id="799"/>
      <w:r>
        <w:rPr>
          <w:rtl w:val="true"/>
        </w:rPr>
        <w:t>آراء أهل السنّة فی المسألة</w:t>
      </w:r>
      <w:bookmarkEnd w:id="800"/>
    </w:p>
    <w:p>
      <w:pPr>
        <w:pStyle w:val="BookText"/>
        <w:rPr/>
      </w:pPr>
      <w:r>
        <w:rPr>
          <w:rFonts w:ascii="IRNazanin" w:hAnsi="IRNazanin" w:eastAsia="IRNazanin"/>
          <w:color w:val="111111"/>
          <w:sz w:val="28"/>
          <w:sz w:val="28"/>
          <w:szCs w:val="28"/>
          <w:rtl w:val="true"/>
          <w:lang w:bidi="fa-IR"/>
        </w:rPr>
        <w:t>ذهب الحنفیّة و الحنابلة و الشافعیّة إلی أن أقلّ ما تتحقّق به الجماعة فی الصلاة اثنان</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من تنعقد به الجماعة اثنان، و هو أن یکون مع الإمام واحد؛ لقول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الاثنان فما فوقهما جماعة</w:t>
      </w:r>
      <w:r>
        <w:rPr>
          <w:rFonts w:eastAsia="IRNazanin" w:cs="IRNazanin"/>
          <w:color w:val="111111"/>
          <w:sz w:val="28"/>
          <w:szCs w:val="28"/>
          <w:rtl w:val="true"/>
          <w:lang w:bidi="fa-IR"/>
        </w:rPr>
        <w:t>»</w:t>
      </w:r>
      <w:r>
        <w:rPr>
          <w:rStyle w:val="FootnoteAnchor"/>
          <w:rtl w:val="true"/>
        </w:rPr>
        <w:footnoteReference w:id="2781"/>
      </w:r>
      <w:r>
        <w:rPr>
          <w:rFonts w:ascii="IRNazanin" w:hAnsi="IRNazanin" w:eastAsia="IRNazanin"/>
          <w:color w:val="111111"/>
          <w:sz w:val="28"/>
          <w:sz w:val="28"/>
          <w:szCs w:val="28"/>
          <w:rtl w:val="true"/>
          <w:lang w:bidi="fa-IR"/>
        </w:rPr>
        <w:t>و لأنّ الجماعة مأخوذة من معنی الاجتماع، و أقلّ ما یتحقّق به الاجتماع اثنان، و سواء کان ذلک الواحد رجلاً أو امرأة أو صبیّاً یعقل؛ لأنّ النبیّ صلی الله علیه و آله سمّی الاثنین مطلقاً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المجنون و الصبیّ الذی لا یعقل فلا عبرة بهما؛ لأنّهما لیسا من أهل الصلاة، فکانا ملحقین بالعدم</w:t>
      </w:r>
      <w:r>
        <w:rPr>
          <w:rFonts w:eastAsia="IRNazanin" w:cs="IRNazanin"/>
          <w:color w:val="111111"/>
          <w:sz w:val="28"/>
          <w:szCs w:val="28"/>
          <w:rtl w:val="true"/>
          <w:lang w:bidi="fa-IR"/>
        </w:rPr>
        <w:t>»</w:t>
      </w:r>
      <w:r>
        <w:rPr>
          <w:rStyle w:val="FootnoteAnchor"/>
          <w:rtl w:val="true"/>
        </w:rPr>
        <w:footnoteReference w:id="2782"/>
      </w:r>
      <w:r>
        <w:rPr>
          <w:rFonts w:ascii="IRNazanin" w:hAnsi="IRNazanin" w:eastAsia="IRNazanin"/>
          <w:color w:val="111111"/>
          <w:sz w:val="28"/>
          <w:sz w:val="28"/>
          <w:szCs w:val="28"/>
          <w:rtl w:val="true"/>
          <w:lang w:bidi="fa-IR"/>
        </w:rPr>
        <w:t>، و کذا فی کشّاف القناع</w:t>
      </w:r>
      <w:r>
        <w:rPr>
          <w:rStyle w:val="FootnoteAnchor"/>
          <w:rtl w:val="true"/>
        </w:rPr>
        <w:footnoteReference w:id="2783"/>
      </w:r>
      <w:r>
        <w:rPr>
          <w:rFonts w:ascii="IRNazanin" w:hAnsi="IRNazanin" w:eastAsia="IRNazanin"/>
          <w:color w:val="111111"/>
          <w:sz w:val="28"/>
          <w:sz w:val="28"/>
          <w:szCs w:val="28"/>
          <w:rtl w:val="true"/>
          <w:lang w:bidi="fa-IR"/>
        </w:rPr>
        <w:t>و المجموع</w:t>
      </w:r>
      <w:r>
        <w:rPr>
          <w:rStyle w:val="FootnoteAnchor"/>
          <w:rtl w:val="true"/>
        </w:rPr>
        <w:footnoteReference w:id="2784"/>
      </w:r>
      <w:bookmarkStart w:id="801" w:name="pg11755_255309"/>
    </w:p>
    <w:p>
      <w:pPr>
        <w:pStyle w:val="BookText"/>
        <w:rPr/>
      </w:pPr>
      <w:bookmarkEnd w:id="801"/>
      <w:r>
        <w:rPr>
          <w:rFonts w:ascii="IRNazanin" w:hAnsi="IRNazanin" w:eastAsia="IRNazanin"/>
          <w:color w:val="111111"/>
          <w:sz w:val="28"/>
          <w:sz w:val="28"/>
          <w:szCs w:val="28"/>
          <w:rtl w:val="true"/>
          <w:lang w:bidi="fa-IR"/>
        </w:rPr>
        <w:t>و الإقناع</w:t>
      </w:r>
      <w:r>
        <w:rPr>
          <w:rStyle w:val="FootnoteAnchor"/>
          <w:rtl w:val="true"/>
        </w:rPr>
        <w:footnoteReference w:id="2785"/>
      </w:r>
      <w:r>
        <w:rPr>
          <w:rFonts w:ascii="IRNazanin" w:hAnsi="IRNazanin" w:eastAsia="IRNazanin"/>
          <w:color w:val="111111"/>
          <w:sz w:val="28"/>
          <w:sz w:val="28"/>
          <w:szCs w:val="28"/>
          <w:rtl w:val="true"/>
          <w:lang w:bidi="fa-IR"/>
        </w:rPr>
        <w:t>و غیرها</w:t>
      </w:r>
      <w:r>
        <w:rPr>
          <w:rStyle w:val="FootnoteAnchor"/>
          <w:rtl w:val="true"/>
        </w:rPr>
        <w:footnoteReference w:id="2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المالکیّة فذهبوا إلی أنّ مقدار الجماعة اثنان فصاعداً بشرط أن یکون المقتدی بالغاً و لو امرأة، بخلاف الصبیّ، کما فی الکواکب الدرّیّة</w:t>
      </w:r>
      <w:r>
        <w:rPr>
          <w:rStyle w:val="FootnoteAnchor"/>
          <w:rtl w:val="true"/>
        </w:rPr>
        <w:footnoteReference w:id="2787"/>
      </w:r>
      <w:r>
        <w:rPr>
          <w:rFonts w:ascii="IRNazanin" w:hAnsi="IRNazanin" w:eastAsia="IRNazanin"/>
          <w:color w:val="111111"/>
          <w:sz w:val="28"/>
          <w:sz w:val="28"/>
          <w:szCs w:val="28"/>
          <w:rtl w:val="true"/>
          <w:lang w:bidi="fa-IR"/>
        </w:rPr>
        <w:t>و سراج المسالک</w:t>
      </w:r>
      <w:r>
        <w:rPr>
          <w:rStyle w:val="FootnoteAnchor"/>
          <w:rtl w:val="true"/>
        </w:rPr>
        <w:footnoteReference w:id="2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2" w:name="__RefHeading___Toc9587848_73709187"/>
      <w:bookmarkStart w:id="803" w:name="_Toc298"/>
      <w:bookmarkEnd w:id="802"/>
      <w:r>
        <w:rPr>
          <w:rtl w:val="true"/>
        </w:rPr>
        <w:t>کراهة تمکین الصبیان من الصفّ الأوّل أو عدمها</w:t>
      </w:r>
      <w:bookmarkEnd w:id="803"/>
    </w:p>
    <w:p>
      <w:pPr>
        <w:pStyle w:val="BookText"/>
        <w:rPr/>
      </w:pPr>
      <w:r>
        <w:rPr>
          <w:rFonts w:ascii="IRNazanin" w:hAnsi="IRNazanin" w:eastAsia="IRNazanin"/>
          <w:color w:val="111111"/>
          <w:sz w:val="28"/>
          <w:sz w:val="28"/>
          <w:szCs w:val="28"/>
          <w:rtl w:val="true"/>
          <w:lang w:bidi="fa-IR"/>
        </w:rPr>
        <w:t>ظهر ممّا ذکرنا جواز وقوف الصبیان فی الصفّ الأوّل من الجماعة، و أمّا أنّه هل کان علی نحو الکراهة أو لا؟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ذلک، و هو المشهور بین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یقف فی الصفّ الأوّل الصبیان و العبید و النساء</w:t>
      </w:r>
      <w:r>
        <w:rPr>
          <w:rFonts w:eastAsia="IRNazanin" w:cs="IRNazanin"/>
          <w:color w:val="111111"/>
          <w:sz w:val="28"/>
          <w:szCs w:val="28"/>
          <w:rtl w:val="true"/>
          <w:lang w:bidi="fa-IR"/>
        </w:rPr>
        <w:t>»</w:t>
      </w:r>
      <w:r>
        <w:rPr>
          <w:rStyle w:val="FootnoteAnchor"/>
          <w:rtl w:val="true"/>
        </w:rPr>
        <w:footnoteReference w:id="2789"/>
      </w:r>
      <w:r>
        <w:rPr>
          <w:rFonts w:ascii="IRNazanin" w:hAnsi="IRNazanin" w:eastAsia="IRNazanin"/>
          <w:color w:val="111111"/>
          <w:sz w:val="28"/>
          <w:sz w:val="28"/>
          <w:szCs w:val="28"/>
          <w:rtl w:val="true"/>
          <w:lang w:bidi="fa-IR"/>
        </w:rPr>
        <w:t>، و کذا فی المبسوط‌</w:t>
      </w:r>
      <w:r>
        <w:rPr>
          <w:rStyle w:val="FootnoteAnchor"/>
          <w:rtl w:val="true"/>
        </w:rPr>
        <w:footnoteReference w:id="2790"/>
      </w:r>
      <w:r>
        <w:rPr>
          <w:rFonts w:ascii="IRNazanin" w:hAnsi="IRNazanin" w:eastAsia="IRNazanin"/>
          <w:color w:val="111111"/>
          <w:sz w:val="28"/>
          <w:sz w:val="28"/>
          <w:szCs w:val="28"/>
          <w:rtl w:val="true"/>
          <w:lang w:bidi="fa-IR"/>
        </w:rPr>
        <w:t>و إصباح الشیعة</w:t>
      </w:r>
      <w:r>
        <w:rPr>
          <w:rStyle w:val="FootnoteAnchor"/>
          <w:rtl w:val="true"/>
        </w:rPr>
        <w:footnoteReference w:id="2791"/>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یکره تمکین الصبیان منه</w:t>
      </w:r>
      <w:r>
        <w:rPr>
          <w:rFonts w:eastAsia="IRNazanin" w:cs="IRNazanin"/>
          <w:color w:val="111111"/>
          <w:sz w:val="28"/>
          <w:szCs w:val="28"/>
          <w:rtl w:val="true"/>
          <w:lang w:bidi="fa-IR"/>
        </w:rPr>
        <w:t>»</w:t>
      </w:r>
      <w:r>
        <w:rPr>
          <w:rStyle w:val="FootnoteAnchor"/>
          <w:rtl w:val="true"/>
        </w:rPr>
        <w:footnoteReference w:id="2792"/>
      </w:r>
      <w:r>
        <w:rPr>
          <w:rFonts w:ascii="IRNazanin" w:hAnsi="IRNazanin" w:eastAsia="IRNazanin"/>
          <w:color w:val="111111"/>
          <w:sz w:val="28"/>
          <w:sz w:val="28"/>
          <w:szCs w:val="28"/>
          <w:rtl w:val="true"/>
          <w:lang w:bidi="fa-IR"/>
        </w:rPr>
        <w:t>، أی فی الصفّ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القواعد</w:t>
      </w:r>
      <w:r>
        <w:rPr>
          <w:rStyle w:val="FootnoteAnchor"/>
          <w:rtl w:val="true"/>
        </w:rPr>
        <w:footnoteReference w:id="2793"/>
      </w:r>
      <w:r>
        <w:rPr>
          <w:rFonts w:ascii="Amiri" w:hAnsi="Amiri" w:eastAsia="Amiri" w:cs="Amiri"/>
          <w:color w:val="111111"/>
          <w:sz w:val="28"/>
          <w:sz w:val="28"/>
          <w:szCs w:val="28"/>
          <w:rtl w:val="true"/>
          <w:lang w:bidi="ar-SA"/>
        </w:rPr>
        <w:t>و المهذّب</w:t>
      </w:r>
      <w:r>
        <w:rPr>
          <w:rStyle w:val="FootnoteAnchor"/>
          <w:rtl w:val="true"/>
        </w:rPr>
        <w:footnoteReference w:id="2794"/>
      </w:r>
      <w:r>
        <w:rPr>
          <w:rFonts w:ascii="IRNazanin" w:hAnsi="IRNazanin" w:eastAsia="IRNazanin"/>
          <w:color w:val="111111"/>
          <w:sz w:val="28"/>
          <w:sz w:val="28"/>
          <w:szCs w:val="28"/>
          <w:rtl w:val="true"/>
          <w:lang w:bidi="fa-IR"/>
        </w:rPr>
        <w:t>و الإرشاد</w:t>
      </w:r>
      <w:r>
        <w:rPr>
          <w:rStyle w:val="FootnoteAnchor"/>
          <w:rtl w:val="true"/>
        </w:rPr>
        <w:footnoteReference w:id="2795"/>
      </w:r>
      <w:r>
        <w:rPr>
          <w:rFonts w:ascii="IRNazanin" w:hAnsi="IRNazanin" w:eastAsia="IRNazanin"/>
          <w:color w:val="111111"/>
          <w:sz w:val="28"/>
          <w:sz w:val="28"/>
          <w:szCs w:val="28"/>
          <w:rtl w:val="true"/>
          <w:lang w:bidi="fa-IR"/>
        </w:rPr>
        <w:t>و شرحه</w:t>
      </w:r>
      <w:r>
        <w:rPr>
          <w:rStyle w:val="FootnoteAnchor"/>
          <w:rtl w:val="true"/>
        </w:rPr>
        <w:footnoteReference w:id="2796"/>
      </w:r>
    </w:p>
    <w:p>
      <w:pPr>
        <w:pStyle w:val="BookText"/>
        <w:rPr/>
      </w:pPr>
      <w:r>
        <w:rPr>
          <w:rFonts w:ascii="IRNazanin" w:hAnsi="IRNazanin" w:eastAsia="IRNazanin"/>
          <w:color w:val="111111"/>
          <w:sz w:val="28"/>
          <w:sz w:val="28"/>
          <w:szCs w:val="28"/>
          <w:rtl w:val="true"/>
          <w:lang w:bidi="fa-IR"/>
        </w:rPr>
        <w:t>و الدروس</w:t>
      </w:r>
      <w:r>
        <w:rPr>
          <w:rStyle w:val="FootnoteAnchor"/>
          <w:rtl w:val="true"/>
        </w:rPr>
        <w:footnoteReference w:id="2797"/>
      </w:r>
      <w:r>
        <w:rPr>
          <w:rFonts w:ascii="IRNazanin" w:hAnsi="IRNazanin" w:eastAsia="IRNazanin"/>
          <w:color w:val="111111"/>
          <w:sz w:val="28"/>
          <w:sz w:val="28"/>
          <w:szCs w:val="28"/>
          <w:rtl w:val="true"/>
          <w:lang w:bidi="fa-IR"/>
        </w:rPr>
        <w:t>و الذکری</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یکره تمکین غیر أهله منه، و یکره لهم التأخّر أیضاً</w:t>
      </w:r>
      <w:r>
        <w:rPr>
          <w:rFonts w:eastAsia="IRNazanin" w:cs="IRNazanin"/>
          <w:color w:val="111111"/>
          <w:sz w:val="28"/>
          <w:szCs w:val="28"/>
          <w:rtl w:val="true"/>
          <w:lang w:bidi="fa-IR"/>
        </w:rPr>
        <w:t>»</w:t>
      </w:r>
      <w:r>
        <w:rPr>
          <w:rStyle w:val="FootnoteAnchor"/>
          <w:rtl w:val="true"/>
        </w:rPr>
        <w:footnoteReference w:id="2799"/>
      </w:r>
      <w:r>
        <w:rPr>
          <w:rFonts w:ascii="IRNazanin" w:hAnsi="IRNazanin" w:eastAsia="IRNazanin"/>
          <w:color w:val="111111"/>
          <w:sz w:val="28"/>
          <w:sz w:val="28"/>
          <w:szCs w:val="28"/>
          <w:rtl w:val="true"/>
          <w:lang w:bidi="fa-IR"/>
        </w:rPr>
        <w:t>أی لا خصوصیّة للصبیان، بل یکره تمکین غیر أهل الصفّ الأوّل منه، و تعیین الصبیان لعلّه ناشئ من أنّ أغلبهم لیسوا أهلاً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تمکین الصبیان من الصفّ الأوّل علی ما ذکره المشهور و إن کانوا ممیّزین</w:t>
      </w:r>
      <w:r>
        <w:rPr>
          <w:rFonts w:eastAsia="IRNazanin" w:cs="IRNazanin"/>
          <w:color w:val="111111"/>
          <w:sz w:val="28"/>
          <w:szCs w:val="28"/>
          <w:rtl w:val="true"/>
          <w:lang w:bidi="fa-IR"/>
        </w:rPr>
        <w:t>»</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السیّد الحکیم</w:t>
      </w:r>
      <w:r>
        <w:rPr>
          <w:rStyle w:val="FootnoteAnchor"/>
          <w:rtl w:val="true"/>
        </w:rPr>
        <w:footnoteReference w:id="2801"/>
      </w:r>
      <w:r>
        <w:rPr>
          <w:rFonts w:ascii="IRNazanin" w:hAnsi="IRNazanin" w:eastAsia="IRNazanin"/>
          <w:color w:val="111111"/>
          <w:sz w:val="28"/>
          <w:sz w:val="28"/>
          <w:szCs w:val="28"/>
          <w:rtl w:val="true"/>
          <w:lang w:bidi="fa-IR"/>
        </w:rPr>
        <w:t>و الشیخ الفقیه الفاضل اللنکرانی</w:t>
      </w:r>
      <w:r>
        <w:rPr>
          <w:rStyle w:val="FootnoteAnchor"/>
          <w:rtl w:val="true"/>
        </w:rPr>
        <w:footnoteReference w:id="2802"/>
      </w:r>
      <w:r>
        <w:rPr>
          <w:rFonts w:ascii="IRNazanin" w:hAnsi="IRNazanin" w:eastAsia="IRNazanin"/>
          <w:color w:val="111111"/>
          <w:sz w:val="28"/>
          <w:sz w:val="28"/>
          <w:szCs w:val="28"/>
          <w:rtl w:val="true"/>
          <w:lang w:bidi="fa-IR"/>
        </w:rPr>
        <w:t>و غیرهم</w:t>
      </w:r>
      <w:r>
        <w:rPr>
          <w:rStyle w:val="FootnoteAnchor"/>
          <w:rtl w:val="true"/>
        </w:rPr>
        <w:footnoteReference w:id="2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مستندهم فی هذا الحکم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وجه تخصیص الکراهة بتمکین الصبیان بناءً علی أنّ المکروه هو المرجوح بنصّ خاصّ، و علی اعتبار معناه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کلّ ما رجّح ترکه، کما یقتضیه التعریف الاُصولی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فالکراهة عامّة</w:t>
      </w:r>
      <w:r>
        <w:rPr>
          <w:rFonts w:eastAsia="IRNazanin" w:cs="IRNazanin"/>
          <w:color w:val="111111"/>
          <w:sz w:val="28"/>
          <w:szCs w:val="28"/>
          <w:rtl w:val="true"/>
          <w:lang w:bidi="fa-IR"/>
        </w:rPr>
        <w:t>»</w:t>
      </w:r>
      <w:r>
        <w:rPr>
          <w:rStyle w:val="FootnoteAnchor"/>
          <w:rtl w:val="true"/>
        </w:rPr>
        <w:footnoteReference w:id="2804"/>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المقصود من النصّ الخاصّ ما سنذکره، و أمّا معناه الأعمّ فمبنیّ علی کراهة ترک المستحبّ، و فیه منع، کما فی الجواهر</w:t>
      </w:r>
      <w:r>
        <w:rPr>
          <w:rStyle w:val="FootnoteAnchor"/>
          <w:rtl w:val="true"/>
        </w:rPr>
        <w:footnoteReference w:id="2805"/>
      </w:r>
    </w:p>
    <w:p>
      <w:pPr>
        <w:pStyle w:val="BookText"/>
        <w:rPr/>
      </w:pPr>
      <w:r>
        <w:rPr>
          <w:rFonts w:ascii="IRNazanin" w:hAnsi="IRNazanin" w:eastAsia="IRNazanin"/>
          <w:color w:val="111111"/>
          <w:sz w:val="28"/>
          <w:sz w:val="28"/>
          <w:szCs w:val="28"/>
          <w:rtl w:val="true"/>
          <w:lang w:bidi="fa-IR"/>
        </w:rPr>
        <w:t>و مصباح الفقیه</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ما یمکن أن یستدلّ به فی المقام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فی الکافی عن جابر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الذین یلون الإمام اولو الأحلام منکم و النهی، فإن نسی الإمام أو تعایا</w:t>
      </w:r>
      <w:r>
        <w:rPr>
          <w:rStyle w:val="FootnoteAnchor"/>
          <w:rtl w:val="true"/>
        </w:rPr>
        <w:footnoteReference w:id="2807"/>
      </w:r>
      <w:r>
        <w:rPr>
          <w:rFonts w:ascii="IRNazanin" w:hAnsi="IRNazanin" w:eastAsia="IRNazanin"/>
          <w:color w:val="111111"/>
          <w:sz w:val="28"/>
          <w:sz w:val="28"/>
          <w:szCs w:val="28"/>
          <w:rtl w:val="true"/>
          <w:lang w:bidi="fa-IR"/>
        </w:rPr>
        <w:t>قوّموه، و أفضل الصفوف أوّلها، و أفضل أوّلها ما دنا من الإمام</w:t>
      </w:r>
      <w:r>
        <w:rPr>
          <w:rFonts w:eastAsia="IRNazanin" w:cs="IRNazanin"/>
          <w:color w:val="111111"/>
          <w:sz w:val="28"/>
          <w:szCs w:val="28"/>
          <w:rtl w:val="true"/>
          <w:lang w:bidi="fa-IR"/>
        </w:rPr>
        <w:t>»</w:t>
      </w:r>
      <w:r>
        <w:rPr>
          <w:rStyle w:val="FootnoteAnchor"/>
          <w:rtl w:val="true"/>
        </w:rPr>
        <w:footnoteReference w:id="2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أیضاً فی التهذیب</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أبو داود فی سننه عن أبی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لیلنی منکم اولو الأحلام و النهی، ثمّ الّذین یلونهم، ثمّ الذین یلونهم</w:t>
      </w:r>
      <w:r>
        <w:rPr>
          <w:rFonts w:eastAsia="IRNazanin" w:cs="IRNazanin"/>
          <w:color w:val="111111"/>
          <w:sz w:val="28"/>
          <w:szCs w:val="28"/>
          <w:rtl w:val="true"/>
          <w:lang w:bidi="fa-IR"/>
        </w:rPr>
        <w:t>»</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أیضاً عن أبی مالک الأشعری،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احدّثکم بصلاة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الصلاة و صفّ الرجال، و صفّ خلفهم الغلمان، ثمّ صلّی بهم، فذکر صلاته،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صلاة</w:t>
      </w:r>
      <w:r>
        <w:rPr>
          <w:rFonts w:eastAsia="IRNazanin" w:cs="IRNazanin"/>
          <w:color w:val="111111"/>
          <w:sz w:val="28"/>
          <w:szCs w:val="28"/>
          <w:rtl w:val="true"/>
          <w:lang w:bidi="fa-IR"/>
        </w:rPr>
        <w:t>»</w:t>
      </w:r>
      <w:r>
        <w:rPr>
          <w:rStyle w:val="FootnoteAnchor"/>
          <w:rtl w:val="true"/>
        </w:rPr>
        <w:footnoteReference w:id="2811"/>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غضّ النظر عن ضعف سند الأخیرین، و عدم صلاحیتهما لإثبات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تدلّ علی أنّ تأخیر الصبیان مطلوب لا أنّ تمکینهم فی الصفّ الأوّل منقصة و مرجوح، مع أنّه ربّ صبی ممیّز یکون من أهل الفضل و النهی، فتمکینهم فی الصفّ الأوّل أولی بمقتضی هذه النصوص،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الروایات التی تدلّ علی مطلوبیّة القیام فی الصفّ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رواه فی الفقیه</w:t>
      </w:r>
      <w:r>
        <w:rPr>
          <w:rStyle w:val="FootnoteAnchor"/>
          <w:rtl w:val="true"/>
        </w:rPr>
        <w:footnoteReference w:id="281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موسی بن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فی الصفّ الأوّل کالجهاد فی سبیل اللّه عزّ و جلّ</w:t>
      </w:r>
      <w:r>
        <w:rPr>
          <w:rFonts w:eastAsia="IRNazanin" w:cs="IRNazanin"/>
          <w:color w:val="111111"/>
          <w:sz w:val="28"/>
          <w:szCs w:val="28"/>
          <w:rtl w:val="true"/>
          <w:lang w:bidi="fa-IR"/>
        </w:rPr>
        <w:t>»</w:t>
      </w:r>
      <w:r>
        <w:rPr>
          <w:rStyle w:val="FootnoteAnchor"/>
          <w:rtl w:val="true"/>
        </w:rPr>
        <w:footnoteReference w:id="2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تشمل الصبیّ أیضاً، فیتعارض المستحبّان فی حقّ غیر اولی الفضل؛ إذ المستفاد من صدر روایة جابر و ما فی معناها استحباب تمکین أهل الفضل فی الصفّ الأوّل، و من ذیلها و ما بمعناها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کالروایة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الاندراج فی الصفّ الأوّل لکلّ أحد؛ إذ لا شکّ أنّ ما ذکر من فضیلة الصفّ الأوّل لا یختصّ باُولی الفضل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أنّ هاهنا مستحبّین لا یمکن جمعهما لما دون أهل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الصبیّ الممیّز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الأوقات، و إذا لم یثبت ترجیح لأحدهما فلهم اختیار أیّ منهما أرادوا، کما فی مستند الشیعة</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یمکن أن یستند فی المقام بإطلاق ما رواه فی التهذیب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الصبیان إذا صفّوا فی الصلاة المکتوبة، قال</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تؤخّروهم عن الصلاة و فرّقوا بینهم</w:t>
      </w:r>
      <w:r>
        <w:rPr>
          <w:rFonts w:eastAsia="IRNazanin" w:cs="IRNazanin"/>
          <w:color w:val="111111"/>
          <w:sz w:val="28"/>
          <w:szCs w:val="28"/>
          <w:rtl w:val="true"/>
          <w:lang w:bidi="fa-IR"/>
        </w:rPr>
        <w:t>»</w:t>
      </w:r>
      <w:r>
        <w:rPr>
          <w:rStyle w:val="FootnoteAnchor"/>
          <w:rtl w:val="true"/>
        </w:rPr>
        <w:footnoteReference w:id="2815"/>
      </w:r>
      <w:r>
        <w:rPr>
          <w:rFonts w:ascii="IRNazanin" w:hAnsi="IRNazanin" w:eastAsia="IRNazanin"/>
          <w:color w:val="111111"/>
          <w:sz w:val="28"/>
          <w:sz w:val="28"/>
          <w:szCs w:val="28"/>
          <w:rtl w:val="true"/>
          <w:lang w:bidi="fa-IR"/>
        </w:rPr>
        <w:t>، فإطلاقها یشمل عدم تأخیر الصبیان عن الصفّ الأوّل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الکراهة</w:t>
      </w:r>
    </w:p>
    <w:p>
      <w:pPr>
        <w:pStyle w:val="BookText"/>
        <w:rPr/>
      </w:pPr>
      <w:r>
        <w:rPr>
          <w:rFonts w:ascii="IRNazanin" w:hAnsi="IRNazanin" w:eastAsia="IRNazanin"/>
          <w:color w:val="111111"/>
          <w:sz w:val="28"/>
          <w:sz w:val="28"/>
          <w:szCs w:val="28"/>
          <w:rtl w:val="true"/>
          <w:lang w:bidi="fa-IR"/>
        </w:rPr>
        <w:t>صرّح به فی الجواهر</w:t>
      </w:r>
      <w:r>
        <w:rPr>
          <w:rStyle w:val="FootnoteAnchor"/>
          <w:rtl w:val="true"/>
        </w:rPr>
        <w:footnoteReference w:id="2816"/>
      </w:r>
      <w:r>
        <w:rPr>
          <w:rFonts w:ascii="Amiri" w:hAnsi="Amiri" w:eastAsia="Amiri" w:cs="Amiri"/>
          <w:color w:val="111111"/>
          <w:sz w:val="28"/>
          <w:sz w:val="28"/>
          <w:szCs w:val="28"/>
          <w:rtl w:val="true"/>
          <w:lang w:bidi="ar-SA"/>
        </w:rPr>
        <w:t>و المهذّب</w:t>
      </w:r>
      <w:r>
        <w:rPr>
          <w:rStyle w:val="FootnoteAnchor"/>
          <w:rtl w:val="true"/>
        </w:rPr>
        <w:footnoteReference w:id="2817"/>
      </w:r>
      <w:r>
        <w:rPr>
          <w:rFonts w:ascii="IRNazanin" w:hAnsi="IRNazanin" w:eastAsia="IRNazanin"/>
          <w:color w:val="111111"/>
          <w:sz w:val="28"/>
          <w:sz w:val="28"/>
          <w:szCs w:val="28"/>
          <w:rtl w:val="true"/>
          <w:lang w:bidi="fa-IR"/>
        </w:rPr>
        <w:t>، و هکذا یستفاد ذلک من ظاهر کلام الحلبی فی الکافی</w:t>
      </w:r>
      <w:r>
        <w:rPr>
          <w:rStyle w:val="FootnoteAnchor"/>
          <w:rtl w:val="true"/>
        </w:rPr>
        <w:footnoteReference w:id="2818"/>
      </w:r>
      <w:r>
        <w:rPr>
          <w:rFonts w:ascii="IRNazanin" w:hAnsi="IRNazanin" w:eastAsia="IRNazanin"/>
          <w:color w:val="111111"/>
          <w:sz w:val="28"/>
          <w:sz w:val="28"/>
          <w:szCs w:val="28"/>
          <w:rtl w:val="true"/>
          <w:lang w:bidi="fa-IR"/>
        </w:rPr>
        <w:t>، و المحقّق فی المعتبر</w:t>
      </w:r>
      <w:r>
        <w:rPr>
          <w:rStyle w:val="FootnoteAnchor"/>
          <w:rtl w:val="true"/>
        </w:rPr>
        <w:footnoteReference w:id="2819"/>
      </w:r>
      <w:r>
        <w:rPr>
          <w:rFonts w:ascii="IRNazanin" w:hAnsi="IRNazanin" w:eastAsia="IRNazanin"/>
          <w:color w:val="111111"/>
          <w:sz w:val="28"/>
          <w:sz w:val="28"/>
          <w:szCs w:val="28"/>
          <w:rtl w:val="true"/>
          <w:lang w:bidi="fa-IR"/>
        </w:rPr>
        <w:t>، و ابن زهرة فی الغنیة</w:t>
      </w:r>
      <w:r>
        <w:rPr>
          <w:rStyle w:val="FootnoteAnchor"/>
          <w:rtl w:val="true"/>
        </w:rPr>
        <w:footnoteReference w:id="2820"/>
      </w:r>
      <w:r>
        <w:rPr>
          <w:rFonts w:ascii="IRNazanin" w:hAnsi="IRNazanin" w:eastAsia="IRNazanin"/>
          <w:color w:val="111111"/>
          <w:sz w:val="28"/>
          <w:sz w:val="28"/>
          <w:szCs w:val="28"/>
          <w:rtl w:val="true"/>
          <w:lang w:bidi="fa-IR"/>
        </w:rPr>
        <w:t>، حیث اکتفوا باستحباب اختصاص الصفّ الأوّل بالفضلاء، و بعدهم الصبیان و النساء، و لم یذکروا کراهیة تمکین الصبیان فی الصفّ الأوّل؛ لعدم الدلیل علی الکراهة،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أجد نصّاً بالخصوص فی شیء من ذلک</w:t>
      </w:r>
      <w:r>
        <w:rPr>
          <w:rFonts w:eastAsia="IRNazanin" w:cs="IRNazanin"/>
          <w:color w:val="111111"/>
          <w:sz w:val="28"/>
          <w:szCs w:val="28"/>
          <w:rtl w:val="true"/>
          <w:lang w:bidi="fa-IR"/>
        </w:rPr>
        <w:t>»</w:t>
      </w:r>
      <w:r>
        <w:rPr>
          <w:rStyle w:val="FootnoteAnchor"/>
          <w:rtl w:val="true"/>
        </w:rPr>
        <w:footnoteReference w:id="2821"/>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ذلک کلّه مخالفة المشهور مشکل، فالأصحّ ما ذهب إلیه المشهور، و لعلّه لذلک قال المحقّق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تمکین الصبیان فهو أیضاً ممّا لم یثبت کراهته بدلیل معتبر،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 الروض وجود نصّ بذلک، فلا بأس بالالتزام به من باب المسامحة</w:t>
      </w:r>
      <w:r>
        <w:rPr>
          <w:rStyle w:val="FootnoteAnchor"/>
          <w:rtl w:val="true"/>
        </w:rPr>
        <w:footnoteReference w:id="28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23"/>
      </w:r>
      <w:r>
        <w:rPr>
          <w:rFonts w:eastAsia="Times New Roman" w:cs="Times New Roman" w:ascii="Times New Roman" w:hAnsi="Times New Roman"/>
          <w:color w:val="111111"/>
          <w:sz w:val="28"/>
          <w:szCs w:val="28"/>
          <w:rtl w:val="true"/>
          <w:lang w:val="en-US" w:bidi="en-US"/>
        </w:rPr>
        <w:t>.</w:t>
      </w:r>
      <w:bookmarkStart w:id="804" w:name="pg11755_255321"/>
    </w:p>
    <w:p>
      <w:pPr>
        <w:pStyle w:val="Heading5"/>
        <w:numPr>
          <w:ilvl w:val="4"/>
          <w:numId w:val="1"/>
        </w:numPr>
        <w:rPr/>
      </w:pPr>
      <w:bookmarkStart w:id="805" w:name="__RefHeading___Toc9587850_73709187"/>
      <w:bookmarkStart w:id="806" w:name="_Toc299"/>
      <w:bookmarkEnd w:id="804"/>
      <w:bookmarkEnd w:id="805"/>
      <w:r>
        <w:rPr>
          <w:rtl w:val="true"/>
        </w:rPr>
        <w:t>رأی أهل السنّة فی المسألة</w:t>
      </w:r>
      <w:bookmarkEnd w:id="806"/>
    </w:p>
    <w:p>
      <w:pPr>
        <w:pStyle w:val="BookText"/>
        <w:rPr/>
      </w:pPr>
      <w:r>
        <w:rPr>
          <w:rFonts w:ascii="IRNazanin" w:hAnsi="IRNazanin" w:eastAsia="IRNazanin"/>
          <w:color w:val="111111"/>
          <w:sz w:val="28"/>
          <w:sz w:val="28"/>
          <w:szCs w:val="28"/>
          <w:rtl w:val="true"/>
          <w:lang w:bidi="fa-IR"/>
        </w:rPr>
        <w:t>یستفاد من کلماتهم استحباب وقوف الرجال اولو الأحلام و اولی النهی فی الصفّ الأوّل، ثمّ یقف الصبیان، ثمّ النساء، و لم یتعرّضوا لکراهیة وقوف الصبیان فی الصفّ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أن یقف الرجل الواحد عن یمین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حضر رجال و صبیان یقدّم الرجال؛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لیلنی منکم اولو الأحلام و النّهی، ثمّ الذین یلونهم، ثمّ الذین یلونهم</w:t>
      </w:r>
      <w:r>
        <w:rPr>
          <w:rFonts w:eastAsia="IRNazanin" w:cs="IRNazanin"/>
          <w:color w:val="111111"/>
          <w:sz w:val="28"/>
          <w:szCs w:val="28"/>
          <w:rtl w:val="true"/>
          <w:lang w:bidi="fa-IR"/>
        </w:rPr>
        <w:t>»</w:t>
      </w:r>
      <w:r>
        <w:rPr>
          <w:rStyle w:val="FootnoteAnchor"/>
          <w:rtl w:val="true"/>
        </w:rPr>
        <w:footnoteReference w:id="2824"/>
      </w:r>
      <w:r>
        <w:rPr>
          <w:rFonts w:ascii="IRNazanin" w:hAnsi="IRNazanin" w:eastAsia="IRNazanin"/>
          <w:color w:val="111111"/>
          <w:sz w:val="28"/>
          <w:sz w:val="28"/>
          <w:szCs w:val="28"/>
          <w:rtl w:val="true"/>
          <w:lang w:bidi="fa-IR"/>
        </w:rPr>
        <w:t>، و إن کانت معهم امرأة وقفت خلفهم</w:t>
      </w:r>
      <w:r>
        <w:rPr>
          <w:rFonts w:eastAsia="IRNazanin" w:cs="IRNazanin"/>
          <w:color w:val="111111"/>
          <w:sz w:val="28"/>
          <w:szCs w:val="28"/>
          <w:rtl w:val="true"/>
          <w:lang w:bidi="fa-IR"/>
        </w:rPr>
        <w:t>»</w:t>
      </w:r>
      <w:r>
        <w:rPr>
          <w:rStyle w:val="FootnoteAnchor"/>
          <w:rtl w:val="true"/>
        </w:rPr>
        <w:footnoteReference w:id="2825"/>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حضر کثیرون من الرجال و الصبیان یقدَّم الرجال، ثمّ الصبیان، هذا هو المذهب، و به قطع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ذکر قولاً آخر بأنّه یستحبّ أن یقف بین کلّ رجلین صبیّ لیتعلّموا منهم أفعال الصلاة، و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الصحیح هو القول الأوّل؛ للحدیث المتقدّم</w:t>
      </w:r>
      <w:r>
        <w:rPr>
          <w:rFonts w:eastAsia="IRNazanin" w:cs="IRNazanin"/>
          <w:color w:val="111111"/>
          <w:sz w:val="28"/>
          <w:szCs w:val="28"/>
          <w:rtl w:val="true"/>
          <w:lang w:bidi="fa-IR"/>
        </w:rPr>
        <w:t>»</w:t>
      </w:r>
      <w:r>
        <w:rPr>
          <w:rStyle w:val="FootnoteAnchor"/>
          <w:rtl w:val="true"/>
        </w:rPr>
        <w:footnoteReference w:id="2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البحر الرائق</w:t>
      </w:r>
      <w:r>
        <w:rPr>
          <w:rStyle w:val="FootnoteAnchor"/>
          <w:rtl w:val="true"/>
        </w:rPr>
        <w:footnoteReference w:id="2827"/>
      </w:r>
      <w:r>
        <w:rPr>
          <w:rFonts w:ascii="IRNazanin" w:hAnsi="IRNazanin" w:eastAsia="IRNazanin"/>
          <w:color w:val="111111"/>
          <w:sz w:val="28"/>
          <w:sz w:val="28"/>
          <w:szCs w:val="28"/>
          <w:rtl w:val="true"/>
          <w:lang w:bidi="fa-IR"/>
        </w:rPr>
        <w:t>و شرح فتح القدیر</w:t>
      </w:r>
      <w:r>
        <w:rPr>
          <w:rStyle w:val="FootnoteAnchor"/>
          <w:rtl w:val="true"/>
        </w:rPr>
        <w:footnoteReference w:id="2828"/>
      </w:r>
      <w:r>
        <w:rPr>
          <w:rFonts w:ascii="IRNazanin" w:hAnsi="IRNazanin" w:eastAsia="IRNazanin"/>
          <w:color w:val="111111"/>
          <w:sz w:val="28"/>
          <w:sz w:val="28"/>
          <w:szCs w:val="28"/>
          <w:rtl w:val="true"/>
          <w:lang w:bidi="fa-IR"/>
        </w:rPr>
        <w:t>و دلائل الأحکام</w:t>
      </w:r>
      <w:r>
        <w:rPr>
          <w:rStyle w:val="FootnoteAnchor"/>
          <w:rtl w:val="true"/>
        </w:rPr>
        <w:footnoteReference w:id="2829"/>
      </w:r>
      <w:r>
        <w:rPr>
          <w:rFonts w:ascii="IRNazanin" w:hAnsi="IRNazanin" w:eastAsia="IRNazanin"/>
          <w:color w:val="111111"/>
          <w:sz w:val="28"/>
          <w:sz w:val="28"/>
          <w:szCs w:val="28"/>
          <w:rtl w:val="true"/>
          <w:lang w:bidi="fa-IR"/>
        </w:rPr>
        <w:t>و غیرها</w:t>
      </w:r>
      <w:r>
        <w:rPr>
          <w:rStyle w:val="FootnoteAnchor"/>
          <w:rtl w:val="true"/>
        </w:rPr>
        <w:footnoteReference w:id="2830"/>
      </w:r>
      <w:r>
        <w:rPr>
          <w:rFonts w:eastAsia="Times New Roman" w:cs="Times New Roman" w:ascii="Times New Roman" w:hAnsi="Times New Roman"/>
          <w:color w:val="111111"/>
          <w:sz w:val="28"/>
          <w:szCs w:val="28"/>
          <w:rtl w:val="true"/>
          <w:lang w:val="en-US" w:bidi="en-US"/>
        </w:rPr>
        <w:t>.</w:t>
      </w:r>
      <w:bookmarkStart w:id="807" w:name="pg11755_255324"/>
    </w:p>
    <w:p>
      <w:pPr>
        <w:pStyle w:val="Heading4"/>
        <w:numPr>
          <w:ilvl w:val="3"/>
          <w:numId w:val="1"/>
        </w:numPr>
        <w:rPr/>
      </w:pPr>
      <w:bookmarkStart w:id="808" w:name="__RefHeading___Toc9587852_73709187"/>
      <w:bookmarkStart w:id="809" w:name="_Toc300"/>
      <w:bookmarkEnd w:id="807"/>
      <w:bookmarkEnd w:id="808"/>
      <w:r>
        <w:rPr>
          <w:rtl w:val="true"/>
        </w:rPr>
        <w:t>المبحث الرابع</w:t>
      </w:r>
      <w:r>
        <w:rPr>
          <w:rtl w:val="true"/>
        </w:rPr>
        <w:t>:</w:t>
      </w:r>
      <w:r>
        <w:rPr>
          <w:rtl w:val="true"/>
        </w:rPr>
        <w:t>عدم انعقاد صلاة الجمعة بالصبیّ‌</w:t>
      </w:r>
      <w:bookmarkEnd w:id="809"/>
    </w:p>
    <w:p>
      <w:pPr>
        <w:pStyle w:val="Heading5"/>
        <w:numPr>
          <w:ilvl w:val="4"/>
          <w:numId w:val="1"/>
        </w:numPr>
        <w:rPr/>
      </w:pPr>
      <w:bookmarkStart w:id="810" w:name="__RefHeading___Toc9587854_73709187"/>
      <w:bookmarkStart w:id="811" w:name="_Toc301"/>
      <w:bookmarkEnd w:id="810"/>
      <w:r>
        <w:rPr>
          <w:rtl w:val="true"/>
        </w:rPr>
        <w:t>اشارة</w:t>
      </w:r>
      <w:bookmarkEnd w:id="811"/>
    </w:p>
    <w:p>
      <w:pPr>
        <w:pStyle w:val="BookText"/>
        <w:rPr/>
      </w:pPr>
      <w:r>
        <w:rPr>
          <w:rFonts w:ascii="IRNazanin" w:hAnsi="IRNazanin" w:eastAsia="IRNazanin"/>
          <w:color w:val="111111"/>
          <w:sz w:val="28"/>
          <w:sz w:val="28"/>
          <w:szCs w:val="28"/>
          <w:rtl w:val="true"/>
          <w:lang w:bidi="fa-IR"/>
        </w:rPr>
        <w:t>لا خلاف بین علماء الإسلام فی أنّه یشترط فی صحّة الجمعة العدد، و لا تنعقد بأقلّ من خمسة أو سبعة، الإمام أحدهم</w:t>
      </w:r>
      <w:r>
        <w:rPr>
          <w:rStyle w:val="FootnoteAnchor"/>
          <w:rtl w:val="true"/>
        </w:rPr>
        <w:footnoteReference w:id="2831"/>
      </w:r>
      <w:r>
        <w:rPr>
          <w:rFonts w:ascii="IRNazanin" w:hAnsi="IRNazanin" w:eastAsia="IRNazanin"/>
          <w:color w:val="111111"/>
          <w:sz w:val="28"/>
          <w:sz w:val="28"/>
          <w:szCs w:val="28"/>
          <w:rtl w:val="true"/>
          <w:lang w:bidi="fa-IR"/>
        </w:rPr>
        <w:t>، بل قام الإجماع القطعی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یشترط فی المکلّف بالحضور لها أو لعقدها 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الذکورة و</w:t>
      </w:r>
      <w:r>
        <w:rPr>
          <w:rFonts w:eastAsia="IRNazanin" w:cs="IRNazanin"/>
          <w:color w:val="111111"/>
          <w:sz w:val="28"/>
          <w:szCs w:val="28"/>
          <w:rtl w:val="true"/>
          <w:lang w:bidi="fa-IR"/>
        </w:rPr>
        <w:t>...</w:t>
      </w:r>
      <w:r>
        <w:rPr>
          <w:rStyle w:val="FootnoteAnchor"/>
          <w:rtl w:val="true"/>
        </w:rPr>
        <w:footnoteReference w:id="2832"/>
      </w:r>
      <w:r>
        <w:rPr>
          <w:rFonts w:ascii="IRNazanin" w:hAnsi="IRNazanin" w:eastAsia="IRNazanin"/>
          <w:color w:val="111111"/>
          <w:sz w:val="28"/>
          <w:sz w:val="28"/>
          <w:szCs w:val="28"/>
          <w:rtl w:val="true"/>
          <w:lang w:bidi="fa-IR"/>
        </w:rPr>
        <w:t>، فلا تنعقد بالصبیان علی الانفراد و إن کان تصحّ منهم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إذا لم یبلغ لا تنعقد به الجمعة و إن کان تصحّ منه صلاة التطوّع</w:t>
      </w:r>
      <w:r>
        <w:rPr>
          <w:rFonts w:eastAsia="IRNazanin" w:cs="IRNazanin"/>
          <w:color w:val="111111"/>
          <w:sz w:val="28"/>
          <w:szCs w:val="28"/>
          <w:rtl w:val="true"/>
          <w:lang w:bidi="fa-IR"/>
        </w:rPr>
        <w:t>»</w:t>
      </w:r>
      <w:r>
        <w:rPr>
          <w:rStyle w:val="FootnoteAnchor"/>
          <w:rtl w:val="true"/>
        </w:rPr>
        <w:footnoteReference w:id="2833"/>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تنعقد به، و إن کان ممیّزاً یصحّ منه التطوّع</w:t>
      </w:r>
      <w:r>
        <w:rPr>
          <w:rFonts w:eastAsia="IRNazanin" w:cs="IRNazanin"/>
          <w:color w:val="111111"/>
          <w:sz w:val="28"/>
          <w:szCs w:val="28"/>
          <w:rtl w:val="true"/>
          <w:lang w:bidi="fa-IR"/>
        </w:rPr>
        <w:t>»</w:t>
      </w:r>
      <w:r>
        <w:rPr>
          <w:rStyle w:val="FootnoteAnchor"/>
          <w:rtl w:val="true"/>
        </w:rPr>
        <w:footnoteReference w:id="2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فی التذکرة</w:t>
      </w:r>
      <w:r>
        <w:rPr>
          <w:rStyle w:val="FootnoteAnchor"/>
          <w:rtl w:val="true"/>
        </w:rPr>
        <w:footnoteReference w:id="2835"/>
      </w:r>
      <w:r>
        <w:rPr>
          <w:rFonts w:ascii="IRNazanin" w:hAnsi="IRNazanin" w:eastAsia="IRNazanin"/>
          <w:color w:val="111111"/>
          <w:sz w:val="28"/>
          <w:sz w:val="28"/>
          <w:szCs w:val="28"/>
          <w:rtl w:val="true"/>
          <w:lang w:bidi="fa-IR"/>
        </w:rPr>
        <w:t>و القواعد</w:t>
      </w:r>
      <w:r>
        <w:rPr>
          <w:rStyle w:val="FootnoteAnchor"/>
          <w:rtl w:val="true"/>
        </w:rPr>
        <w:footnoteReference w:id="2836"/>
      </w:r>
      <w:r>
        <w:rPr>
          <w:rFonts w:ascii="IRNazanin" w:hAnsi="IRNazanin" w:eastAsia="IRNazanin"/>
          <w:color w:val="111111"/>
          <w:sz w:val="28"/>
          <w:sz w:val="28"/>
          <w:szCs w:val="28"/>
          <w:rtl w:val="true"/>
          <w:lang w:bidi="fa-IR"/>
        </w:rPr>
        <w:t>و الذکری</w:t>
      </w:r>
      <w:r>
        <w:rPr>
          <w:rStyle w:val="FootnoteAnchor"/>
          <w:rtl w:val="true"/>
        </w:rPr>
        <w:footnoteReference w:id="2837"/>
      </w:r>
      <w:r>
        <w:rPr>
          <w:rFonts w:ascii="IRNazanin" w:hAnsi="IRNazanin" w:eastAsia="IRNazanin"/>
          <w:color w:val="111111"/>
          <w:sz w:val="28"/>
          <w:sz w:val="28"/>
          <w:szCs w:val="28"/>
          <w:rtl w:val="true"/>
          <w:lang w:bidi="fa-IR"/>
        </w:rPr>
        <w:t>و الوسیلة</w:t>
      </w:r>
      <w:r>
        <w:rPr>
          <w:rStyle w:val="FootnoteAnchor"/>
          <w:rtl w:val="true"/>
        </w:rPr>
        <w:footnoteReference w:id="2838"/>
      </w:r>
      <w:r>
        <w:rPr>
          <w:rFonts w:ascii="IRNazanin" w:hAnsi="IRNazanin" w:eastAsia="IRNazanin"/>
          <w:color w:val="111111"/>
          <w:sz w:val="28"/>
          <w:sz w:val="28"/>
          <w:szCs w:val="28"/>
          <w:rtl w:val="true"/>
          <w:lang w:bidi="fa-IR"/>
        </w:rPr>
        <w:t>و السرائر</w:t>
      </w:r>
      <w:r>
        <w:rPr>
          <w:rStyle w:val="FootnoteAnchor"/>
          <w:rtl w:val="true"/>
        </w:rPr>
        <w:footnoteReference w:id="2839"/>
      </w:r>
      <w:r>
        <w:rPr>
          <w:rFonts w:ascii="IRNazanin" w:hAnsi="IRNazanin" w:eastAsia="IRNazanin"/>
          <w:color w:val="111111"/>
          <w:sz w:val="28"/>
          <w:sz w:val="28"/>
          <w:szCs w:val="28"/>
          <w:rtl w:val="true"/>
          <w:lang w:bidi="fa-IR"/>
        </w:rPr>
        <w:t>، و ادّعی علیه إجماع العلماء فی المعتبر</w:t>
      </w:r>
      <w:r>
        <w:rPr>
          <w:rStyle w:val="FootnoteAnchor"/>
          <w:rtl w:val="true"/>
        </w:rPr>
        <w:footnoteReference w:id="2840"/>
      </w:r>
      <w:r>
        <w:rPr>
          <w:rFonts w:ascii="IRNazanin" w:hAnsi="IRNazanin" w:eastAsia="IRNazanin"/>
          <w:color w:val="111111"/>
          <w:sz w:val="28"/>
          <w:sz w:val="28"/>
          <w:szCs w:val="28"/>
          <w:rtl w:val="true"/>
          <w:lang w:bidi="fa-IR"/>
        </w:rPr>
        <w:t>، و کذا فی الحدائق</w:t>
      </w:r>
      <w:r>
        <w:rPr>
          <w:rStyle w:val="FootnoteAnchor"/>
          <w:rtl w:val="true"/>
        </w:rPr>
        <w:footnoteReference w:id="2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عدم انعقادها بالطفل فعلیه إجماع العلماء</w:t>
      </w:r>
      <w:r>
        <w:rPr>
          <w:rFonts w:eastAsia="IRNazanin" w:cs="IRNazanin"/>
          <w:color w:val="111111"/>
          <w:sz w:val="28"/>
          <w:szCs w:val="28"/>
          <w:rtl w:val="true"/>
          <w:lang w:bidi="fa-IR"/>
        </w:rPr>
        <w:t>»</w:t>
      </w:r>
      <w:r>
        <w:rPr>
          <w:rStyle w:val="FootnoteAnchor"/>
          <w:rtl w:val="true"/>
        </w:rPr>
        <w:footnoteReference w:id="2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عدم الوجوب علی الصبیّ و المجنون فلا خلاف فیه، کما لا خلاف فی عدم الانعقاد بهما و بالمرأة، بل عن التذکرة و فی المدارک و الذخیرة و غیرها التصریح بالاتّفاق علیه فیها</w:t>
      </w:r>
      <w:r>
        <w:rPr>
          <w:rFonts w:eastAsia="IRNazanin" w:cs="IRNazanin"/>
          <w:color w:val="111111"/>
          <w:sz w:val="28"/>
          <w:szCs w:val="28"/>
          <w:rtl w:val="true"/>
          <w:lang w:bidi="fa-IR"/>
        </w:rPr>
        <w:t>»</w:t>
      </w:r>
      <w:r>
        <w:rPr>
          <w:rStyle w:val="FootnoteAnchor"/>
          <w:rtl w:val="true"/>
        </w:rPr>
        <w:footnoteReference w:id="2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الجواهر، و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بشرعیّة عبادة الصبیّ و انعقاد الجماعة فی غیرها به</w:t>
      </w:r>
      <w:r>
        <w:rPr>
          <w:rFonts w:eastAsia="IRNazanin" w:cs="IRNazanin"/>
          <w:color w:val="111111"/>
          <w:sz w:val="28"/>
          <w:szCs w:val="28"/>
          <w:rtl w:val="true"/>
          <w:lang w:bidi="fa-IR"/>
        </w:rPr>
        <w:t>»</w:t>
      </w:r>
      <w:r>
        <w:rPr>
          <w:rStyle w:val="FootnoteAnchor"/>
          <w:rtl w:val="true"/>
        </w:rPr>
        <w:footnoteReference w:id="2844"/>
      </w:r>
      <w:r>
        <w:rPr>
          <w:rFonts w:ascii="IRNazanin" w:hAnsi="IRNazanin" w:eastAsia="IRNazanin"/>
          <w:color w:val="111111"/>
          <w:sz w:val="28"/>
          <w:sz w:val="28"/>
          <w:szCs w:val="28"/>
          <w:rtl w:val="true"/>
          <w:lang w:bidi="fa-IR"/>
        </w:rPr>
        <w:t>، و به قال فی تحریر الوسیلة</w:t>
      </w:r>
      <w:r>
        <w:rPr>
          <w:rStyle w:val="FootnoteAnchor"/>
          <w:rtl w:val="true"/>
        </w:rPr>
        <w:footnoteReference w:id="2845"/>
      </w:r>
      <w:r>
        <w:rPr>
          <w:rFonts w:ascii="IRNazanin" w:hAnsi="IRNazanin" w:eastAsia="IRNazanin"/>
          <w:color w:val="111111"/>
          <w:sz w:val="28"/>
          <w:sz w:val="28"/>
          <w:szCs w:val="28"/>
          <w:rtl w:val="true"/>
          <w:lang w:bidi="fa-IR"/>
        </w:rPr>
        <w:t>و غیرها</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الحکم المذکور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تقدّم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انعقاد الجمعة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w:t>
      </w:r>
    </w:p>
    <w:p>
      <w:pPr>
        <w:pStyle w:val="BookText"/>
        <w:rPr/>
      </w:pPr>
      <w:r>
        <w:rPr>
          <w:rFonts w:ascii="IRNazanin" w:hAnsi="IRNazanin" w:eastAsia="IRNazanin"/>
          <w:color w:val="111111"/>
          <w:sz w:val="28"/>
          <w:sz w:val="28"/>
          <w:szCs w:val="28"/>
          <w:rtl w:val="true"/>
          <w:lang w:bidi="fa-IR"/>
        </w:rPr>
        <w:t>إلی دلیل، و لیس فی الشرع ما یدلّ علیه</w:t>
      </w:r>
      <w:r>
        <w:rPr>
          <w:rFonts w:eastAsia="IRNazanin" w:cs="IRNazanin"/>
          <w:color w:val="111111"/>
          <w:sz w:val="28"/>
          <w:szCs w:val="28"/>
          <w:rtl w:val="true"/>
          <w:lang w:bidi="fa-IR"/>
        </w:rPr>
        <w:t>»</w:t>
      </w:r>
      <w:r>
        <w:rPr>
          <w:rStyle w:val="FootnoteAnchor"/>
          <w:rtl w:val="true"/>
        </w:rPr>
        <w:footnoteReference w:id="2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یعضده الأصل</w:t>
      </w:r>
      <w:r>
        <w:rPr>
          <w:rFonts w:eastAsia="IRNazanin" w:cs="IRNazanin"/>
          <w:color w:val="111111"/>
          <w:sz w:val="28"/>
          <w:szCs w:val="28"/>
          <w:rtl w:val="true"/>
          <w:lang w:bidi="fa-IR"/>
        </w:rPr>
        <w:t>»</w:t>
      </w:r>
      <w:r>
        <w:rPr>
          <w:rStyle w:val="FootnoteAnchor"/>
          <w:rtl w:val="true"/>
        </w:rPr>
        <w:footnoteReference w:id="2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النصوص الدالّة علی اعتبار العدد بغیر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النصوص الکثیرة اشتراط الجمعة بحضور سبعة أو خمسة،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عمر بن یزید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کانوا سبعة یوم الجمعة فلیُصلّوا فی جماعة</w:t>
      </w:r>
      <w:r>
        <w:rPr>
          <w:rFonts w:eastAsia="IRNazanin" w:cs="IRNazanin"/>
          <w:color w:val="111111"/>
          <w:sz w:val="28"/>
          <w:szCs w:val="28"/>
          <w:rtl w:val="true"/>
          <w:lang w:bidi="fa-IR"/>
        </w:rPr>
        <w:t>»</w:t>
      </w:r>
      <w:r>
        <w:rPr>
          <w:rStyle w:val="FootnoteAnchor"/>
          <w:rtl w:val="true"/>
        </w:rPr>
        <w:footnoteReference w:id="2849"/>
      </w:r>
      <w:r>
        <w:rPr>
          <w:rFonts w:ascii="IRNazanin" w:hAnsi="IRNazanin" w:eastAsia="IRNazanin"/>
          <w:color w:val="111111"/>
          <w:sz w:val="28"/>
          <w:sz w:val="28"/>
          <w:szCs w:val="28"/>
          <w:rtl w:val="true"/>
          <w:lang w:bidi="fa-IR"/>
        </w:rPr>
        <w:t>، و مثلها صحیحة منصور بن حازم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یجمع القوم یوم الجمعة إذا کانوا خمسة فما زادوا</w:t>
      </w:r>
      <w:r>
        <w:rPr>
          <w:rFonts w:eastAsia="IRNazanin" w:cs="IRNazanin"/>
          <w:color w:val="111111"/>
          <w:sz w:val="28"/>
          <w:szCs w:val="28"/>
          <w:rtl w:val="true"/>
          <w:lang w:bidi="fa-IR"/>
        </w:rPr>
        <w:t>»</w:t>
      </w:r>
      <w:r>
        <w:rPr>
          <w:rStyle w:val="FootnoteAnchor"/>
          <w:rtl w:val="true"/>
        </w:rPr>
        <w:footnoteReference w:id="2850"/>
      </w:r>
      <w:r>
        <w:rPr>
          <w:rFonts w:ascii="IRNazanin" w:hAnsi="IRNazanin" w:eastAsia="IRNazanin"/>
          <w:color w:val="111111"/>
          <w:sz w:val="28"/>
          <w:sz w:val="28"/>
          <w:szCs w:val="28"/>
          <w:rtl w:val="true"/>
          <w:lang w:bidi="fa-IR"/>
        </w:rPr>
        <w:t>، و غیرها</w:t>
      </w:r>
      <w:r>
        <w:rPr>
          <w:rStyle w:val="FootnoteAnchor"/>
          <w:rtl w:val="true"/>
        </w:rPr>
        <w:footnoteReference w:id="2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أنّه یتبادر من هذه النصوص غیر الصبیّ، و إلّا یلزم أن یکون الصبیّ مکلّفاً؛ لأنّ الاُولی منها ظاهرة فی الوجوب؛ لصیغة الأمر، و الصبیّ غیر مکلّف بإقامة الجمعة قطعاً، کما أشار إلیه فی الجواهر</w:t>
      </w:r>
      <w:r>
        <w:rPr>
          <w:rStyle w:val="FootnoteAnchor"/>
          <w:rtl w:val="true"/>
        </w:rPr>
        <w:footnoteReference w:id="2852"/>
      </w:r>
    </w:p>
    <w:p>
      <w:pPr>
        <w:pStyle w:val="BookText"/>
        <w:rPr/>
      </w:pPr>
      <w:r>
        <w:rPr>
          <w:rFonts w:ascii="IRNazanin" w:hAnsi="IRNazanin" w:eastAsia="IRNazanin"/>
          <w:color w:val="111111"/>
          <w:sz w:val="28"/>
          <w:sz w:val="28"/>
          <w:szCs w:val="28"/>
          <w:rtl w:val="true"/>
          <w:lang w:bidi="fa-IR"/>
        </w:rPr>
        <w:t>و الریاض</w:t>
      </w:r>
      <w:r>
        <w:rPr>
          <w:rStyle w:val="FootnoteAnchor"/>
          <w:rtl w:val="true"/>
        </w:rPr>
        <w:footnoteReference w:id="2853"/>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أنّه قد صرّح فی الروایات باشتراط الجمعة بحضور القوم، کما فی صحیحة منصور بن حازم المتقدّمة، و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الرجال دون النساء، و غیر المکلّف لا یقال له رجل أو رهط کما فی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 الخطبة و الجمعة</w:t>
      </w:r>
      <w:bookmarkStart w:id="812" w:name="pg11755_255331"/>
    </w:p>
    <w:p>
      <w:pPr>
        <w:pStyle w:val="BookText"/>
        <w:rPr/>
      </w:pPr>
      <w:bookmarkEnd w:id="812"/>
      <w:r>
        <w:rPr>
          <w:rFonts w:ascii="IRNazanin" w:hAnsi="IRNazanin" w:eastAsia="IRNazanin"/>
          <w:color w:val="111111"/>
          <w:sz w:val="28"/>
          <w:sz w:val="28"/>
          <w:szCs w:val="28"/>
          <w:rtl w:val="true"/>
          <w:lang w:bidi="fa-IR"/>
        </w:rPr>
        <w:t>و صلاة رکعتین أقلّ من خمسة رهط، الإمام و أربعة</w:t>
      </w:r>
      <w:r>
        <w:rPr>
          <w:rFonts w:eastAsia="IRNazanin" w:cs="IRNazanin"/>
          <w:color w:val="111111"/>
          <w:sz w:val="28"/>
          <w:szCs w:val="28"/>
          <w:rtl w:val="true"/>
          <w:lang w:bidi="fa-IR"/>
        </w:rPr>
        <w:t>»</w:t>
      </w:r>
      <w:r>
        <w:rPr>
          <w:rStyle w:val="FootnoteAnchor"/>
          <w:rtl w:val="true"/>
        </w:rPr>
        <w:footnoteReference w:id="2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العشرة من الرجال، لا یکون فیهم امرأة</w:t>
      </w:r>
      <w:r>
        <w:rPr>
          <w:rStyle w:val="FootnoteAnchor"/>
          <w:rtl w:val="true"/>
        </w:rPr>
        <w:footnoteReference w:id="2855"/>
      </w:r>
      <w:r>
        <w:rPr>
          <w:rFonts w:ascii="IRNazanin" w:hAnsi="IRNazanin" w:eastAsia="IRNazanin"/>
          <w:color w:val="111111"/>
          <w:sz w:val="28"/>
          <w:sz w:val="28"/>
          <w:szCs w:val="28"/>
          <w:rtl w:val="true"/>
          <w:lang w:bidi="fa-IR"/>
        </w:rPr>
        <w:t>، و الصبیّ لیس برجل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الأخبار کما تری بالنظر إلی ما قلناه من کلام أهل اللغة متطابقة الدلالة علی أنّ العدد المشترط فی الجمعة لا بدّ أن یکونوا من الرجال</w:t>
      </w:r>
      <w:r>
        <w:rPr>
          <w:rFonts w:eastAsia="IRNazanin" w:cs="IRNazanin"/>
          <w:color w:val="111111"/>
          <w:sz w:val="28"/>
          <w:szCs w:val="28"/>
          <w:rtl w:val="true"/>
          <w:lang w:bidi="fa-IR"/>
        </w:rPr>
        <w:t>»</w:t>
      </w:r>
      <w:r>
        <w:rPr>
          <w:rStyle w:val="FootnoteAnchor"/>
          <w:rtl w:val="true"/>
        </w:rPr>
        <w:footnoteReference w:id="2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3" w:name="__RefHeading___Toc9587856_73709187"/>
      <w:bookmarkStart w:id="814" w:name="_Toc302"/>
      <w:bookmarkEnd w:id="813"/>
      <w:r>
        <w:rPr>
          <w:rtl w:val="true"/>
        </w:rPr>
        <w:t>رأی أهل السنّة</w:t>
      </w:r>
      <w:bookmarkEnd w:id="814"/>
    </w:p>
    <w:p>
      <w:pPr>
        <w:pStyle w:val="BookText"/>
        <w:rPr/>
      </w:pPr>
      <w:r>
        <w:rPr>
          <w:rFonts w:ascii="IRNazanin" w:hAnsi="IRNazanin" w:eastAsia="IRNazanin"/>
          <w:color w:val="111111"/>
          <w:sz w:val="28"/>
          <w:sz w:val="28"/>
          <w:szCs w:val="28"/>
          <w:rtl w:val="true"/>
          <w:lang w:bidi="fa-IR"/>
        </w:rPr>
        <w:t>اتّفق الجمهور من أهل السنّة علی عدم انعقاد الجمعة بالصبیان علی الانفراد، إلّا المالکیّة فی أحد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البلوغ و هو شرط لوجوب الجمعة و انعقادها فی الصحیح من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أکثر أهل العلم</w:t>
      </w:r>
      <w:r>
        <w:rPr>
          <w:rFonts w:eastAsia="IRNazanin" w:cs="IRNazanin"/>
          <w:color w:val="111111"/>
          <w:sz w:val="28"/>
          <w:szCs w:val="28"/>
          <w:rtl w:val="true"/>
          <w:lang w:bidi="fa-IR"/>
        </w:rPr>
        <w:t>»</w:t>
      </w:r>
      <w:r>
        <w:rPr>
          <w:rStyle w:val="FootnoteAnchor"/>
          <w:rtl w:val="true"/>
        </w:rPr>
        <w:footnoteReference w:id="2857"/>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تنعقد بالصبیان و المجانین و النساء علی الانفراد</w:t>
      </w:r>
      <w:r>
        <w:rPr>
          <w:rFonts w:eastAsia="IRNazanin" w:cs="IRNazanin"/>
          <w:color w:val="111111"/>
          <w:sz w:val="28"/>
          <w:szCs w:val="28"/>
          <w:rtl w:val="true"/>
          <w:lang w:bidi="fa-IR"/>
        </w:rPr>
        <w:t>»</w:t>
      </w:r>
      <w:r>
        <w:rPr>
          <w:rStyle w:val="FootnoteAnchor"/>
          <w:rtl w:val="true"/>
        </w:rPr>
        <w:footnoteReference w:id="2858"/>
      </w:r>
      <w:r>
        <w:rPr>
          <w:rFonts w:ascii="IRNazanin" w:hAnsi="IRNazanin" w:eastAsia="IRNazanin"/>
          <w:color w:val="111111"/>
          <w:sz w:val="28"/>
          <w:sz w:val="28"/>
          <w:szCs w:val="28"/>
          <w:rtl w:val="true"/>
          <w:lang w:bidi="fa-IR"/>
        </w:rPr>
        <w:t>، و کذا فی المبسوط‌</w:t>
      </w:r>
      <w:r>
        <w:rPr>
          <w:rStyle w:val="FootnoteAnchor"/>
          <w:rtl w:val="true"/>
        </w:rPr>
        <w:footnoteReference w:id="2859"/>
      </w:r>
      <w:r>
        <w:rPr>
          <w:rFonts w:ascii="Amiri" w:hAnsi="Amiri" w:eastAsia="Amiri" w:cs="Amiri"/>
          <w:color w:val="111111"/>
          <w:sz w:val="28"/>
          <w:sz w:val="28"/>
          <w:szCs w:val="28"/>
          <w:rtl w:val="true"/>
          <w:lang w:bidi="ar-SA"/>
        </w:rPr>
        <w:t>و الاُمّ‌</w:t>
      </w:r>
      <w:r>
        <w:rPr>
          <w:rStyle w:val="FootnoteAnchor"/>
          <w:rtl w:val="true"/>
        </w:rPr>
        <w:footnoteReference w:id="2860"/>
      </w:r>
      <w:r>
        <w:rPr>
          <w:rFonts w:ascii="IRNazanin" w:hAnsi="IRNazanin" w:eastAsia="IRNazanin"/>
          <w:color w:val="111111"/>
          <w:sz w:val="28"/>
          <w:sz w:val="28"/>
          <w:szCs w:val="28"/>
          <w:rtl w:val="true"/>
          <w:lang w:bidi="fa-IR"/>
        </w:rPr>
        <w:t>و شرح فتح القدیر</w:t>
      </w:r>
      <w:r>
        <w:rPr>
          <w:rStyle w:val="FootnoteAnchor"/>
          <w:rtl w:val="true"/>
        </w:rPr>
        <w:footnoteReference w:id="2861"/>
      </w:r>
      <w:r>
        <w:rPr>
          <w:rFonts w:ascii="IRNazanin" w:hAnsi="IRNazanin" w:eastAsia="IRNazanin"/>
          <w:color w:val="111111"/>
          <w:sz w:val="28"/>
          <w:sz w:val="28"/>
          <w:szCs w:val="28"/>
          <w:rtl w:val="true"/>
          <w:lang w:bidi="fa-IR"/>
        </w:rPr>
        <w:t>و حاشیة ردّ المحتار</w:t>
      </w:r>
      <w:r>
        <w:rPr>
          <w:rStyle w:val="FootnoteAnchor"/>
          <w:rtl w:val="true"/>
        </w:rPr>
        <w:footnoteReference w:id="2862"/>
      </w:r>
      <w:r>
        <w:rPr>
          <w:rFonts w:ascii="IRNazanin" w:hAnsi="IRNazanin" w:eastAsia="IRNazanin"/>
          <w:color w:val="111111"/>
          <w:sz w:val="28"/>
          <w:sz w:val="28"/>
          <w:szCs w:val="28"/>
          <w:rtl w:val="true"/>
          <w:lang w:bidi="fa-IR"/>
        </w:rPr>
        <w:t>و غایة</w:t>
      </w:r>
    </w:p>
    <w:p>
      <w:pPr>
        <w:pStyle w:val="BookText"/>
        <w:rPr/>
      </w:pPr>
      <w:r>
        <w:rPr>
          <w:rFonts w:ascii="IRNazanin" w:hAnsi="IRNazanin" w:eastAsia="IRNazanin"/>
          <w:color w:val="111111"/>
          <w:sz w:val="28"/>
          <w:sz w:val="28"/>
          <w:szCs w:val="28"/>
          <w:rtl w:val="true"/>
          <w:lang w:bidi="fa-IR"/>
        </w:rPr>
        <w:t>المرام</w:t>
      </w:r>
      <w:r>
        <w:rPr>
          <w:rStyle w:val="FootnoteAnchor"/>
          <w:rtl w:val="true"/>
        </w:rPr>
        <w:footnoteReference w:id="2863"/>
      </w:r>
      <w:r>
        <w:rPr>
          <w:rFonts w:ascii="IRNazanin" w:hAnsi="IRNazanin" w:eastAsia="IRNazanin"/>
          <w:color w:val="111111"/>
          <w:sz w:val="28"/>
          <w:sz w:val="28"/>
          <w:szCs w:val="28"/>
          <w:rtl w:val="true"/>
          <w:lang w:bidi="fa-IR"/>
        </w:rPr>
        <w:t>و البیان</w:t>
      </w:r>
      <w:r>
        <w:rPr>
          <w:rStyle w:val="FootnoteAnchor"/>
          <w:rtl w:val="true"/>
        </w:rPr>
        <w:footnoteReference w:id="2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البحر الرائق، و علّله بأنّ الصبیّ لیس برجل کامل، و المطلق ینصرف إلی الکامل</w:t>
      </w:r>
      <w:r>
        <w:rPr>
          <w:rStyle w:val="FootnoteAnchor"/>
          <w:rtl w:val="true"/>
        </w:rPr>
        <w:footnoteReference w:id="2865"/>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شاس من فقهاء المالکیّة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یشترط فی هذه الجماعة کونهم ممّن تلزمهم الجمعة أو تنعقد بهم و إن کانوا ممّن لا تلزمهم الجمعة ابتداءً کالصبیان و العبید و من فی معناهم من المسافرین؟ قولان</w:t>
      </w:r>
      <w:r>
        <w:rPr>
          <w:rFonts w:eastAsia="IRNazanin" w:cs="IRNazanin"/>
          <w:color w:val="111111"/>
          <w:sz w:val="28"/>
          <w:szCs w:val="28"/>
          <w:rtl w:val="true"/>
          <w:lang w:bidi="fa-IR"/>
        </w:rPr>
        <w:t>»</w:t>
      </w:r>
      <w:r>
        <w:rPr>
          <w:rStyle w:val="FootnoteAnchor"/>
          <w:rtl w:val="true"/>
        </w:rPr>
        <w:footnoteReference w:id="2866"/>
      </w:r>
      <w:r>
        <w:rPr>
          <w:rFonts w:eastAsia="Times New Roman" w:cs="Times New Roman" w:ascii="Times New Roman" w:hAnsi="Times New Roman"/>
          <w:color w:val="111111"/>
          <w:sz w:val="28"/>
          <w:szCs w:val="28"/>
          <w:rtl w:val="true"/>
          <w:lang w:val="en-US" w:bidi="en-US"/>
        </w:rPr>
        <w:t>.</w:t>
      </w:r>
      <w:bookmarkStart w:id="815" w:name="pg11755_255335"/>
    </w:p>
    <w:p>
      <w:pPr>
        <w:pStyle w:val="Heading4"/>
        <w:numPr>
          <w:ilvl w:val="3"/>
          <w:numId w:val="1"/>
        </w:numPr>
        <w:rPr/>
      </w:pPr>
      <w:bookmarkStart w:id="816" w:name="__RefHeading___Toc9587858_73709187"/>
      <w:bookmarkStart w:id="817" w:name="_Toc303"/>
      <w:bookmarkEnd w:id="815"/>
      <w:bookmarkEnd w:id="816"/>
      <w:r>
        <w:rPr>
          <w:rtl w:val="true"/>
        </w:rPr>
        <w:t>المبحث الخامس</w:t>
      </w:r>
      <w:r>
        <w:rPr>
          <w:rtl w:val="true"/>
        </w:rPr>
        <w:t>:</w:t>
      </w:r>
      <w:r>
        <w:rPr>
          <w:rtl w:val="true"/>
        </w:rPr>
        <w:t>إمامة الصبیّ فی الصلاة</w:t>
      </w:r>
      <w:bookmarkEnd w:id="817"/>
    </w:p>
    <w:p>
      <w:pPr>
        <w:pStyle w:val="Heading5"/>
        <w:numPr>
          <w:ilvl w:val="4"/>
          <w:numId w:val="1"/>
        </w:numPr>
        <w:rPr/>
      </w:pPr>
      <w:bookmarkStart w:id="818" w:name="__RefHeading___Toc9587860_73709187"/>
      <w:bookmarkStart w:id="819" w:name="_Toc304"/>
      <w:bookmarkEnd w:id="818"/>
      <w:r>
        <w:rPr>
          <w:rtl w:val="true"/>
        </w:rPr>
        <w:t>اشارة</w:t>
      </w:r>
      <w:bookmarkEnd w:id="819"/>
    </w:p>
    <w:p>
      <w:pPr>
        <w:pStyle w:val="BookText"/>
        <w:rPr/>
      </w:pPr>
      <w:r>
        <w:rPr>
          <w:rFonts w:ascii="IRNazanin" w:hAnsi="IRNazanin" w:eastAsia="IRNazanin"/>
          <w:color w:val="111111"/>
          <w:sz w:val="28"/>
          <w:sz w:val="28"/>
          <w:szCs w:val="28"/>
          <w:rtl w:val="true"/>
          <w:lang w:bidi="fa-IR"/>
        </w:rPr>
        <w:t>و فیها مطالب</w:t>
      </w:r>
      <w:r>
        <w:rPr>
          <w:rFonts w:eastAsia="IRNazanin" w:cs="IRNazanin"/>
          <w:color w:val="111111"/>
          <w:sz w:val="28"/>
          <w:szCs w:val="28"/>
          <w:rtl w:val="true"/>
          <w:lang w:bidi="fa-IR"/>
        </w:rPr>
        <w:t>:</w:t>
      </w:r>
    </w:p>
    <w:p>
      <w:pPr>
        <w:pStyle w:val="Heading5"/>
        <w:numPr>
          <w:ilvl w:val="4"/>
          <w:numId w:val="1"/>
        </w:numPr>
        <w:rPr/>
      </w:pPr>
      <w:bookmarkStart w:id="820" w:name="__RefHeading___Toc9587862_73709187"/>
      <w:bookmarkStart w:id="821" w:name="_Toc305"/>
      <w:bookmarkEnd w:id="820"/>
      <w:r>
        <w:rPr>
          <w:rtl w:val="true"/>
        </w:rPr>
        <w:t>المطلب الأوّل</w:t>
      </w:r>
      <w:r>
        <w:rPr>
          <w:rtl w:val="true"/>
        </w:rPr>
        <w:t xml:space="preserve">: </w:t>
      </w:r>
      <w:r>
        <w:rPr>
          <w:rtl w:val="true"/>
        </w:rPr>
        <w:t>إمامته فی الفرائض</w:t>
      </w:r>
      <w:bookmarkEnd w:id="821"/>
    </w:p>
    <w:p>
      <w:pPr>
        <w:pStyle w:val="Heading6"/>
        <w:numPr>
          <w:ilvl w:val="5"/>
          <w:numId w:val="1"/>
        </w:numPr>
        <w:rPr/>
      </w:pPr>
      <w:bookmarkStart w:id="822" w:name="__RefHeading___Toc9587864_73709187"/>
      <w:bookmarkStart w:id="823" w:name="_Toc306"/>
      <w:bookmarkEnd w:id="822"/>
      <w:r>
        <w:rPr>
          <w:rtl w:val="true"/>
        </w:rPr>
        <w:t>اشارة</w:t>
      </w:r>
      <w:bookmarkEnd w:id="823"/>
    </w:p>
    <w:p>
      <w:pPr>
        <w:pStyle w:val="BookText"/>
        <w:rPr/>
      </w:pPr>
      <w:r>
        <w:rPr>
          <w:rFonts w:ascii="IRNazanin" w:hAnsi="IRNazanin" w:eastAsia="IRNazanin"/>
          <w:color w:val="111111"/>
          <w:sz w:val="28"/>
          <w:sz w:val="28"/>
          <w:szCs w:val="28"/>
          <w:rtl w:val="true"/>
          <w:lang w:bidi="fa-IR"/>
        </w:rPr>
        <w:t>لا خلاف بین الفقهاء فی أنّه لا تجوز إمامة الصبیّ غیر الممیّز، بل ثبت 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الممیّز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المراهق إذا کان عاقلاً ممیّزاً یصلّی صلاة صحیحة جاز أن یکون إماماً، و إن لم یکن ممیّزاً عاقلاً لم یجز ذلک</w:t>
      </w:r>
      <w:r>
        <w:rPr>
          <w:rFonts w:eastAsia="IRNazanin" w:cs="IRNazanin"/>
          <w:color w:val="111111"/>
          <w:sz w:val="28"/>
          <w:szCs w:val="28"/>
          <w:rtl w:val="true"/>
          <w:lang w:bidi="fa-IR"/>
        </w:rPr>
        <w:t>»</w:t>
      </w:r>
      <w:r>
        <w:rPr>
          <w:rStyle w:val="FootnoteAnchor"/>
          <w:rtl w:val="true"/>
        </w:rPr>
        <w:footnoteReference w:id="2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الخلاف، و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الفرائض و النوافل الّتی یجوز فیها صلاة الجماعة، مثل الاستسقاء</w:t>
      </w:r>
      <w:r>
        <w:rPr>
          <w:rFonts w:eastAsia="IRNazanin" w:cs="IRNazanin"/>
          <w:color w:val="111111"/>
          <w:sz w:val="28"/>
          <w:szCs w:val="28"/>
          <w:rtl w:val="true"/>
          <w:lang w:bidi="fa-IR"/>
        </w:rPr>
        <w:t>»</w:t>
      </w:r>
      <w:r>
        <w:rPr>
          <w:rStyle w:val="FootnoteAnchor"/>
          <w:rtl w:val="true"/>
        </w:rPr>
        <w:footnoteReference w:id="2868"/>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حصل الاعتماد بعدالته مع الأمن من أن یعتمد</w:t>
      </w:r>
      <w:bookmarkStart w:id="824" w:name="pg11755_255337"/>
    </w:p>
    <w:p>
      <w:pPr>
        <w:pStyle w:val="BookText"/>
        <w:rPr/>
      </w:pPr>
      <w:bookmarkEnd w:id="824"/>
      <w:r>
        <w:rPr>
          <w:rFonts w:ascii="IRNazanin" w:hAnsi="IRNazanin" w:eastAsia="IRNazanin"/>
          <w:color w:val="111111"/>
          <w:sz w:val="28"/>
          <w:sz w:val="28"/>
          <w:szCs w:val="28"/>
          <w:rtl w:val="true"/>
          <w:lang w:bidi="fa-IR"/>
        </w:rPr>
        <w:t>علی عدم العقاب و یترک</w:t>
      </w:r>
      <w:r>
        <w:rPr>
          <w:rStyle w:val="FootnoteAnchor"/>
          <w:rtl w:val="true"/>
        </w:rPr>
        <w:footnoteReference w:id="2869"/>
      </w:r>
      <w:r>
        <w:rPr>
          <w:rFonts w:ascii="Amiri" w:hAnsi="Amiri" w:eastAsia="Amiri" w:cs="Amiri"/>
          <w:color w:val="111111"/>
          <w:sz w:val="28"/>
          <w:sz w:val="28"/>
          <w:szCs w:val="28"/>
          <w:rtl w:val="true"/>
          <w:lang w:bidi="ar-SA"/>
        </w:rPr>
        <w:t>یمکن أن یصحّ إمامته لکلّ، و إلّا فلا</w:t>
      </w:r>
      <w:r>
        <w:rPr>
          <w:rFonts w:eastAsia="Amiri" w:cs="Amiri" w:ascii="Amiri" w:hAnsi="Amiri"/>
          <w:color w:val="111111"/>
          <w:sz w:val="28"/>
          <w:szCs w:val="28"/>
          <w:rtl w:val="true"/>
          <w:lang w:bidi="ar-SA"/>
        </w:rPr>
        <w:t>»</w:t>
      </w:r>
      <w:r>
        <w:rPr>
          <w:rStyle w:val="FootnoteAnchor"/>
          <w:rtl w:val="true"/>
        </w:rPr>
        <w:footnoteReference w:id="28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5" w:name="__RefHeading___Toc9587866_73709187"/>
      <w:bookmarkStart w:id="826" w:name="_Toc307"/>
      <w:bookmarkEnd w:id="825"/>
      <w:r>
        <w:rPr>
          <w:rtl w:val="true"/>
        </w:rPr>
        <w:t>أدلّة صحّة إمامة الصبیّ فی الفرائض</w:t>
      </w:r>
      <w:bookmarkEnd w:id="826"/>
    </w:p>
    <w:p>
      <w:pPr>
        <w:pStyle w:val="BookText"/>
        <w:rPr/>
      </w:pPr>
      <w:r>
        <w:rPr>
          <w:rFonts w:ascii="IRNazanin" w:hAnsi="IRNazanin" w:eastAsia="IRNazanin"/>
          <w:color w:val="111111"/>
          <w:sz w:val="28"/>
          <w:sz w:val="28"/>
          <w:szCs w:val="28"/>
          <w:rtl w:val="true"/>
          <w:lang w:bidi="fa-IR"/>
        </w:rPr>
        <w:t>ما یمکن أن یکون مستنداً لهذا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ادّعاه الشیخ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فإنّهم لا یختلفون فی أنّ مَن هذه صفته تلزمه الصلاة</w:t>
      </w:r>
      <w:r>
        <w:rPr>
          <w:rFonts w:eastAsia="IRNazanin" w:cs="IRNazanin"/>
          <w:color w:val="111111"/>
          <w:sz w:val="28"/>
          <w:szCs w:val="28"/>
          <w:rtl w:val="true"/>
          <w:lang w:bidi="fa-IR"/>
        </w:rPr>
        <w:t>»</w:t>
      </w:r>
      <w:r>
        <w:rPr>
          <w:rStyle w:val="FootnoteAnchor"/>
          <w:rtl w:val="true"/>
        </w:rPr>
        <w:footnoteReference w:id="2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صدقة الغلام و عتقه، و یؤمّ النّاس إذا کان له عشر سنین</w:t>
      </w:r>
      <w:r>
        <w:rPr>
          <w:rFonts w:eastAsia="IRNazanin" w:cs="IRNazanin"/>
          <w:color w:val="111111"/>
          <w:sz w:val="28"/>
          <w:szCs w:val="28"/>
          <w:rtl w:val="true"/>
          <w:lang w:bidi="fa-IR"/>
        </w:rPr>
        <w:t>»</w:t>
      </w:r>
      <w:r>
        <w:rPr>
          <w:rStyle w:val="FootnoteAnchor"/>
          <w:rtl w:val="true"/>
        </w:rPr>
        <w:footnoteReference w:id="2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w:t>
      </w:r>
      <w:r>
        <w:rPr>
          <w:rStyle w:val="FootnoteAnchor"/>
          <w:rtl w:val="true"/>
        </w:rPr>
        <w:footnoteReference w:id="2873"/>
      </w:r>
      <w:r>
        <w:rPr>
          <w:rFonts w:ascii="IRNazanin" w:hAnsi="IRNazanin" w:eastAsia="IRNazanin"/>
          <w:color w:val="111111"/>
          <w:sz w:val="28"/>
          <w:sz w:val="28"/>
          <w:szCs w:val="28"/>
          <w:rtl w:val="true"/>
          <w:lang w:bidi="fa-IR"/>
        </w:rPr>
        <w:t>غیاث بن إبراهیم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بالغلام الذی لم یبلغ الحلم أن یؤمّ القوم و أن یؤذّن</w:t>
      </w:r>
      <w:r>
        <w:rPr>
          <w:rFonts w:eastAsia="IRNazanin" w:cs="IRNazanin"/>
          <w:color w:val="111111"/>
          <w:sz w:val="28"/>
          <w:szCs w:val="28"/>
          <w:rtl w:val="true"/>
          <w:lang w:bidi="fa-IR"/>
        </w:rPr>
        <w:t>»</w:t>
      </w:r>
      <w:r>
        <w:rPr>
          <w:rStyle w:val="FootnoteAnchor"/>
          <w:rtl w:val="true"/>
        </w:rPr>
        <w:footnoteReference w:id="2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مثلها موثّقة طلحة بن زید، عن جعفر، عن أبیه، عن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یؤذّن الغلام الذی لم یحتلم و أن یؤمّ</w:t>
      </w:r>
      <w:r>
        <w:rPr>
          <w:rFonts w:eastAsia="IRNazanin" w:cs="IRNazanin"/>
          <w:color w:val="111111"/>
          <w:sz w:val="28"/>
          <w:szCs w:val="28"/>
          <w:rtl w:val="true"/>
          <w:lang w:bidi="fa-IR"/>
        </w:rPr>
        <w:t>»</w:t>
      </w:r>
      <w:r>
        <w:rPr>
          <w:rStyle w:val="FootnoteAnchor"/>
          <w:rtl w:val="true"/>
        </w:rPr>
        <w:footnoteReference w:id="2875"/>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البیهقی فی سننه عن عمرو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لیؤمّکم أکثرکم قراءة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فکنت اصلّی بهم و أنا غلام</w:t>
      </w:r>
      <w:r>
        <w:rPr>
          <w:rStyle w:val="FootnoteAnchor"/>
          <w:rtl w:val="true"/>
        </w:rPr>
        <w:footnoteReference w:id="2876"/>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ابن سبع سنین أو ستّ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مخدوش؛ لمخالفة الکلّ حتّی مدّعیه فی جملة من کتبه</w:t>
      </w:r>
      <w:r>
        <w:rPr>
          <w:rStyle w:val="FootnoteAnchor"/>
          <w:rtl w:val="true"/>
        </w:rPr>
        <w:footnoteReference w:id="2877"/>
      </w:r>
      <w:r>
        <w:rPr>
          <w:rFonts w:ascii="IRNazanin" w:hAnsi="IRNazanin" w:eastAsia="IRNazanin"/>
          <w:color w:val="111111"/>
          <w:sz w:val="28"/>
          <w:sz w:val="28"/>
          <w:szCs w:val="28"/>
          <w:rtl w:val="true"/>
          <w:lang w:bidi="fa-IR"/>
        </w:rPr>
        <w:t>، حیث أفتی باشتراط البلوغ فی إمامة الصلاة</w:t>
      </w:r>
      <w:r>
        <w:rPr>
          <w:rStyle w:val="FootnoteAnchor"/>
          <w:rtl w:val="true"/>
        </w:rPr>
        <w:footnoteReference w:id="2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النصوص فمع غضّ النظر عن ضعف سند بعضها، و إعراض کثیر من الأصحاب عنها، فیمکن حمل موثّقة سماعة علی جواز إمامته فی النافلة أو إمامته لمثله تمریناً؛ جمعاً بین الأخبار، کما ذهب إلیه فی روضة المتّقین</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معتبرة غیاث بن إبراهیم و موثّقة طلحة بن زید فقد صرّح فیهما بعدم البلوغ من حیث الاحتلام، و هذا لا ینافی</w:t>
      </w:r>
      <w:r>
        <w:rPr>
          <w:rStyle w:val="FootnoteAnchor"/>
          <w:rtl w:val="true"/>
        </w:rPr>
        <w:footnoteReference w:id="2880"/>
      </w:r>
      <w:r>
        <w:rPr>
          <w:rFonts w:ascii="IRNazanin" w:hAnsi="IRNazanin" w:eastAsia="IRNazanin"/>
          <w:color w:val="111111"/>
          <w:sz w:val="28"/>
          <w:sz w:val="28"/>
          <w:szCs w:val="28"/>
          <w:rtl w:val="true"/>
          <w:lang w:bidi="fa-IR"/>
        </w:rPr>
        <w:t>بلوغه من حیث السنّ و الإنبات، کما صرّح به الشیخ فی التهذیب</w:t>
      </w:r>
      <w:r>
        <w:rPr>
          <w:rStyle w:val="FootnoteAnchor"/>
          <w:rtl w:val="true"/>
        </w:rPr>
        <w:footnoteReference w:id="2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إطلاق فیهما حتّی یستنبط منهما جواز الاقتداء بغیر البالغ، و لا أقلّ من الشکّ فی ذلک</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أنّها معارضة بالنصوص الاُخری الّتی تدلّ علی عدم الجواز، و سنذکرها قریباً</w:t>
      </w:r>
      <w:r>
        <w:rPr>
          <w:rFonts w:eastAsia="IRNazanin" w:cs="IRNazanin"/>
          <w:color w:val="111111"/>
          <w:sz w:val="28"/>
          <w:szCs w:val="28"/>
          <w:rtl w:val="true"/>
          <w:lang w:bidi="fa-IR"/>
        </w:rPr>
        <w:t>.</w:t>
      </w:r>
      <w:bookmarkStart w:id="827" w:name="pg11755_255341"/>
    </w:p>
    <w:p>
      <w:pPr>
        <w:pStyle w:val="Heading5"/>
        <w:numPr>
          <w:ilvl w:val="4"/>
          <w:numId w:val="1"/>
        </w:numPr>
        <w:rPr/>
      </w:pPr>
      <w:bookmarkStart w:id="828" w:name="__RefHeading___Toc9587868_73709187"/>
      <w:bookmarkStart w:id="829" w:name="_Toc308"/>
      <w:bookmarkEnd w:id="827"/>
      <w:bookmarkEnd w:id="828"/>
      <w:r>
        <w:rPr>
          <w:rtl w:val="true"/>
        </w:rPr>
        <w:t>عدم جواز إمامة الصبیّ فی الفرائض</w:t>
      </w:r>
      <w:bookmarkEnd w:id="829"/>
    </w:p>
    <w:p>
      <w:pPr>
        <w:pStyle w:val="Heading6"/>
        <w:numPr>
          <w:ilvl w:val="5"/>
          <w:numId w:val="1"/>
        </w:numPr>
        <w:rPr/>
      </w:pPr>
      <w:bookmarkStart w:id="830" w:name="__RefHeading___Toc9587870_73709187"/>
      <w:bookmarkStart w:id="831" w:name="_Toc309"/>
      <w:bookmarkEnd w:id="830"/>
      <w:r>
        <w:rPr>
          <w:rtl w:val="true"/>
        </w:rPr>
        <w:t>اشارة</w:t>
      </w:r>
      <w:bookmarkEnd w:id="831"/>
    </w:p>
    <w:p>
      <w:pPr>
        <w:pStyle w:val="BookText"/>
        <w:rPr/>
      </w:pPr>
      <w:r>
        <w:rPr>
          <w:rFonts w:ascii="IRNazanin" w:hAnsi="IRNazanin" w:eastAsia="IRNazanin"/>
          <w:color w:val="111111"/>
          <w:sz w:val="28"/>
          <w:sz w:val="28"/>
          <w:szCs w:val="28"/>
          <w:rtl w:val="true"/>
          <w:lang w:bidi="fa-IR"/>
        </w:rPr>
        <w:t>القول الثانی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به المشهور من عدم جواز إمامة الصبیّ فی الفرائض،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قول الشیخ فی النهایة و ابن البرّاج فی المهذّب، 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علی الأظهر</w:t>
      </w:r>
      <w:r>
        <w:rPr>
          <w:rFonts w:eastAsia="IRNazanin" w:cs="IRNazanin"/>
          <w:color w:val="111111"/>
          <w:sz w:val="28"/>
          <w:szCs w:val="28"/>
          <w:rtl w:val="true"/>
          <w:lang w:bidi="fa-IR"/>
        </w:rPr>
        <w:t>»</w:t>
      </w:r>
      <w:r>
        <w:rPr>
          <w:rStyle w:val="FootnoteAnchor"/>
          <w:rtl w:val="true"/>
        </w:rPr>
        <w:footnoteReference w:id="2882"/>
      </w:r>
      <w:r>
        <w:rPr>
          <w:rFonts w:ascii="IRNazanin" w:hAnsi="IRNazanin" w:eastAsia="IRNazanin"/>
          <w:color w:val="111111"/>
          <w:sz w:val="28"/>
          <w:sz w:val="28"/>
          <w:szCs w:val="28"/>
          <w:rtl w:val="true"/>
          <w:lang w:bidi="fa-IR"/>
        </w:rPr>
        <w:t>، و کذا فی المعتبر</w:t>
      </w:r>
      <w:r>
        <w:rPr>
          <w:rStyle w:val="FootnoteAnchor"/>
          <w:rtl w:val="true"/>
        </w:rPr>
        <w:footnoteReference w:id="2883"/>
      </w:r>
      <w:r>
        <w:rPr>
          <w:rFonts w:ascii="IRNazanin" w:hAnsi="IRNazanin" w:eastAsia="IRNazanin"/>
          <w:color w:val="111111"/>
          <w:sz w:val="28"/>
          <w:sz w:val="28"/>
          <w:szCs w:val="28"/>
          <w:rtl w:val="true"/>
          <w:lang w:bidi="fa-IR"/>
        </w:rPr>
        <w:t>و المنتهی</w:t>
      </w:r>
      <w:r>
        <w:rPr>
          <w:rStyle w:val="FootnoteAnchor"/>
          <w:rtl w:val="true"/>
        </w:rPr>
        <w:footnoteReference w:id="2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تصحّ إمامة الصبیّ غیر الممیّز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یشترط البلوغ؟ لعلمائنا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شرط، فلا تصحّ إمامة الصبیّ و إن کان ممیّزاً مراهقاً فی الفریضة</w:t>
      </w:r>
      <w:r>
        <w:rPr>
          <w:rFonts w:eastAsia="IRNazanin" w:cs="IRNazanin"/>
          <w:color w:val="111111"/>
          <w:sz w:val="28"/>
          <w:szCs w:val="28"/>
          <w:rtl w:val="true"/>
          <w:lang w:bidi="fa-IR"/>
        </w:rPr>
        <w:t>»</w:t>
      </w:r>
      <w:r>
        <w:rPr>
          <w:rStyle w:val="FootnoteAnchor"/>
          <w:rtl w:val="true"/>
        </w:rPr>
        <w:footnoteReference w:id="2885"/>
      </w:r>
      <w:r>
        <w:rPr>
          <w:rFonts w:ascii="IRNazanin" w:hAnsi="IRNazanin" w:eastAsia="IRNazanin"/>
          <w:color w:val="111111"/>
          <w:sz w:val="28"/>
          <w:sz w:val="28"/>
          <w:szCs w:val="28"/>
          <w:rtl w:val="true"/>
          <w:lang w:bidi="fa-IR"/>
        </w:rPr>
        <w:t>، و کذا فی المختلف</w:t>
      </w:r>
      <w:r>
        <w:rPr>
          <w:rStyle w:val="FootnoteAnchor"/>
          <w:rtl w:val="true"/>
        </w:rPr>
        <w:footnoteReference w:id="2886"/>
      </w:r>
      <w:r>
        <w:rPr>
          <w:rFonts w:ascii="IRNazanin" w:hAnsi="IRNazanin" w:eastAsia="IRNazanin"/>
          <w:color w:val="111111"/>
          <w:sz w:val="28"/>
          <w:sz w:val="28"/>
          <w:szCs w:val="28"/>
          <w:rtl w:val="true"/>
          <w:lang w:bidi="fa-IR"/>
        </w:rPr>
        <w:t>و الدروس</w:t>
      </w:r>
      <w:r>
        <w:rPr>
          <w:rStyle w:val="FootnoteAnchor"/>
          <w:rtl w:val="true"/>
        </w:rPr>
        <w:footnoteReference w:id="2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الذکری فی شروط الإمامة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أوّلها البلوغ، فلا تصحّ إمامة الصبیّ غیر الممیّز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الممیّز فلا تجوز إمامته</w:t>
      </w:r>
      <w:r>
        <w:rPr>
          <w:rFonts w:eastAsia="IRNazanin" w:cs="IRNazanin"/>
          <w:color w:val="111111"/>
          <w:sz w:val="28"/>
          <w:szCs w:val="28"/>
          <w:rtl w:val="true"/>
          <w:lang w:bidi="fa-IR"/>
        </w:rPr>
        <w:t>»</w:t>
      </w:r>
      <w:r>
        <w:rPr>
          <w:rStyle w:val="FootnoteAnchor"/>
          <w:rtl w:val="true"/>
        </w:rPr>
        <w:footnoteReference w:id="2888"/>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الروضة</w:t>
      </w:r>
      <w:r>
        <w:rPr>
          <w:rStyle w:val="FootnoteAnchor"/>
          <w:rtl w:val="true"/>
        </w:rPr>
        <w:footnoteReference w:id="2889"/>
      </w:r>
      <w:r>
        <w:rPr>
          <w:rFonts w:ascii="IRNazanin" w:hAnsi="IRNazanin" w:eastAsia="IRNazanin"/>
          <w:color w:val="111111"/>
          <w:sz w:val="28"/>
          <w:sz w:val="28"/>
          <w:szCs w:val="28"/>
          <w:rtl w:val="true"/>
          <w:lang w:bidi="fa-IR"/>
        </w:rPr>
        <w:t>و الروض</w:t>
      </w:r>
      <w:r>
        <w:rPr>
          <w:rStyle w:val="FootnoteAnchor"/>
          <w:rtl w:val="true"/>
        </w:rPr>
        <w:footnoteReference w:id="2890"/>
      </w:r>
      <w:r>
        <w:rPr>
          <w:rFonts w:ascii="IRNazanin" w:hAnsi="IRNazanin" w:eastAsia="IRNazanin"/>
          <w:color w:val="111111"/>
          <w:sz w:val="28"/>
          <w:sz w:val="28"/>
          <w:szCs w:val="28"/>
          <w:rtl w:val="true"/>
          <w:lang w:bidi="fa-IR"/>
        </w:rPr>
        <w:t>و غایة المرام</w:t>
      </w:r>
      <w:r>
        <w:rPr>
          <w:rStyle w:val="FootnoteAnchor"/>
          <w:rtl w:val="true"/>
        </w:rPr>
        <w:footnoteReference w:id="2891"/>
      </w:r>
      <w:r>
        <w:rPr>
          <w:rFonts w:ascii="IRNazanin" w:hAnsi="IRNazanin" w:eastAsia="IRNazanin"/>
          <w:color w:val="111111"/>
          <w:sz w:val="28"/>
          <w:sz w:val="28"/>
          <w:szCs w:val="28"/>
          <w:rtl w:val="true"/>
          <w:lang w:bidi="fa-IR"/>
        </w:rPr>
        <w:t>و الریاض، و نقل عن المنتهی فی کتاب الصوم نفی الخلاف عنه</w:t>
      </w:r>
      <w:r>
        <w:rPr>
          <w:rStyle w:val="FootnoteAnchor"/>
          <w:rtl w:val="true"/>
        </w:rPr>
        <w:footnoteReference w:id="2892"/>
      </w:r>
      <w:r>
        <w:rPr>
          <w:rFonts w:ascii="IRNazanin" w:hAnsi="IRNazanin" w:eastAsia="IRNazanin"/>
          <w:color w:val="111111"/>
          <w:sz w:val="28"/>
          <w:sz w:val="28"/>
          <w:szCs w:val="28"/>
          <w:rtl w:val="true"/>
          <w:lang w:bidi="fa-IR"/>
        </w:rPr>
        <w:t>مؤذناً بدعوی الإجماع علیه</w:t>
      </w:r>
      <w:r>
        <w:rPr>
          <w:rStyle w:val="FootnoteAnchor"/>
          <w:rtl w:val="true"/>
        </w:rPr>
        <w:footnoteReference w:id="2893"/>
      </w:r>
      <w:r>
        <w:rPr>
          <w:rFonts w:eastAsia="Times New Roman" w:cs="Times New Roman" w:ascii="Times New Roman" w:hAnsi="Times New Roman"/>
          <w:color w:val="111111"/>
          <w:sz w:val="28"/>
          <w:szCs w:val="28"/>
          <w:rtl w:val="true"/>
          <w:lang w:val="en-US" w:bidi="en-US"/>
        </w:rPr>
        <w:t>.</w:t>
      </w:r>
      <w:bookmarkStart w:id="832" w:name="pg11755_255344"/>
    </w:p>
    <w:p>
      <w:pPr>
        <w:pStyle w:val="BookText"/>
        <w:rPr/>
      </w:pPr>
      <w:bookmarkEnd w:id="832"/>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علیه عامّة من تأخّر</w:t>
      </w:r>
      <w:r>
        <w:rPr>
          <w:rFonts w:eastAsia="IRNazanin" w:cs="IRNazanin"/>
          <w:color w:val="111111"/>
          <w:sz w:val="28"/>
          <w:szCs w:val="28"/>
          <w:rtl w:val="true"/>
          <w:lang w:bidi="fa-IR"/>
        </w:rPr>
        <w:t>»</w:t>
      </w:r>
      <w:r>
        <w:rPr>
          <w:rStyle w:val="FootnoteAnchor"/>
          <w:rtl w:val="true"/>
        </w:rPr>
        <w:footnoteReference w:id="2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الشیخ الأعظم</w:t>
      </w:r>
      <w:r>
        <w:rPr>
          <w:rStyle w:val="FootnoteAnchor"/>
          <w:rtl w:val="true"/>
        </w:rPr>
        <w:footnoteReference w:id="2895"/>
      </w:r>
      <w:r>
        <w:rPr>
          <w:rFonts w:ascii="IRNazanin" w:hAnsi="IRNazanin" w:eastAsia="IRNazanin"/>
          <w:color w:val="111111"/>
          <w:sz w:val="28"/>
          <w:sz w:val="28"/>
          <w:szCs w:val="28"/>
          <w:rtl w:val="true"/>
          <w:lang w:bidi="fa-IR"/>
        </w:rPr>
        <w:t>و السیّد الفقیه الطباطبائی</w:t>
      </w:r>
      <w:r>
        <w:rPr>
          <w:rStyle w:val="FootnoteAnchor"/>
          <w:rtl w:val="true"/>
        </w:rPr>
        <w:footnoteReference w:id="2896"/>
      </w:r>
      <w:r>
        <w:rPr>
          <w:rFonts w:ascii="IRNazanin" w:hAnsi="IRNazanin" w:eastAsia="IRNazanin"/>
          <w:color w:val="111111"/>
          <w:sz w:val="28"/>
          <w:sz w:val="28"/>
          <w:szCs w:val="28"/>
          <w:rtl w:val="true"/>
          <w:lang w:bidi="fa-IR"/>
        </w:rPr>
        <w:t>و الإمام الخمینی</w:t>
      </w:r>
      <w:r>
        <w:rPr>
          <w:rStyle w:val="FootnoteAnchor"/>
          <w:rtl w:val="true"/>
        </w:rPr>
        <w:footnoteReference w:id="2897"/>
      </w:r>
      <w:r>
        <w:rPr>
          <w:rFonts w:ascii="IRNazanin" w:hAnsi="IRNazanin" w:eastAsia="IRNazanin"/>
          <w:color w:val="111111"/>
          <w:sz w:val="28"/>
          <w:sz w:val="28"/>
          <w:szCs w:val="28"/>
          <w:rtl w:val="true"/>
          <w:lang w:bidi="fa-IR"/>
        </w:rPr>
        <w:t>، و الشیخ الفقیه الفاضل اللنکرانی</w:t>
      </w:r>
      <w:r>
        <w:rPr>
          <w:rStyle w:val="FootnoteAnchor"/>
          <w:rtl w:val="true"/>
        </w:rPr>
        <w:footnoteReference w:id="2898"/>
      </w:r>
      <w:r>
        <w:rPr>
          <w:rFonts w:ascii="IRNazanin" w:hAnsi="IRNazanin" w:eastAsia="IRNazanin"/>
          <w:color w:val="111111"/>
          <w:sz w:val="28"/>
          <w:sz w:val="28"/>
          <w:szCs w:val="28"/>
          <w:rtl w:val="true"/>
          <w:lang w:bidi="fa-IR"/>
        </w:rPr>
        <w:t>، و کذا غیرهم</w:t>
      </w:r>
      <w:r>
        <w:rPr>
          <w:rStyle w:val="FootnoteAnchor"/>
          <w:rtl w:val="true"/>
        </w:rPr>
        <w:footnoteReference w:id="28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3" w:name="__RefHeading___Toc9587872_73709187"/>
      <w:bookmarkStart w:id="834" w:name="_Toc310"/>
      <w:bookmarkEnd w:id="833"/>
      <w:r>
        <w:rPr>
          <w:rtl w:val="true"/>
        </w:rPr>
        <w:t>أدلّة عدم جواز إمامة الصبیّ فی الفرائض</w:t>
      </w:r>
      <w:bookmarkEnd w:id="834"/>
    </w:p>
    <w:p>
      <w:pPr>
        <w:pStyle w:val="BookText"/>
        <w:rPr/>
      </w:pPr>
      <w:r>
        <w:rPr>
          <w:rFonts w:ascii="IRNazanin" w:hAnsi="IRNazanin" w:eastAsia="IRNazanin"/>
          <w:color w:val="111111"/>
          <w:sz w:val="28"/>
          <w:sz w:val="28"/>
          <w:szCs w:val="28"/>
          <w:rtl w:val="true"/>
          <w:lang w:bidi="fa-IR"/>
        </w:rPr>
        <w:t>و یدلّ علی الحکم المذکور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أی أصالة عدم سقوط القراءة بفعل الغیر، إلّا مع العلم بالمسقط، کما فی المدارک</w:t>
      </w:r>
      <w:r>
        <w:rPr>
          <w:rStyle w:val="FootnoteAnchor"/>
          <w:rtl w:val="true"/>
        </w:rPr>
        <w:footnoteReference w:id="2900"/>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بناءً علی القول بعدم شرعیّة عبادة الصبیّ فواضح؛ لأنّ صلاته لا تتّصف بالصحّة، و انعقاد الجماعة به مأموماً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للدلیل المفقود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بناءً علی شرعیّتها؛ فلعدم انصراف الإطلاقات إلّا إلی المکلّف، فیبقی غیره تحت أصالة عدم الضمان</w:t>
      </w:r>
      <w:r>
        <w:rPr>
          <w:rStyle w:val="FootnoteAnchor"/>
          <w:rtl w:val="true"/>
        </w:rPr>
        <w:footnoteReference w:id="29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غیر البالغ لیس من أهل التکلیف و لا یقع منه الفعل علی وجه یعدّ طاعة؛ لأنّها موافقة الأمر، و الصبیّ لیس مأموراً إجماعاً، مضافاً إلی أنّ العدالة شرط إجماعاً و هی غیر متحقّقة فی طرف الصبیّ؛ لأنّها هیئة قائمة بالنفس تقتضی البعث علی ملازمة الطاعات و الانتهاء عن المحرّمات، و کلّ ذلک فرع التکلیف، مع أنّ الصبیّ عالم بعدم المؤاخذة له بما یصدر عنه من القبائح، فلا یؤمن بطلان صلاته بما یوقعه من الأفعال المنافیة للصلاة؛ إذ لا زاجر له عنه</w:t>
      </w:r>
      <w:r>
        <w:rPr>
          <w:rStyle w:val="FootnoteAnchor"/>
          <w:rtl w:val="true"/>
        </w:rPr>
        <w:footnoteReference w:id="2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الصبیّ أیضاً مکلّف بالطاعات علی نحو المندوب لا الوجوب، و لذا قال المشهور بمشروعیّة عباداته کما تقدّم</w:t>
      </w:r>
      <w:r>
        <w:rPr>
          <w:rStyle w:val="FootnoteAnchor"/>
          <w:rtl w:val="true"/>
        </w:rPr>
        <w:footnoteReference w:id="2904"/>
      </w:r>
      <w:r>
        <w:rPr>
          <w:rFonts w:ascii="IRNazanin" w:hAnsi="IRNazanin" w:eastAsia="IRNazanin"/>
          <w:color w:val="111111"/>
          <w:sz w:val="28"/>
          <w:sz w:val="28"/>
          <w:szCs w:val="28"/>
          <w:rtl w:val="true"/>
          <w:lang w:bidi="fa-IR"/>
        </w:rPr>
        <w:t>، و المفروض أنّه موثوق بدینه و لا یصدر عنه القبائح، مضافاً إلی أنّه أخصّ من المدّعی، و لعلّه لذلک قال الشیخ الأعظم بعد ذکر الوجوه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و غیره ممّا ذکروه وجوه ضعیفة لا تقوی علی تخصیص العمومات المستفادة من الأخبار الحاصرة للممنوع عن الاقتداء به فی خمسة</w:t>
      </w:r>
      <w:r>
        <w:rPr>
          <w:rStyle w:val="FootnoteAnchor"/>
          <w:rtl w:val="true"/>
        </w:rPr>
        <w:footnoteReference w:id="2905"/>
      </w:r>
      <w:r>
        <w:rPr>
          <w:rFonts w:ascii="Amiri" w:hAnsi="Amiri" w:eastAsia="Amiri" w:cs="Amiri"/>
          <w:color w:val="111111"/>
          <w:sz w:val="28"/>
          <w:sz w:val="28"/>
          <w:szCs w:val="28"/>
          <w:rtl w:val="true"/>
          <w:lang w:bidi="ar-SA"/>
        </w:rPr>
        <w:t>أو ستّة</w:t>
      </w:r>
      <w:r>
        <w:rPr>
          <w:rStyle w:val="FootnoteAnchor"/>
          <w:rtl w:val="true"/>
        </w:rPr>
        <w:footnoteReference w:id="29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أجل ذلک قال فی مصباح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الجمیع ما لا یخفی</w:t>
      </w:r>
      <w:r>
        <w:rPr>
          <w:rFonts w:eastAsia="IRNazanin" w:cs="IRNazanin"/>
          <w:color w:val="111111"/>
          <w:sz w:val="28"/>
          <w:szCs w:val="28"/>
          <w:rtl w:val="true"/>
          <w:lang w:bidi="fa-IR"/>
        </w:rPr>
        <w:t>»</w:t>
      </w:r>
      <w:r>
        <w:rPr>
          <w:rStyle w:val="FootnoteAnchor"/>
          <w:rtl w:val="true"/>
        </w:rPr>
        <w:footnoteReference w:id="2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غنائم الأیّام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عموم قوله علیه السلام فی روایة ابن راشد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إلّا خلف من تثق بدینه و أمانته</w:t>
      </w:r>
      <w:r>
        <w:rPr>
          <w:rFonts w:eastAsia="IRNazanin" w:cs="IRNazanin"/>
          <w:color w:val="111111"/>
          <w:sz w:val="28"/>
          <w:szCs w:val="28"/>
          <w:rtl w:val="true"/>
          <w:lang w:bidi="fa-IR"/>
        </w:rPr>
        <w:t>»</w:t>
      </w:r>
      <w:r>
        <w:rPr>
          <w:rStyle w:val="FootnoteAnchor"/>
          <w:rtl w:val="true"/>
        </w:rPr>
        <w:footnoteReference w:id="2909"/>
      </w:r>
      <w:r>
        <w:rPr>
          <w:rFonts w:ascii="IRNazanin" w:hAnsi="IRNazanin" w:eastAsia="IRNazanin"/>
          <w:color w:val="111111"/>
          <w:sz w:val="28"/>
          <w:sz w:val="28"/>
          <w:szCs w:val="28"/>
          <w:rtl w:val="true"/>
          <w:lang w:bidi="fa-IR"/>
        </w:rPr>
        <w:t>یشمله</w:t>
      </w:r>
      <w:r>
        <w:rPr>
          <w:rFonts w:eastAsia="IRNazanin" w:cs="IRNazanin"/>
          <w:color w:val="111111"/>
          <w:sz w:val="28"/>
          <w:szCs w:val="28"/>
          <w:rtl w:val="true"/>
          <w:lang w:bidi="fa-IR"/>
        </w:rPr>
        <w:t>»</w:t>
      </w:r>
      <w:r>
        <w:rPr>
          <w:rStyle w:val="FootnoteAnchor"/>
          <w:rtl w:val="true"/>
        </w:rPr>
        <w:footnoteReference w:id="2910"/>
      </w:r>
      <w:r>
        <w:rPr>
          <w:rFonts w:ascii="Amiri" w:hAnsi="Amiri" w:eastAsia="Amiri" w:cs="Amiri"/>
          <w:color w:val="111111"/>
          <w:sz w:val="28"/>
          <w:sz w:val="28"/>
          <w:szCs w:val="28"/>
          <w:rtl w:val="true"/>
          <w:lang w:bidi="ar-SA"/>
        </w:rPr>
        <w:t>، 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الصبیّ</w:t>
      </w:r>
    </w:p>
    <w:p>
      <w:pPr>
        <w:pStyle w:val="BookText"/>
        <w:rPr/>
      </w:pPr>
      <w:r>
        <w:rPr>
          <w:rFonts w:ascii="IRNazanin" w:hAnsi="IRNazanin" w:eastAsia="IRNazanin"/>
          <w:color w:val="111111"/>
          <w:sz w:val="28"/>
          <w:sz w:val="28"/>
          <w:szCs w:val="28"/>
          <w:rtl w:val="true"/>
          <w:lang w:bidi="fa-IR"/>
        </w:rPr>
        <w:t>لا یوثق بدینه و أمانته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ما تقدّم؛ إذ ربّ صبیّ یکون ممّن تثق بدینه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العمدة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إسحاق بن عمّار، عن جعفر، عن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یؤذِّن الغلام قبل أن یحتلم، و لا یؤمّ حتّی یحتلم، فإن أمّ جازت صلاته و فسدت صلاة من خلفه</w:t>
      </w:r>
      <w:r>
        <w:rPr>
          <w:rFonts w:eastAsia="IRNazanin" w:cs="IRNazanin"/>
          <w:color w:val="111111"/>
          <w:sz w:val="28"/>
          <w:szCs w:val="28"/>
          <w:rtl w:val="true"/>
          <w:lang w:bidi="fa-IR"/>
        </w:rPr>
        <w:t>»</w:t>
      </w:r>
      <w:r>
        <w:rPr>
          <w:rStyle w:val="FootnoteAnchor"/>
          <w:rtl w:val="true"/>
        </w:rPr>
        <w:footnoteReference w:id="2911"/>
      </w:r>
      <w:r>
        <w:rPr>
          <w:rFonts w:ascii="IRNazanin" w:hAnsi="IRNazanin" w:eastAsia="IRNazanin"/>
          <w:color w:val="111111"/>
          <w:sz w:val="28"/>
          <w:sz w:val="28"/>
          <w:szCs w:val="28"/>
          <w:rtl w:val="true"/>
          <w:lang w:bidi="fa-IR"/>
        </w:rPr>
        <w:t>، فإنّها صریحة فی المدّعی، و لکن بإزائه الأخبار المتقدّمة التی تدلّ علی جواز إمامة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المشهور إلی أنّ ضعف هذه الروایة منجبر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مصباح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هذه الروایة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المعتضدة بالشهرة، و عدم نقل خلاف یعتدّ به فی المسألة</w:t>
      </w:r>
      <w:r>
        <w:rPr>
          <w:rFonts w:eastAsia="IRNazanin" w:cs="IRNazanin"/>
          <w:color w:val="111111"/>
          <w:sz w:val="28"/>
          <w:szCs w:val="28"/>
          <w:rtl w:val="true"/>
          <w:lang w:bidi="fa-IR"/>
        </w:rPr>
        <w:t>»</w:t>
      </w:r>
      <w:r>
        <w:rPr>
          <w:rStyle w:val="FootnoteAnchor"/>
          <w:rtl w:val="true"/>
        </w:rPr>
        <w:footnoteReference w:id="2912"/>
      </w:r>
      <w:r>
        <w:rPr>
          <w:rFonts w:ascii="IRNazanin" w:hAnsi="IRNazanin" w:eastAsia="IRNazanin"/>
          <w:color w:val="111111"/>
          <w:sz w:val="28"/>
          <w:sz w:val="28"/>
          <w:szCs w:val="28"/>
          <w:rtl w:val="true"/>
          <w:lang w:bidi="fa-IR"/>
        </w:rPr>
        <w:t>، فلا تعارض بینه و بین الروایات المتقدّمة الساقطة عن الحجّیّة بإعراض الأصحاب عنها و إن صحّت أسانیدها بعضاً أو کلّاً، و لذا حکموا باعتبار البلوغ فی إمام الجماعة</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معتبرة و إن حکم المشهور علیها بالضعف؛ إذ لیس فی السند من یغمز فیه عدا غیاث بن کلوب، و هو و إن لم یوثّق صریحاً فی کتب الرجال، و لکن یظهر من مطاویّ کلمات الشیخ فی العدّة توثیقه، حیث ذکر قدس سره أنّه لا یعتبر فی الراوی أن یکون إمامیّاً، بل یکفی کونه ثقة متحرّزاً عن الکذب و إن کان عامّیاً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استشهد بأنّ الطائفة عملت بروایات الفطحیّة و الواقفیّة و بعض العامّة، ثمّ ذکر جماعة و عدّ منهم غیاث بن کلوب</w:t>
      </w:r>
      <w:r>
        <w:rPr>
          <w:rStyle w:val="FootnoteAnchor"/>
          <w:rtl w:val="true"/>
        </w:rPr>
        <w:footnoteReference w:id="2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فیظهر منه أنّ الرجل عامّی موثّق، لا بمعنی توثیق روایاته من أجل عمل الطائفة بها، بل بمعنی توثیقه بنفسه، و کونه متحرّزاً عن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فالروایة تعدّ من الموثّقات فتقع المعارضة بینها و بین الروایات المتقدّمة، فإمّا أن نقدّم هذه علیها؛ لکونها صریحة الدلالة، کما قال فی المعتبر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أظهر فی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نوع من رجحان</w:t>
      </w:r>
      <w:r>
        <w:rPr>
          <w:rFonts w:eastAsia="IRNazanin" w:cs="IRNazanin"/>
          <w:color w:val="111111"/>
          <w:sz w:val="28"/>
          <w:szCs w:val="28"/>
          <w:rtl w:val="true"/>
          <w:lang w:bidi="fa-IR"/>
        </w:rPr>
        <w:t>»</w:t>
      </w:r>
      <w:r>
        <w:rPr>
          <w:rStyle w:val="FootnoteAnchor"/>
          <w:rtl w:val="true"/>
        </w:rPr>
        <w:footnoteReference w:id="2914"/>
      </w:r>
      <w:r>
        <w:rPr>
          <w:rFonts w:ascii="IRNazanin" w:hAnsi="IRNazanin" w:eastAsia="IRNazanin"/>
          <w:color w:val="111111"/>
          <w:sz w:val="28"/>
          <w:sz w:val="28"/>
          <w:szCs w:val="28"/>
          <w:rtl w:val="true"/>
          <w:lang w:bidi="fa-IR"/>
        </w:rPr>
        <w:t>، أو تحمل تلک الروایات علی إمامة الصبیّ لمثله، إلّا أنّ هذا الحمل بعید؛ لأنّه قد صرّح فی موثّقة غیاث بن إبراهیم بأن یؤمّ القوم، و القوم لا یطلق علی الصبیان، و صرّح فی موثّقة سماعة بأن یؤمّ الناس، و الناس لا یطلق علی الصبیان أو أنّهما یتعارضان فیتساقطان</w:t>
      </w:r>
      <w:r>
        <w:rPr>
          <w:rStyle w:val="FootnoteAnchor"/>
          <w:rtl w:val="true"/>
        </w:rPr>
        <w:footnoteReference w:id="2915"/>
      </w:r>
      <w:r>
        <w:rPr>
          <w:rFonts w:ascii="IRNazanin" w:hAnsi="IRNazanin" w:eastAsia="IRNazanin"/>
          <w:color w:val="111111"/>
          <w:sz w:val="28"/>
          <w:sz w:val="28"/>
          <w:szCs w:val="28"/>
          <w:rtl w:val="true"/>
          <w:lang w:bidi="fa-IR"/>
        </w:rPr>
        <w:t>، فیبقی جواز إمامته عاریاً عن الدلیل، فیرجع إلی أصالة عدم المشروعیّة بعد عدم وجود إطلاق فی أدلّة الجماعة من هذه الناحیة کی یرجع إلیه، کما فی المستند</w:t>
      </w:r>
      <w:r>
        <w:rPr>
          <w:rStyle w:val="FootnoteAnchor"/>
          <w:rtl w:val="true"/>
        </w:rPr>
        <w:footnoteReference w:id="2916"/>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مصباح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الخبران الأوّلان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خبر طلحة بن زید</w:t>
      </w:r>
      <w:bookmarkStart w:id="835" w:name="pg11755_255352"/>
    </w:p>
    <w:p>
      <w:pPr>
        <w:pStyle w:val="BookText"/>
        <w:rPr/>
      </w:pPr>
      <w:bookmarkEnd w:id="835"/>
      <w:r>
        <w:rPr>
          <w:rFonts w:ascii="IRNazanin" w:hAnsi="IRNazanin" w:eastAsia="IRNazanin"/>
          <w:color w:val="111111"/>
          <w:sz w:val="28"/>
          <w:sz w:val="28"/>
          <w:szCs w:val="28"/>
          <w:rtl w:val="true"/>
          <w:lang w:bidi="fa-IR"/>
        </w:rPr>
        <w:t xml:space="preserve">و غیاث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فبضعف السند العاری عن الجابر، و أمّا الروایة المجوّزة لعتقه و صدقته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فبمخالفتها هنا لفتوی الکلّ حتّی القائل بالجواز، حیث إنّه لم یحدّده بهذا الحدّ، و فی باب الصدقة و العتق لفتوی المعظم المطابقة للاُصول و الأدلّة، فیشکل الاعتماد علیها فی إثبات مثل هذا الحکم المخالف للأصل</w:t>
      </w:r>
      <w:r>
        <w:rPr>
          <w:rFonts w:eastAsia="IRNazanin" w:cs="IRNazanin"/>
          <w:color w:val="111111"/>
          <w:sz w:val="28"/>
          <w:szCs w:val="28"/>
          <w:rtl w:val="true"/>
          <w:lang w:bidi="fa-IR"/>
        </w:rPr>
        <w:t>»</w:t>
      </w:r>
      <w:r>
        <w:rPr>
          <w:rStyle w:val="FootnoteAnchor"/>
          <w:rtl w:val="true"/>
        </w:rPr>
        <w:footnoteReference w:id="29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6" w:name="__RefHeading___Toc9587874_73709187"/>
      <w:bookmarkStart w:id="837" w:name="_Toc311"/>
      <w:bookmarkEnd w:id="836"/>
      <w:r>
        <w:rPr>
          <w:rtl w:val="true"/>
        </w:rPr>
        <w:t>إیضاح</w:t>
      </w:r>
      <w:bookmarkEnd w:id="837"/>
    </w:p>
    <w:p>
      <w:pPr>
        <w:pStyle w:val="BookText"/>
        <w:rPr/>
      </w:pPr>
      <w:r>
        <w:rPr>
          <w:rFonts w:ascii="IRNazanin" w:hAnsi="IRNazanin" w:eastAsia="IRNazanin"/>
          <w:color w:val="111111"/>
          <w:sz w:val="28"/>
          <w:sz w:val="28"/>
          <w:szCs w:val="28"/>
          <w:rtl w:val="true"/>
          <w:lang w:bidi="fa-IR"/>
        </w:rPr>
        <w:t>ظهر ممّا ذکرنا عدم جواز إمامة الصبیّ فی صلاة الجمعة، کما صرّح به کثیر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فی النائب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فلا تصحّ إمامة الصبیّ</w:t>
      </w:r>
      <w:r>
        <w:rPr>
          <w:rFonts w:eastAsia="IRNazanin" w:cs="IRNazanin"/>
          <w:color w:val="111111"/>
          <w:sz w:val="28"/>
          <w:szCs w:val="28"/>
          <w:rtl w:val="true"/>
          <w:lang w:bidi="fa-IR"/>
        </w:rPr>
        <w:t>»</w:t>
      </w:r>
      <w:r>
        <w:rPr>
          <w:rStyle w:val="FootnoteAnchor"/>
          <w:rtl w:val="true"/>
        </w:rPr>
        <w:footnoteReference w:id="2918"/>
      </w:r>
      <w:r>
        <w:rPr>
          <w:rFonts w:ascii="IRNazanin" w:hAnsi="IRNazanin" w:eastAsia="IRNazanin"/>
          <w:color w:val="111111"/>
          <w:sz w:val="28"/>
          <w:sz w:val="28"/>
          <w:szCs w:val="28"/>
          <w:rtl w:val="true"/>
          <w:lang w:bidi="fa-IR"/>
        </w:rPr>
        <w:t>، و کذا فی التحریر</w:t>
      </w:r>
      <w:r>
        <w:rPr>
          <w:rStyle w:val="FootnoteAnchor"/>
          <w:rtl w:val="true"/>
        </w:rPr>
        <w:footnoteReference w:id="2919"/>
      </w:r>
      <w:r>
        <w:rPr>
          <w:rFonts w:ascii="IRNazanin" w:hAnsi="IRNazanin" w:eastAsia="IRNazanin"/>
          <w:color w:val="111111"/>
          <w:sz w:val="28"/>
          <w:sz w:val="28"/>
          <w:szCs w:val="28"/>
          <w:rtl w:val="true"/>
          <w:lang w:bidi="fa-IR"/>
        </w:rPr>
        <w:t>و المنتهی، و زاد بأنّ ذلک ممّا لا خلاف فیه</w:t>
      </w:r>
      <w:r>
        <w:rPr>
          <w:rStyle w:val="FootnoteAnchor"/>
          <w:rtl w:val="true"/>
        </w:rPr>
        <w:footnoteReference w:id="2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الکفایة</w:t>
      </w:r>
      <w:r>
        <w:rPr>
          <w:rStyle w:val="FootnoteAnchor"/>
          <w:rtl w:val="true"/>
        </w:rPr>
        <w:footnoteReference w:id="2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الذخیرة</w:t>
      </w:r>
      <w:r>
        <w:rPr>
          <w:rStyle w:val="FootnoteAnchor"/>
          <w:rtl w:val="true"/>
        </w:rPr>
        <w:footnoteReference w:id="2922"/>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تنعقد إمامة الصبیّ؛ لاتّصافه بما یرفع القلم، فلا یؤمّن ترک واجب أو فعل محرّم منه إذا کان ممیّزاً، و إن لم یکن ممیّزاً فلا اعتبار لأفعاله</w:t>
      </w:r>
      <w:r>
        <w:rPr>
          <w:rFonts w:eastAsia="IRNazanin" w:cs="IRNazanin"/>
          <w:color w:val="111111"/>
          <w:sz w:val="28"/>
          <w:szCs w:val="28"/>
          <w:rtl w:val="true"/>
          <w:lang w:bidi="fa-IR"/>
        </w:rPr>
        <w:t>»</w:t>
      </w:r>
      <w:r>
        <w:rPr>
          <w:rStyle w:val="FootnoteAnchor"/>
          <w:rtl w:val="true"/>
        </w:rPr>
        <w:footnoteReference w:id="2923"/>
      </w:r>
      <w:r>
        <w:rPr>
          <w:rFonts w:eastAsia="Times New Roman" w:cs="Times New Roman" w:ascii="Times New Roman" w:hAnsi="Times New Roman"/>
          <w:color w:val="111111"/>
          <w:sz w:val="28"/>
          <w:szCs w:val="28"/>
          <w:rtl w:val="true"/>
          <w:lang w:val="en-US" w:bidi="en-US"/>
        </w:rPr>
        <w:t>.</w:t>
      </w:r>
      <w:bookmarkStart w:id="838" w:name="pg11755_255354"/>
    </w:p>
    <w:p>
      <w:pPr>
        <w:pStyle w:val="BookText"/>
        <w:rPr/>
      </w:pPr>
      <w:bookmarkEnd w:id="838"/>
      <w:r>
        <w:rPr>
          <w:rFonts w:ascii="IRNazanin" w:hAnsi="IRNazanin" w:eastAsia="IRNazanin"/>
          <w:color w:val="111111"/>
          <w:sz w:val="28"/>
          <w:sz w:val="28"/>
          <w:szCs w:val="28"/>
          <w:rtl w:val="true"/>
          <w:lang w:bidi="fa-IR"/>
        </w:rPr>
        <w:t>و کذا فی المدارک</w:t>
      </w:r>
      <w:r>
        <w:rPr>
          <w:rStyle w:val="FootnoteAnchor"/>
          <w:rtl w:val="true"/>
        </w:rPr>
        <w:footnoteReference w:id="2924"/>
      </w:r>
      <w:r>
        <w:rPr>
          <w:rFonts w:ascii="IRNazanin" w:hAnsi="IRNazanin" w:eastAsia="IRNazanin"/>
          <w:color w:val="111111"/>
          <w:sz w:val="28"/>
          <w:sz w:val="28"/>
          <w:szCs w:val="28"/>
          <w:rtl w:val="true"/>
          <w:lang w:bidi="fa-IR"/>
        </w:rPr>
        <w:t>و جامع المقاصد</w:t>
      </w:r>
      <w:r>
        <w:rPr>
          <w:rStyle w:val="FootnoteAnchor"/>
          <w:rtl w:val="true"/>
        </w:rPr>
        <w:footnoteReference w:id="2925"/>
      </w:r>
      <w:r>
        <w:rPr>
          <w:rFonts w:ascii="IRNazanin" w:hAnsi="IRNazanin" w:eastAsia="IRNazanin"/>
          <w:color w:val="111111"/>
          <w:sz w:val="28"/>
          <w:sz w:val="28"/>
          <w:szCs w:val="28"/>
          <w:rtl w:val="true"/>
          <w:lang w:bidi="fa-IR"/>
        </w:rPr>
        <w:t>، و عبّر فی الشرائع بکمال العقل</w:t>
      </w:r>
      <w:r>
        <w:rPr>
          <w:rStyle w:val="FootnoteAnchor"/>
          <w:rtl w:val="true"/>
        </w:rPr>
        <w:footnoteReference w:id="2926"/>
      </w:r>
    </w:p>
    <w:p>
      <w:pPr>
        <w:pStyle w:val="BookText"/>
        <w:rPr/>
      </w:pPr>
      <w:r>
        <w:rPr>
          <w:rFonts w:ascii="IRNazanin" w:hAnsi="IRNazanin" w:eastAsia="IRNazanin"/>
          <w:color w:val="111111"/>
          <w:sz w:val="28"/>
          <w:sz w:val="28"/>
          <w:szCs w:val="28"/>
          <w:rtl w:val="true"/>
          <w:lang w:bidi="fa-IR"/>
        </w:rPr>
        <w:t>و غیرها</w:t>
      </w:r>
      <w:r>
        <w:rPr>
          <w:rStyle w:val="FootnoteAnchor"/>
          <w:rtl w:val="true"/>
        </w:rPr>
        <w:footnoteReference w:id="2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ما ذکرنا دلیلاً لعدم جواز إمامة الصبیّ فی الفرائض؛ لشمولها للجمعة، فلا نطیل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الظاهر عدم الفرق بین الجمعة و غیرها فی ذلک</w:t>
      </w:r>
      <w:r>
        <w:rPr>
          <w:rFonts w:eastAsia="IRNazanin" w:cs="IRNazanin"/>
          <w:color w:val="111111"/>
          <w:sz w:val="28"/>
          <w:szCs w:val="28"/>
          <w:rtl w:val="true"/>
          <w:lang w:bidi="fa-IR"/>
        </w:rPr>
        <w:t>»</w:t>
      </w:r>
      <w:r>
        <w:rPr>
          <w:rStyle w:val="FootnoteAnchor"/>
          <w:rtl w:val="true"/>
        </w:rPr>
        <w:footnoteReference w:id="2928"/>
      </w:r>
      <w:r>
        <w:rPr>
          <w:rFonts w:ascii="IRNazanin" w:hAnsi="IRNazanin" w:eastAsia="IRNazanin"/>
          <w:color w:val="111111"/>
          <w:sz w:val="28"/>
          <w:sz w:val="28"/>
          <w:szCs w:val="28"/>
          <w:rtl w:val="true"/>
          <w:lang w:bidi="fa-IR"/>
        </w:rPr>
        <w:t>، أی فی اشتراط البلوغ</w:t>
      </w:r>
      <w:r>
        <w:rPr>
          <w:rFonts w:eastAsia="IRNazanin" w:cs="IRNazanin"/>
          <w:color w:val="111111"/>
          <w:sz w:val="28"/>
          <w:szCs w:val="28"/>
          <w:rtl w:val="true"/>
          <w:lang w:bidi="fa-IR"/>
        </w:rPr>
        <w:t>.</w:t>
      </w:r>
    </w:p>
    <w:p>
      <w:pPr>
        <w:pStyle w:val="Heading6"/>
        <w:numPr>
          <w:ilvl w:val="5"/>
          <w:numId w:val="1"/>
        </w:numPr>
        <w:rPr/>
      </w:pPr>
      <w:bookmarkStart w:id="839" w:name="__RefHeading___Toc9587876_73709187"/>
      <w:bookmarkStart w:id="840" w:name="_Toc312"/>
      <w:bookmarkEnd w:id="839"/>
      <w:r>
        <w:rPr>
          <w:rtl w:val="true"/>
        </w:rPr>
        <w:t>رأی أهل السنّة فی المسألة</w:t>
      </w:r>
      <w:bookmarkEnd w:id="840"/>
    </w:p>
    <w:p>
      <w:pPr>
        <w:pStyle w:val="BookText"/>
        <w:rPr/>
      </w:pPr>
      <w:r>
        <w:rPr>
          <w:rFonts w:ascii="IRNazanin" w:hAnsi="IRNazanin" w:eastAsia="IRNazanin"/>
          <w:color w:val="111111"/>
          <w:sz w:val="28"/>
          <w:sz w:val="28"/>
          <w:szCs w:val="28"/>
          <w:rtl w:val="true"/>
          <w:lang w:bidi="fa-IR"/>
        </w:rPr>
        <w:t xml:space="preserve">ذهب الجمهور من الحنفیّة و المالکیّة و الحنابلة إلی أنّه یعتبر فی إمامة صلاة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للبالغین البلوغ، فلا تصحّ إمامة الصبیّ و لو کان ممیّزاً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الشافعیّة فقالوا بصحّة إمامة الصبیّ الممیّز للبالغ فی أحد القولین</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المرأة و الصبیّ العاقل فلا یصحّ منهما إقامة الجمعة؛ لأنّهما لا یصلحان للإمامة فی سائر الصلوات، ففی الجمعة أولی</w:t>
      </w:r>
      <w:r>
        <w:rPr>
          <w:rFonts w:eastAsia="IRNazanin" w:cs="IRNazanin"/>
          <w:color w:val="111111"/>
          <w:sz w:val="28"/>
          <w:szCs w:val="28"/>
          <w:rtl w:val="true"/>
          <w:lang w:bidi="fa-IR"/>
        </w:rPr>
        <w:t>»</w:t>
      </w:r>
      <w:r>
        <w:rPr>
          <w:rStyle w:val="FootnoteAnchor"/>
          <w:rtl w:val="true"/>
        </w:rPr>
        <w:footnoteReference w:id="2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تصحّ إمامة ممیّز لبالغ فی فرضٍ؛ لما روی عن ابن عبّاس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تقدّموا صبیانکم</w:t>
      </w:r>
      <w:r>
        <w:rPr>
          <w:rFonts w:eastAsia="IRNazanin" w:cs="IRNazanin"/>
          <w:color w:val="111111"/>
          <w:sz w:val="28"/>
          <w:szCs w:val="28"/>
          <w:rtl w:val="true"/>
          <w:lang w:bidi="fa-IR"/>
        </w:rPr>
        <w:t>»</w:t>
      </w:r>
      <w:r>
        <w:rPr>
          <w:rStyle w:val="FootnoteAnchor"/>
          <w:rtl w:val="true"/>
        </w:rPr>
        <w:footnoteReference w:id="2930"/>
      </w:r>
      <w:r>
        <w:rPr>
          <w:rFonts w:ascii="IRNazanin" w:hAnsi="IRNazanin" w:eastAsia="IRNazanin"/>
          <w:color w:val="111111"/>
          <w:sz w:val="28"/>
          <w:sz w:val="28"/>
          <w:szCs w:val="28"/>
          <w:rtl w:val="true"/>
          <w:lang w:bidi="fa-IR"/>
        </w:rPr>
        <w:t>، و لأنّها حال کمال، و الصبیّ لیس من أهلها، أشبه المرأة، بل آکد؛ لأنّه نقص یمنع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الإمام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هو من أهل الضمان، و لأنّه لا یؤمّن منه الإخلال بالقراءة حال السرّ</w:t>
      </w:r>
      <w:r>
        <w:rPr>
          <w:rFonts w:eastAsia="IRNazanin" w:cs="IRNazanin"/>
          <w:color w:val="111111"/>
          <w:sz w:val="28"/>
          <w:szCs w:val="28"/>
          <w:rtl w:val="true"/>
          <w:lang w:bidi="fa-IR"/>
        </w:rPr>
        <w:t>»</w:t>
      </w:r>
      <w:r>
        <w:rPr>
          <w:rStyle w:val="FootnoteAnchor"/>
          <w:rtl w:val="true"/>
        </w:rPr>
        <w:footnoteReference w:id="2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منتهی الإرادات</w:t>
      </w:r>
      <w:r>
        <w:rPr>
          <w:rStyle w:val="FootnoteAnchor"/>
          <w:rtl w:val="true"/>
        </w:rPr>
        <w:footnoteReference w:id="2932"/>
      </w:r>
      <w:r>
        <w:rPr>
          <w:rFonts w:ascii="IRNazanin" w:hAnsi="IRNazanin" w:eastAsia="IRNazanin"/>
          <w:color w:val="111111"/>
          <w:sz w:val="28"/>
          <w:sz w:val="28"/>
          <w:szCs w:val="28"/>
          <w:rtl w:val="true"/>
          <w:lang w:bidi="fa-IR"/>
        </w:rPr>
        <w:t>و تبیین الحقائق</w:t>
      </w:r>
      <w:r>
        <w:rPr>
          <w:rStyle w:val="FootnoteAnchor"/>
          <w:rtl w:val="true"/>
        </w:rPr>
        <w:footnoteReference w:id="2933"/>
      </w:r>
      <w:r>
        <w:rPr>
          <w:rFonts w:ascii="IRNazanin" w:hAnsi="IRNazanin" w:eastAsia="IRNazanin"/>
          <w:color w:val="111111"/>
          <w:sz w:val="28"/>
          <w:sz w:val="28"/>
          <w:szCs w:val="28"/>
          <w:rtl w:val="true"/>
          <w:lang w:bidi="fa-IR"/>
        </w:rPr>
        <w:t>و شرح فتح القدیر</w:t>
      </w:r>
      <w:r>
        <w:rPr>
          <w:rStyle w:val="FootnoteAnchor"/>
          <w:rtl w:val="true"/>
        </w:rPr>
        <w:footnoteReference w:id="2934"/>
      </w:r>
      <w:r>
        <w:rPr>
          <w:rFonts w:ascii="IRNazanin" w:hAnsi="IRNazanin" w:eastAsia="IRNazanin"/>
          <w:color w:val="111111"/>
          <w:sz w:val="28"/>
          <w:sz w:val="28"/>
          <w:szCs w:val="28"/>
          <w:rtl w:val="true"/>
          <w:lang w:bidi="fa-IR"/>
        </w:rPr>
        <w:t>و عقد الجواهر الثمینة</w:t>
      </w:r>
      <w:r>
        <w:rPr>
          <w:rStyle w:val="FootnoteAnchor"/>
          <w:rtl w:val="true"/>
        </w:rPr>
        <w:footnoteReference w:id="2935"/>
      </w:r>
      <w:r>
        <w:rPr>
          <w:rFonts w:ascii="IRNazanin" w:hAnsi="IRNazanin" w:eastAsia="IRNazanin"/>
          <w:color w:val="111111"/>
          <w:sz w:val="28"/>
          <w:sz w:val="28"/>
          <w:szCs w:val="28"/>
          <w:rtl w:val="true"/>
          <w:lang w:bidi="fa-IR"/>
        </w:rPr>
        <w:t>و المبسوط‌</w:t>
      </w:r>
      <w:r>
        <w:rPr>
          <w:rStyle w:val="FootnoteAnchor"/>
          <w:rtl w:val="true"/>
        </w:rPr>
        <w:footnoteReference w:id="2936"/>
      </w:r>
      <w:r>
        <w:rPr>
          <w:rFonts w:ascii="IRNazanin" w:hAnsi="IRNazanin" w:eastAsia="IRNazanin"/>
          <w:color w:val="111111"/>
          <w:sz w:val="28"/>
          <w:sz w:val="28"/>
          <w:szCs w:val="28"/>
          <w:rtl w:val="true"/>
          <w:lang w:bidi="fa-IR"/>
        </w:rPr>
        <w:t>، و هو الظاهر من کلام ابن نجیم</w:t>
      </w:r>
      <w:r>
        <w:rPr>
          <w:rStyle w:val="FootnoteAnchor"/>
          <w:rtl w:val="true"/>
        </w:rPr>
        <w:footnoteReference w:id="2937"/>
      </w:r>
      <w:r>
        <w:rPr>
          <w:rFonts w:ascii="IRNazanin" w:hAnsi="IRNazanin" w:eastAsia="IRNazanin"/>
          <w:color w:val="111111"/>
          <w:sz w:val="28"/>
          <w:sz w:val="28"/>
          <w:szCs w:val="28"/>
          <w:rtl w:val="true"/>
          <w:lang w:bidi="fa-IR"/>
        </w:rPr>
        <w:t>و غیرها</w:t>
      </w:r>
      <w:r>
        <w:rPr>
          <w:rStyle w:val="FootnoteAnchor"/>
          <w:rtl w:val="true"/>
        </w:rPr>
        <w:footnoteReference w:id="2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الصبیّ ابن سبع سنین أو ثمان سنین و هو ممیّز من أهل الصلاة صحّت إمامته للبالغین فی الفرض و النفل، و هل یصحّ أن یکون إماماً فی الجمعة؟ فیه قولان،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لأنّ من صحّ أن یکون إماماً فی غیر الجمعة صحّ أن یکون إماماً فی الجمعة کالبالغ، هذا مذهبنا</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عمرو بن سلمة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غلاماً قد حفظت قرآناً کثیراً فانطلق بی أبی وافداً إلی رسول اللّه صلی الله علیه و آله فی نفر من قومه، فعلّمهم الصلاة،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یؤمّکم أقرؤکم لکتاب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کنت اصلّی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ابن سبع سنین</w:t>
      </w:r>
      <w:bookmarkStart w:id="841" w:name="pg11755_255359"/>
    </w:p>
    <w:p>
      <w:pPr>
        <w:pStyle w:val="BookText"/>
        <w:rPr/>
      </w:pPr>
      <w:bookmarkEnd w:id="841"/>
      <w:r>
        <w:rPr>
          <w:rFonts w:ascii="IRNazanin" w:hAnsi="IRNazanin" w:eastAsia="IRNazanin"/>
          <w:color w:val="111111"/>
          <w:sz w:val="28"/>
          <w:sz w:val="28"/>
          <w:szCs w:val="28"/>
          <w:rtl w:val="true"/>
          <w:lang w:bidi="fa-IR"/>
        </w:rPr>
        <w:t>أو ثمان سنین</w:t>
      </w:r>
      <w:r>
        <w:rPr>
          <w:rStyle w:val="FootnoteAnchor"/>
          <w:rtl w:val="true"/>
        </w:rPr>
        <w:footnoteReference w:id="29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0"/>
      </w:r>
      <w:r>
        <w:rPr>
          <w:rFonts w:ascii="IRNazanin" w:hAnsi="IRNazanin" w:eastAsia="IRNazanin"/>
          <w:color w:val="111111"/>
          <w:sz w:val="28"/>
          <w:sz w:val="28"/>
          <w:szCs w:val="28"/>
          <w:rtl w:val="true"/>
          <w:lang w:bidi="fa-IR"/>
        </w:rPr>
        <w:t>، و کذا فی المهذّب</w:t>
      </w:r>
      <w:r>
        <w:rPr>
          <w:rStyle w:val="FootnoteAnchor"/>
          <w:rtl w:val="true"/>
        </w:rPr>
        <w:footnoteReference w:id="2941"/>
      </w:r>
      <w:r>
        <w:rPr>
          <w:rFonts w:ascii="IRNazanin" w:hAnsi="IRNazanin" w:eastAsia="IRNazanin"/>
          <w:color w:val="111111"/>
          <w:sz w:val="28"/>
          <w:sz w:val="28"/>
          <w:szCs w:val="28"/>
          <w:rtl w:val="true"/>
          <w:lang w:bidi="fa-IR"/>
        </w:rPr>
        <w:t>و المجموع</w:t>
      </w:r>
      <w:r>
        <w:rPr>
          <w:rStyle w:val="FootnoteAnchor"/>
          <w:rtl w:val="true"/>
        </w:rPr>
        <w:footnoteReference w:id="2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حدیث عمرو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أحمد یضعّف أمر عمرو بن سلمة، 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أبو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عمرو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أیّ شیء هذا</w:t>
      </w:r>
      <w:r>
        <w:rPr>
          <w:rFonts w:eastAsia="IRNazanin" w:cs="IRNazanin"/>
          <w:color w:val="111111"/>
          <w:sz w:val="28"/>
          <w:szCs w:val="28"/>
          <w:rtl w:val="true"/>
          <w:lang w:bidi="fa-IR"/>
        </w:rPr>
        <w:t>»</w:t>
      </w:r>
      <w:r>
        <w:rPr>
          <w:rStyle w:val="FootnoteAnchor"/>
          <w:rtl w:val="true"/>
        </w:rPr>
        <w:footnoteReference w:id="2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2" w:name="__RefHeading___Toc9587878_73709187"/>
      <w:bookmarkStart w:id="843" w:name="_Toc313"/>
      <w:bookmarkEnd w:id="842"/>
      <w:r>
        <w:rPr>
          <w:rtl w:val="true"/>
        </w:rPr>
        <w:t>المطلب الثانی</w:t>
      </w:r>
      <w:r>
        <w:rPr>
          <w:rtl w:val="true"/>
        </w:rPr>
        <w:t xml:space="preserve">: </w:t>
      </w:r>
      <w:r>
        <w:rPr>
          <w:rtl w:val="true"/>
        </w:rPr>
        <w:t>إمامة الصبیّ فی النفل</w:t>
      </w:r>
      <w:bookmarkEnd w:id="843"/>
    </w:p>
    <w:p>
      <w:pPr>
        <w:pStyle w:val="Heading6"/>
        <w:numPr>
          <w:ilvl w:val="5"/>
          <w:numId w:val="1"/>
        </w:numPr>
        <w:rPr/>
      </w:pPr>
      <w:bookmarkStart w:id="844" w:name="__RefHeading___Toc9587880_73709187"/>
      <w:bookmarkStart w:id="845" w:name="_Toc314"/>
      <w:bookmarkEnd w:id="844"/>
      <w:r>
        <w:rPr>
          <w:rtl w:val="true"/>
        </w:rPr>
        <w:t>اشارة</w:t>
      </w:r>
      <w:bookmarkEnd w:id="845"/>
    </w:p>
    <w:p>
      <w:pPr>
        <w:pStyle w:val="BookText"/>
        <w:rPr/>
      </w:pPr>
      <w:r>
        <w:rPr>
          <w:rFonts w:ascii="IRNazanin" w:hAnsi="IRNazanin" w:eastAsia="IRNazanin"/>
          <w:color w:val="111111"/>
          <w:sz w:val="28"/>
          <w:sz w:val="28"/>
          <w:szCs w:val="28"/>
          <w:rtl w:val="true"/>
          <w:lang w:bidi="fa-IR"/>
        </w:rPr>
        <w:t>هل تجوز إمامة الصبیّ الممیّز فی النوافل الّتی جاز فیها صلاة الجماعة کالاستسقاء للبالغین أم لا؟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ذهب جملة من فقهائنا إلی الجواز، کالشیخ فی الخلاف،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للمراهق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إماماً فی الفرائض و النوافل التی یجوز فیها صلاة الجماعة، مثل الاستسقاء</w:t>
      </w:r>
      <w:r>
        <w:rPr>
          <w:rFonts w:eastAsia="IRNazanin" w:cs="IRNazanin"/>
          <w:color w:val="111111"/>
          <w:sz w:val="28"/>
          <w:szCs w:val="28"/>
          <w:rtl w:val="true"/>
          <w:lang w:bidi="fa-IR"/>
        </w:rPr>
        <w:t>»</w:t>
      </w:r>
      <w:r>
        <w:rPr>
          <w:rStyle w:val="FootnoteAnchor"/>
          <w:rtl w:val="true"/>
        </w:rPr>
        <w:footnoteReference w:id="2944"/>
      </w:r>
      <w:r>
        <w:rPr>
          <w:rFonts w:ascii="IRNazanin" w:hAnsi="IRNazanin" w:eastAsia="IRNazanin"/>
          <w:color w:val="111111"/>
          <w:sz w:val="28"/>
          <w:sz w:val="28"/>
          <w:szCs w:val="28"/>
          <w:rtl w:val="true"/>
          <w:lang w:bidi="fa-IR"/>
        </w:rPr>
        <w:t>، و العلّامة فی بعض کتبه</w:t>
      </w:r>
      <w:r>
        <w:rPr>
          <w:rStyle w:val="FootnoteAnchor"/>
          <w:rtl w:val="true"/>
        </w:rPr>
        <w:footnoteReference w:id="2945"/>
      </w:r>
      <w:r>
        <w:rPr>
          <w:rFonts w:ascii="IRNazanin" w:hAnsi="IRNazanin" w:eastAsia="IRNazanin"/>
          <w:color w:val="111111"/>
          <w:sz w:val="28"/>
          <w:sz w:val="28"/>
          <w:szCs w:val="28"/>
          <w:rtl w:val="true"/>
          <w:lang w:bidi="fa-IR"/>
        </w:rPr>
        <w:t>، و ولده فی الإیضاح</w:t>
      </w:r>
      <w:r>
        <w:rPr>
          <w:rStyle w:val="FootnoteAnchor"/>
          <w:rtl w:val="true"/>
        </w:rPr>
        <w:footnoteReference w:id="2946"/>
      </w:r>
      <w:r>
        <w:rPr>
          <w:rFonts w:ascii="IRNazanin" w:hAnsi="IRNazanin" w:eastAsia="IRNazanin"/>
          <w:color w:val="111111"/>
          <w:sz w:val="28"/>
          <w:sz w:val="28"/>
          <w:szCs w:val="28"/>
          <w:rtl w:val="true"/>
          <w:lang w:bidi="fa-IR"/>
        </w:rPr>
        <w:t>، و تردّد فی الذخیرة</w:t>
      </w:r>
      <w:r>
        <w:rPr>
          <w:rStyle w:val="FootnoteAnchor"/>
          <w:rtl w:val="true"/>
        </w:rPr>
        <w:footnoteReference w:id="2947"/>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الأقرب جواز إمامته فی النافلة أیضاً</w:t>
      </w:r>
      <w:r>
        <w:rPr>
          <w:rFonts w:eastAsia="IRNazanin" w:cs="IRNazanin"/>
          <w:color w:val="111111"/>
          <w:sz w:val="28"/>
          <w:szCs w:val="28"/>
          <w:rtl w:val="true"/>
          <w:lang w:bidi="fa-IR"/>
        </w:rPr>
        <w:t>»</w:t>
      </w:r>
      <w:r>
        <w:rPr>
          <w:rStyle w:val="FootnoteAnchor"/>
          <w:rtl w:val="true"/>
        </w:rPr>
        <w:footnoteReference w:id="2948"/>
      </w:r>
      <w:r>
        <w:rPr>
          <w:rFonts w:ascii="IRNazanin" w:hAnsi="IRNazanin" w:eastAsia="IRNazanin"/>
          <w:color w:val="111111"/>
          <w:sz w:val="28"/>
          <w:sz w:val="28"/>
          <w:szCs w:val="28"/>
          <w:rtl w:val="true"/>
          <w:lang w:bidi="fa-IR"/>
        </w:rPr>
        <w:t>، و کذا</w:t>
      </w:r>
    </w:p>
    <w:p>
      <w:pPr>
        <w:pStyle w:val="BookText"/>
        <w:rPr/>
      </w:pPr>
      <w:r>
        <w:rPr>
          <w:rFonts w:ascii="IRNazanin" w:hAnsi="IRNazanin" w:eastAsia="IRNazanin"/>
          <w:color w:val="111111"/>
          <w:sz w:val="28"/>
          <w:sz w:val="28"/>
          <w:szCs w:val="28"/>
          <w:rtl w:val="true"/>
          <w:lang w:bidi="fa-IR"/>
        </w:rPr>
        <w:t>فی الدروس</w:t>
      </w:r>
      <w:r>
        <w:rPr>
          <w:rStyle w:val="FootnoteAnchor"/>
          <w:rtl w:val="true"/>
        </w:rPr>
        <w:footnoteReference w:id="2949"/>
      </w:r>
      <w:r>
        <w:rPr>
          <w:rFonts w:ascii="Amiri" w:hAnsi="Amiri" w:eastAsia="Amiri" w:cs="Amiri"/>
          <w:color w:val="111111"/>
          <w:sz w:val="28"/>
          <w:sz w:val="28"/>
          <w:szCs w:val="28"/>
          <w:rtl w:val="true"/>
          <w:lang w:bidi="ar-SA"/>
        </w:rPr>
        <w:t>و الروضة</w:t>
      </w:r>
      <w:r>
        <w:rPr>
          <w:rStyle w:val="FootnoteAnchor"/>
          <w:rtl w:val="true"/>
        </w:rPr>
        <w:footnoteReference w:id="2950"/>
      </w:r>
      <w:r>
        <w:rPr>
          <w:rFonts w:ascii="IRNazanin" w:hAnsi="IRNazanin" w:eastAsia="IRNazanin"/>
          <w:color w:val="111111"/>
          <w:sz w:val="28"/>
          <w:sz w:val="28"/>
          <w:szCs w:val="28"/>
          <w:rtl w:val="true"/>
          <w:lang w:bidi="fa-IR"/>
        </w:rPr>
        <w:t>و کشف اللثام</w:t>
      </w:r>
      <w:r>
        <w:rPr>
          <w:rStyle w:val="FootnoteAnchor"/>
          <w:rtl w:val="true"/>
        </w:rPr>
        <w:footnoteReference w:id="2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الشهید رحمه الله علی الحکم المذکور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لانعقادها منه و صحّتها علی الأقوی</w:t>
      </w:r>
      <w:r>
        <w:rPr>
          <w:rFonts w:eastAsia="IRNazanin" w:cs="IRNazanin"/>
          <w:color w:val="111111"/>
          <w:sz w:val="28"/>
          <w:szCs w:val="28"/>
          <w:rtl w:val="true"/>
          <w:lang w:bidi="fa-IR"/>
        </w:rPr>
        <w:t>»</w:t>
      </w:r>
      <w:r>
        <w:rPr>
          <w:rStyle w:val="FootnoteAnchor"/>
          <w:rtl w:val="true"/>
        </w:rPr>
        <w:footnoteReference w:id="2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فی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بواضح؛ لإطلاق النهی و معارضته بصحّة الفریضة أیضاً منه و انعقادها، و جواز اقتداء المفترض بالمتنفّل</w:t>
      </w:r>
      <w:r>
        <w:rPr>
          <w:rFonts w:eastAsia="IRNazanin" w:cs="IRNazanin"/>
          <w:color w:val="111111"/>
          <w:sz w:val="28"/>
          <w:szCs w:val="28"/>
          <w:rtl w:val="true"/>
          <w:lang w:bidi="fa-IR"/>
        </w:rPr>
        <w:t>»</w:t>
      </w:r>
      <w:r>
        <w:rPr>
          <w:rStyle w:val="FootnoteAnchor"/>
          <w:rtl w:val="true"/>
        </w:rPr>
        <w:footnoteReference w:id="2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 الملاک للجواز إن کانت صحّة الصلاة منه فصلاة الفریضة أیضاً منه صحیحة، و المستدلّ لا یقول بجواز إمامته فیها، و هکذا انعقاد الصلاة منه و جواز اقتداء المفترض بالمتنفّل لا یکون دلیلاً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و هو الأقوی</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إلیه المحقّق الثانی،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کلام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تجوز إمامة الصغیر و إن کان ممیّزاً علی رأی إلّا فی النفل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یجوز بمثله، لا البالغ و لو فی النفل</w:t>
      </w:r>
      <w:r>
        <w:rPr>
          <w:rFonts w:eastAsia="IRNazanin" w:cs="IRNazanin"/>
          <w:color w:val="111111"/>
          <w:sz w:val="28"/>
          <w:szCs w:val="28"/>
          <w:rtl w:val="true"/>
          <w:lang w:bidi="fa-IR"/>
        </w:rPr>
        <w:t>»</w:t>
      </w:r>
      <w:r>
        <w:rPr>
          <w:rStyle w:val="FootnoteAnchor"/>
          <w:rtl w:val="true"/>
        </w:rPr>
        <w:footnoteReference w:id="2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من کلام الشهید الثانی فی الروض</w:t>
      </w:r>
      <w:r>
        <w:rPr>
          <w:rStyle w:val="FootnoteAnchor"/>
          <w:rtl w:val="true"/>
        </w:rPr>
        <w:footnoteReference w:id="2955"/>
      </w:r>
      <w:r>
        <w:rPr>
          <w:rFonts w:ascii="IRNazanin" w:hAnsi="IRNazanin" w:eastAsia="IRNazanin"/>
          <w:color w:val="111111"/>
          <w:sz w:val="28"/>
          <w:sz w:val="28"/>
          <w:szCs w:val="28"/>
          <w:rtl w:val="true"/>
          <w:lang w:bidi="fa-IR"/>
        </w:rPr>
        <w:t>، و کذا ذهب إلیه فی الریاض؛ لأنّه اعتبر البلوغ فی الإمام مطلقاً</w:t>
      </w:r>
      <w:r>
        <w:rPr>
          <w:rStyle w:val="FootnoteAnchor"/>
          <w:rtl w:val="true"/>
        </w:rPr>
        <w:footnoteReference w:id="2956"/>
      </w:r>
      <w:r>
        <w:rPr>
          <w:rFonts w:eastAsia="Times New Roman" w:cs="Times New Roman" w:ascii="Times New Roman" w:hAnsi="Times New Roman"/>
          <w:color w:val="111111"/>
          <w:sz w:val="28"/>
          <w:szCs w:val="28"/>
          <w:rtl w:val="true"/>
          <w:lang w:val="en-US" w:bidi="en-US"/>
        </w:rPr>
        <w:t>.</w:t>
      </w:r>
      <w:bookmarkStart w:id="846" w:name="pg11755_255364"/>
    </w:p>
    <w:p>
      <w:pPr>
        <w:pStyle w:val="BookText"/>
        <w:rPr/>
      </w:pPr>
      <w:bookmarkEnd w:id="846"/>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الائتمام بالصبیّ فی النافلة خصوصاً للمفترض</w:t>
      </w:r>
      <w:r>
        <w:rPr>
          <w:rStyle w:val="FootnoteAnchor"/>
          <w:rtl w:val="true"/>
        </w:rPr>
        <w:footnoteReference w:id="2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الشیخ الأعظم</w:t>
      </w:r>
      <w:r>
        <w:rPr>
          <w:rStyle w:val="FootnoteAnchor"/>
          <w:rtl w:val="true"/>
        </w:rPr>
        <w:footnoteReference w:id="2958"/>
      </w:r>
      <w:r>
        <w:rPr>
          <w:rFonts w:ascii="IRNazanin" w:hAnsi="IRNazanin" w:eastAsia="IRNazanin"/>
          <w:color w:val="111111"/>
          <w:sz w:val="28"/>
          <w:sz w:val="28"/>
          <w:szCs w:val="28"/>
          <w:rtl w:val="true"/>
          <w:lang w:bidi="fa-IR"/>
        </w:rPr>
        <w:t>، و علّله بعموم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إمامته للبالغین فی النافلة فلا یخلو عن إشکال؛ إذ لا قصور فیما ذکرناه وجهاً للمنع عن إمامته عن شموله</w:t>
      </w:r>
      <w:r>
        <w:rPr>
          <w:rFonts w:eastAsia="IRNazanin" w:cs="IRNazanin"/>
          <w:color w:val="111111"/>
          <w:sz w:val="28"/>
          <w:szCs w:val="28"/>
          <w:rtl w:val="true"/>
          <w:lang w:bidi="fa-IR"/>
        </w:rPr>
        <w:t>»</w:t>
      </w:r>
      <w:r>
        <w:rPr>
          <w:rStyle w:val="FootnoteAnchor"/>
          <w:rtl w:val="true"/>
        </w:rPr>
        <w:footnoteReference w:id="2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أنّه یمکن أن یدّعی اختصاص أدلّة استحباب إقامة الجماعة فی النوافل بالمکلّفین بحکم الانصراف، کما أشار إلیه الشیخ الأعظم</w:t>
      </w:r>
      <w:r>
        <w:rPr>
          <w:rStyle w:val="FootnoteAnchor"/>
          <w:rtl w:val="true"/>
        </w:rPr>
        <w:footnoteReference w:id="29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7" w:name="__RefHeading___Toc9587882_73709187"/>
      <w:bookmarkStart w:id="848" w:name="_Toc315"/>
      <w:bookmarkEnd w:id="847"/>
      <w:r>
        <w:rPr>
          <w:rtl w:val="true"/>
        </w:rPr>
        <w:t>مذهب أهل السنّة فی المسألة</w:t>
      </w:r>
      <w:bookmarkEnd w:id="848"/>
    </w:p>
    <w:p>
      <w:pPr>
        <w:pStyle w:val="BookText"/>
        <w:rPr/>
      </w:pPr>
      <w:r>
        <w:rPr>
          <w:rFonts w:ascii="IRNazanin" w:hAnsi="IRNazanin" w:eastAsia="IRNazanin"/>
          <w:color w:val="111111"/>
          <w:sz w:val="28"/>
          <w:sz w:val="28"/>
          <w:szCs w:val="28"/>
          <w:rtl w:val="true"/>
          <w:lang w:bidi="fa-IR"/>
        </w:rPr>
        <w:t>لهم فی المسألة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المالکیّة و الحنابلة و الشافعیّة، و هو جواز إمامة الممیّز فی النوافل، کالکسوف و التراویح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شاس المالکی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الصبیّ الممیّز فلا تجوز إمامته فی الفریضة و لا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و إن لم 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النافلة فتصحّ و إن لم تجز،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و تجوز</w:t>
      </w:r>
      <w:r>
        <w:rPr>
          <w:rFonts w:eastAsia="IRNazanin" w:cs="IRNazanin"/>
          <w:color w:val="111111"/>
          <w:sz w:val="28"/>
          <w:szCs w:val="28"/>
          <w:rtl w:val="true"/>
          <w:lang w:bidi="fa-IR"/>
        </w:rPr>
        <w:t>»</w:t>
      </w:r>
      <w:r>
        <w:rPr>
          <w:rStyle w:val="FootnoteAnchor"/>
          <w:rtl w:val="true"/>
        </w:rPr>
        <w:footnoteReference w:id="2961"/>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سراج السالک</w:t>
      </w:r>
      <w:r>
        <w:rPr>
          <w:rStyle w:val="FootnoteAnchor"/>
          <w:rtl w:val="true"/>
        </w:rPr>
        <w:footnoteReference w:id="2962"/>
      </w:r>
      <w:r>
        <w:rPr>
          <w:rFonts w:ascii="IRNazanin" w:hAnsi="IRNazanin" w:eastAsia="IRNazanin"/>
          <w:color w:val="111111"/>
          <w:sz w:val="28"/>
          <w:sz w:val="28"/>
          <w:szCs w:val="28"/>
          <w:rtl w:val="true"/>
          <w:lang w:bidi="fa-IR"/>
        </w:rPr>
        <w:t>و کشّاف القناع</w:t>
      </w:r>
      <w:r>
        <w:rPr>
          <w:rStyle w:val="FootnoteAnchor"/>
          <w:rtl w:val="true"/>
        </w:rPr>
        <w:footnoteReference w:id="2963"/>
      </w:r>
      <w:r>
        <w:rPr>
          <w:rFonts w:ascii="IRNazanin" w:hAnsi="IRNazanin" w:eastAsia="IRNazanin"/>
          <w:color w:val="111111"/>
          <w:sz w:val="28"/>
          <w:sz w:val="28"/>
          <w:szCs w:val="28"/>
          <w:rtl w:val="true"/>
          <w:lang w:bidi="fa-IR"/>
        </w:rPr>
        <w:t>و منتهی الإرادات</w:t>
      </w:r>
      <w:r>
        <w:rPr>
          <w:rStyle w:val="FootnoteAnchor"/>
          <w:rtl w:val="true"/>
        </w:rPr>
        <w:footnoteReference w:id="2964"/>
      </w:r>
      <w:bookmarkStart w:id="849" w:name="pg11755_255366"/>
    </w:p>
    <w:p>
      <w:pPr>
        <w:pStyle w:val="BookText"/>
        <w:rPr/>
      </w:pPr>
      <w:bookmarkEnd w:id="849"/>
      <w:r>
        <w:rPr>
          <w:rFonts w:ascii="IRNazanin" w:hAnsi="IRNazanin" w:eastAsia="IRNazanin"/>
          <w:color w:val="111111"/>
          <w:sz w:val="28"/>
          <w:sz w:val="28"/>
          <w:szCs w:val="28"/>
          <w:rtl w:val="true"/>
          <w:lang w:bidi="fa-IR"/>
        </w:rPr>
        <w:t>و روضة الطالبین</w:t>
      </w:r>
      <w:r>
        <w:rPr>
          <w:rStyle w:val="FootnoteAnchor"/>
          <w:rtl w:val="true"/>
        </w:rPr>
        <w:footnoteReference w:id="2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الحنفیّة، و هو عدم جوازه، قال فی هامش شرح فتح القدیر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اقتداء البالغ بالصبیّ فی النفل المطلق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جوّزه، 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فی الصلوات کلّها، و هذا اختیار منه لمذهب مشایخ ما وراء النهر؛ لأنّ نفل الصبیّ دون نفل البالغ، حیث لا یلزمه القضاء بالإفساد بالإجماع</w:t>
      </w:r>
      <w:r>
        <w:rPr>
          <w:rFonts w:eastAsia="IRNazanin" w:cs="IRNazanin"/>
          <w:color w:val="111111"/>
          <w:sz w:val="28"/>
          <w:szCs w:val="28"/>
          <w:rtl w:val="true"/>
          <w:lang w:bidi="fa-IR"/>
        </w:rPr>
        <w:t>»</w:t>
      </w:r>
      <w:r>
        <w:rPr>
          <w:rStyle w:val="FootnoteAnchor"/>
          <w:rtl w:val="true"/>
        </w:rPr>
        <w:footnoteReference w:id="2966"/>
      </w:r>
      <w:r>
        <w:rPr>
          <w:rFonts w:ascii="IRNazanin" w:hAnsi="IRNazanin" w:eastAsia="IRNazanin"/>
          <w:color w:val="111111"/>
          <w:sz w:val="28"/>
          <w:sz w:val="28"/>
          <w:szCs w:val="28"/>
          <w:rtl w:val="true"/>
          <w:lang w:bidi="fa-IR"/>
        </w:rPr>
        <w:t>، و کذا فی فتح القدیر</w:t>
      </w:r>
      <w:r>
        <w:rPr>
          <w:rStyle w:val="FootnoteAnchor"/>
          <w:rtl w:val="true"/>
        </w:rPr>
        <w:footnoteReference w:id="2967"/>
      </w:r>
      <w:r>
        <w:rPr>
          <w:rFonts w:ascii="IRNazanin" w:hAnsi="IRNazanin" w:eastAsia="IRNazanin"/>
          <w:color w:val="111111"/>
          <w:sz w:val="28"/>
          <w:sz w:val="28"/>
          <w:szCs w:val="28"/>
          <w:rtl w:val="true"/>
          <w:lang w:bidi="fa-IR"/>
        </w:rPr>
        <w:t>و شرحه</w:t>
      </w:r>
      <w:r>
        <w:rPr>
          <w:rStyle w:val="FootnoteAnchor"/>
          <w:rtl w:val="true"/>
        </w:rPr>
        <w:footnoteReference w:id="2968"/>
      </w:r>
    </w:p>
    <w:p>
      <w:pPr>
        <w:pStyle w:val="BookText"/>
        <w:rPr/>
      </w:pPr>
      <w:r>
        <w:rPr>
          <w:rFonts w:ascii="IRNazanin" w:hAnsi="IRNazanin" w:eastAsia="IRNazanin"/>
          <w:color w:val="111111"/>
          <w:sz w:val="28"/>
          <w:sz w:val="28"/>
          <w:szCs w:val="28"/>
          <w:rtl w:val="true"/>
          <w:lang w:bidi="fa-IR"/>
        </w:rPr>
        <w:t>و بدائع الصنائع</w:t>
      </w:r>
      <w:r>
        <w:rPr>
          <w:rStyle w:val="FootnoteAnchor"/>
          <w:rtl w:val="true"/>
        </w:rPr>
        <w:footnoteReference w:id="29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0" w:name="__RefHeading___Toc9587884_73709187"/>
      <w:bookmarkStart w:id="851" w:name="_Toc316"/>
      <w:bookmarkEnd w:id="850"/>
      <w:r>
        <w:rPr>
          <w:rtl w:val="true"/>
        </w:rPr>
        <w:t>المطلب الثالث</w:t>
      </w:r>
      <w:r>
        <w:rPr>
          <w:rtl w:val="true"/>
        </w:rPr>
        <w:t xml:space="preserve">: </w:t>
      </w:r>
      <w:r>
        <w:rPr>
          <w:rtl w:val="true"/>
        </w:rPr>
        <w:t>إمامة الصبیّ لمثله</w:t>
      </w:r>
      <w:bookmarkEnd w:id="851"/>
    </w:p>
    <w:p>
      <w:pPr>
        <w:pStyle w:val="Heading6"/>
        <w:numPr>
          <w:ilvl w:val="5"/>
          <w:numId w:val="1"/>
        </w:numPr>
        <w:rPr/>
      </w:pPr>
      <w:bookmarkStart w:id="852" w:name="__RefHeading___Toc9587886_73709187"/>
      <w:bookmarkStart w:id="853" w:name="_Toc317"/>
      <w:bookmarkEnd w:id="852"/>
      <w:r>
        <w:rPr>
          <w:rtl w:val="true"/>
        </w:rPr>
        <w:t>اشارة</w:t>
      </w:r>
      <w:bookmarkEnd w:id="853"/>
    </w:p>
    <w:p>
      <w:pPr>
        <w:pStyle w:val="BookText"/>
        <w:rPr/>
      </w:pPr>
      <w:r>
        <w:rPr>
          <w:rFonts w:ascii="IRNazanin" w:hAnsi="IRNazanin" w:eastAsia="IRNazanin"/>
          <w:color w:val="111111"/>
          <w:sz w:val="28"/>
          <w:sz w:val="28"/>
          <w:szCs w:val="28"/>
          <w:rtl w:val="true"/>
          <w:lang w:bidi="fa-IR"/>
        </w:rPr>
        <w:t>هل یجوز إمامة الصبیّ لمثله أم لا؟ فی المسألة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کما هو الظاهر من الریاض؛ لأنّه اعتبر البلوغ فی الإمام مطلقاً</w:t>
      </w:r>
      <w:r>
        <w:rPr>
          <w:rStyle w:val="FootnoteAnchor"/>
          <w:rtl w:val="true"/>
        </w:rPr>
        <w:footnoteReference w:id="2970"/>
      </w:r>
      <w:r>
        <w:rPr>
          <w:rFonts w:ascii="IRNazanin" w:hAnsi="IRNazanin" w:eastAsia="IRNazanin"/>
          <w:color w:val="111111"/>
          <w:sz w:val="28"/>
          <w:sz w:val="28"/>
          <w:szCs w:val="28"/>
          <w:rtl w:val="true"/>
          <w:lang w:bidi="fa-IR"/>
        </w:rPr>
        <w:t>، و احتمله الشیخ الأعظم</w:t>
      </w:r>
      <w:r>
        <w:rPr>
          <w:rStyle w:val="FootnoteAnchor"/>
          <w:rtl w:val="true"/>
        </w:rPr>
        <w:footnoteReference w:id="2971"/>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إمامة غیر البالغ و لو لمثله محلّ إشکال، بل عدم جوازه لا یخلو من قرب</w:t>
      </w:r>
      <w:r>
        <w:rPr>
          <w:rFonts w:eastAsia="IRNazanin" w:cs="IRNazanin"/>
          <w:color w:val="111111"/>
          <w:sz w:val="28"/>
          <w:szCs w:val="28"/>
          <w:rtl w:val="true"/>
          <w:lang w:bidi="fa-IR"/>
        </w:rPr>
        <w:t>»</w:t>
      </w:r>
      <w:r>
        <w:rPr>
          <w:rStyle w:val="FootnoteAnchor"/>
          <w:rtl w:val="true"/>
        </w:rPr>
        <w:footnoteReference w:id="2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مستند العروة</w:t>
      </w:r>
      <w:r>
        <w:rPr>
          <w:rStyle w:val="FootnoteAnchor"/>
          <w:rtl w:val="true"/>
        </w:rPr>
        <w:footnoteReference w:id="2973"/>
      </w:r>
      <w:r>
        <w:rPr>
          <w:rFonts w:ascii="IRNazanin" w:hAnsi="IRNazanin" w:eastAsia="IRNazanin"/>
          <w:color w:val="111111"/>
          <w:sz w:val="28"/>
          <w:sz w:val="28"/>
          <w:szCs w:val="28"/>
          <w:rtl w:val="true"/>
          <w:lang w:bidi="fa-IR"/>
        </w:rPr>
        <w:t>و الزبدة الفقهیّة</w:t>
      </w:r>
      <w:r>
        <w:rPr>
          <w:rStyle w:val="FootnoteAnchor"/>
          <w:rtl w:val="true"/>
        </w:rPr>
        <w:footnoteReference w:id="2974"/>
      </w:r>
    </w:p>
    <w:p>
      <w:pPr>
        <w:pStyle w:val="BookText"/>
        <w:rPr/>
      </w:pPr>
      <w:r>
        <w:rPr>
          <w:rFonts w:ascii="IRNazanin" w:hAnsi="IRNazanin" w:eastAsia="IRNazanin"/>
          <w:color w:val="111111"/>
          <w:sz w:val="28"/>
          <w:sz w:val="28"/>
          <w:szCs w:val="28"/>
          <w:rtl w:val="true"/>
          <w:lang w:bidi="fa-IR"/>
        </w:rPr>
        <w:t>و المستمسک</w:t>
      </w:r>
      <w:r>
        <w:rPr>
          <w:rStyle w:val="FootnoteAnchor"/>
          <w:rtl w:val="true"/>
        </w:rPr>
        <w:footnoteReference w:id="2975"/>
      </w:r>
      <w:r>
        <w:rPr>
          <w:rFonts w:ascii="IRNazanin" w:hAnsi="IRNazanin" w:eastAsia="IRNazanin"/>
          <w:color w:val="111111"/>
          <w:sz w:val="28"/>
          <w:sz w:val="28"/>
          <w:szCs w:val="28"/>
          <w:rtl w:val="true"/>
          <w:lang w:bidi="fa-IR"/>
        </w:rPr>
        <w:t>؛ لإطلاق أدلّة اعتبار البلوغ فی الإمامة، الظاهر فی عدم الفرق بین کون المأموم بالغاً أو غیره کما فی المهذّب</w:t>
      </w:r>
      <w:r>
        <w:rPr>
          <w:rStyle w:val="FootnoteAnchor"/>
          <w:rtl w:val="true"/>
        </w:rPr>
        <w:footnoteReference w:id="2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قلنا بعموم أدلّة اشتراط بلوغ الإمام لمطلق الإمام توجّه منع هذا</w:t>
      </w:r>
      <w:r>
        <w:rPr>
          <w:rFonts w:eastAsia="IRNazanin" w:cs="IRNazanin"/>
          <w:color w:val="111111"/>
          <w:sz w:val="28"/>
          <w:szCs w:val="28"/>
          <w:rtl w:val="true"/>
          <w:lang w:bidi="fa-IR"/>
        </w:rPr>
        <w:t>»</w:t>
      </w:r>
      <w:r>
        <w:rPr>
          <w:rStyle w:val="FootnoteAnchor"/>
          <w:rtl w:val="true"/>
        </w:rPr>
        <w:footnoteReference w:id="2977"/>
      </w:r>
      <w:r>
        <w:rPr>
          <w:rFonts w:ascii="IRNazanin" w:hAnsi="IRNazanin" w:eastAsia="IRNazanin"/>
          <w:color w:val="111111"/>
          <w:sz w:val="28"/>
          <w:sz w:val="28"/>
          <w:szCs w:val="28"/>
          <w:rtl w:val="true"/>
          <w:lang w:bidi="fa-IR"/>
        </w:rPr>
        <w:t>، أی منع إمامة الصبیّ لمثله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سیأتی فی تقریر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 من جواز إمامة الصبیّ لمثله، و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إمامة الصبیان؛ لتساویهم فی المرتبة</w:t>
      </w:r>
      <w:r>
        <w:rPr>
          <w:rFonts w:eastAsia="IRNazanin" w:cs="IRNazanin"/>
          <w:color w:val="111111"/>
          <w:sz w:val="28"/>
          <w:szCs w:val="28"/>
          <w:rtl w:val="true"/>
          <w:lang w:bidi="fa-IR"/>
        </w:rPr>
        <w:t>»</w:t>
      </w:r>
      <w:r>
        <w:rPr>
          <w:rStyle w:val="FootnoteAnchor"/>
          <w:rtl w:val="true"/>
        </w:rPr>
        <w:footnoteReference w:id="2978"/>
      </w:r>
      <w:r>
        <w:rPr>
          <w:rFonts w:ascii="IRNazanin" w:hAnsi="IRNazanin" w:eastAsia="IRNazanin"/>
          <w:color w:val="111111"/>
          <w:sz w:val="28"/>
          <w:sz w:val="28"/>
          <w:szCs w:val="28"/>
          <w:rtl w:val="true"/>
          <w:lang w:bidi="fa-IR"/>
        </w:rPr>
        <w:t>، و کذا فی الدروس</w:t>
      </w:r>
      <w:r>
        <w:rPr>
          <w:rStyle w:val="FootnoteAnchor"/>
          <w:rtl w:val="true"/>
        </w:rPr>
        <w:footnoteReference w:id="2979"/>
      </w:r>
      <w:r>
        <w:rPr>
          <w:rFonts w:ascii="IRNazanin" w:hAnsi="IRNazanin" w:eastAsia="IRNazanin"/>
          <w:color w:val="111111"/>
          <w:sz w:val="28"/>
          <w:sz w:val="28"/>
          <w:szCs w:val="28"/>
          <w:rtl w:val="true"/>
          <w:lang w:bidi="fa-IR"/>
        </w:rPr>
        <w:t>و روض الجنان</w:t>
      </w:r>
      <w:r>
        <w:rPr>
          <w:rStyle w:val="FootnoteAnchor"/>
          <w:rtl w:val="true"/>
        </w:rPr>
        <w:footnoteReference w:id="2980"/>
      </w:r>
      <w:r>
        <w:rPr>
          <w:rFonts w:ascii="IRNazanin" w:hAnsi="IRNazanin" w:eastAsia="IRNazanin"/>
          <w:color w:val="111111"/>
          <w:sz w:val="28"/>
          <w:sz w:val="28"/>
          <w:szCs w:val="28"/>
          <w:rtl w:val="true"/>
          <w:lang w:bidi="fa-IR"/>
        </w:rPr>
        <w:t>و کشف الغطاء</w:t>
      </w:r>
      <w:r>
        <w:rPr>
          <w:rStyle w:val="FootnoteAnchor"/>
          <w:rtl w:val="true"/>
        </w:rPr>
        <w:footnoteReference w:id="2981"/>
      </w:r>
      <w:r>
        <w:rPr>
          <w:rFonts w:ascii="IRNazanin" w:hAnsi="IRNazanin" w:eastAsia="IRNazanin"/>
          <w:color w:val="111111"/>
          <w:sz w:val="28"/>
          <w:sz w:val="28"/>
          <w:szCs w:val="28"/>
          <w:rtl w:val="true"/>
          <w:lang w:bidi="fa-IR"/>
        </w:rPr>
        <w:t>و مستند الشیعة</w:t>
      </w:r>
      <w:r>
        <w:rPr>
          <w:rStyle w:val="FootnoteAnchor"/>
          <w:rtl w:val="true"/>
        </w:rPr>
        <w:footnoteReference w:id="2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لا یخلو من وجه بالنسبة إلی ائتمام غیر البالغین به</w:t>
      </w:r>
      <w:r>
        <w:rPr>
          <w:rFonts w:eastAsia="IRNazanin" w:cs="IRNazanin"/>
          <w:color w:val="111111"/>
          <w:sz w:val="28"/>
          <w:szCs w:val="28"/>
          <w:rtl w:val="true"/>
          <w:lang w:bidi="fa-IR"/>
        </w:rPr>
        <w:t>»</w:t>
      </w:r>
      <w:r>
        <w:rPr>
          <w:rStyle w:val="FootnoteAnchor"/>
          <w:rtl w:val="true"/>
        </w:rPr>
        <w:footnoteReference w:id="2983"/>
      </w:r>
      <w:r>
        <w:rPr>
          <w:rFonts w:ascii="IRNazanin" w:hAnsi="IRNazanin" w:eastAsia="IRNazanin"/>
          <w:color w:val="111111"/>
          <w:sz w:val="28"/>
          <w:sz w:val="28"/>
          <w:szCs w:val="28"/>
          <w:rtl w:val="true"/>
          <w:lang w:bidi="fa-IR"/>
        </w:rPr>
        <w:t>، و ذهب إلیه أیضاً السیّد الیزدی</w:t>
      </w:r>
      <w:r>
        <w:rPr>
          <w:rStyle w:val="FootnoteAnchor"/>
          <w:rtl w:val="true"/>
        </w:rPr>
        <w:footnoteReference w:id="2984"/>
      </w:r>
      <w:r>
        <w:rPr>
          <w:rFonts w:ascii="IRNazanin" w:hAnsi="IRNazanin" w:eastAsia="IRNazanin"/>
          <w:color w:val="111111"/>
          <w:sz w:val="28"/>
          <w:sz w:val="28"/>
          <w:szCs w:val="28"/>
          <w:rtl w:val="true"/>
          <w:lang w:bidi="fa-IR"/>
        </w:rPr>
        <w:t>و الشیخ الفاضل اللنکرانی</w:t>
      </w:r>
      <w:r>
        <w:rPr>
          <w:rStyle w:val="FootnoteAnchor"/>
          <w:rtl w:val="true"/>
        </w:rPr>
        <w:footnoteReference w:id="2985"/>
      </w:r>
    </w:p>
    <w:p>
      <w:pPr>
        <w:pStyle w:val="BookText"/>
        <w:rPr/>
      </w:pPr>
      <w:r>
        <w:rPr>
          <w:rFonts w:ascii="IRNazanin" w:hAnsi="IRNazanin" w:eastAsia="IRNazanin"/>
          <w:color w:val="111111"/>
          <w:sz w:val="28"/>
          <w:sz w:val="28"/>
          <w:szCs w:val="28"/>
          <w:rtl w:val="true"/>
          <w:lang w:bidi="fa-IR"/>
        </w:rPr>
        <w:t>و غیرهم</w:t>
      </w:r>
      <w:r>
        <w:rPr>
          <w:rStyle w:val="FootnoteAnchor"/>
          <w:rtl w:val="true"/>
        </w:rPr>
        <w:footnoteReference w:id="2986"/>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یدلّ علیه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أدلّة المنع عن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المحقّق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لا یخلو من وجه؛ لإمکان دعوی انصراف النهی عن إمامته إلی إرادته للبالغین، فیکون حال إمامته لمثله حال سائر عباداته التی التزمنا بشرعیّتها له</w:t>
      </w:r>
      <w:r>
        <w:rPr>
          <w:rFonts w:eastAsia="IRNazanin" w:cs="IRNazanin"/>
          <w:color w:val="111111"/>
          <w:sz w:val="28"/>
          <w:szCs w:val="28"/>
          <w:rtl w:val="true"/>
          <w:lang w:bidi="fa-IR"/>
        </w:rPr>
        <w:t>»</w:t>
      </w:r>
      <w:r>
        <w:rPr>
          <w:rStyle w:val="FootnoteAnchor"/>
          <w:rtl w:val="true"/>
        </w:rPr>
        <w:footnoteReference w:id="2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ما دلّ من دلیل الجواز کموثّقة غیاث بن إبراهیم</w:t>
      </w:r>
      <w:r>
        <w:rPr>
          <w:rStyle w:val="FootnoteAnchor"/>
          <w:rtl w:val="true"/>
        </w:rPr>
        <w:footnoteReference w:id="2988"/>
      </w:r>
      <w:r>
        <w:rPr>
          <w:rFonts w:ascii="IRNazanin" w:hAnsi="IRNazanin" w:eastAsia="IRNazanin"/>
          <w:color w:val="111111"/>
          <w:sz w:val="28"/>
          <w:sz w:val="28"/>
          <w:szCs w:val="28"/>
          <w:rtl w:val="true"/>
          <w:lang w:bidi="fa-IR"/>
        </w:rPr>
        <w:t>و معتبرة طلحة بن زید</w:t>
      </w:r>
      <w:r>
        <w:rPr>
          <w:rStyle w:val="FootnoteAnchor"/>
          <w:rtl w:val="true"/>
        </w:rPr>
        <w:footnoteReference w:id="2989"/>
      </w:r>
      <w:r>
        <w:rPr>
          <w:rFonts w:ascii="IRNazanin" w:hAnsi="IRNazanin" w:eastAsia="IRNazanin"/>
          <w:color w:val="111111"/>
          <w:sz w:val="28"/>
          <w:sz w:val="28"/>
          <w:szCs w:val="28"/>
          <w:rtl w:val="true"/>
          <w:lang w:bidi="fa-IR"/>
        </w:rPr>
        <w:t>، المتقدّمتین علیه، فإنّ مقتضی إطلاقهما جواز الاقتداء بکلّ ممیّز، لکنّ تقیّدهما موثّقة سماعة بن مهران</w:t>
      </w:r>
      <w:r>
        <w:rPr>
          <w:rStyle w:val="FootnoteAnchor"/>
          <w:rtl w:val="true"/>
        </w:rPr>
        <w:footnoteReference w:id="2990"/>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الصناعة تقتضی الجواز؛ إذ مع وجود الدلیل لا تصل النوبة إلی الأصل، کما فی مبانی منهاج الصالحین</w:t>
      </w:r>
      <w:r>
        <w:rPr>
          <w:rStyle w:val="FootnoteAnchor"/>
          <w:rtl w:val="true"/>
        </w:rPr>
        <w:footnoteReference w:id="2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یرد علی الأخیر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قد صرّح فی موثّقة غیاث بن إبراهیم بأن یؤمّ القوم، و القوم لا یطلق علی الصبیان، و فی موثّقة سماعة بأن یؤمّ الناس، و الناس لا یطلق علی الصبیان، و لعلّه لذلک قال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الجمع العرفی، بل هو جمع تبرّعی، فیمتنع</w:t>
      </w:r>
      <w:r>
        <w:rPr>
          <w:rFonts w:eastAsia="IRNazanin" w:cs="IRNazanin"/>
          <w:color w:val="111111"/>
          <w:sz w:val="28"/>
          <w:szCs w:val="28"/>
          <w:rtl w:val="true"/>
          <w:lang w:bidi="fa-IR"/>
        </w:rPr>
        <w:t>»</w:t>
      </w:r>
      <w:r>
        <w:rPr>
          <w:rStyle w:val="FootnoteAnchor"/>
          <w:rtl w:val="true"/>
        </w:rPr>
        <w:footnoteReference w:id="2992"/>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یتمسّک بما هو المغروس فی أذهان المتشرّعة خلفاً عن سلف، من أنّهم یرون اعتبار البلوغ فی الإمام فیما إذا کان المأموم بالغاً دون غیره، فیرون إمامة غیر البالغ لمثله صحیحة، و هذه قرینة علی أنّ حمل ما ورد</w:t>
      </w:r>
      <w:bookmarkStart w:id="854" w:name="pg11755_255372"/>
    </w:p>
    <w:p>
      <w:pPr>
        <w:pStyle w:val="BookText"/>
        <w:rPr/>
      </w:pPr>
      <w:bookmarkEnd w:id="854"/>
      <w:r>
        <w:rPr>
          <w:rFonts w:ascii="IRNazanin" w:hAnsi="IRNazanin" w:eastAsia="IRNazanin"/>
          <w:color w:val="111111"/>
          <w:sz w:val="28"/>
          <w:sz w:val="28"/>
          <w:szCs w:val="28"/>
          <w:rtl w:val="true"/>
          <w:lang w:bidi="fa-IR"/>
        </w:rPr>
        <w:t>من الجواز علی هذه الصورة لا یکون بدویّاً</w:t>
      </w:r>
      <w:r>
        <w:rPr>
          <w:rFonts w:eastAsia="IRNazanin" w:cs="IRNazanin"/>
          <w:color w:val="111111"/>
          <w:sz w:val="28"/>
          <w:szCs w:val="28"/>
          <w:rtl w:val="true"/>
          <w:lang w:bidi="fa-IR"/>
        </w:rPr>
        <w:t>»</w:t>
      </w:r>
      <w:r>
        <w:rPr>
          <w:rStyle w:val="FootnoteAnchor"/>
          <w:rtl w:val="true"/>
        </w:rPr>
        <w:footnoteReference w:id="2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لا فرق بین النفل و الفرض، فلو قلنا بصحّة إمامة الصبیّ بمثله تصحّ فیهما بنفس الدلیل المتقدّم، إلّا أنّ الاحتیاط طریق النجاة، فالأولی أن لا یترک</w:t>
      </w:r>
      <w:r>
        <w:rPr>
          <w:rFonts w:eastAsia="IRNazanin" w:cs="IRNazanin"/>
          <w:color w:val="111111"/>
          <w:sz w:val="28"/>
          <w:szCs w:val="28"/>
          <w:rtl w:val="true"/>
          <w:lang w:bidi="fa-IR"/>
        </w:rPr>
        <w:t>.</w:t>
      </w:r>
    </w:p>
    <w:p>
      <w:pPr>
        <w:pStyle w:val="Heading6"/>
        <w:numPr>
          <w:ilvl w:val="5"/>
          <w:numId w:val="1"/>
        </w:numPr>
        <w:rPr/>
      </w:pPr>
      <w:bookmarkStart w:id="855" w:name="__RefHeading___Toc9587888_73709187"/>
      <w:bookmarkStart w:id="856" w:name="_Toc318"/>
      <w:bookmarkEnd w:id="855"/>
      <w:r>
        <w:rPr>
          <w:rtl w:val="true"/>
        </w:rPr>
        <w:t>رأی أهل السنّة فی المسألة</w:t>
      </w:r>
      <w:bookmarkEnd w:id="856"/>
    </w:p>
    <w:p>
      <w:pPr>
        <w:pStyle w:val="BookText"/>
        <w:rPr/>
      </w:pPr>
      <w:r>
        <w:rPr>
          <w:rFonts w:ascii="IRNazanin" w:hAnsi="IRNazanin" w:eastAsia="IRNazanin"/>
          <w:color w:val="111111"/>
          <w:sz w:val="28"/>
          <w:sz w:val="28"/>
          <w:szCs w:val="28"/>
          <w:rtl w:val="true"/>
          <w:lang w:bidi="fa-IR"/>
        </w:rPr>
        <w:t>اتّفق فقهاء المذاهب الأربعة لأبناء العامّة علی جواز إمامة غیر البالغ لمثله</w:t>
      </w:r>
      <w:r>
        <w:rPr>
          <w:rStyle w:val="FootnoteAnchor"/>
          <w:rtl w:val="true"/>
        </w:rPr>
        <w:footnoteReference w:id="2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ذلک من کلماتهم صریحاً أو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سراج السالک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فالصبیّ لا تصحّ إمامته بالبالغین فی الفرض، و تصحّ إمامته بالصبیان فی الفرض و النفل و بالبالغین فی النفل و إن کره الإقدام علی ذلک</w:t>
      </w:r>
      <w:r>
        <w:rPr>
          <w:rFonts w:eastAsia="IRNazanin" w:cs="IRNazanin"/>
          <w:color w:val="111111"/>
          <w:sz w:val="28"/>
          <w:szCs w:val="28"/>
          <w:rtl w:val="true"/>
          <w:lang w:bidi="fa-IR"/>
        </w:rPr>
        <w:t>»</w:t>
      </w:r>
      <w:r>
        <w:rPr>
          <w:rStyle w:val="FootnoteAnchor"/>
          <w:rtl w:val="true"/>
        </w:rPr>
        <w:footnoteReference w:id="2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شرح فتح القدیر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اقتداء الصبیّ بالصبیّ جائز؛ لأنّ الصلاة متّحدة، و لعدم الضمان علی واحد منهما، فکان بناء الضعیف علی الضعیف</w:t>
      </w:r>
      <w:r>
        <w:rPr>
          <w:rFonts w:eastAsia="IRNazanin" w:cs="IRNazanin"/>
          <w:color w:val="111111"/>
          <w:sz w:val="28"/>
          <w:szCs w:val="28"/>
          <w:rtl w:val="true"/>
          <w:lang w:bidi="fa-IR"/>
        </w:rPr>
        <w:t>»</w:t>
      </w:r>
      <w:r>
        <w:rPr>
          <w:rStyle w:val="FootnoteAnchor"/>
          <w:rtl w:val="true"/>
        </w:rPr>
        <w:footnoteReference w:id="2996"/>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کشّاف القناع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تصحّ إمامة ممیّز بمثله؛ لأنّه متنفّل یؤمّ متنفّلاً</w:t>
      </w:r>
      <w:r>
        <w:rPr>
          <w:rFonts w:eastAsia="Amiri" w:cs="Amiri" w:ascii="Amiri" w:hAnsi="Amiri"/>
          <w:color w:val="111111"/>
          <w:sz w:val="28"/>
          <w:szCs w:val="28"/>
          <w:rtl w:val="true"/>
          <w:lang w:bidi="ar-SA"/>
        </w:rPr>
        <w:t>»</w:t>
      </w:r>
      <w:r>
        <w:rPr>
          <w:rStyle w:val="FootnoteAnchor"/>
          <w:rtl w:val="true"/>
        </w:rPr>
        <w:footnoteReference w:id="2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منتهی الإرادات</w:t>
      </w:r>
      <w:r>
        <w:rPr>
          <w:rStyle w:val="FootnoteAnchor"/>
          <w:rtl w:val="true"/>
        </w:rPr>
        <w:footnoteReference w:id="2998"/>
      </w:r>
      <w:r>
        <w:rPr>
          <w:rFonts w:ascii="IRNazanin" w:hAnsi="IRNazanin" w:eastAsia="IRNazanin"/>
          <w:color w:val="111111"/>
          <w:sz w:val="28"/>
          <w:sz w:val="28"/>
          <w:szCs w:val="28"/>
          <w:rtl w:val="true"/>
          <w:lang w:bidi="fa-IR"/>
        </w:rPr>
        <w:t>و بدائع الصنائع</w:t>
      </w:r>
      <w:r>
        <w:rPr>
          <w:rStyle w:val="FootnoteAnchor"/>
          <w:rtl w:val="true"/>
        </w:rPr>
        <w:footnoteReference w:id="2999"/>
      </w:r>
      <w:bookmarkStart w:id="857" w:name="pg11755_255375"/>
    </w:p>
    <w:p>
      <w:pPr>
        <w:pStyle w:val="BookText"/>
        <w:rPr/>
      </w:pPr>
      <w:bookmarkEnd w:id="857"/>
      <w:r>
        <w:rPr>
          <w:rFonts w:ascii="IRNazanin" w:hAnsi="IRNazanin" w:eastAsia="IRNazanin"/>
          <w:color w:val="111111"/>
          <w:sz w:val="28"/>
          <w:sz w:val="28"/>
          <w:szCs w:val="28"/>
          <w:rtl w:val="true"/>
          <w:lang w:bidi="fa-IR"/>
        </w:rPr>
        <w:t>و الفروع</w:t>
      </w:r>
      <w:r>
        <w:rPr>
          <w:rStyle w:val="FootnoteAnchor"/>
          <w:rtl w:val="true"/>
        </w:rPr>
        <w:footnoteReference w:id="3000"/>
      </w:r>
      <w:r>
        <w:rPr>
          <w:rFonts w:ascii="IRNazanin" w:hAnsi="IRNazanin" w:eastAsia="IRNazanin"/>
          <w:color w:val="111111"/>
          <w:sz w:val="28"/>
          <w:sz w:val="28"/>
          <w:szCs w:val="28"/>
          <w:rtl w:val="true"/>
          <w:lang w:bidi="fa-IR"/>
        </w:rPr>
        <w:t>و تبیین المسالک</w:t>
      </w:r>
      <w:r>
        <w:rPr>
          <w:rStyle w:val="FootnoteAnchor"/>
          <w:rtl w:val="true"/>
        </w:rPr>
        <w:footnoteReference w:id="3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الصبیّ ابن سبع سنین أو ثمان سنین و هو ممیّز من أهل الصلاة صحّت إمامته للبالغین فی الفرض و النفل</w:t>
      </w:r>
      <w:r>
        <w:rPr>
          <w:rFonts w:eastAsia="IRNazanin" w:cs="IRNazanin"/>
          <w:color w:val="111111"/>
          <w:sz w:val="28"/>
          <w:szCs w:val="28"/>
          <w:rtl w:val="true"/>
          <w:lang w:bidi="fa-IR"/>
        </w:rPr>
        <w:t>»</w:t>
      </w:r>
      <w:r>
        <w:rPr>
          <w:rStyle w:val="FootnoteAnchor"/>
          <w:rtl w:val="true"/>
        </w:rPr>
        <w:footnoteReference w:id="3002"/>
      </w:r>
      <w:r>
        <w:rPr>
          <w:rFonts w:ascii="IRNazanin" w:hAnsi="IRNazanin" w:eastAsia="IRNazanin"/>
          <w:color w:val="111111"/>
          <w:sz w:val="28"/>
          <w:sz w:val="28"/>
          <w:szCs w:val="28"/>
          <w:rtl w:val="true"/>
          <w:lang w:bidi="fa-IR"/>
        </w:rPr>
        <w:t>، فیستفاد منه أنّ إمامة الصبیّ بمثله صحیحة بطریق أولی</w:t>
      </w:r>
      <w:r>
        <w:rPr>
          <w:rFonts w:eastAsia="IRNazanin" w:cs="IRNazanin"/>
          <w:color w:val="111111"/>
          <w:sz w:val="28"/>
          <w:szCs w:val="28"/>
          <w:rtl w:val="true"/>
          <w:lang w:bidi="fa-IR"/>
        </w:rPr>
        <w:t>.</w:t>
      </w:r>
    </w:p>
    <w:p>
      <w:pPr>
        <w:pStyle w:val="Heading6"/>
        <w:numPr>
          <w:ilvl w:val="5"/>
          <w:numId w:val="1"/>
        </w:numPr>
        <w:rPr/>
      </w:pPr>
      <w:bookmarkStart w:id="858" w:name="__RefHeading___Toc9587890_73709187"/>
      <w:bookmarkStart w:id="859" w:name="_Toc319"/>
      <w:bookmarkEnd w:id="858"/>
      <w:r>
        <w:rPr>
          <w:rtl w:val="true"/>
        </w:rPr>
        <w:t>فرعان ینبغی ذکرهما فی المقام</w:t>
      </w:r>
      <w:bookmarkEnd w:id="85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الفقهاء فی رجوع کلّ من الإمام و المأموم إلی الآخر لو شکّ و حفظ علیه الآخر، سواء کان المأموم ذکراً أو انثی، عدلاً أو فاسقاً، واحداً أو متعدّداً، و کذا لا فرق بین حصول الظنّ بقولهم أم لا، و أمّا مع کون المأموم صبیّاً ممیّزاً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إشکالاً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جمع إلی قبول قوله للاعتماد علی قوله فی کثیر من الأحکام، کقبول الهدیّة و إذن الدخول و أمثالهما، و الأظهر التمسّک فی ذلک بإطلاق النصوص المذکورة، و إن حصل الظنّ بقوله 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یستأنس لهذا الحکم بما روی عن الصادق علیه السلام فی الرجل یتّکل علی عدد صاحبه فی الطواف، أ یجزیه عنها و عن الصبیّ؟</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 لا تری أنّک تأتمّ بالإمام إذا صلّیت خلفه، فهو مثله</w:t>
      </w:r>
      <w:r>
        <w:rPr>
          <w:rFonts w:eastAsia="IRNazanin" w:cs="IRNazanin"/>
          <w:color w:val="111111"/>
          <w:sz w:val="28"/>
          <w:szCs w:val="28"/>
          <w:rtl w:val="true"/>
          <w:lang w:bidi="fa-IR"/>
        </w:rPr>
        <w:t>»</w:t>
      </w:r>
      <w:r>
        <w:rPr>
          <w:rStyle w:val="FootnoteAnchor"/>
          <w:rtl w:val="true"/>
        </w:rPr>
        <w:footnoteReference w:id="300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الحدائق</w:t>
      </w:r>
      <w:r>
        <w:rPr>
          <w:rStyle w:val="FootnoteAnchor"/>
          <w:rtl w:val="true"/>
        </w:rPr>
        <w:footnoteReference w:id="3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النائینی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سلّم علی جماعة منهم الصبیّ، فسبق الصبیّ بردّ التحیّة، ففی السقوط عن الباقین إشکال، و ربّما تبنی المسألة</w:t>
      </w:r>
      <w:r>
        <w:rPr>
          <w:rStyle w:val="FootnoteAnchor"/>
          <w:rtl w:val="true"/>
        </w:rPr>
        <w:footnoteReference w:id="3005"/>
      </w:r>
    </w:p>
    <w:p>
      <w:pPr>
        <w:pStyle w:val="BookText"/>
        <w:rPr/>
      </w:pPr>
      <w:r>
        <w:rPr>
          <w:rFonts w:ascii="IRNazanin" w:hAnsi="IRNazanin" w:eastAsia="IRNazanin"/>
          <w:color w:val="111111"/>
          <w:sz w:val="28"/>
          <w:sz w:val="28"/>
          <w:szCs w:val="28"/>
          <w:rtl w:val="true"/>
          <w:lang w:bidi="fa-IR"/>
        </w:rPr>
        <w:t>علی شرعیّة عبادة الصبیّ و تمرینیّتها،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بالشرعیّة یسقط عن الباقین لا محالة، و هذا البحث سیّال فی جمیع الواجبات الکفائیّة عند فعل الصبیّ لها، و قد اختار شیخنا 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بناء علی التمرینیّة فواضح، و أمّا بناءً علی الشرعیّة فلأنّ السقوط یتوقّف علی أن یکون فعل الصبیّ واجداً لتمام الملاک، بحیث یکون فعله لا یقصر عن فعل البالغین من حیث الملاک، و لا طریق لنا إلی إثبات ذلک؛ إذ أدلّة شرعیّة عباداته لا تفی بذلک</w:t>
      </w:r>
      <w:r>
        <w:rPr>
          <w:rFonts w:eastAsia="IRNazanin" w:cs="IRNazanin"/>
          <w:color w:val="111111"/>
          <w:sz w:val="28"/>
          <w:szCs w:val="28"/>
          <w:rtl w:val="true"/>
          <w:lang w:bidi="fa-IR"/>
        </w:rPr>
        <w:t>»</w:t>
      </w:r>
      <w:r>
        <w:rPr>
          <w:rStyle w:val="FootnoteAnchor"/>
          <w:rtl w:val="true"/>
        </w:rPr>
        <w:footnoteReference w:id="3006"/>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التحقیق فی هذه المسألة فی البحث عن إقامة الأمر بالمعروف و النهی عن المنکر من الصبیّ</w:t>
      </w:r>
      <w:r>
        <w:rPr>
          <w:rFonts w:eastAsia="IRNazanin" w:cs="IRNazanin"/>
          <w:color w:val="111111"/>
          <w:sz w:val="28"/>
          <w:szCs w:val="28"/>
          <w:rtl w:val="true"/>
          <w:lang w:bidi="fa-IR"/>
        </w:rPr>
        <w:t>.</w:t>
      </w:r>
      <w:bookmarkStart w:id="860" w:name="pg11755_255379"/>
    </w:p>
    <w:p>
      <w:pPr>
        <w:pStyle w:val="Heading4"/>
        <w:numPr>
          <w:ilvl w:val="3"/>
          <w:numId w:val="1"/>
        </w:numPr>
        <w:rPr/>
      </w:pPr>
      <w:bookmarkStart w:id="861" w:name="__RefHeading___Toc9587892_73709187"/>
      <w:bookmarkStart w:id="862" w:name="_Toc320"/>
      <w:bookmarkEnd w:id="860"/>
      <w:bookmarkEnd w:id="861"/>
      <w:r>
        <w:rPr>
          <w:rtl w:val="true"/>
        </w:rPr>
        <w:t>المبحث السادس</w:t>
      </w:r>
      <w:r>
        <w:rPr>
          <w:rtl w:val="true"/>
        </w:rPr>
        <w:t>:</w:t>
      </w:r>
      <w:r>
        <w:rPr>
          <w:rtl w:val="true"/>
        </w:rPr>
        <w:t>عدم وجوب القضاء علی الصبیّ</w:t>
      </w:r>
      <w:bookmarkEnd w:id="862"/>
    </w:p>
    <w:p>
      <w:pPr>
        <w:pStyle w:val="Heading5"/>
        <w:numPr>
          <w:ilvl w:val="4"/>
          <w:numId w:val="1"/>
        </w:numPr>
        <w:rPr/>
      </w:pPr>
      <w:bookmarkStart w:id="863" w:name="__RefHeading___Toc9587894_73709187"/>
      <w:bookmarkStart w:id="864" w:name="_Toc321"/>
      <w:bookmarkEnd w:id="863"/>
      <w:r>
        <w:rPr>
          <w:rtl w:val="true"/>
        </w:rPr>
        <w:t>اشارة</w:t>
      </w:r>
      <w:bookmarkEnd w:id="864"/>
    </w:p>
    <w:p>
      <w:pPr>
        <w:pStyle w:val="BookText"/>
        <w:rPr/>
      </w:pPr>
      <w:r>
        <w:rPr>
          <w:rFonts w:ascii="IRNazanin" w:hAnsi="IRNazanin" w:eastAsia="IRNazanin"/>
          <w:color w:val="111111"/>
          <w:sz w:val="28"/>
          <w:sz w:val="28"/>
          <w:szCs w:val="28"/>
          <w:rtl w:val="true"/>
          <w:lang w:bidi="fa-IR"/>
        </w:rPr>
        <w:t>لا خلاف فی عدم وجوب قضاء الصلوات علی غیر البالغ بعد بلوغه و إن کانت عباداته 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یسقط معه القضاء، و هو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w:t>
      </w:r>
      <w:r>
        <w:rPr>
          <w:rFonts w:eastAsia="IRNazanin" w:cs="IRNazanin"/>
          <w:color w:val="111111"/>
          <w:sz w:val="28"/>
          <w:szCs w:val="28"/>
          <w:rtl w:val="true"/>
          <w:lang w:bidi="fa-IR"/>
        </w:rPr>
        <w:t>...»</w:t>
      </w:r>
      <w:r>
        <w:rPr>
          <w:rStyle w:val="FootnoteAnchor"/>
          <w:rtl w:val="true"/>
        </w:rPr>
        <w:footnoteReference w:id="3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الصبیّ لا قضاء علیه؛ لعدم وجوب الأداء</w:t>
      </w:r>
      <w:r>
        <w:rPr>
          <w:rFonts w:eastAsia="IRNazanin" w:cs="IRNazanin"/>
          <w:color w:val="111111"/>
          <w:sz w:val="28"/>
          <w:szCs w:val="28"/>
          <w:rtl w:val="true"/>
          <w:lang w:bidi="fa-IR"/>
        </w:rPr>
        <w:t>»</w:t>
      </w:r>
      <w:r>
        <w:rPr>
          <w:rStyle w:val="FootnoteAnchor"/>
          <w:rtl w:val="true"/>
        </w:rPr>
        <w:footnoteReference w:id="3008"/>
      </w:r>
      <w:r>
        <w:rPr>
          <w:rFonts w:ascii="IRNazanin" w:hAnsi="IRNazanin" w:eastAsia="IRNazanin"/>
          <w:color w:val="111111"/>
          <w:sz w:val="28"/>
          <w:sz w:val="28"/>
          <w:szCs w:val="28"/>
          <w:rtl w:val="true"/>
          <w:lang w:bidi="fa-IR"/>
        </w:rPr>
        <w:t>، و کذا فی القواعد</w:t>
      </w:r>
      <w:r>
        <w:rPr>
          <w:rStyle w:val="FootnoteAnchor"/>
          <w:rtl w:val="true"/>
        </w:rPr>
        <w:footnoteReference w:id="3009"/>
      </w:r>
      <w:r>
        <w:rPr>
          <w:rFonts w:ascii="IRNazanin" w:hAnsi="IRNazanin" w:eastAsia="IRNazanin"/>
          <w:color w:val="111111"/>
          <w:sz w:val="28"/>
          <w:sz w:val="28"/>
          <w:szCs w:val="28"/>
          <w:rtl w:val="true"/>
          <w:lang w:bidi="fa-IR"/>
        </w:rPr>
        <w:t>و الإرشاد</w:t>
      </w:r>
      <w:r>
        <w:rPr>
          <w:rStyle w:val="FootnoteAnchor"/>
          <w:rtl w:val="true"/>
        </w:rPr>
        <w:footnoteReference w:id="3010"/>
      </w:r>
      <w:r>
        <w:rPr>
          <w:rFonts w:ascii="Amiri" w:hAnsi="Amiri" w:eastAsia="Amiri" w:cs="Amiri"/>
          <w:color w:val="111111"/>
          <w:sz w:val="28"/>
          <w:sz w:val="28"/>
          <w:szCs w:val="28"/>
          <w:rtl w:val="true"/>
          <w:lang w:bidi="ar-SA"/>
        </w:rPr>
        <w:t>و مجمع الفائدة</w:t>
      </w:r>
      <w:r>
        <w:rPr>
          <w:rStyle w:val="FootnoteAnchor"/>
          <w:rtl w:val="true"/>
        </w:rPr>
        <w:footnoteReference w:id="3011"/>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القضاء علی من فاتته الصلاة و هو طفل لم یبلغ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بین علماء الإسلام</w:t>
      </w:r>
      <w:r>
        <w:rPr>
          <w:rFonts w:eastAsia="IRNazanin" w:cs="IRNazanin"/>
          <w:color w:val="111111"/>
          <w:sz w:val="28"/>
          <w:szCs w:val="28"/>
          <w:rtl w:val="true"/>
          <w:lang w:bidi="fa-IR"/>
        </w:rPr>
        <w:t>»</w:t>
      </w:r>
      <w:r>
        <w:rPr>
          <w:rStyle w:val="FootnoteAnchor"/>
          <w:rtl w:val="true"/>
        </w:rPr>
        <w:footnoteReference w:id="3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علیه الإجماع فی التذکرة</w:t>
      </w:r>
      <w:r>
        <w:rPr>
          <w:rStyle w:val="FootnoteAnchor"/>
          <w:rtl w:val="true"/>
        </w:rPr>
        <w:footnoteReference w:id="30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روض الجنان</w:t>
      </w:r>
      <w:r>
        <w:rPr>
          <w:rStyle w:val="FootnoteAnchor"/>
          <w:rtl w:val="true"/>
        </w:rPr>
        <w:footnoteReference w:id="3014"/>
      </w:r>
      <w:r>
        <w:rPr>
          <w:rFonts w:ascii="IRNazanin" w:hAnsi="IRNazanin" w:eastAsia="IRNazanin"/>
          <w:color w:val="111111"/>
          <w:sz w:val="28"/>
          <w:sz w:val="28"/>
          <w:szCs w:val="28"/>
          <w:rtl w:val="true"/>
          <w:lang w:bidi="fa-IR"/>
        </w:rPr>
        <w:t>و الحدائق</w:t>
      </w:r>
      <w:r>
        <w:rPr>
          <w:rStyle w:val="FootnoteAnchor"/>
          <w:rtl w:val="true"/>
        </w:rPr>
        <w:footnoteReference w:id="3015"/>
      </w:r>
      <w:r>
        <w:rPr>
          <w:rFonts w:ascii="IRNazanin" w:hAnsi="IRNazanin" w:eastAsia="IRNazanin"/>
          <w:color w:val="111111"/>
          <w:sz w:val="28"/>
          <w:sz w:val="28"/>
          <w:szCs w:val="28"/>
          <w:rtl w:val="true"/>
          <w:lang w:bidi="fa-IR"/>
        </w:rPr>
        <w:t>، و به إجماع المسلمین کما فی المدارک</w:t>
      </w:r>
      <w:r>
        <w:rPr>
          <w:rStyle w:val="FootnoteAnchor"/>
          <w:rtl w:val="true"/>
        </w:rPr>
        <w:footnoteReference w:id="3016"/>
      </w:r>
      <w:r>
        <w:rPr>
          <w:rFonts w:ascii="IRNazanin" w:hAnsi="IRNazanin" w:eastAsia="IRNazanin"/>
          <w:color w:val="111111"/>
          <w:sz w:val="28"/>
          <w:sz w:val="28"/>
          <w:szCs w:val="28"/>
          <w:rtl w:val="true"/>
          <w:lang w:bidi="fa-IR"/>
        </w:rPr>
        <w:t>، و فی مفاتیح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بالضرورة من الدین</w:t>
      </w:r>
      <w:r>
        <w:rPr>
          <w:rFonts w:eastAsia="IRNazanin" w:cs="IRNazanin"/>
          <w:color w:val="111111"/>
          <w:sz w:val="28"/>
          <w:szCs w:val="28"/>
          <w:rtl w:val="true"/>
          <w:lang w:bidi="fa-IR"/>
        </w:rPr>
        <w:t>»</w:t>
      </w:r>
      <w:r>
        <w:rPr>
          <w:rStyle w:val="FootnoteAnchor"/>
          <w:rtl w:val="true"/>
        </w:rPr>
        <w:footnoteReference w:id="3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یجب قضاء ما ترکه الصبیّ فی زمان صباه</w:t>
      </w:r>
      <w:r>
        <w:rPr>
          <w:rFonts w:eastAsia="IRNazanin" w:cs="IRNazanin"/>
          <w:color w:val="111111"/>
          <w:sz w:val="28"/>
          <w:szCs w:val="28"/>
          <w:rtl w:val="true"/>
          <w:lang w:bidi="fa-IR"/>
        </w:rPr>
        <w:t>»</w:t>
      </w:r>
      <w:r>
        <w:rPr>
          <w:rStyle w:val="FootnoteAnchor"/>
          <w:rtl w:val="true"/>
        </w:rPr>
        <w:footnoteReference w:id="3018"/>
      </w:r>
      <w:r>
        <w:rPr>
          <w:rFonts w:ascii="IRNazanin" w:hAnsi="IRNazanin" w:eastAsia="IRNazanin"/>
          <w:color w:val="111111"/>
          <w:sz w:val="28"/>
          <w:sz w:val="28"/>
          <w:szCs w:val="28"/>
          <w:rtl w:val="true"/>
          <w:lang w:bidi="fa-IR"/>
        </w:rPr>
        <w:t>، و کذا فی غیرها</w:t>
      </w:r>
      <w:r>
        <w:rPr>
          <w:rStyle w:val="FootnoteAnchor"/>
          <w:rtl w:val="true"/>
        </w:rPr>
        <w:footnoteReference w:id="3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الحکم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الإجماع و الضرورة من الدین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القلم</w:t>
      </w:r>
      <w:r>
        <w:rPr>
          <w:rStyle w:val="FootnoteAnchor"/>
          <w:rtl w:val="true"/>
        </w:rPr>
        <w:footnoteReference w:id="3020"/>
      </w:r>
      <w:r>
        <w:rPr>
          <w:rFonts w:ascii="IRNazanin" w:hAnsi="IRNazanin" w:eastAsia="IRNazanin"/>
          <w:color w:val="111111"/>
          <w:sz w:val="28"/>
          <w:sz w:val="28"/>
          <w:szCs w:val="28"/>
          <w:rtl w:val="true"/>
          <w:lang w:bidi="fa-IR"/>
        </w:rPr>
        <w:t>؛ إذ علی القول بأنّ القضاء تابع لحکم الأداء فلا شکّ أنّ الحدیث ینفی التکلیف عن الصبیّ، فلا یصدق علی ما فات منه فی زمان صباه عنوان الفوت حتّی یجب علیه القضاء بعد البلوغ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بأنّ القضاء غیر تابع لحکم الأداء، بل موقوف علی أمر جدید، فإثبات القضاء علیه یحتاج إلی دلیل، و المفروض عدمه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یدلّ علیه النبویّ،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فاتته صلاة فلیقضها کما فاتته</w:t>
      </w:r>
      <w:r>
        <w:rPr>
          <w:rFonts w:eastAsia="IRNazanin" w:cs="IRNazanin"/>
          <w:color w:val="111111"/>
          <w:sz w:val="28"/>
          <w:szCs w:val="28"/>
          <w:rtl w:val="true"/>
          <w:lang w:bidi="fa-IR"/>
        </w:rPr>
        <w:t>»</w:t>
      </w:r>
      <w:r>
        <w:rPr>
          <w:rStyle w:val="FootnoteAnchor"/>
          <w:rtl w:val="true"/>
        </w:rPr>
        <w:footnoteReference w:id="3021"/>
      </w:r>
      <w:r>
        <w:rPr>
          <w:rFonts w:ascii="IRNazanin" w:hAnsi="IRNazanin" w:eastAsia="IRNazanin"/>
          <w:color w:val="111111"/>
          <w:sz w:val="28"/>
          <w:sz w:val="28"/>
          <w:szCs w:val="28"/>
          <w:rtl w:val="true"/>
          <w:lang w:bidi="fa-IR"/>
        </w:rPr>
        <w:t>، حیث إنّ صدق عنوان الفوت فرع توجّه التکلیف علی العبد، فمع نفی التکلیف</w:t>
      </w:r>
      <w:bookmarkStart w:id="865" w:name="pg11755_255383"/>
    </w:p>
    <w:p>
      <w:pPr>
        <w:pStyle w:val="BookText"/>
        <w:rPr/>
      </w:pPr>
      <w:bookmarkEnd w:id="865"/>
      <w:r>
        <w:rPr>
          <w:rFonts w:ascii="IRNazanin" w:hAnsi="IRNazanin" w:eastAsia="IRNazanin"/>
          <w:color w:val="111111"/>
          <w:sz w:val="28"/>
          <w:sz w:val="28"/>
          <w:szCs w:val="28"/>
          <w:rtl w:val="true"/>
          <w:lang w:bidi="fa-IR"/>
        </w:rPr>
        <w:t>بالنسبة إلی الصغیر لا یجب علیه القضاء</w:t>
      </w:r>
      <w:r>
        <w:rPr>
          <w:rFonts w:eastAsia="IRNazanin" w:cs="IRNazanin"/>
          <w:color w:val="111111"/>
          <w:sz w:val="28"/>
          <w:szCs w:val="28"/>
          <w:rtl w:val="true"/>
          <w:lang w:bidi="fa-IR"/>
        </w:rPr>
        <w:t>.</w:t>
      </w:r>
    </w:p>
    <w:p>
      <w:pPr>
        <w:pStyle w:val="Heading5"/>
        <w:numPr>
          <w:ilvl w:val="4"/>
          <w:numId w:val="1"/>
        </w:numPr>
        <w:rPr/>
      </w:pPr>
      <w:bookmarkStart w:id="866" w:name="__RefHeading___Toc9587896_73709187"/>
      <w:bookmarkStart w:id="867" w:name="_Toc322"/>
      <w:bookmarkEnd w:id="866"/>
      <w:r>
        <w:rPr>
          <w:rtl w:val="true"/>
        </w:rPr>
        <w:t>رأی أهل السنّة فی وجوب القضاء علیه</w:t>
      </w:r>
      <w:bookmarkEnd w:id="867"/>
    </w:p>
    <w:p>
      <w:pPr>
        <w:pStyle w:val="BookText"/>
        <w:rPr/>
      </w:pPr>
      <w:r>
        <w:rPr>
          <w:rFonts w:ascii="IRNazanin" w:hAnsi="IRNazanin" w:eastAsia="IRNazanin"/>
          <w:color w:val="111111"/>
          <w:sz w:val="28"/>
          <w:sz w:val="28"/>
          <w:szCs w:val="28"/>
          <w:rtl w:val="true"/>
          <w:lang w:bidi="fa-IR"/>
        </w:rPr>
        <w:t>و اتّفق علی عدم الوجوب أیضاً جمهور فقهاء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یجب علیه القضاء إذا بلغ؛ لأنّ زمان الصغر یطول، فلو أوجبنا القضاء لشقّ، فعفی عنه</w:t>
      </w:r>
      <w:r>
        <w:rPr>
          <w:rFonts w:eastAsia="IRNazanin" w:cs="IRNazanin"/>
          <w:color w:val="111111"/>
          <w:sz w:val="28"/>
          <w:szCs w:val="28"/>
          <w:rtl w:val="true"/>
          <w:lang w:bidi="fa-IR"/>
        </w:rPr>
        <w:t>»</w:t>
      </w:r>
      <w:r>
        <w:rPr>
          <w:rStyle w:val="FootnoteAnchor"/>
          <w:rtl w:val="true"/>
        </w:rPr>
        <w:footnoteReference w:id="3022"/>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المجموع، و ادّعی علیه الاتّفاق</w:t>
      </w:r>
      <w:r>
        <w:rPr>
          <w:rStyle w:val="FootnoteAnchor"/>
          <w:rtl w:val="true"/>
        </w:rPr>
        <w:footnoteReference w:id="3023"/>
      </w:r>
      <w:r>
        <w:rPr>
          <w:rFonts w:ascii="IRNazanin" w:hAnsi="IRNazanin" w:eastAsia="IRNazanin"/>
          <w:color w:val="111111"/>
          <w:sz w:val="28"/>
          <w:sz w:val="28"/>
          <w:szCs w:val="28"/>
          <w:rtl w:val="true"/>
          <w:lang w:bidi="fa-IR"/>
        </w:rPr>
        <w:t>، و حاشیة الجمل</w:t>
      </w:r>
      <w:r>
        <w:rPr>
          <w:rStyle w:val="FootnoteAnchor"/>
          <w:rtl w:val="true"/>
        </w:rPr>
        <w:footnoteReference w:id="3024"/>
      </w:r>
      <w:r>
        <w:rPr>
          <w:rFonts w:ascii="IRNazanin" w:hAnsi="IRNazanin" w:eastAsia="IRNazanin"/>
          <w:color w:val="111111"/>
          <w:sz w:val="28"/>
          <w:sz w:val="28"/>
          <w:szCs w:val="28"/>
          <w:rtl w:val="true"/>
          <w:lang w:bidi="fa-IR"/>
        </w:rPr>
        <w:t>و عقد الجواهر الثمینة</w:t>
      </w:r>
      <w:r>
        <w:rPr>
          <w:rStyle w:val="FootnoteAnchor"/>
          <w:rtl w:val="true"/>
        </w:rPr>
        <w:footnoteReference w:id="3025"/>
      </w:r>
      <w:r>
        <w:rPr>
          <w:rFonts w:ascii="IRNazanin" w:hAnsi="IRNazanin" w:eastAsia="IRNazanin"/>
          <w:color w:val="111111"/>
          <w:sz w:val="28"/>
          <w:sz w:val="28"/>
          <w:szCs w:val="28"/>
          <w:rtl w:val="true"/>
          <w:lang w:bidi="fa-IR"/>
        </w:rPr>
        <w:t>و الإنصاف</w:t>
      </w:r>
      <w:r>
        <w:rPr>
          <w:rStyle w:val="FootnoteAnchor"/>
          <w:rtl w:val="true"/>
        </w:rPr>
        <w:footnoteReference w:id="3026"/>
      </w:r>
      <w:r>
        <w:rPr>
          <w:rFonts w:ascii="IRNazanin" w:hAnsi="IRNazanin" w:eastAsia="IRNazanin"/>
          <w:color w:val="111111"/>
          <w:sz w:val="28"/>
          <w:sz w:val="28"/>
          <w:szCs w:val="28"/>
          <w:rtl w:val="true"/>
          <w:lang w:bidi="fa-IR"/>
        </w:rPr>
        <w:t>و البدائع</w:t>
      </w:r>
      <w:r>
        <w:rPr>
          <w:rStyle w:val="FootnoteAnchor"/>
          <w:rtl w:val="true"/>
        </w:rPr>
        <w:footnoteReference w:id="3027"/>
      </w:r>
      <w:r>
        <w:rPr>
          <w:rFonts w:eastAsia="Times New Roman" w:cs="Times New Roman" w:ascii="Times New Roman" w:hAnsi="Times New Roman"/>
          <w:color w:val="111111"/>
          <w:sz w:val="28"/>
          <w:szCs w:val="28"/>
          <w:rtl w:val="true"/>
          <w:lang w:val="en-US" w:bidi="en-US"/>
        </w:rPr>
        <w:t>.</w:t>
      </w:r>
      <w:bookmarkStart w:id="868" w:name="pg11755_255385"/>
    </w:p>
    <w:p>
      <w:pPr>
        <w:pStyle w:val="Heading4"/>
        <w:numPr>
          <w:ilvl w:val="3"/>
          <w:numId w:val="1"/>
        </w:numPr>
        <w:rPr/>
      </w:pPr>
      <w:bookmarkStart w:id="869" w:name="__RefHeading___Toc9587898_73709187"/>
      <w:bookmarkStart w:id="870" w:name="_Toc323"/>
      <w:bookmarkEnd w:id="868"/>
      <w:bookmarkEnd w:id="869"/>
      <w:r>
        <w:rPr>
          <w:rtl w:val="true"/>
        </w:rPr>
        <w:t>المبحث السابع</w:t>
      </w:r>
      <w:r>
        <w:rPr>
          <w:rtl w:val="true"/>
        </w:rPr>
        <w:t>:</w:t>
      </w:r>
      <w:r>
        <w:rPr>
          <w:rtl w:val="true"/>
        </w:rPr>
        <w:t>حکم قضاء صلاة المیّت بالنسبة إلی الصغیر</w:t>
      </w:r>
      <w:bookmarkEnd w:id="870"/>
    </w:p>
    <w:p>
      <w:pPr>
        <w:pStyle w:val="Heading5"/>
        <w:numPr>
          <w:ilvl w:val="4"/>
          <w:numId w:val="1"/>
        </w:numPr>
        <w:rPr/>
      </w:pPr>
      <w:bookmarkStart w:id="871" w:name="__RefHeading___Toc9587900_73709187"/>
      <w:bookmarkStart w:id="872" w:name="_Toc324"/>
      <w:bookmarkEnd w:id="871"/>
      <w:r>
        <w:rPr>
          <w:rtl w:val="true"/>
        </w:rPr>
        <w:t>اشارة</w:t>
      </w:r>
      <w:bookmarkEnd w:id="872"/>
    </w:p>
    <w:p>
      <w:pPr>
        <w:pStyle w:val="BookText"/>
        <w:rPr/>
      </w:pPr>
      <w:r>
        <w:rPr>
          <w:rFonts w:ascii="IRNazanin" w:hAnsi="IRNazanin" w:eastAsia="IRNazanin"/>
          <w:color w:val="111111"/>
          <w:sz w:val="28"/>
          <w:sz w:val="28"/>
          <w:szCs w:val="28"/>
          <w:rtl w:val="true"/>
          <w:lang w:bidi="fa-IR"/>
        </w:rPr>
        <w:t xml:space="preserve">من التکالیف الّتی یمکن أن تتوجّه إلی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أکبر ولد ذکور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بلوغه وجوب إتیان الصلاة أو الصلوات و الصوم التی فاتت الأب علی المشهور</w:t>
      </w:r>
      <w:r>
        <w:rPr>
          <w:rStyle w:val="FootnoteAnchor"/>
          <w:rtl w:val="true"/>
        </w:rPr>
        <w:footnoteReference w:id="3028"/>
      </w:r>
      <w:r>
        <w:rPr>
          <w:rFonts w:ascii="IRNazanin" w:hAnsi="IRNazanin" w:eastAsia="IRNazanin"/>
          <w:color w:val="111111"/>
          <w:sz w:val="28"/>
          <w:sz w:val="28"/>
          <w:szCs w:val="28"/>
          <w:rtl w:val="true"/>
          <w:lang w:bidi="fa-IR"/>
        </w:rPr>
        <w:t>، أو فاتت الأبوین کما علیه بعض الفقهاء</w:t>
      </w:r>
      <w:r>
        <w:rPr>
          <w:rStyle w:val="FootnoteAnchor"/>
          <w:rtl w:val="true"/>
        </w:rPr>
        <w:footnoteReference w:id="3029"/>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إذا کان أکبر أولاد المیّت حین موته صغیراً و قد فاتته صلاة أو صوم، فعلی القول بوجوب القضاء علی ولیّ المیّت، هل یجب قضاؤها علی الصغیر الذی یکون ولیّاً</w:t>
      </w:r>
      <w:r>
        <w:rPr>
          <w:rStyle w:val="FootnoteAnchor"/>
          <w:rtl w:val="true"/>
        </w:rPr>
        <w:footnoteReference w:id="3030"/>
      </w:r>
      <w:r>
        <w:rPr>
          <w:rFonts w:ascii="IRNazanin" w:hAnsi="IRNazanin" w:eastAsia="IRNazanin"/>
          <w:color w:val="111111"/>
          <w:sz w:val="28"/>
          <w:sz w:val="28"/>
          <w:szCs w:val="28"/>
          <w:rtl w:val="true"/>
          <w:lang w:bidi="fa-IR"/>
        </w:rPr>
        <w:t>له إذا أصبح بالغاً أم لا؟ فی المسألة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کمال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 فخر المحقّقین</w:t>
      </w:r>
      <w:r>
        <w:rPr>
          <w:rStyle w:val="FootnoteAnchor"/>
          <w:rtl w:val="true"/>
        </w:rPr>
        <w:footnoteReference w:id="3031"/>
      </w:r>
      <w:r>
        <w:rPr>
          <w:rFonts w:ascii="IRNazanin" w:hAnsi="IRNazanin" w:eastAsia="IRNazanin"/>
          <w:color w:val="111111"/>
          <w:sz w:val="28"/>
          <w:sz w:val="28"/>
          <w:szCs w:val="28"/>
          <w:rtl w:val="true"/>
          <w:lang w:bidi="fa-IR"/>
        </w:rPr>
        <w:t>و المحقّق الکرکی</w:t>
      </w:r>
      <w:r>
        <w:rPr>
          <w:rStyle w:val="FootnoteAnchor"/>
          <w:rtl w:val="true"/>
        </w:rPr>
        <w:footnoteReference w:id="3032"/>
      </w:r>
    </w:p>
    <w:p>
      <w:pPr>
        <w:pStyle w:val="BookText"/>
        <w:rPr/>
      </w:pPr>
      <w:r>
        <w:rPr>
          <w:rFonts w:ascii="IRNazanin" w:hAnsi="IRNazanin" w:eastAsia="IRNazanin"/>
          <w:color w:val="111111"/>
          <w:sz w:val="28"/>
          <w:sz w:val="28"/>
          <w:szCs w:val="28"/>
          <w:rtl w:val="true"/>
          <w:lang w:bidi="fa-IR"/>
        </w:rPr>
        <w:t>و الشهید الثانی</w:t>
      </w:r>
      <w:r>
        <w:rPr>
          <w:rStyle w:val="FootnoteAnchor"/>
          <w:rtl w:val="true"/>
        </w:rPr>
        <w:footnoteReference w:id="3033"/>
      </w:r>
      <w:r>
        <w:rPr>
          <w:rFonts w:ascii="IRNazanin" w:hAnsi="IRNazanin" w:eastAsia="IRNazanin"/>
          <w:color w:val="111111"/>
          <w:sz w:val="28"/>
          <w:sz w:val="28"/>
          <w:szCs w:val="28"/>
          <w:rtl w:val="true"/>
          <w:lang w:bidi="fa-IR"/>
        </w:rPr>
        <w:t>، و قرّبه فی الذکری،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الأقرب اشتراط کمال الولیّ لرفع القلم عن الصبیّ و المجنون</w:t>
      </w:r>
      <w:r>
        <w:rPr>
          <w:rFonts w:eastAsia="IRNazanin" w:cs="IRNazanin"/>
          <w:color w:val="111111"/>
          <w:sz w:val="28"/>
          <w:szCs w:val="28"/>
          <w:rtl w:val="true"/>
          <w:lang w:bidi="fa-IR"/>
        </w:rPr>
        <w:t>»</w:t>
      </w:r>
      <w:r>
        <w:rPr>
          <w:rStyle w:val="FootnoteAnchor"/>
          <w:rtl w:val="true"/>
        </w:rPr>
        <w:footnoteReference w:id="3034"/>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کشف الغطاء و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الاحتیاط بقیامه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تکلیفه</w:t>
      </w:r>
      <w:r>
        <w:rPr>
          <w:rFonts w:eastAsia="IRNazanin" w:cs="IRNazanin"/>
          <w:color w:val="111111"/>
          <w:sz w:val="28"/>
          <w:szCs w:val="28"/>
          <w:rtl w:val="true"/>
          <w:lang w:bidi="fa-IR"/>
        </w:rPr>
        <w:t>»</w:t>
      </w:r>
      <w:r>
        <w:rPr>
          <w:rStyle w:val="FootnoteAnchor"/>
          <w:rtl w:val="true"/>
        </w:rPr>
        <w:footnoteReference w:id="3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یتمسّک بأصالة البراءة</w:t>
      </w:r>
      <w:r>
        <w:rPr>
          <w:rStyle w:val="FootnoteAnchor"/>
          <w:rtl w:val="true"/>
        </w:rPr>
        <w:footnoteReference w:id="3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دلیل وجوب قضاء الصلاة عن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فی الإجماع المنتفی فی موضع النزاع</w:t>
      </w:r>
      <w:r>
        <w:rPr>
          <w:rFonts w:eastAsia="IRNazanin" w:cs="IRNazanin"/>
          <w:color w:val="111111"/>
          <w:sz w:val="28"/>
          <w:szCs w:val="28"/>
          <w:rtl w:val="true"/>
          <w:lang w:bidi="fa-IR"/>
        </w:rPr>
        <w:t>»</w:t>
      </w:r>
      <w:r>
        <w:rPr>
          <w:rStyle w:val="FootnoteAnchor"/>
          <w:rtl w:val="true"/>
        </w:rPr>
        <w:footnoteReference w:id="3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تمّ لزم عدم وجوبه علی الغافل عند الموت</w:t>
      </w:r>
      <w:r>
        <w:rPr>
          <w:rStyle w:val="FootnoteAnchor"/>
          <w:rtl w:val="true"/>
        </w:rPr>
        <w:footnoteReference w:id="3038"/>
      </w:r>
      <w:r>
        <w:rPr>
          <w:rFonts w:ascii="IRNazanin" w:hAnsi="IRNazanin" w:eastAsia="IRNazanin"/>
          <w:color w:val="111111"/>
          <w:sz w:val="28"/>
          <w:sz w:val="28"/>
          <w:szCs w:val="28"/>
          <w:rtl w:val="true"/>
          <w:lang w:bidi="fa-IR"/>
        </w:rPr>
        <w:t>و الجاهل بالموت؛ لمشارکتهما مع غیر الکامل فی عدم التکلیف حال الوفاة، و لو جاز التعلّق بعد رفع المانع لجاز فی غیر البالغ أیضاً، فیلحقه الأمر عند البلوغ، و لذا قال فی الذخیرة ردّاً علی ما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التعلیل ضعیف</w:t>
      </w:r>
      <w:r>
        <w:rPr>
          <w:rFonts w:eastAsia="IRNazanin" w:cs="IRNazanin"/>
          <w:color w:val="111111"/>
          <w:sz w:val="28"/>
          <w:szCs w:val="28"/>
          <w:rtl w:val="true"/>
          <w:lang w:bidi="fa-IR"/>
        </w:rPr>
        <w:t>»</w:t>
      </w:r>
      <w:r>
        <w:rPr>
          <w:rStyle w:val="FootnoteAnchor"/>
          <w:rtl w:val="true"/>
        </w:rPr>
        <w:footnoteReference w:id="3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أصالة البراءة فلا تجری مع وجود النصّ، و معه لا ینحصر الدلیل فی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کمال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ذهب إلیه المشهور من عدم اشتراط کمال الولیّ حین وفاة الأب، کما فی المسالک</w:t>
      </w:r>
      <w:r>
        <w:rPr>
          <w:rStyle w:val="FootnoteAnchor"/>
          <w:rtl w:val="true"/>
        </w:rPr>
        <w:footnoteReference w:id="3040"/>
      </w:r>
      <w:r>
        <w:rPr>
          <w:rFonts w:ascii="IRNazanin" w:hAnsi="IRNazanin" w:eastAsia="IRNazanin"/>
          <w:color w:val="111111"/>
          <w:sz w:val="28"/>
          <w:sz w:val="28"/>
          <w:szCs w:val="28"/>
          <w:rtl w:val="true"/>
          <w:lang w:bidi="fa-IR"/>
        </w:rPr>
        <w:t>و المدارک</w:t>
      </w:r>
      <w:r>
        <w:rPr>
          <w:rStyle w:val="FootnoteAnchor"/>
          <w:rtl w:val="true"/>
        </w:rPr>
        <w:footnoteReference w:id="3041"/>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الذخیرة</w:t>
      </w:r>
      <w:r>
        <w:rPr>
          <w:rStyle w:val="FootnoteAnchor"/>
          <w:rtl w:val="true"/>
        </w:rPr>
        <w:footnoteReference w:id="3042"/>
      </w:r>
      <w:r>
        <w:rPr>
          <w:rFonts w:ascii="IRNazanin" w:hAnsi="IRNazanin" w:eastAsia="IRNazanin"/>
          <w:color w:val="111111"/>
          <w:sz w:val="28"/>
          <w:sz w:val="28"/>
          <w:szCs w:val="28"/>
          <w:rtl w:val="true"/>
          <w:lang w:bidi="fa-IR"/>
        </w:rPr>
        <w:t>،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الولیّ حین الموت صغیراً یجب علیه القضاء بعد البلوغ</w:t>
      </w:r>
      <w:r>
        <w:rPr>
          <w:rFonts w:eastAsia="IRNazanin" w:cs="IRNazanin"/>
          <w:color w:val="111111"/>
          <w:sz w:val="28"/>
          <w:szCs w:val="28"/>
          <w:rtl w:val="true"/>
          <w:lang w:bidi="fa-IR"/>
        </w:rPr>
        <w:t>»</w:t>
      </w:r>
      <w:r>
        <w:rPr>
          <w:rStyle w:val="FootnoteAnchor"/>
          <w:rtl w:val="true"/>
        </w:rPr>
        <w:footnoteReference w:id="3043"/>
      </w:r>
      <w:r>
        <w:rPr>
          <w:rFonts w:ascii="IRNazanin" w:hAnsi="IRNazanin" w:eastAsia="IRNazanin"/>
          <w:color w:val="111111"/>
          <w:sz w:val="28"/>
          <w:sz w:val="28"/>
          <w:szCs w:val="28"/>
          <w:rtl w:val="true"/>
          <w:lang w:bidi="fa-IR"/>
        </w:rPr>
        <w:t>، و کذا فی الریاض</w:t>
      </w:r>
      <w:r>
        <w:rPr>
          <w:rStyle w:val="FootnoteAnchor"/>
          <w:rtl w:val="true"/>
        </w:rPr>
        <w:footnoteReference w:id="3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تردّد فی الروضة</w:t>
      </w:r>
      <w:r>
        <w:rPr>
          <w:rStyle w:val="FootnoteAnchor"/>
          <w:rtl w:val="true"/>
        </w:rPr>
        <w:footnoteReference w:id="3045"/>
      </w:r>
      <w:bookmarkStart w:id="873" w:name="pg11755_255392"/>
    </w:p>
    <w:p>
      <w:pPr>
        <w:pStyle w:val="BookText"/>
        <w:rPr/>
      </w:pPr>
      <w:bookmarkEnd w:id="873"/>
      <w:r>
        <w:rPr>
          <w:rFonts w:ascii="IRNazanin" w:hAnsi="IRNazanin" w:eastAsia="IRNazanin"/>
          <w:color w:val="111111"/>
          <w:sz w:val="28"/>
          <w:sz w:val="28"/>
          <w:szCs w:val="28"/>
          <w:rtl w:val="true"/>
          <w:lang w:bidi="fa-IR"/>
        </w:rPr>
        <w:t>و مفتاح الکرامة</w:t>
      </w:r>
      <w:r>
        <w:rPr>
          <w:rStyle w:val="FootnoteAnchor"/>
          <w:rtl w:val="true"/>
        </w:rPr>
        <w:footnoteReference w:id="3046"/>
      </w:r>
      <w:r>
        <w:rPr>
          <w:rFonts w:ascii="IRNazanin" w:hAnsi="IRNazanin" w:eastAsia="IRNazanin"/>
          <w:color w:val="111111"/>
          <w:sz w:val="28"/>
          <w:sz w:val="28"/>
          <w:szCs w:val="28"/>
          <w:rtl w:val="true"/>
          <w:lang w:bidi="fa-IR"/>
        </w:rPr>
        <w:t>و الحدائق</w:t>
      </w:r>
      <w:r>
        <w:rPr>
          <w:rStyle w:val="FootnoteAnchor"/>
          <w:rtl w:val="true"/>
        </w:rPr>
        <w:footnoteReference w:id="3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أکبر أولاده الذکور، و علی کلّ حال فلا یعتبر بلوغ الصبیّ عند الموت، بل و لا عقله</w:t>
      </w:r>
      <w:r>
        <w:rPr>
          <w:rFonts w:eastAsia="IRNazanin" w:cs="IRNazanin"/>
          <w:color w:val="111111"/>
          <w:sz w:val="28"/>
          <w:szCs w:val="28"/>
          <w:rtl w:val="true"/>
          <w:lang w:bidi="fa-IR"/>
        </w:rPr>
        <w:t>»</w:t>
      </w:r>
      <w:r>
        <w:rPr>
          <w:rStyle w:val="FootnoteAnchor"/>
          <w:rtl w:val="true"/>
        </w:rPr>
        <w:footnoteReference w:id="3048"/>
      </w:r>
      <w:r>
        <w:rPr>
          <w:rFonts w:ascii="IRNazanin" w:hAnsi="IRNazanin" w:eastAsia="IRNazanin"/>
          <w:color w:val="111111"/>
          <w:sz w:val="28"/>
          <w:sz w:val="28"/>
          <w:szCs w:val="28"/>
          <w:rtl w:val="true"/>
          <w:lang w:bidi="fa-IR"/>
        </w:rPr>
        <w:t>، و کذا فی العروة</w:t>
      </w:r>
      <w:r>
        <w:rPr>
          <w:rStyle w:val="FootnoteAnchor"/>
          <w:rtl w:val="true"/>
        </w:rPr>
        <w:footnoteReference w:id="3049"/>
      </w:r>
      <w:r>
        <w:rPr>
          <w:rFonts w:ascii="Amiri" w:hAnsi="Amiri" w:eastAsia="Amiri" w:cs="Amiri"/>
          <w:color w:val="111111"/>
          <w:sz w:val="28"/>
          <w:sz w:val="28"/>
          <w:szCs w:val="28"/>
          <w:rtl w:val="true"/>
          <w:lang w:bidi="ar-SA"/>
        </w:rPr>
        <w:t>و المهذّب</w:t>
      </w:r>
      <w:r>
        <w:rPr>
          <w:rStyle w:val="FootnoteAnchor"/>
          <w:rtl w:val="true"/>
        </w:rPr>
        <w:footnoteReference w:id="3050"/>
      </w:r>
    </w:p>
    <w:p>
      <w:pPr>
        <w:pStyle w:val="BookText"/>
        <w:rPr/>
      </w:pPr>
      <w:r>
        <w:rPr>
          <w:rFonts w:ascii="IRNazanin" w:hAnsi="IRNazanin" w:eastAsia="IRNazanin"/>
          <w:color w:val="111111"/>
          <w:sz w:val="28"/>
          <w:sz w:val="28"/>
          <w:szCs w:val="28"/>
          <w:rtl w:val="true"/>
          <w:lang w:bidi="fa-IR"/>
        </w:rPr>
        <w:t>و المستمسک</w:t>
      </w:r>
      <w:r>
        <w:rPr>
          <w:rStyle w:val="FootnoteAnchor"/>
          <w:rtl w:val="true"/>
        </w:rPr>
        <w:footnoteReference w:id="3051"/>
      </w:r>
      <w:r>
        <w:rPr>
          <w:rFonts w:ascii="IRNazanin" w:hAnsi="IRNazanin" w:eastAsia="IRNazanin"/>
          <w:color w:val="111111"/>
          <w:sz w:val="28"/>
          <w:sz w:val="28"/>
          <w:szCs w:val="28"/>
          <w:rtl w:val="true"/>
          <w:lang w:bidi="fa-IR"/>
        </w:rPr>
        <w:t>و المستند</w:t>
      </w:r>
      <w:r>
        <w:rPr>
          <w:rStyle w:val="FootnoteAnchor"/>
          <w:rtl w:val="true"/>
        </w:rPr>
        <w:footnoteReference w:id="3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یعتبر فی الولیّ أن یکون بالغاً عاقلاً عند الموت، فیجب علی الصبیّ إذا بلغ و علی المجنون إذا عقل</w:t>
      </w:r>
      <w:r>
        <w:rPr>
          <w:rFonts w:eastAsia="IRNazanin" w:cs="IRNazanin"/>
          <w:color w:val="111111"/>
          <w:sz w:val="28"/>
          <w:szCs w:val="28"/>
          <w:rtl w:val="true"/>
          <w:lang w:bidi="fa-IR"/>
        </w:rPr>
        <w:t>»</w:t>
      </w:r>
      <w:r>
        <w:rPr>
          <w:rStyle w:val="FootnoteAnchor"/>
          <w:rtl w:val="true"/>
        </w:rPr>
        <w:footnoteReference w:id="3053"/>
      </w:r>
      <w:r>
        <w:rPr>
          <w:rFonts w:ascii="IRNazanin" w:hAnsi="IRNazanin" w:eastAsia="IRNazanin"/>
          <w:color w:val="111111"/>
          <w:sz w:val="28"/>
          <w:sz w:val="28"/>
          <w:szCs w:val="28"/>
          <w:rtl w:val="true"/>
          <w:lang w:bidi="fa-IR"/>
        </w:rPr>
        <w:t>، و به قال الشیخ الفاضل اللنکرانی</w:t>
      </w:r>
      <w:r>
        <w:rPr>
          <w:rStyle w:val="FootnoteAnchor"/>
          <w:rtl w:val="true"/>
        </w:rPr>
        <w:footnoteReference w:id="3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4" w:name="__RefHeading___Toc9587902_73709187"/>
      <w:bookmarkStart w:id="875" w:name="_Toc325"/>
      <w:bookmarkEnd w:id="874"/>
      <w:r>
        <w:rPr>
          <w:rtl w:val="true"/>
        </w:rPr>
        <w:t>أدلّة عدم اشتراط کمال الولیّ‌</w:t>
      </w:r>
      <w:bookmarkEnd w:id="875"/>
    </w:p>
    <w:p>
      <w:pPr>
        <w:pStyle w:val="BookText"/>
        <w:rPr/>
      </w:pPr>
      <w:r>
        <w:rPr>
          <w:rFonts w:ascii="IRNazanin" w:hAnsi="IRNazanin" w:eastAsia="IRNazanin"/>
          <w:color w:val="111111"/>
          <w:sz w:val="28"/>
          <w:sz w:val="28"/>
          <w:szCs w:val="28"/>
          <w:rtl w:val="true"/>
          <w:lang w:bidi="fa-IR"/>
        </w:rPr>
        <w:t>یمکن أن یستند لهذا الحکم بوجوه</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النصوص کمکاتبة الصفّار و صحیحة حفص بن البختری المتقدِّمتین</w:t>
      </w:r>
      <w:r>
        <w:rPr>
          <w:rStyle w:val="FootnoteAnchor"/>
          <w:rtl w:val="true"/>
        </w:rPr>
        <w:footnoteReference w:id="3055"/>
      </w:r>
      <w:r>
        <w:rPr>
          <w:rFonts w:ascii="IRNazanin" w:hAnsi="IRNazanin" w:eastAsia="IRNazanin"/>
          <w:color w:val="111111"/>
          <w:sz w:val="28"/>
          <w:sz w:val="28"/>
          <w:szCs w:val="28"/>
          <w:rtl w:val="true"/>
          <w:lang w:bidi="fa-IR"/>
        </w:rPr>
        <w:t>، 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عنه أکبر ولیّیه عشرة أیّام ولاءً</w:t>
      </w:r>
      <w:r>
        <w:rPr>
          <w:rFonts w:eastAsia="IRNazanin" w:cs="IRNazanin"/>
          <w:color w:val="111111"/>
          <w:sz w:val="28"/>
          <w:szCs w:val="28"/>
          <w:rtl w:val="true"/>
          <w:lang w:bidi="fa-IR"/>
        </w:rPr>
        <w:t>»</w:t>
      </w:r>
      <w:r>
        <w:rPr>
          <w:rStyle w:val="FootnoteAnchor"/>
          <w:rtl w:val="true"/>
        </w:rPr>
        <w:footnoteReference w:id="3056"/>
      </w:r>
      <w:r>
        <w:rPr>
          <w:rFonts w:ascii="IRNazanin" w:hAnsi="IRNazanin" w:eastAsia="IRNazanin"/>
          <w:color w:val="111111"/>
          <w:sz w:val="28"/>
          <w:sz w:val="28"/>
          <w:szCs w:val="28"/>
          <w:rtl w:val="true"/>
          <w:lang w:bidi="fa-IR"/>
        </w:rPr>
        <w:t>، و کذا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عنه أولی النّاس بمیراثه</w:t>
      </w:r>
      <w:r>
        <w:rPr>
          <w:rFonts w:eastAsia="IRNazanin" w:cs="IRNazanin"/>
          <w:color w:val="111111"/>
          <w:sz w:val="28"/>
          <w:szCs w:val="28"/>
          <w:rtl w:val="true"/>
          <w:lang w:bidi="fa-IR"/>
        </w:rPr>
        <w:t>»</w:t>
      </w:r>
      <w:r>
        <w:rPr>
          <w:rStyle w:val="FootnoteAnchor"/>
          <w:rtl w:val="true"/>
        </w:rPr>
        <w:footnoteReference w:id="3057"/>
      </w:r>
      <w:r>
        <w:rPr>
          <w:rFonts w:ascii="IRNazanin" w:hAnsi="IRNazanin" w:eastAsia="IRNazanin"/>
          <w:color w:val="111111"/>
          <w:sz w:val="28"/>
          <w:sz w:val="28"/>
          <w:szCs w:val="28"/>
          <w:rtl w:val="true"/>
          <w:lang w:bidi="fa-IR"/>
        </w:rPr>
        <w:t>، فإنّهما مطلقان و یشملان غیر</w:t>
      </w:r>
    </w:p>
    <w:p>
      <w:pPr>
        <w:pStyle w:val="BookText"/>
        <w:rPr/>
      </w:pPr>
      <w:r>
        <w:rPr>
          <w:rFonts w:ascii="IRNazanin" w:hAnsi="IRNazanin" w:eastAsia="IRNazanin"/>
          <w:color w:val="111111"/>
          <w:sz w:val="28"/>
          <w:sz w:val="28"/>
          <w:szCs w:val="28"/>
          <w:rtl w:val="true"/>
          <w:lang w:bidi="fa-IR"/>
        </w:rPr>
        <w:t>البالغ أیضاً، و مثلهما مرسلة محمّد بن أبی عمیر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یموت و علیه صلاة أو صوم،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یقضیه أولی النّاس به</w:t>
      </w:r>
      <w:r>
        <w:rPr>
          <w:rFonts w:eastAsia="IRNazanin" w:cs="IRNazanin"/>
          <w:color w:val="111111"/>
          <w:sz w:val="28"/>
          <w:szCs w:val="28"/>
          <w:rtl w:val="true"/>
          <w:lang w:bidi="fa-IR"/>
        </w:rPr>
        <w:t>»</w:t>
      </w:r>
      <w:r>
        <w:rPr>
          <w:rStyle w:val="FootnoteAnchor"/>
          <w:rtl w:val="true"/>
        </w:rPr>
        <w:footnoteReference w:id="3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مرسلة عبد اللّه بن سنان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التی دخل وقتها قبل أن یموت المیّت یقضی عنه أولی النّاس به</w:t>
      </w:r>
      <w:r>
        <w:rPr>
          <w:rFonts w:eastAsia="IRNazanin" w:cs="IRNazanin"/>
          <w:color w:val="111111"/>
          <w:sz w:val="28"/>
          <w:szCs w:val="28"/>
          <w:rtl w:val="true"/>
          <w:lang w:bidi="fa-IR"/>
        </w:rPr>
        <w:t>»</w:t>
      </w:r>
      <w:r>
        <w:rPr>
          <w:rStyle w:val="FootnoteAnchor"/>
          <w:rtl w:val="true"/>
        </w:rPr>
        <w:footnoteReference w:id="3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منها کونه حکماً وضعیاً</w:t>
      </w:r>
      <w:r>
        <w:rPr>
          <w:rStyle w:val="FootnoteAnchor"/>
          <w:rtl w:val="true"/>
        </w:rPr>
        <w:footnoteReference w:id="3060"/>
      </w:r>
      <w:r>
        <w:rPr>
          <w:rFonts w:ascii="IRNazanin" w:hAnsi="IRNazanin" w:eastAsia="IRNazanin"/>
          <w:color w:val="111111"/>
          <w:sz w:val="28"/>
          <w:sz w:val="28"/>
          <w:szCs w:val="28"/>
          <w:rtl w:val="true"/>
          <w:lang w:bidi="fa-IR"/>
        </w:rPr>
        <w:t>، خصوصاً أنّه قد ورد فی بعض الروایات التعبیر بالدَّین، کمرسلة حمّاد بن عثمان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یموت و علیه دَین من شهر رمضان، من یقضی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النّاس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أولی النّاس به امرأة؟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الرجال</w:t>
      </w:r>
      <w:r>
        <w:rPr>
          <w:rFonts w:eastAsia="IRNazanin" w:cs="IRNazanin"/>
          <w:color w:val="111111"/>
          <w:sz w:val="28"/>
          <w:szCs w:val="28"/>
          <w:rtl w:val="true"/>
          <w:lang w:bidi="fa-IR"/>
        </w:rPr>
        <w:t>»</w:t>
      </w:r>
      <w:r>
        <w:rPr>
          <w:rStyle w:val="FootnoteAnchor"/>
          <w:rtl w:val="true"/>
        </w:rPr>
        <w:footnoteReference w:id="3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امّی ماتت و علیها صوم شهر، أ فأقضیه عنها؟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فدین اللّه أحقّ أن یقضی</w:t>
      </w:r>
      <w:r>
        <w:rPr>
          <w:rFonts w:eastAsia="IRNazanin" w:cs="IRNazanin"/>
          <w:color w:val="111111"/>
          <w:sz w:val="28"/>
          <w:szCs w:val="28"/>
          <w:rtl w:val="true"/>
          <w:lang w:bidi="fa-IR"/>
        </w:rPr>
        <w:t>»</w:t>
      </w:r>
      <w:r>
        <w:rPr>
          <w:rStyle w:val="FootnoteAnchor"/>
          <w:rtl w:val="true"/>
        </w:rPr>
        <w:footnoteReference w:id="3062"/>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لإطلاق الأدلّة الّتی لیس فی شیء منها ظهور فی کون تعلّق القضاء بذمّة الولیّ من حین الموت، و لا إشعار بکماله حینه، بل هی ظاهرة فی کونها من باب الأسباب،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أجنب اغتسل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أتلف مال</w:t>
      </w:r>
    </w:p>
    <w:p>
      <w:pPr>
        <w:pStyle w:val="BookText"/>
        <w:rPr/>
      </w:pPr>
      <w:r>
        <w:rPr>
          <w:rFonts w:ascii="IRNazanin" w:hAnsi="IRNazanin" w:eastAsia="IRNazanin"/>
          <w:color w:val="111111"/>
          <w:sz w:val="28"/>
          <w:sz w:val="28"/>
          <w:szCs w:val="28"/>
          <w:rtl w:val="true"/>
          <w:lang w:bidi="fa-IR"/>
        </w:rPr>
        <w:t>غیره فهو ضامن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شابهما ممّا لا ینافیه رفع القلم عن الصبیّ و المجنون، و من ذلک یعلم ما فی التمسّک لعدم الوجوب باستصحابه</w:t>
      </w:r>
      <w:r>
        <w:rPr>
          <w:rFonts w:eastAsia="IRNazanin" w:cs="IRNazanin"/>
          <w:color w:val="111111"/>
          <w:sz w:val="28"/>
          <w:szCs w:val="28"/>
          <w:rtl w:val="true"/>
          <w:lang w:bidi="fa-IR"/>
        </w:rPr>
        <w:t>»</w:t>
      </w:r>
      <w:r>
        <w:rPr>
          <w:rStyle w:val="FootnoteAnchor"/>
          <w:rtl w:val="true"/>
        </w:rPr>
        <w:footnoteReference w:id="3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تعلّق به الحکم فی النصوص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بلوغ الطفل یصدق علیه العنوان المذکور، فیجب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النراقی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لصدق الولیّ و اجتماع الشرائط، و لا یضرّ عدم الاجتماع حین الموت؛ لأنّا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زمان تکلیف الولیّ، بل هو زمان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تکلیفه حینئذٍ مع عدم کونه مکلّفاً سابقاً؟</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أوجب تکلیف سائر الأولیاء المکلّفین حین الموت، فإنّ غایة ما یرتکب فی الأخبار أن یقیّد الولیّ فیها بالبالغ، و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ولیّه البالغ القضاء، و هذا أیضاً ولیّ بالغ</w:t>
      </w:r>
      <w:r>
        <w:rPr>
          <w:rFonts w:eastAsia="IRNazanin" w:cs="IRNazanin"/>
          <w:color w:val="111111"/>
          <w:sz w:val="28"/>
          <w:szCs w:val="28"/>
          <w:rtl w:val="true"/>
          <w:lang w:bidi="fa-IR"/>
        </w:rPr>
        <w:t>»</w:t>
      </w:r>
      <w:r>
        <w:rPr>
          <w:rStyle w:val="FootnoteAnchor"/>
          <w:rtl w:val="true"/>
        </w:rPr>
        <w:footnoteReference w:id="3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القضاء علی من هو أولی النّاس بالمیراث کسائر التکالیف إنّما یتنجّز عند تحقّق شرائطه الّتی منها البلوغ و العقل، فإذا بلغ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تنجّز التکلیف المذکور فی حقّه لا محالة</w:t>
      </w:r>
      <w:r>
        <w:rPr>
          <w:rStyle w:val="FootnoteAnchor"/>
          <w:rtl w:val="true"/>
        </w:rPr>
        <w:footnoteReference w:id="3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ثبت أنّ الحبوة تکون لغیر البالغ، فیکون علیه القضاء لثبوت التلازم، کما فی مستند الشیعة</w:t>
      </w:r>
      <w:r>
        <w:rPr>
          <w:rStyle w:val="FootnoteAnchor"/>
          <w:rtl w:val="true"/>
        </w:rPr>
        <w:footnoteReference w:id="3066"/>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یثبت التلازم، 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الأظهر العدم؛ لإطلاق</w:t>
      </w:r>
      <w:bookmarkStart w:id="876" w:name="pg11755_255398"/>
    </w:p>
    <w:p>
      <w:pPr>
        <w:pStyle w:val="BookText"/>
        <w:rPr/>
      </w:pPr>
      <w:bookmarkEnd w:id="876"/>
      <w:r>
        <w:rPr>
          <w:rFonts w:ascii="IRNazanin" w:hAnsi="IRNazanin" w:eastAsia="IRNazanin"/>
          <w:color w:val="111111"/>
          <w:sz w:val="28"/>
          <w:sz w:val="28"/>
          <w:szCs w:val="28"/>
          <w:rtl w:val="true"/>
          <w:lang w:bidi="fa-IR"/>
        </w:rPr>
        <w:t>النصوص من الجانبین</w:t>
      </w:r>
      <w:r>
        <w:rPr>
          <w:rStyle w:val="FootnoteAnchor"/>
          <w:rtl w:val="true"/>
        </w:rPr>
        <w:footnoteReference w:id="3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اخترناه لا تلازم بینهما</w:t>
      </w:r>
      <w:r>
        <w:rPr>
          <w:rFonts w:eastAsia="IRNazanin" w:cs="IRNazanin"/>
          <w:color w:val="111111"/>
          <w:sz w:val="28"/>
          <w:szCs w:val="28"/>
          <w:rtl w:val="true"/>
          <w:lang w:bidi="fa-IR"/>
        </w:rPr>
        <w:t>»</w:t>
      </w:r>
      <w:r>
        <w:rPr>
          <w:rStyle w:val="FootnoteAnchor"/>
          <w:rtl w:val="true"/>
        </w:rPr>
        <w:footnoteReference w:id="3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المقام من صغریات الدوران بین الرجوع إلی استصحاب حکم المخصّص و الرجوع إلی العامّ، و التحقیق فی مثل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کان التخصیص فیه من أوّل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 و مقتضاه الوجوب بعد البلوغ و العقل</w:t>
      </w:r>
      <w:r>
        <w:rPr>
          <w:rFonts w:eastAsia="IRNazanin" w:cs="IRNazanin"/>
          <w:color w:val="111111"/>
          <w:sz w:val="28"/>
          <w:szCs w:val="28"/>
          <w:rtl w:val="true"/>
          <w:lang w:bidi="fa-IR"/>
        </w:rPr>
        <w:t>»</w:t>
      </w:r>
      <w:r>
        <w:rPr>
          <w:rStyle w:val="FootnoteAnchor"/>
          <w:rtl w:val="true"/>
        </w:rPr>
        <w:footnoteReference w:id="3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أنّه حسب تتبّعنا فی الکتب التی بأیدینا لم یطرح هذا البحث فی کلمات فقهاء أهل السنّة، و لم نعثر علی قول لهم فی المسألة</w:t>
      </w:r>
      <w:r>
        <w:rPr>
          <w:rFonts w:eastAsia="IRNazanin" w:cs="IRNazanin"/>
          <w:color w:val="111111"/>
          <w:sz w:val="28"/>
          <w:szCs w:val="28"/>
          <w:rtl w:val="true"/>
          <w:lang w:bidi="fa-IR"/>
        </w:rPr>
        <w:t>.</w:t>
      </w:r>
    </w:p>
    <w:p>
      <w:pPr>
        <w:pStyle w:val="Heading5"/>
        <w:numPr>
          <w:ilvl w:val="4"/>
          <w:numId w:val="1"/>
        </w:numPr>
        <w:rPr/>
      </w:pPr>
      <w:bookmarkStart w:id="877" w:name="__RefHeading___Toc9587904_73709187"/>
      <w:bookmarkStart w:id="878" w:name="_Toc326"/>
      <w:bookmarkEnd w:id="877"/>
      <w:r>
        <w:rPr>
          <w:rtl w:val="true"/>
        </w:rPr>
        <w:t>فرع</w:t>
      </w:r>
      <w:bookmarkEnd w:id="878"/>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لم یشترط بلوغه فهل یشترط انفصاله حال موت أبیه؟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صدق الولد الذکر بدونه، و من تحقّقه فی نفس الأمر</w:t>
      </w:r>
      <w:r>
        <w:rPr>
          <w:rStyle w:val="FootnoteAnchor"/>
          <w:rtl w:val="true"/>
        </w:rPr>
        <w:footnoteReference w:id="3070"/>
      </w:r>
      <w:r>
        <w:rPr>
          <w:rFonts w:ascii="IRNazanin" w:hAnsi="IRNazanin" w:eastAsia="IRNazanin"/>
          <w:color w:val="111111"/>
          <w:sz w:val="28"/>
          <w:sz w:val="28"/>
          <w:szCs w:val="28"/>
          <w:rtl w:val="true"/>
          <w:lang w:bidi="fa-IR"/>
        </w:rPr>
        <w:t>؛ لأنّ الفرض ظهوره بعد ذلک، کما لو لم یکن له ولد ظاهراً ثمّ ثبت بعد ذلک، و من ثمّ عزل له نصیبه من المیراث</w:t>
      </w:r>
      <w:r>
        <w:rPr>
          <w:rFonts w:eastAsia="IRNazanin" w:cs="IRNazanin"/>
          <w:color w:val="111111"/>
          <w:sz w:val="28"/>
          <w:szCs w:val="28"/>
          <w:rtl w:val="true"/>
          <w:lang w:bidi="fa-IR"/>
        </w:rPr>
        <w:t>»</w:t>
      </w:r>
      <w:r>
        <w:rPr>
          <w:rStyle w:val="FootnoteAnchor"/>
          <w:rtl w:val="true"/>
        </w:rPr>
        <w:footnoteReference w:id="3071"/>
      </w:r>
      <w:r>
        <w:rPr>
          <w:rFonts w:eastAsia="Times New Roman" w:cs="Times New Roman" w:ascii="Times New Roman" w:hAnsi="Times New Roman"/>
          <w:color w:val="111111"/>
          <w:sz w:val="28"/>
          <w:szCs w:val="28"/>
          <w:rtl w:val="true"/>
          <w:lang w:val="en-US" w:bidi="en-US"/>
        </w:rPr>
        <w:t>.</w:t>
      </w:r>
      <w:bookmarkStart w:id="879" w:name="pg11755_255401"/>
    </w:p>
    <w:p>
      <w:pPr>
        <w:pStyle w:val="Heading4"/>
        <w:numPr>
          <w:ilvl w:val="3"/>
          <w:numId w:val="1"/>
        </w:numPr>
        <w:rPr/>
      </w:pPr>
      <w:bookmarkStart w:id="880" w:name="__RefHeading___Toc9587906_73709187"/>
      <w:bookmarkStart w:id="881" w:name="_Toc327"/>
      <w:bookmarkEnd w:id="879"/>
      <w:bookmarkEnd w:id="880"/>
      <w:r>
        <w:rPr>
          <w:rtl w:val="true"/>
        </w:rPr>
        <w:t>المبحث الثامن</w:t>
      </w:r>
      <w:r>
        <w:rPr>
          <w:rtl w:val="true"/>
        </w:rPr>
        <w:t>:</w:t>
      </w:r>
      <w:r>
        <w:rPr>
          <w:rtl w:val="true"/>
        </w:rPr>
        <w:t>نیابة الصبیّ فی الصلاة أو الصوم</w:t>
      </w:r>
      <w:bookmarkEnd w:id="881"/>
    </w:p>
    <w:p>
      <w:pPr>
        <w:pStyle w:val="Heading5"/>
        <w:numPr>
          <w:ilvl w:val="4"/>
          <w:numId w:val="1"/>
        </w:numPr>
        <w:rPr/>
      </w:pPr>
      <w:bookmarkStart w:id="882" w:name="__RefHeading___Toc9587908_73709187"/>
      <w:bookmarkStart w:id="883" w:name="_Toc328"/>
      <w:bookmarkEnd w:id="882"/>
      <w:r>
        <w:rPr>
          <w:rtl w:val="true"/>
        </w:rPr>
        <w:t>اشارة</w:t>
      </w:r>
      <w:bookmarkEnd w:id="883"/>
    </w:p>
    <w:p>
      <w:pPr>
        <w:pStyle w:val="BookText"/>
        <w:rPr/>
      </w:pPr>
      <w:r>
        <w:rPr>
          <w:rFonts w:ascii="IRNazanin" w:hAnsi="IRNazanin" w:eastAsia="IRNazanin"/>
          <w:color w:val="111111"/>
          <w:sz w:val="28"/>
          <w:sz w:val="28"/>
          <w:szCs w:val="28"/>
          <w:rtl w:val="true"/>
          <w:lang w:bidi="fa-IR"/>
        </w:rPr>
        <w:t>هل یصحّ استیجار الصبیّ الممیّز بإذن ولیّه لقضاء الصلوات التی فاتت عن المیّت أم لا؟ فی المسألة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مطلقاً، أی حتّی بناء علی تمرینیّة عباداته و عدم الأمر بها، احتمله المحقّق النراقی،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یجوز استیجار الممیّز من الصبیان بإذن ولیّه؟ مقتضی الأصل ذلک، و لا تمنع عنه تمرینیّة عبادة نفسه؛ لأنّ الصلاة نیابة و لیست عبادة</w:t>
      </w:r>
      <w:r>
        <w:rPr>
          <w:rStyle w:val="FootnoteAnchor"/>
          <w:rtl w:val="true"/>
        </w:rPr>
        <w:footnoteReference w:id="3072"/>
      </w:r>
      <w:r>
        <w:rPr>
          <w:rFonts w:ascii="IRNazanin" w:hAnsi="IRNazanin" w:eastAsia="IRNazanin"/>
          <w:color w:val="111111"/>
          <w:sz w:val="28"/>
          <w:sz w:val="28"/>
          <w:szCs w:val="28"/>
          <w:rtl w:val="true"/>
          <w:lang w:bidi="fa-IR"/>
        </w:rPr>
        <w:t>للنائب حقیقة</w:t>
      </w:r>
      <w:r>
        <w:rPr>
          <w:rFonts w:eastAsia="IRNazanin" w:cs="IRNazanin"/>
          <w:color w:val="111111"/>
          <w:sz w:val="28"/>
          <w:szCs w:val="28"/>
          <w:rtl w:val="true"/>
          <w:lang w:bidi="fa-IR"/>
        </w:rPr>
        <w:t>»</w:t>
      </w:r>
      <w:r>
        <w:rPr>
          <w:rStyle w:val="FootnoteAnchor"/>
          <w:rtl w:val="true"/>
        </w:rPr>
        <w:footnoteReference w:id="3073"/>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القول بجواز استئجاره و إن قلنا بکون عباداته تمرینیّة</w:t>
      </w:r>
      <w:r>
        <w:rPr>
          <w:rStyle w:val="FootnoteAnchor"/>
          <w:rtl w:val="true"/>
        </w:rPr>
        <w:footnoteReference w:id="3074"/>
      </w:r>
      <w:r>
        <w:rPr>
          <w:rFonts w:ascii="IRNazanin" w:hAnsi="IRNazanin" w:eastAsia="IRNazanin"/>
          <w:color w:val="111111"/>
          <w:sz w:val="28"/>
          <w:sz w:val="28"/>
          <w:szCs w:val="28"/>
          <w:rtl w:val="true"/>
          <w:lang w:bidi="fa-IR"/>
        </w:rPr>
        <w:t>، سواء کانت شرعیّة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غیر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ذلک لا یقدح فی صحّة النیابة عن الغیر، کنیابة غیر المستطیع عن المستطیع فی حجّة الإسلام،</w:t>
      </w:r>
    </w:p>
    <w:p>
      <w:pPr>
        <w:pStyle w:val="BookText"/>
        <w:rPr/>
      </w:pPr>
      <w:r>
        <w:rPr>
          <w:rFonts w:ascii="IRNazanin" w:hAnsi="IRNazanin" w:eastAsia="IRNazanin"/>
          <w:color w:val="111111"/>
          <w:sz w:val="28"/>
          <w:sz w:val="28"/>
          <w:szCs w:val="28"/>
          <w:rtl w:val="true"/>
          <w:lang w:bidi="fa-IR"/>
        </w:rPr>
        <w:t>فإنّ عدم مشروعیّة الفعل فی حقّ النائب لا یمنع من صحّة نیابته عن غیره المشروع فی حقّه الفعل؛ لأنّ النائب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یفعل بقصد امتثال أمر المنوب عنه لا غیر</w:t>
      </w:r>
      <w:r>
        <w:rPr>
          <w:rFonts w:eastAsia="IRNazanin" w:cs="IRNazanin"/>
          <w:color w:val="111111"/>
          <w:sz w:val="28"/>
          <w:szCs w:val="28"/>
          <w:rtl w:val="true"/>
          <w:lang w:bidi="fa-IR"/>
        </w:rPr>
        <w:t>»</w:t>
      </w:r>
      <w:r>
        <w:rPr>
          <w:rStyle w:val="FootnoteAnchor"/>
          <w:rtl w:val="true"/>
        </w:rPr>
        <w:footnoteReference w:id="3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التمرینیّة و عدم المشروعیّة لم یتوجّه الأمر إلی الصبیّ، فکیف یتّصف العمل المأتی به بالعبادیّة الموقوفة علی ثبوت الأمر؟ فلا یوجب تفریغ ذمّة المنوب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قیاسه بالحجّ عجیب، فإنّ غیر المستطیع و إن لم یتوجّه إلیه الأمر بالحجّ، لکنّ الأمر بالنیابة عن الغیر فی الحجّ یشمله، بخلاف الصبیّ المفروض عدم تعلّق الأمر به، و کم فرق بینهما؟ و المدار فی صحّة النیابة تعلّق الأمر بنفس النیابة، دون نفس العمل، و أنّ النائب إنّما یقصد امتثال هذا الأمر المتعلّق به، و هو المصحّح للنیابة و اتّصاف العمل بالعبادیّة، دون الأمر المتوجّه إلی المنوب عنه، حیث تختصّ داعویّته بالمنوب عنه المفروض سقوطه بموته، فلا ربط له بالنائب</w:t>
      </w:r>
      <w:r>
        <w:rPr>
          <w:rFonts w:eastAsia="IRNazanin" w:cs="IRNazanin"/>
          <w:color w:val="111111"/>
          <w:sz w:val="28"/>
          <w:szCs w:val="28"/>
          <w:rtl w:val="true"/>
          <w:lang w:bidi="fa-IR"/>
        </w:rPr>
        <w:t>»</w:t>
      </w:r>
      <w:r>
        <w:rPr>
          <w:rStyle w:val="FootnoteAnchor"/>
          <w:rtl w:val="true"/>
        </w:rPr>
        <w:footnoteReference w:id="3076"/>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الصحّة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إلیه السیّد الخوئی رحمه الله و علّله بأنّ العبادات توقیفیّة یحتاج الحکم بمشروعیّتها إلی الأمر، و لم یثبت ذلک فی حقّ الصبیّ إلّا فی خصوص عباداته الأصلیّة دون النیابیّة، فلا یصحّ استئجاره، کما لا یکتفی بما یأتی به تبرّعاً و إن کان صحیحاً فی نفسه؛ للشکّ فی فراغ ذمّة المیّت بذلک، و مقتضی إطلاق دلیل وجوب التفریغ المتوجّه إلی الولیّ أو الوصی عدم الاکتفاء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الغضّ عن الإطلاق فمقتضی الأصل العملی هو الاشتغال دون البراءة؛ للشکّ فی تحقّق الفراغ و الامتثال بعد العلم بالتکلیف</w:t>
      </w:r>
      <w:r>
        <w:rPr>
          <w:rStyle w:val="FootnoteAnchor"/>
          <w:rtl w:val="true"/>
        </w:rPr>
        <w:footnoteReference w:id="3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ملخّص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مشروعیّة عبادات الصبیّ منصرفة إلی أعمال نفسه و لا تشمل العمل النیابی، و علیه لا یترتّب أثر علی ما یأتی به نیابة، أعمّ من أن یکون بنحو الإجارة أو بنحو التبرّع؛ لعدم الدلیل علی المشروعیّة، و مع الشکّ و عدم الدلیل یکون مقتضی القاعدة عدم فراغ ذمّة المنوب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فی مدارک العروة</w:t>
      </w:r>
      <w:r>
        <w:rPr>
          <w:rStyle w:val="FootnoteAnchor"/>
          <w:rtl w:val="true"/>
        </w:rPr>
        <w:footnoteReference w:id="3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أنّه لا ینحصر دلیل مشروعیّة عبادات الصبیّ بما ورد عنهم علیهم السلام من أمر الأولیاء بأمر الصبیان بالصلاة و الصوم، حتّی یقال بعدم الإطلاق فیها بالإضافة إلی ما ینوب فیهما عن غیره، بل إطلاقات الأدلّة العامّة یشمل الصبیّ، و یستفاد من بعض الأدلّة بخصوصها مشروعیّة عبادات الصبیّ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یکون الصبیّ مکلّفاً بتکالیف استحبابیّة، و تتوجّه إلیه الأوامر الندبیّة، 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أدلّة النیابة عن الصبیّ و عدم ترتّب الأثر علیه ممنوع، بل الظاهر أنّ أدلّة النیابة عامّة تشمل الصبیّ، و حینئذٍ لا یبقی شکّ فی تفریغ ذمّة المنوب عنه</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منشأ الإشکال فی عموم أدلّة تشریع النیابة للصبیّ کالبالغ؛ إذ لو فرض شرعیّة عباداته و کانت أدلّة النیابة قاصرة</w:t>
      </w:r>
      <w:bookmarkStart w:id="884" w:name="pg11755_255407"/>
    </w:p>
    <w:p>
      <w:pPr>
        <w:pStyle w:val="BookText"/>
        <w:rPr/>
      </w:pPr>
      <w:bookmarkEnd w:id="884"/>
      <w:r>
        <w:rPr>
          <w:rFonts w:ascii="IRNazanin" w:hAnsi="IRNazanin" w:eastAsia="IRNazanin"/>
          <w:color w:val="111111"/>
          <w:sz w:val="28"/>
          <w:sz w:val="28"/>
          <w:szCs w:val="28"/>
          <w:rtl w:val="true"/>
          <w:lang w:bidi="fa-IR"/>
        </w:rPr>
        <w:t>عن شموله لم تصحّ نیابته و لا یترتّب علیها فراغ ذمّة المیّت، لکنّ الظاهر عمومها له</w:t>
      </w:r>
      <w:r>
        <w:rPr>
          <w:rFonts w:eastAsia="IRNazanin" w:cs="IRNazanin"/>
          <w:color w:val="111111"/>
          <w:sz w:val="28"/>
          <w:szCs w:val="28"/>
          <w:rtl w:val="true"/>
          <w:lang w:bidi="fa-IR"/>
        </w:rPr>
        <w:t>»</w:t>
      </w:r>
      <w:r>
        <w:rPr>
          <w:rStyle w:val="FootnoteAnchor"/>
          <w:rtl w:val="true"/>
        </w:rPr>
        <w:footnoteReference w:id="3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الانصراف ممنوع بالنسبة إلی من أتی بالعمل صحیحاً، فلا تجری قاعدة الاشتغال حینئذٍ</w:t>
      </w:r>
      <w:r>
        <w:rPr>
          <w:rFonts w:eastAsia="IRNazanin" w:cs="IRNazanin"/>
          <w:color w:val="111111"/>
          <w:sz w:val="28"/>
          <w:szCs w:val="28"/>
          <w:rtl w:val="true"/>
          <w:lang w:bidi="fa-IR"/>
        </w:rPr>
        <w:t>»</w:t>
      </w:r>
      <w:r>
        <w:rPr>
          <w:rStyle w:val="FootnoteAnchor"/>
          <w:rtl w:val="true"/>
        </w:rPr>
        <w:footnoteReference w:id="3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حدیث رفع القلم لا یشمل المستحبّات، فالتبرّع عن الغیر مستحبّ حتّی بالنسبة إلی الصبیّ، فیجوز إجارته للنیابة، و کیف یمکن أن نقول عبادات الصبیّ مشروعة و مستحبّة و لکن لا تکون نیابته مستحبّة، و المستدلّ رحمه الله قد صرّح بأنّ نیابته مشروعة و لکن لا یکتفی بها</w:t>
      </w:r>
      <w:r>
        <w:rPr>
          <w:rStyle w:val="FootnoteAnchor"/>
          <w:rtl w:val="true"/>
        </w:rPr>
        <w:footnoteReference w:id="308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مرجع کلامه إلی التهافت</w:t>
      </w:r>
      <w:r>
        <w:rPr>
          <w:rFonts w:eastAsia="IRNazanin" w:cs="IRNazanin"/>
          <w:color w:val="111111"/>
          <w:sz w:val="28"/>
          <w:szCs w:val="28"/>
          <w:rtl w:val="true"/>
          <w:lang w:bidi="fa-IR"/>
        </w:rPr>
        <w:t>.</w:t>
      </w:r>
    </w:p>
    <w:p>
      <w:pPr>
        <w:pStyle w:val="Heading5"/>
        <w:numPr>
          <w:ilvl w:val="4"/>
          <w:numId w:val="1"/>
        </w:numPr>
        <w:rPr/>
      </w:pPr>
      <w:bookmarkStart w:id="885" w:name="__RefHeading___Toc9587910_73709187"/>
      <w:bookmarkStart w:id="886" w:name="_Toc329"/>
      <w:bookmarkEnd w:id="885"/>
      <w:r>
        <w:rPr>
          <w:rtl w:val="true"/>
        </w:rPr>
        <w:t>صحّتها علی القول بمشروعیّة عباداته</w:t>
      </w:r>
      <w:bookmarkEnd w:id="886"/>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المسألة، و هو ما اختاره غیر واحد من الفقهاء، من أنّه تصحّ نیابة الصبیّ علی القول بالمشروعیّة</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المراغی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جواز نیابة الصبیّ عن میّت أو حیّ بأُجرة أو بدونها، فعلی القول بالتمرین الصرف واضح الفساد؛ لعدم کونه قابلاً للنیابة، و عدم وجود الفائدة الموجبة للصحّة، و علی القول بالشرعیّة فهی جائزة کالبالغ، من دون فرق، فیکون نائباً، و یکون منوب</w:t>
      </w:r>
    </w:p>
    <w:p>
      <w:pPr>
        <w:pStyle w:val="BookText"/>
        <w:rPr/>
      </w:pPr>
      <w:r>
        <w:rPr>
          <w:rFonts w:ascii="Amiri" w:hAnsi="Amiri" w:eastAsia="Amiri" w:cs="Amiri"/>
          <w:color w:val="111111"/>
          <w:sz w:val="28"/>
          <w:sz w:val="28"/>
          <w:szCs w:val="28"/>
          <w:rtl w:val="true"/>
          <w:lang w:bidi="ar-SA"/>
        </w:rPr>
        <w:t>عنه أیضاً</w:t>
      </w:r>
      <w:r>
        <w:rPr>
          <w:rFonts w:eastAsia="Amiri" w:cs="Amiri" w:ascii="Amiri" w:hAnsi="Amiri"/>
          <w:color w:val="111111"/>
          <w:sz w:val="28"/>
          <w:szCs w:val="28"/>
          <w:rtl w:val="true"/>
          <w:lang w:bidi="ar-SA"/>
        </w:rPr>
        <w:t>»</w:t>
      </w:r>
      <w:r>
        <w:rPr>
          <w:rStyle w:val="FootnoteAnchor"/>
          <w:rtl w:val="true"/>
        </w:rPr>
        <w:footnoteReference w:id="3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قوّاه المحقّق البجنوردی، و 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الأحوط ترکها</w:t>
      </w:r>
      <w:r>
        <w:rPr>
          <w:rFonts w:eastAsia="IRNazanin" w:cs="IRNazanin"/>
          <w:color w:val="111111"/>
          <w:sz w:val="28"/>
          <w:szCs w:val="28"/>
          <w:rtl w:val="true"/>
          <w:lang w:bidi="fa-IR"/>
        </w:rPr>
        <w:t>»</w:t>
      </w:r>
      <w:r>
        <w:rPr>
          <w:rStyle w:val="FootnoteAnchor"/>
          <w:rtl w:val="true"/>
        </w:rPr>
        <w:footnoteReference w:id="3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فی العروة، إلّا أنه قیّد کفایة استئجار غیر البالغ بالعلم بإتیان العمل علی الوجه الصحیح، و کذا فی تبرّعه</w:t>
      </w:r>
      <w:r>
        <w:rPr>
          <w:rStyle w:val="FootnoteAnchor"/>
          <w:rtl w:val="true"/>
        </w:rPr>
        <w:footnoteReference w:id="3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مهذّب الأحکام</w:t>
      </w:r>
      <w:r>
        <w:rPr>
          <w:rStyle w:val="FootnoteAnchor"/>
          <w:rtl w:val="true"/>
        </w:rPr>
        <w:footnoteReference w:id="3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یعتبر فی الأجیر البلوغ، فلا یصحّ استئجار الصبیّ الممیّز و نیابته و إن علم إتیانه علی الوجه الصحیح؟ لا یبعد عدمه و إن کان الأحوط اعتباره</w:t>
      </w:r>
      <w:r>
        <w:rPr>
          <w:rFonts w:eastAsia="IRNazanin" w:cs="IRNazanin"/>
          <w:color w:val="111111"/>
          <w:sz w:val="28"/>
          <w:szCs w:val="28"/>
          <w:rtl w:val="true"/>
          <w:lang w:bidi="fa-IR"/>
        </w:rPr>
        <w:t>»</w:t>
      </w:r>
      <w:r>
        <w:rPr>
          <w:rStyle w:val="FootnoteAnchor"/>
          <w:rtl w:val="true"/>
        </w:rPr>
        <w:footnoteReference w:id="3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الوسیلة</w:t>
      </w:r>
      <w:r>
        <w:rPr>
          <w:rStyle w:val="FootnoteAnchor"/>
          <w:rtl w:val="true"/>
        </w:rPr>
        <w:footnoteReference w:id="3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الفاضل 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المشروعیّة لا مانع من استیجاره للعبادة، فیأتی بها نیابة عن الحیّ، کما فی باب الحجّ أو المیّت، کما فی مثل الصلاة و الصیام، فإنّه بناء علیه یکون عمله قابلاً لتحقّق الاستیجار علیه، و شخصه صالحاً لأن یکون نائباً فی العبادة</w:t>
      </w:r>
      <w:r>
        <w:rPr>
          <w:rFonts w:eastAsia="IRNazanin" w:cs="IRNazanin"/>
          <w:color w:val="111111"/>
          <w:sz w:val="28"/>
          <w:szCs w:val="28"/>
          <w:rtl w:val="true"/>
          <w:lang w:bidi="fa-IR"/>
        </w:rPr>
        <w:t>»</w:t>
      </w:r>
      <w:r>
        <w:rPr>
          <w:rStyle w:val="FootnoteAnchor"/>
          <w:rtl w:val="true"/>
        </w:rPr>
        <w:footnoteReference w:id="3088"/>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هذا القول أوفق بالقواعد؛ لأنّه علی القول بمشروعیّة عبادات الصبیّ و صحّتها یتوجّه الأمر الندبی إلیه، و تکون عباداته ذات مصلحة و ملاک تامّ کالبالغین، و إنّما ارتفع اللزوم بمقتضی حدیث الرفع</w:t>
      </w:r>
      <w:r>
        <w:rPr>
          <w:rStyle w:val="FootnoteAnchor"/>
          <w:rtl w:val="true"/>
        </w:rPr>
        <w:footnoteReference w:id="3089"/>
      </w:r>
      <w:r>
        <w:rPr>
          <w:rFonts w:ascii="Amiri" w:hAnsi="Amiri" w:eastAsia="Amiri" w:cs="Amiri"/>
          <w:color w:val="111111"/>
          <w:sz w:val="28"/>
          <w:sz w:val="28"/>
          <w:szCs w:val="28"/>
          <w:rtl w:val="true"/>
          <w:lang w:bidi="ar-SA"/>
        </w:rPr>
        <w:t>إرفاقاً و رأفة بهم،</w:t>
      </w:r>
    </w:p>
    <w:p>
      <w:pPr>
        <w:pStyle w:val="BookText"/>
        <w:rPr/>
      </w:pPr>
      <w:r>
        <w:rPr>
          <w:rFonts w:ascii="IRNazanin" w:hAnsi="IRNazanin" w:eastAsia="IRNazanin"/>
          <w:color w:val="111111"/>
          <w:sz w:val="28"/>
          <w:sz w:val="28"/>
          <w:szCs w:val="28"/>
          <w:rtl w:val="true"/>
          <w:lang w:bidi="fa-IR"/>
        </w:rPr>
        <w:t>فیشمله عموم دلیل الإجارة و النیابة، مثل ما رواه محمّد بن مسلم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عن المیّت الحجّ و الصوم و العتق و فعاله الحسن</w:t>
      </w:r>
      <w:r>
        <w:rPr>
          <w:rFonts w:eastAsia="IRNazanin" w:cs="IRNazanin"/>
          <w:color w:val="111111"/>
          <w:sz w:val="28"/>
          <w:szCs w:val="28"/>
          <w:rtl w:val="true"/>
          <w:lang w:bidi="fa-IR"/>
        </w:rPr>
        <w:t>»</w:t>
      </w:r>
      <w:r>
        <w:rPr>
          <w:rStyle w:val="FootnoteAnchor"/>
          <w:rtl w:val="true"/>
        </w:rPr>
        <w:footnoteReference w:id="3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من المؤمنین عن میّت عملاً صالحاً أضعف اللّه أجره، و ینعم بذلک المیّت</w:t>
      </w:r>
      <w:r>
        <w:rPr>
          <w:rFonts w:eastAsia="IRNazanin" w:cs="IRNazanin"/>
          <w:color w:val="111111"/>
          <w:sz w:val="28"/>
          <w:szCs w:val="28"/>
          <w:rtl w:val="true"/>
          <w:lang w:bidi="fa-IR"/>
        </w:rPr>
        <w:t>»</w:t>
      </w:r>
      <w:r>
        <w:rPr>
          <w:rStyle w:val="FootnoteAnchor"/>
          <w:rtl w:val="true"/>
        </w:rPr>
        <w:footnoteReference w:id="3091"/>
      </w:r>
      <w:r>
        <w:rPr>
          <w:rFonts w:ascii="IRNazanin" w:hAnsi="IRNazanin" w:eastAsia="IRNazanin"/>
          <w:color w:val="111111"/>
          <w:sz w:val="28"/>
          <w:sz w:val="28"/>
          <w:szCs w:val="28"/>
          <w:rtl w:val="true"/>
          <w:lang w:bidi="fa-IR"/>
        </w:rPr>
        <w:t>، و مثله ما رواه حمّاد بن عثمان عنه علیه السلام</w:t>
      </w:r>
      <w:r>
        <w:rPr>
          <w:rStyle w:val="FootnoteAnchor"/>
          <w:rtl w:val="true"/>
        </w:rPr>
        <w:footnoteReference w:id="3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من المؤمنین عن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الصبیّ الممیّز، و لیس فی المقام دلیل علی النهی من ذلک من نصّ أو 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 کلّما جاز الصلاة و الصوم عن المیّت جاز الاستیجار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الاستئجار علی فعل الصلاة الواجبة بعد الوفاة مبنیّة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 عن المیّت، و هذه إجماعیّة، و الأخبار الصحیحة ناطقة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جازت الصلاة عن المیّت جاز الاستیجار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المقدّمة داخلة فی عموم الاستیجار علی الأعمال المباحة الّتی یمکن أن تقع للمستأجر، و لا یخالف فیها أحد من الإمامیّة</w:t>
      </w:r>
      <w:r>
        <w:rPr>
          <w:rFonts w:eastAsia="IRNazanin" w:cs="IRNazanin"/>
          <w:color w:val="111111"/>
          <w:sz w:val="28"/>
          <w:szCs w:val="28"/>
          <w:rtl w:val="true"/>
          <w:lang w:bidi="fa-IR"/>
        </w:rPr>
        <w:t>»</w:t>
      </w:r>
      <w:r>
        <w:rPr>
          <w:rStyle w:val="FootnoteAnchor"/>
          <w:rtl w:val="true"/>
        </w:rPr>
        <w:footnoteReference w:id="3093"/>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لذلک قال المحقّق البجنوردی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یصحّ للصبیّ الممیّز أن ینوب عن المیّت، و یأتی بما علی عهدته، و یفرغ ما فی ذمّته؛ لأنّه لا خلل و لا نقصان</w:t>
      </w:r>
    </w:p>
    <w:p>
      <w:pPr>
        <w:pStyle w:val="BookText"/>
        <w:rPr/>
      </w:pPr>
      <w:r>
        <w:rPr>
          <w:rFonts w:ascii="IRNazanin" w:hAnsi="IRNazanin" w:eastAsia="IRNazanin"/>
          <w:color w:val="111111"/>
          <w:sz w:val="28"/>
          <w:sz w:val="28"/>
          <w:szCs w:val="28"/>
          <w:rtl w:val="true"/>
          <w:lang w:bidi="fa-IR"/>
        </w:rPr>
        <w:t>فی فعله، فعدم الجواز و عدم الإجزاء لا یبقی له مجال، و لو کان له دلیل علی اشتراط البلوغ فی صحّة عبادة لکان تعبّداً یجب الالتزام به، و لکنّه لیس فی البین</w:t>
      </w:r>
      <w:r>
        <w:rPr>
          <w:rFonts w:eastAsia="IRNazanin" w:cs="IRNazanin"/>
          <w:color w:val="111111"/>
          <w:sz w:val="28"/>
          <w:szCs w:val="28"/>
          <w:rtl w:val="true"/>
          <w:lang w:bidi="fa-IR"/>
        </w:rPr>
        <w:t>»</w:t>
      </w:r>
      <w:r>
        <w:rPr>
          <w:rStyle w:val="FootnoteAnchor"/>
          <w:rtl w:val="true"/>
        </w:rPr>
        <w:footnoteReference w:id="3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الفاضل اللنکرانی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الصبیّ علی القول بمشروعیّتها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متّصفة بالصحّة لاحتوائها جمیع الشرائط المعتبرة فیها، فیجوز أن تقع نیابة عن الغیر حیّاً کان أو میّتاً، و سواء کان فی مقابل الاُجرة أو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بعدم صحّة نیابته لم یعرف له وجه وجیه، بعد عدم ورود دلیل خاصّ فی المسألة</w:t>
      </w:r>
      <w:r>
        <w:rPr>
          <w:rFonts w:eastAsia="IRNazanin" w:cs="IRNazanin"/>
          <w:color w:val="111111"/>
          <w:sz w:val="28"/>
          <w:szCs w:val="28"/>
          <w:rtl w:val="true"/>
          <w:lang w:bidi="fa-IR"/>
        </w:rPr>
        <w:t>»</w:t>
      </w:r>
      <w:r>
        <w:rPr>
          <w:rStyle w:val="FootnoteAnchor"/>
          <w:rtl w:val="true"/>
        </w:rPr>
        <w:footnoteReference w:id="3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عدالة النائب شرط فی صحّة النیابة، و الصبیّ لیس عادلاً، مضافاً إلی أنّه من أجل عدم تکلیفه و علمه بعدم المؤاخذة یمکن أن یترک بعض الأجزاء و الشرائط و یأتی بالموانع و القواطع، فلا تکون صلاته خالیة من الخلل و النقصان، فلا یحصل العلم بفراغ ذمّة المیّت بفعل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أنّه لا دلیل علی اشتراط عدالة النائب من حیث هو، بحیث لو صلّی غیر العادل أو صام کانت صلاته باطلة و کذا صومه، فمقتضی الأصل عدم اشتراطها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أن یکون الأجیر موثوقاً به، و هذا یحصل فی الصبیّ الممیّز</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مفروض البحث فی الحکم بالصحّة فی مورد کان کذلک، و حصل الوثوق بفعل الصبیّ، ما هو شرط فی الصلاة صحیحاً، و لکن مع ذلک کلّه یلزم أن لا یترک الاحتیاط فی ترک استیجار الصبیّ؛ خروجاً عن مخالفة جمع کثیر من أعاظم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زیادة توضیح فی مسألة</w:t>
      </w:r>
      <w:bookmarkStart w:id="887" w:name="pg11755_255416"/>
    </w:p>
    <w:p>
      <w:pPr>
        <w:pStyle w:val="BookText"/>
        <w:rPr/>
      </w:pPr>
      <w:bookmarkEnd w:id="887"/>
      <w:r>
        <w:rPr>
          <w:rFonts w:ascii="Amiri" w:hAnsi="Amiri" w:eastAsia="Amiri" w:cs="Amiri"/>
          <w:color w:val="111111"/>
          <w:sz w:val="28"/>
          <w:sz w:val="28"/>
          <w:szCs w:val="28"/>
          <w:rtl w:val="true"/>
          <w:lang w:bidi="ar-SA"/>
        </w:rPr>
        <w:t>نیابة الصبیّ فی الحجّ إن شاء اللّه</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9587912_73709187"/>
      <w:bookmarkStart w:id="889" w:name="_Toc330"/>
      <w:bookmarkEnd w:id="888"/>
      <w:r>
        <w:rPr>
          <w:rtl w:val="true"/>
        </w:rPr>
        <w:t>رأی أهل السنّة فی المسألة</w:t>
      </w:r>
      <w:bookmarkEnd w:id="889"/>
    </w:p>
    <w:p>
      <w:pPr>
        <w:pStyle w:val="BookText"/>
        <w:rPr/>
      </w:pPr>
      <w:r>
        <w:rPr>
          <w:rFonts w:ascii="IRNazanin" w:hAnsi="IRNazanin" w:eastAsia="IRNazanin"/>
          <w:color w:val="111111"/>
          <w:sz w:val="28"/>
          <w:sz w:val="28"/>
          <w:szCs w:val="28"/>
          <w:rtl w:val="true"/>
          <w:lang w:bidi="fa-IR"/>
        </w:rPr>
        <w:t>اعلم أنّ هذه المسألة ممّا انفردت به الإمامیّة، قال العلّامة فی التذکرة فی البحث عمّا یصحّ فیه النیابة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الواجبة لا تصحّ فیها النیابة ما دام حیّاً، فإذا مات جاز الاستنابة فیها، کالحجّ عند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الجمهور من الاستنابة فی الصلاة إلّا صلاة رکعتی الطواف</w:t>
      </w:r>
      <w:r>
        <w:rPr>
          <w:rFonts w:eastAsia="IRNazanin" w:cs="IRNazanin"/>
          <w:color w:val="111111"/>
          <w:sz w:val="28"/>
          <w:szCs w:val="28"/>
          <w:rtl w:val="true"/>
          <w:lang w:bidi="fa-IR"/>
        </w:rPr>
        <w:t>»</w:t>
      </w:r>
      <w:r>
        <w:rPr>
          <w:rStyle w:val="FootnoteAnchor"/>
          <w:rtl w:val="true"/>
        </w:rPr>
        <w:footnoteReference w:id="3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المغنی و الشرح الکبیر،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العبادات فما کان منها له تعلّق بالمال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کالزکاة و 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التوکیل فی 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العبادات البدنیّة المحضة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و الصیام و الطّهارة من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التوکیل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فی الصلاة إلّا فی رکعتی الطواف تبعاً للحجّ</w:t>
      </w:r>
      <w:r>
        <w:rPr>
          <w:rFonts w:eastAsia="IRNazanin" w:cs="IRNazanin"/>
          <w:color w:val="111111"/>
          <w:sz w:val="28"/>
          <w:szCs w:val="28"/>
          <w:rtl w:val="true"/>
          <w:lang w:bidi="fa-IR"/>
        </w:rPr>
        <w:t>»</w:t>
      </w:r>
      <w:r>
        <w:rPr>
          <w:rStyle w:val="FootnoteAnchor"/>
          <w:rtl w:val="true"/>
        </w:rPr>
        <w:footnoteReference w:id="3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الإنصاف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العبادات البدنیّة المحضة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و الصوم و الطهارة من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التوکیل فیها إلّا الصوم المنذور یفعل عن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بوکالة</w:t>
      </w:r>
      <w:r>
        <w:rPr>
          <w:rFonts w:eastAsia="IRNazanin" w:cs="IRNazanin"/>
          <w:color w:val="111111"/>
          <w:sz w:val="28"/>
          <w:szCs w:val="28"/>
          <w:rtl w:val="true"/>
          <w:lang w:bidi="fa-IR"/>
        </w:rPr>
        <w:t>»</w:t>
      </w:r>
      <w:r>
        <w:rPr>
          <w:rStyle w:val="FootnoteAnchor"/>
          <w:rtl w:val="true"/>
        </w:rPr>
        <w:footnoteReference w:id="3098"/>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صرّح الجزیری بأنّ اصول مذهب الحنفیّة و المالکیّة تقتضی أنّ الإجارة علی الطاعات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و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صحیحة؛ لأنّ کلّ طاعة یختصّ بها المسلم لا یصحّ الاستیجار علیها</w:t>
      </w:r>
      <w:r>
        <w:rPr>
          <w:rStyle w:val="FootnoteAnchor"/>
          <w:rtl w:val="true"/>
        </w:rPr>
        <w:footnoteReference w:id="3099"/>
      </w:r>
      <w:r>
        <w:rPr>
          <w:rFonts w:eastAsia="Times New Roman" w:cs="Times New Roman" w:ascii="Times New Roman" w:hAnsi="Times New Roman"/>
          <w:color w:val="111111"/>
          <w:sz w:val="28"/>
          <w:szCs w:val="28"/>
          <w:rtl w:val="true"/>
          <w:lang w:val="en-US" w:bidi="en-US"/>
        </w:rPr>
        <w:t>.</w:t>
      </w:r>
      <w:bookmarkStart w:id="890" w:name="pg11755_255418"/>
    </w:p>
    <w:p>
      <w:pPr>
        <w:pStyle w:val="Heading5"/>
        <w:numPr>
          <w:ilvl w:val="4"/>
          <w:numId w:val="1"/>
        </w:numPr>
        <w:rPr/>
      </w:pPr>
      <w:bookmarkStart w:id="891" w:name="__RefHeading___Toc9587914_73709187"/>
      <w:bookmarkStart w:id="892" w:name="_Toc331"/>
      <w:bookmarkEnd w:id="890"/>
      <w:bookmarkEnd w:id="891"/>
      <w:r>
        <w:rPr>
          <w:rtl w:val="true"/>
        </w:rPr>
        <w:t>فرع</w:t>
      </w:r>
      <w:r>
        <w:rPr>
          <w:rtl w:val="true"/>
        </w:rPr>
        <w:t xml:space="preserve">: </w:t>
      </w:r>
      <w:r>
        <w:rPr>
          <w:rtl w:val="true"/>
        </w:rPr>
        <w:t>فی استحباب تطوّع الصبیّ بالصلاة و الصوم</w:t>
      </w:r>
      <w:bookmarkEnd w:id="892"/>
    </w:p>
    <w:p>
      <w:pPr>
        <w:pStyle w:val="BookText"/>
        <w:rPr/>
      </w:pPr>
      <w:r>
        <w:rPr>
          <w:rFonts w:ascii="IRNazanin" w:hAnsi="IRNazanin" w:eastAsia="IRNazanin"/>
          <w:color w:val="111111"/>
          <w:sz w:val="28"/>
          <w:sz w:val="28"/>
          <w:szCs w:val="28"/>
          <w:rtl w:val="true"/>
          <w:lang w:bidi="fa-IR"/>
        </w:rPr>
        <w:t>یستحبّ للصبیّ الممیّز أن یتطوّع بالصلاة و الصوم و الصدقة و جمیع العبادات لأبویه و غیرهما، أحیاءً کانوا أم أمواتاً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إطلاق النصوص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مروان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یمنع الرجل منکم أن یبرّ والدیه حیّین و میّتین، یصلّی عنهما، و یتصدّق عنهما، و یحجّ عنهما، و یصوم عنهما، فیکون الذی صنع لهما، و له مثل ذلک، فیزیده اللّه عزّ و جلّ ببرّه وصلته خیراً کثیراً</w:t>
      </w:r>
      <w:r>
        <w:rPr>
          <w:rFonts w:eastAsia="IRNazanin" w:cs="IRNazanin"/>
          <w:color w:val="111111"/>
          <w:sz w:val="28"/>
          <w:szCs w:val="28"/>
          <w:rtl w:val="true"/>
          <w:lang w:bidi="fa-IR"/>
        </w:rPr>
        <w:t>»</w:t>
      </w:r>
      <w:r>
        <w:rPr>
          <w:rStyle w:val="FootnoteAnchor"/>
          <w:rtl w:val="true"/>
        </w:rPr>
        <w:footnoteReference w:id="3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یصلّی عن المیّت؟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حتّی أنّه یکون فی ضیق، فیوسّع علیه ذلک الضیّق، ثمّ یؤتی،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خفف عنک هذا الضیق بصلاة فلان أخیک</w:t>
      </w:r>
      <w:r>
        <w:rPr>
          <w:rFonts w:eastAsia="IRNazanin" w:cs="IRNazanin"/>
          <w:color w:val="111111"/>
          <w:sz w:val="28"/>
          <w:szCs w:val="28"/>
          <w:rtl w:val="true"/>
          <w:lang w:bidi="fa-IR"/>
        </w:rPr>
        <w:t>»</w:t>
      </w:r>
      <w:r>
        <w:rPr>
          <w:rStyle w:val="FootnoteAnchor"/>
          <w:rtl w:val="true"/>
        </w:rPr>
        <w:footnoteReference w:id="3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هشام بن سالم فی أصله، و هو من رجال الصادق و الکاظم علیهما السلام، قال هشام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 إلی المیّت الدعاء و الصدقة و الصوم و نحوها؟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یعلم من یصنع ذلک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مسخوطاً علیه فرضی عنه</w:t>
      </w:r>
      <w:r>
        <w:rPr>
          <w:rFonts w:eastAsia="IRNazanin" w:cs="IRNazanin"/>
          <w:color w:val="111111"/>
          <w:sz w:val="28"/>
          <w:szCs w:val="28"/>
          <w:rtl w:val="true"/>
          <w:lang w:bidi="fa-IR"/>
        </w:rPr>
        <w:t>»</w:t>
      </w:r>
      <w:r>
        <w:rPr>
          <w:rStyle w:val="FootnoteAnchor"/>
          <w:rtl w:val="true"/>
        </w:rPr>
        <w:footnoteReference w:id="3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علیّ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یحجّ و یعتمر و یصلّی و یصوم و یتصدّق عن والدیه و ذوی قرابته،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یؤجر فیما یصنع، و له أجر آخر بصلة قرابته</w:t>
      </w:r>
      <w:r>
        <w:rPr>
          <w:rFonts w:eastAsia="IRNazanin" w:cs="IRNazanin"/>
          <w:color w:val="111111"/>
          <w:sz w:val="28"/>
          <w:szCs w:val="28"/>
          <w:rtl w:val="true"/>
          <w:lang w:bidi="fa-IR"/>
        </w:rPr>
        <w:t>»</w:t>
      </w:r>
      <w:r>
        <w:rPr>
          <w:rStyle w:val="FootnoteAnchor"/>
          <w:rtl w:val="true"/>
        </w:rPr>
        <w:footnoteReference w:id="3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حمّاد بن عثمان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و الصوم و الصدقة و الحجّ و العمرة و کلّ عمل صالح ینفع المیّت، حتّی أنّ المیّت لیکون فی ضیق فیوسّع علیه،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بعمل ابنک فلان، و بعمل أخیک فلان، أخوک فی الدین</w:t>
      </w:r>
      <w:r>
        <w:rPr>
          <w:rFonts w:eastAsia="IRNazanin" w:cs="IRNazanin"/>
          <w:color w:val="111111"/>
          <w:sz w:val="28"/>
          <w:szCs w:val="28"/>
          <w:rtl w:val="true"/>
          <w:lang w:bidi="fa-IR"/>
        </w:rPr>
        <w:t>»</w:t>
      </w:r>
      <w:r>
        <w:rPr>
          <w:rStyle w:val="FootnoteAnchor"/>
          <w:rtl w:val="true"/>
        </w:rPr>
        <w:footnoteReference w:id="3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عن حمّاد بن عثمان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من المؤمنین عن میّت عملاً أضعف اللّه أجره، و ینعم به المیّت</w:t>
      </w:r>
      <w:r>
        <w:rPr>
          <w:rFonts w:eastAsia="IRNazanin" w:cs="IRNazanin"/>
          <w:color w:val="111111"/>
          <w:sz w:val="28"/>
          <w:szCs w:val="28"/>
          <w:rtl w:val="true"/>
          <w:lang w:bidi="fa-IR"/>
        </w:rPr>
        <w:t>»</w:t>
      </w:r>
      <w:r>
        <w:rPr>
          <w:rStyle w:val="FootnoteAnchor"/>
          <w:rtl w:val="true"/>
        </w:rPr>
        <w:footnoteReference w:id="3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رواه عمر بن یزید عنه علیه السلام</w:t>
      </w:r>
      <w:r>
        <w:rPr>
          <w:rStyle w:val="FootnoteAnchor"/>
          <w:rtl w:val="true"/>
        </w:rPr>
        <w:footnoteReference w:id="3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یتبع الرجل بعد موته من الأجر إلّا ثلاث خصال، صدقة أجراها فی حیاته، فهی تجری بعد موته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ولد صالح یستغفر له</w:t>
      </w:r>
      <w:r>
        <w:rPr>
          <w:rFonts w:eastAsia="IRNazanin" w:cs="IRNazanin"/>
          <w:color w:val="111111"/>
          <w:sz w:val="28"/>
          <w:szCs w:val="28"/>
          <w:rtl w:val="true"/>
          <w:lang w:bidi="fa-IR"/>
        </w:rPr>
        <w:t>»</w:t>
      </w:r>
      <w:r>
        <w:rPr>
          <w:rStyle w:val="FootnoteAnchor"/>
          <w:rtl w:val="true"/>
        </w:rPr>
        <w:footnoteReference w:id="3107"/>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ما رواه عبد الخالق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ما یخلفه الرجل بعده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بارّ یستغفر له، و سنّة خیر یقتدی به فیها، و صدقة تجری من بعده</w:t>
      </w:r>
      <w:r>
        <w:rPr>
          <w:rFonts w:eastAsia="IRNazanin" w:cs="IRNazanin"/>
          <w:color w:val="111111"/>
          <w:sz w:val="28"/>
          <w:szCs w:val="28"/>
          <w:rtl w:val="true"/>
          <w:lang w:bidi="fa-IR"/>
        </w:rPr>
        <w:t>»</w:t>
      </w:r>
      <w:r>
        <w:rPr>
          <w:rStyle w:val="FootnoteAnchor"/>
          <w:rtl w:val="true"/>
        </w:rPr>
        <w:footnoteReference w:id="3108"/>
      </w:r>
      <w:r>
        <w:rPr>
          <w:rFonts w:ascii="IRNazanin" w:hAnsi="IRNazanin" w:eastAsia="IRNazanin"/>
          <w:color w:val="111111"/>
          <w:sz w:val="28"/>
          <w:sz w:val="28"/>
          <w:szCs w:val="28"/>
          <w:rtl w:val="true"/>
          <w:lang w:bidi="fa-IR"/>
        </w:rPr>
        <w:t>، و کذا ما رواه هشام بن سالم عنه علیه السلام</w:t>
      </w:r>
      <w:r>
        <w:rPr>
          <w:rStyle w:val="FootnoteAnchor"/>
          <w:rtl w:val="true"/>
        </w:rPr>
        <w:footnoteReference w:id="3109"/>
      </w:r>
      <w:r>
        <w:rPr>
          <w:rFonts w:eastAsia="Times New Roman" w:cs="Times New Roman" w:ascii="Times New Roman" w:hAnsi="Times New Roman"/>
          <w:color w:val="111111"/>
          <w:sz w:val="28"/>
          <w:szCs w:val="28"/>
          <w:rtl w:val="true"/>
          <w:lang w:val="en-US" w:bidi="en-US"/>
        </w:rPr>
        <w:t>.</w:t>
      </w:r>
      <w:bookmarkStart w:id="893" w:name="pg11755_255422"/>
    </w:p>
    <w:p>
      <w:pPr>
        <w:pStyle w:val="Heading4"/>
        <w:numPr>
          <w:ilvl w:val="3"/>
          <w:numId w:val="1"/>
        </w:numPr>
        <w:rPr/>
      </w:pPr>
      <w:bookmarkStart w:id="894" w:name="__RefHeading___Toc9587916_73709187"/>
      <w:bookmarkStart w:id="895" w:name="_Toc332"/>
      <w:bookmarkEnd w:id="893"/>
      <w:bookmarkEnd w:id="894"/>
      <w:r>
        <w:rPr>
          <w:rtl w:val="true"/>
        </w:rPr>
        <w:t>المبحث التاسع</w:t>
      </w:r>
      <w:r>
        <w:rPr>
          <w:rtl w:val="true"/>
        </w:rPr>
        <w:t>:</w:t>
      </w:r>
      <w:r>
        <w:rPr>
          <w:rtl w:val="true"/>
        </w:rPr>
        <w:t>صلاة الصبیّ فی السفر و تبعیّته لأبویه فیه و فی الوطن</w:t>
      </w:r>
      <w:bookmarkEnd w:id="895"/>
    </w:p>
    <w:p>
      <w:pPr>
        <w:pStyle w:val="Heading5"/>
        <w:numPr>
          <w:ilvl w:val="4"/>
          <w:numId w:val="1"/>
        </w:numPr>
        <w:rPr/>
      </w:pPr>
      <w:bookmarkStart w:id="896" w:name="__RefHeading___Toc9587918_73709187"/>
      <w:bookmarkStart w:id="897" w:name="_Toc333"/>
      <w:bookmarkEnd w:id="896"/>
      <w:r>
        <w:rPr>
          <w:rtl w:val="true"/>
        </w:rPr>
        <w:t>اشارة</w:t>
      </w:r>
      <w:bookmarkEnd w:id="897"/>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5"/>
        <w:numPr>
          <w:ilvl w:val="4"/>
          <w:numId w:val="1"/>
        </w:numPr>
        <w:rPr/>
      </w:pPr>
      <w:bookmarkStart w:id="898" w:name="__RefHeading___Toc9587920_73709187"/>
      <w:bookmarkStart w:id="899" w:name="_Toc334"/>
      <w:bookmarkEnd w:id="898"/>
      <w:r>
        <w:rPr>
          <w:rtl w:val="true"/>
        </w:rPr>
        <w:t>المطلب الأوّل</w:t>
      </w:r>
      <w:r>
        <w:rPr>
          <w:rtl w:val="true"/>
        </w:rPr>
        <w:t xml:space="preserve">: </w:t>
      </w:r>
      <w:r>
        <w:rPr>
          <w:rtl w:val="true"/>
        </w:rPr>
        <w:t>تبعیّة الصبیّ فی الوطن</w:t>
      </w:r>
      <w:bookmarkEnd w:id="899"/>
    </w:p>
    <w:p>
      <w:pPr>
        <w:pStyle w:val="BookText"/>
        <w:rPr/>
      </w:pPr>
      <w:r>
        <w:rPr>
          <w:rFonts w:ascii="IRNazanin" w:hAnsi="IRNazanin" w:eastAsia="IRNazanin"/>
          <w:color w:val="111111"/>
          <w:sz w:val="28"/>
          <w:sz w:val="28"/>
          <w:szCs w:val="28"/>
          <w:rtl w:val="true"/>
          <w:lang w:bidi="fa-IR"/>
        </w:rPr>
        <w:t>الظاهر أنّه لا خلاف بین الفقهاء فی أنّ الصبیّ الممیّز الذی یعدّ فی العرف تابعاً لأبویه تابع لهما فی الوطن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ذلک من إطلاق کلمات بعضهم، حیث قالوا فی شرائط القصر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قصد المتبوع کافٍ عن قصد التابع</w:t>
      </w:r>
      <w:r>
        <w:rPr>
          <w:rStyle w:val="FootnoteAnchor"/>
          <w:rtl w:val="true"/>
        </w:rPr>
        <w:footnoteReference w:id="3110"/>
      </w:r>
      <w:r>
        <w:rPr>
          <w:rFonts w:ascii="IRNazanin" w:hAnsi="IRNazanin" w:eastAsia="IRNazanin"/>
          <w:color w:val="111111"/>
          <w:sz w:val="28"/>
          <w:sz w:val="28"/>
          <w:szCs w:val="28"/>
          <w:rtl w:val="true"/>
          <w:lang w:bidi="fa-IR"/>
        </w:rPr>
        <w:t>کما سیأتی قریباً، و الظاهر أنّه لا فرق بین المقامین، فالّذی یعدّ وطناً لهما یکون وطناً للصبیّ</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تصریح آخرین، قال فی العروة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أن یکون الولد تابعاً لأبویه أو أحدهما فی الوطن ما لم یعرض بعد بلوغه عن مقرّهما و إن لم یلتفت بعد بلوغه إلی التوطّن فیه أبداً، فیعدّ وطنهما وطناً له أیضاً، إلّا إذا قصد</w:t>
      </w:r>
    </w:p>
    <w:p>
      <w:pPr>
        <w:pStyle w:val="BookText"/>
        <w:rPr/>
      </w:pPr>
      <w:r>
        <w:rPr>
          <w:rFonts w:ascii="IRNazanin" w:hAnsi="IRNazanin" w:eastAsia="IRNazanin"/>
          <w:color w:val="111111"/>
          <w:sz w:val="28"/>
          <w:sz w:val="28"/>
          <w:szCs w:val="28"/>
          <w:rtl w:val="true"/>
          <w:lang w:bidi="fa-IR"/>
        </w:rPr>
        <w:t>الإعراض</w:t>
      </w:r>
      <w:r>
        <w:rPr>
          <w:rFonts w:eastAsia="IRNazanin" w:cs="IRNazanin"/>
          <w:color w:val="111111"/>
          <w:sz w:val="28"/>
          <w:szCs w:val="28"/>
          <w:rtl w:val="true"/>
          <w:lang w:bidi="fa-IR"/>
        </w:rPr>
        <w:t>»</w:t>
      </w:r>
      <w:r>
        <w:rPr>
          <w:rStyle w:val="FootnoteAnchor"/>
          <w:rtl w:val="true"/>
        </w:rPr>
        <w:footnoteReference w:id="3111"/>
      </w:r>
      <w:r>
        <w:rPr>
          <w:rFonts w:ascii="IRNazanin" w:hAnsi="IRNazanin" w:eastAsia="IRNazanin"/>
          <w:color w:val="111111"/>
          <w:sz w:val="28"/>
          <w:sz w:val="28"/>
          <w:szCs w:val="28"/>
          <w:rtl w:val="true"/>
          <w:lang w:bidi="fa-IR"/>
        </w:rPr>
        <w:t>، و کذا فی المستمسک</w:t>
      </w:r>
      <w:r>
        <w:rPr>
          <w:rStyle w:val="FootnoteAnchor"/>
          <w:rtl w:val="true"/>
        </w:rPr>
        <w:footnoteReference w:id="3112"/>
      </w:r>
      <w:r>
        <w:rPr>
          <w:rFonts w:ascii="Amiri" w:hAnsi="Amiri" w:eastAsia="Amiri" w:cs="Amiri"/>
          <w:color w:val="111111"/>
          <w:sz w:val="28"/>
          <w:sz w:val="28"/>
          <w:szCs w:val="28"/>
          <w:rtl w:val="true"/>
          <w:lang w:bidi="ar-SA"/>
        </w:rPr>
        <w:t>و المهذّب</w:t>
      </w:r>
      <w:r>
        <w:rPr>
          <w:rStyle w:val="FootnoteAnchor"/>
          <w:rtl w:val="true"/>
        </w:rPr>
        <w:footnoteReference w:id="3113"/>
      </w:r>
      <w:r>
        <w:rPr>
          <w:rFonts w:ascii="IRNazanin" w:hAnsi="IRNazanin" w:eastAsia="IRNazanin"/>
          <w:color w:val="111111"/>
          <w:sz w:val="28"/>
          <w:sz w:val="28"/>
          <w:szCs w:val="28"/>
          <w:rtl w:val="true"/>
          <w:lang w:bidi="fa-IR"/>
        </w:rPr>
        <w:t>و المستند</w:t>
      </w:r>
      <w:r>
        <w:rPr>
          <w:rStyle w:val="FootnoteAnchor"/>
          <w:rtl w:val="true"/>
        </w:rPr>
        <w:footnoteReference w:id="3114"/>
      </w:r>
      <w:r>
        <w:rPr>
          <w:rFonts w:ascii="IRNazanin" w:hAnsi="IRNazanin" w:eastAsia="IRNazanin"/>
          <w:color w:val="111111"/>
          <w:sz w:val="28"/>
          <w:sz w:val="28"/>
          <w:szCs w:val="28"/>
          <w:rtl w:val="true"/>
          <w:lang w:bidi="fa-IR"/>
        </w:rPr>
        <w:t>و الوسیلة</w:t>
      </w:r>
      <w:r>
        <w:rPr>
          <w:rStyle w:val="FootnoteAnchor"/>
          <w:rtl w:val="true"/>
        </w:rPr>
        <w:footnoteReference w:id="3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الأعلام المعاصرون فی تعلیقاتهم علی العروة</w:t>
      </w:r>
      <w:r>
        <w:rPr>
          <w:rStyle w:val="FootnoteAnchor"/>
          <w:rtl w:val="true"/>
        </w:rPr>
        <w:footnoteReference w:id="3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نبّه السیّد البروجردی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مدخلیّة للبلوغ الشرعی و عدمه فی ذلک، بل المدار علی عدّه فی العرف تبعاً لهما، فربّما یعدّ تابعاً مع البلوغ و لا یعدّ مع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قال الشیخ الفاضل اللنکرانی</w:t>
      </w:r>
      <w:r>
        <w:rPr>
          <w:rStyle w:val="FootnoteAnchor"/>
          <w:rtl w:val="true"/>
        </w:rPr>
        <w:footnoteReference w:id="3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الخمینی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أنّ التابع الذی لا استقلال له فی الإرادة و التعیّش تابع لمتبوعه فی الوطن، فیعدّ وطنه وطنه، سواء کان صغیراً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کبیراً شرعاً، کما قد یتّفق للولد الذکر و کثیراً ما للاُنثی خصوصاً فی أوائل البلوغ، و المیزان هو التبعیّة و عدم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یختصّ ذلک بالآباء و الأولاد</w:t>
      </w:r>
      <w:r>
        <w:rPr>
          <w:rFonts w:eastAsia="IRNazanin" w:cs="IRNazanin"/>
          <w:color w:val="111111"/>
          <w:sz w:val="28"/>
          <w:szCs w:val="28"/>
          <w:rtl w:val="true"/>
          <w:lang w:bidi="fa-IR"/>
        </w:rPr>
        <w:t>»</w:t>
      </w:r>
      <w:r>
        <w:rPr>
          <w:rStyle w:val="FootnoteAnchor"/>
          <w:rtl w:val="true"/>
        </w:rPr>
        <w:footnoteReference w:id="3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دلیل هذا الحکم ظاهر؛ لأنّ الوطن بما له من المعنی العرفی الذی ینافیه السفر یتحقّق بأحد أمرین</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مقرّاً له</w:t>
      </w:r>
      <w:r>
        <w:rPr>
          <w:rStyle w:val="FootnoteAnchor"/>
          <w:rtl w:val="true"/>
        </w:rPr>
        <w:footnoteReference w:id="3119"/>
      </w:r>
      <w:r>
        <w:rPr>
          <w:rFonts w:ascii="IRNazanin" w:hAnsi="IRNazanin" w:eastAsia="IRNazanin"/>
          <w:color w:val="111111"/>
          <w:sz w:val="28"/>
          <w:sz w:val="28"/>
          <w:szCs w:val="28"/>
          <w:rtl w:val="true"/>
          <w:lang w:bidi="fa-IR"/>
        </w:rPr>
        <w:t>و مسکنه الأصلی و مسقط رأسه باعتبار تبعیّته لأبویه، فهو محلّه أباً عن جدّ، و لا یعدّ غریباً فی هذا المکان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کذلک بالاتّخاذ، بأن انتقل عن مقرّه الأصلی و اتّخذ مکاناً آخر مقرّاً و مسکناً دائمیّاً له، فأصبح وطناً له بالاتّخاذ، فإنّ معنی وطن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أقام و سکن، فهذا أیضاً وطن، غایته أنّ الأوّل وطن أصلی، و الثانی وطن اتّخاذی</w:t>
      </w:r>
      <w:r>
        <w:rPr>
          <w:rStyle w:val="FootnoteAnchor"/>
          <w:rtl w:val="true"/>
        </w:rPr>
        <w:footnoteReference w:id="3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شکّ فی أنّه متی صدق عنوان الوطنیّة لحقه حکمه، سواء کان منشأ ذلک الإرادة التفصیلیّة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الرجال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الإجمالیّة و التبعیّة، کما فی النساء و الصبیان الممیّزین و ما شابههما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 المقوّم لصدق الوطن تارةً یکون تفصیلیّاً، و اخری یکون إجمالیّاً ارتکازیّاً ناشئاً من التبعیّة لوالدیه أو أحدهما، فإذا حصل القصد بأحد النحوین صدق الوطن، و إلّا فلا، من دون فرق بین ما قبل البلوغ و ما بعده</w:t>
      </w:r>
      <w:r>
        <w:rPr>
          <w:rFonts w:eastAsia="IRNazanin" w:cs="IRNazanin"/>
          <w:color w:val="111111"/>
          <w:sz w:val="28"/>
          <w:szCs w:val="28"/>
          <w:rtl w:val="true"/>
          <w:lang w:bidi="fa-IR"/>
        </w:rPr>
        <w:t>»</w:t>
      </w:r>
      <w:r>
        <w:rPr>
          <w:rStyle w:val="FootnoteAnchor"/>
          <w:rtl w:val="true"/>
        </w:rPr>
        <w:footnoteReference w:id="3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لا ینبغی التأمّل فی انطباق ضابطة الوطن علی ما سکن الصبیّ الممیّز بعد فرض تبعیّته لأبویه فی المسکن، فإنّ وطنهما منزله و مقرّه، و مَن هذا شأنه لا یصدق علیه المسافر بوجه، من غیر فرق بین ما إذا کان وطناً أصلیّاً لهما أو مستجدّاً اتّخاذیّاً</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یحتاج الولد بعد فرض التبعیّة المزبورة إلی قصد التوطّن، بل لو کان غافلاً عن ذلک بالکلّیّة و لم یلتفت بعد بلوغه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طیلة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هذا وطنه، فلم یصدر عنه القصد رأساً، لم یکن قادحاً؛ لأجل أنّ موضوع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یکن مسافراً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بالوجدان، لا من کان متوطّناً کی یتأمّل</w:t>
      </w:r>
      <w:bookmarkStart w:id="900" w:name="pg11755_255429"/>
    </w:p>
    <w:p>
      <w:pPr>
        <w:pStyle w:val="BookText"/>
        <w:rPr/>
      </w:pPr>
      <w:bookmarkEnd w:id="900"/>
      <w:r>
        <w:rPr>
          <w:rFonts w:ascii="IRNazanin" w:hAnsi="IRNazanin" w:eastAsia="IRNazanin"/>
          <w:color w:val="111111"/>
          <w:sz w:val="28"/>
          <w:sz w:val="28"/>
          <w:szCs w:val="28"/>
          <w:rtl w:val="true"/>
          <w:lang w:bidi="fa-IR"/>
        </w:rPr>
        <w:t>فی صدقه علیه، کما فی مستند العروة</w:t>
      </w:r>
      <w:r>
        <w:rPr>
          <w:rStyle w:val="FootnoteAnchor"/>
          <w:rtl w:val="true"/>
        </w:rPr>
        <w:footnoteReference w:id="3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إمکان دعوی السیرة المستمرّة علی تبعیّة الصبیّ لأبویه فی الوطن؛ إذ لم ینقل عن أحد أنّه سئل عن حکمه إذا کان مع أبویه، کما و لم ینقل عن أحد الآباء أنّه سأل عن حکم ابنه الصغیر مستقلاًّ، و لا نقل عن الأئمّة علیهم السلام و لا عن النبیّ صلی الله علیه و آله التنبیه علیه، و لیس ذلک إلّا لأجل مغروسیّة الحکم فی أذهانهم بحیث لا یحتاج إلی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بلغ و أعرض کان مستقلّاً کسائر المکلّفین، کما هو ظاهر</w:t>
      </w:r>
      <w:r>
        <w:rPr>
          <w:rFonts w:eastAsia="IRNazanin" w:cs="IRNazanin"/>
          <w:color w:val="111111"/>
          <w:sz w:val="28"/>
          <w:szCs w:val="28"/>
          <w:rtl w:val="true"/>
          <w:lang w:bidi="fa-IR"/>
        </w:rPr>
        <w:t>.</w:t>
      </w:r>
    </w:p>
    <w:p>
      <w:pPr>
        <w:pStyle w:val="Heading5"/>
        <w:numPr>
          <w:ilvl w:val="4"/>
          <w:numId w:val="1"/>
        </w:numPr>
        <w:rPr/>
      </w:pPr>
      <w:bookmarkStart w:id="901" w:name="__RefHeading___Toc9587922_73709187"/>
      <w:bookmarkStart w:id="902" w:name="_Toc335"/>
      <w:bookmarkEnd w:id="901"/>
      <w:r>
        <w:rPr>
          <w:rtl w:val="true"/>
        </w:rPr>
        <w:t>إعراض الصبیّ عن وطن أبویه</w:t>
      </w:r>
      <w:bookmarkEnd w:id="902"/>
    </w:p>
    <w:p>
      <w:pPr>
        <w:pStyle w:val="BookText"/>
        <w:rPr/>
      </w:pPr>
      <w:r>
        <w:rPr>
          <w:rFonts w:ascii="IRNazanin" w:hAnsi="IRNazanin" w:eastAsia="IRNazanin"/>
          <w:color w:val="111111"/>
          <w:sz w:val="28"/>
          <w:sz w:val="28"/>
          <w:szCs w:val="28"/>
          <w:rtl w:val="true"/>
          <w:lang w:bidi="fa-IR"/>
        </w:rPr>
        <w:t>لو أعرض الصبیّ الممیّز المستقلّ عن وطن أبویه، فهل یترتّب علیه أثر أم لا؟</w:t>
      </w:r>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مستند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العدم؛ لعدم نفوذ أفعاله فی نظر الشرع من غیر مراجعة الولی</w:t>
      </w:r>
      <w:r>
        <w:rPr>
          <w:rStyle w:val="FootnoteAnchor"/>
          <w:rtl w:val="true"/>
        </w:rPr>
        <w:footnoteReference w:id="3123"/>
      </w:r>
      <w:r>
        <w:rPr>
          <w:rFonts w:ascii="IRNazanin" w:hAnsi="IRNazanin" w:eastAsia="IRNazanin"/>
          <w:color w:val="111111"/>
          <w:sz w:val="28"/>
          <w:sz w:val="28"/>
          <w:szCs w:val="28"/>
          <w:rtl w:val="true"/>
          <w:lang w:bidi="fa-IR"/>
        </w:rPr>
        <w:t>، فهو مولّی علیه، لا یکون مستقلّاً فی فعله و لا مالکاً لأمره، کما عبّر بمثل ذلک فیما ورد فی نکاح الصبیّة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لها مع أبیها أمر</w:t>
      </w:r>
      <w:r>
        <w:rPr>
          <w:rFonts w:eastAsia="IRNazanin" w:cs="IRNazanin"/>
          <w:color w:val="111111"/>
          <w:sz w:val="28"/>
          <w:szCs w:val="28"/>
          <w:rtl w:val="true"/>
          <w:lang w:bidi="fa-IR"/>
        </w:rPr>
        <w:t>»</w:t>
      </w:r>
      <w:r>
        <w:rPr>
          <w:rStyle w:val="FootnoteAnchor"/>
          <w:rtl w:val="true"/>
        </w:rPr>
        <w:footnoteReference w:id="3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الاستقلال فی اتّخاذ المکان، بل الولایة لولیّه فی جمیع شئونه و جهاته التی منها المسکن، و منوط بما یراه مصلحة له</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یخرج الولد عن الیتم؟ </w:t>
      </w:r>
      <w:r>
        <w:rPr>
          <w:rFonts w:eastAsia="IRNazanin" w:cs="IRNazanin"/>
          <w:color w:val="111111"/>
          <w:sz w:val="28"/>
          <w:szCs w:val="28"/>
          <w:rtl w:val="true"/>
          <w:lang w:bidi="fa-IR"/>
        </w:rPr>
        <w:t>-</w:t>
      </w:r>
      <w:bookmarkStart w:id="903" w:name="pg11755_255431"/>
    </w:p>
    <w:p>
      <w:pPr>
        <w:pStyle w:val="BookText"/>
        <w:rPr/>
      </w:pPr>
      <w:bookmarkEnd w:id="903"/>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الغلام لا یجوز أمره فی الشراء و البیع، و لا یخرج من الیتم حتّی یبلغ خمس عشرة سنة أو یحتلم</w:t>
      </w:r>
      <w:r>
        <w:rPr>
          <w:rStyle w:val="FootnoteAnchor"/>
          <w:rtl w:val="true"/>
        </w:rPr>
        <w:footnoteReference w:id="31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یترتّب علیه الأثر، قال السیّد الگلپایگانی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الممیّز المستقلّ القاصد للخلاف لیس بتابع عرفاً</w:t>
      </w:r>
      <w:r>
        <w:rPr>
          <w:rFonts w:eastAsia="IRNazanin" w:cs="IRNazanin"/>
          <w:color w:val="111111"/>
          <w:sz w:val="28"/>
          <w:szCs w:val="28"/>
          <w:rtl w:val="true"/>
          <w:lang w:bidi="fa-IR"/>
        </w:rPr>
        <w:t>»</w:t>
      </w:r>
      <w:r>
        <w:rPr>
          <w:rStyle w:val="FootnoteAnchor"/>
          <w:rtl w:val="true"/>
        </w:rPr>
        <w:footnoteReference w:id="3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هذا القول هو الصحیح؛ لأنّ الملاک فی التبعیّة و عدمها هو العرف، و لا شکّ أنّ الصبیّ الممیّز المستقلّ القاصد للخلاف المعرض عن وطن أبویه لا یعدّ فی العرف تابعاً، و لا ینطبق علی ما سکن ضابطة الوطن، و لا یکون وطنهما منزله و مقرّه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یعرف بطلان التأیید و ضعف قیاس المقام بباب النکاح و البیع، فإنّ القیاس مع الفارق؛ ضرورة أنّ ثبوت الحکم بثبوت موضوعه الذی تحقّق فی المقام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المحقّق الحائری قدس سره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تبعیّة القاصد للخلاف إشکال، بل و کذا المردّد</w:t>
      </w:r>
      <w:r>
        <w:rPr>
          <w:rFonts w:eastAsia="IRNazanin" w:cs="IRNazanin"/>
          <w:color w:val="111111"/>
          <w:sz w:val="28"/>
          <w:szCs w:val="28"/>
          <w:rtl w:val="true"/>
          <w:lang w:bidi="fa-IR"/>
        </w:rPr>
        <w:t>»</w:t>
      </w:r>
      <w:r>
        <w:rPr>
          <w:rStyle w:val="FootnoteAnchor"/>
          <w:rtl w:val="true"/>
        </w:rPr>
        <w:footnoteReference w:id="3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4" w:name="__RefHeading___Toc9587924_73709187"/>
      <w:bookmarkStart w:id="905" w:name="_Toc336"/>
      <w:bookmarkEnd w:id="904"/>
      <w:r>
        <w:rPr>
          <w:rtl w:val="true"/>
        </w:rPr>
        <w:t>مذهب أهل السنّة</w:t>
      </w:r>
      <w:bookmarkEnd w:id="905"/>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تتبّعنا فی کتبهم التی بأیدینا لم نجد لهم قولاً فی المسألة التی استعرضناها فی هذا المبحث، و لکن یستفاد من إطلاق کلماتهم أنّ الصبیّ الممیّز تابع لأبویه</w:t>
      </w:r>
      <w:bookmarkStart w:id="906" w:name="pg11755_255433"/>
    </w:p>
    <w:p>
      <w:pPr>
        <w:pStyle w:val="BookText"/>
        <w:rPr/>
      </w:pPr>
      <w:bookmarkEnd w:id="906"/>
      <w:r>
        <w:rPr>
          <w:rFonts w:ascii="IRNazanin" w:hAnsi="IRNazanin" w:eastAsia="IRNazanin"/>
          <w:color w:val="111111"/>
          <w:sz w:val="28"/>
          <w:sz w:val="28"/>
          <w:szCs w:val="28"/>
          <w:rtl w:val="true"/>
          <w:lang w:bidi="fa-IR"/>
        </w:rPr>
        <w:t xml:space="preserve">فی الوطن، حیث ذکروا فی أعداد القواعد الفقهیّة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 تابع</w:t>
      </w:r>
      <w:r>
        <w:rPr>
          <w:rFonts w:eastAsia="IRNazanin" w:cs="IRNazanin"/>
          <w:color w:val="111111"/>
          <w:sz w:val="28"/>
          <w:szCs w:val="28"/>
          <w:rtl w:val="true"/>
          <w:lang w:bidi="fa-IR"/>
        </w:rPr>
        <w:t>»</w:t>
      </w:r>
      <w:r>
        <w:rPr>
          <w:rStyle w:val="FootnoteAnchor"/>
          <w:rtl w:val="true"/>
        </w:rPr>
        <w:footnoteReference w:id="3129"/>
      </w:r>
      <w:r>
        <w:rPr>
          <w:rFonts w:ascii="IRNazanin" w:hAnsi="IRNazanin" w:eastAsia="IRNazanin"/>
          <w:color w:val="111111"/>
          <w:sz w:val="28"/>
          <w:sz w:val="28"/>
          <w:szCs w:val="28"/>
          <w:rtl w:val="true"/>
          <w:lang w:bidi="fa-IR"/>
        </w:rPr>
        <w:t>، بمعنی أنّ التابع لغیره فی الوجود حقیقة أو حکماً علیه حکم المتبوع؛ إذ التابع لا یحمل وجوداً مستقلّاً</w:t>
      </w:r>
      <w:r>
        <w:rPr>
          <w:rStyle w:val="FootnoteAnchor"/>
          <w:rtl w:val="true"/>
        </w:rPr>
        <w:footnoteReference w:id="3130"/>
      </w:r>
      <w:r>
        <w:rPr>
          <w:rFonts w:ascii="IRNazanin" w:hAnsi="IRNazanin" w:eastAsia="IRNazanin"/>
          <w:color w:val="111111"/>
          <w:sz w:val="28"/>
          <w:sz w:val="28"/>
          <w:szCs w:val="28"/>
          <w:rtl w:val="true"/>
          <w:lang w:bidi="fa-IR"/>
        </w:rPr>
        <w:t>، و تترتّب علیها فروع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نیّته التوطّن و غیره قصد المتبوع کما استفاده الندوی،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تسری هذه القاعدة فی باب النیّات</w:t>
      </w:r>
      <w:r>
        <w:rPr>
          <w:rFonts w:eastAsia="IRNazanin" w:cs="IRNazanin"/>
          <w:color w:val="111111"/>
          <w:sz w:val="28"/>
          <w:szCs w:val="28"/>
          <w:rtl w:val="true"/>
          <w:lang w:bidi="fa-IR"/>
        </w:rPr>
        <w:t>»</w:t>
      </w:r>
      <w:r>
        <w:rPr>
          <w:rStyle w:val="FootnoteAnchor"/>
          <w:rtl w:val="true"/>
        </w:rPr>
        <w:footnoteReference w:id="3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المعتبر فی النیّة هو نیّة الأصل دون التابع، حتّی یصیر العبد مسافراً بنیّة مولاه و الزوجة بنیّة الزوج، و کلّ من لزمه طاعة غیره کالسلطان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حکم التبع حکم الأصل</w:t>
      </w:r>
      <w:r>
        <w:rPr>
          <w:rFonts w:eastAsia="IRNazanin" w:cs="IRNazanin"/>
          <w:color w:val="111111"/>
          <w:sz w:val="28"/>
          <w:szCs w:val="28"/>
          <w:rtl w:val="true"/>
          <w:lang w:bidi="fa-IR"/>
        </w:rPr>
        <w:t>»</w:t>
      </w:r>
      <w:r>
        <w:rPr>
          <w:rStyle w:val="FootnoteAnchor"/>
          <w:rtl w:val="true"/>
        </w:rPr>
        <w:footnoteReference w:id="3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7" w:name="__RefHeading___Toc9587926_73709187"/>
      <w:bookmarkStart w:id="908" w:name="_Toc337"/>
      <w:bookmarkEnd w:id="907"/>
      <w:r>
        <w:rPr>
          <w:rtl w:val="true"/>
        </w:rPr>
        <w:t>المطلب الثانی</w:t>
      </w:r>
      <w:r>
        <w:rPr>
          <w:rtl w:val="true"/>
        </w:rPr>
        <w:t xml:space="preserve">: </w:t>
      </w:r>
      <w:r>
        <w:rPr>
          <w:rtl w:val="true"/>
        </w:rPr>
        <w:t>تبعیّة الصبیّ لأبویه فی السفر</w:t>
      </w:r>
      <w:bookmarkEnd w:id="908"/>
    </w:p>
    <w:p>
      <w:pPr>
        <w:pStyle w:val="Heading6"/>
        <w:numPr>
          <w:ilvl w:val="5"/>
          <w:numId w:val="1"/>
        </w:numPr>
        <w:rPr/>
      </w:pPr>
      <w:bookmarkStart w:id="909" w:name="__RefHeading___Toc9587928_73709187"/>
      <w:bookmarkStart w:id="910" w:name="_Toc338"/>
      <w:bookmarkEnd w:id="909"/>
      <w:r>
        <w:rPr>
          <w:rtl w:val="true"/>
        </w:rPr>
        <w:t>اشارة</w:t>
      </w:r>
      <w:bookmarkEnd w:id="910"/>
    </w:p>
    <w:p>
      <w:pPr>
        <w:pStyle w:val="BookText"/>
        <w:rPr/>
      </w:pPr>
      <w:r>
        <w:rPr>
          <w:rFonts w:ascii="IRNazanin" w:hAnsi="IRNazanin" w:eastAsia="IRNazanin"/>
          <w:color w:val="111111"/>
          <w:sz w:val="28"/>
          <w:sz w:val="28"/>
          <w:szCs w:val="28"/>
          <w:rtl w:val="true"/>
          <w:lang w:bidi="fa-IR"/>
        </w:rPr>
        <w:t>یعتبر فی السفر الذی یوجب القصر شروط،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المسافة،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قطع المسافة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خلاف بینهم فی أنّه لا یعتبر فی قصد المسافة أن یکون القاصد مستقلّاً، بل یکفی و لو کان من جهة تبعیّته للغیر، فالزوجة و العبد و کذا الصبیّ الممیّز علی فرض تبعیّتهم للزوج و المولی و الأبوین یقصّرون فی صلاتهم بشرط العلم بکون قصد المتبوع المسافة</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ذلک من إطلاق کلام بعضهم و تصریح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قصد المتبوع کافٍ عن قصد التابع، کالزوجة و العبد</w:t>
      </w:r>
      <w:r>
        <w:rPr>
          <w:rFonts w:eastAsia="IRNazanin" w:cs="IRNazanin"/>
          <w:color w:val="111111"/>
          <w:sz w:val="28"/>
          <w:szCs w:val="28"/>
          <w:rtl w:val="true"/>
          <w:lang w:bidi="fa-IR"/>
        </w:rPr>
        <w:t>»</w:t>
      </w:r>
      <w:r>
        <w:rPr>
          <w:rStyle w:val="FootnoteAnchor"/>
          <w:rtl w:val="true"/>
        </w:rPr>
        <w:footnoteReference w:id="3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غایة المرام</w:t>
      </w:r>
      <w:r>
        <w:rPr>
          <w:rStyle w:val="FootnoteAnchor"/>
          <w:rtl w:val="true"/>
        </w:rPr>
        <w:footnoteReference w:id="3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الأصالة فی السفر غیر شرط، بل یکفی القصد مع باقی الشرائط و لو کان تابعاً، مثل العبد و الولد و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یعلم قصد المتبوع الموجب للقصر، و عدم العزم علی العود علی تقدیر حصول الفرصة و زوال المانع، فلو کان من عزمهم العود متی حصل لا یقصّرون</w:t>
      </w:r>
      <w:r>
        <w:rPr>
          <w:rFonts w:eastAsia="IRNazanin" w:cs="IRNazanin"/>
          <w:color w:val="111111"/>
          <w:sz w:val="28"/>
          <w:szCs w:val="28"/>
          <w:rtl w:val="true"/>
          <w:lang w:bidi="fa-IR"/>
        </w:rPr>
        <w:t>»</w:t>
      </w:r>
      <w:r>
        <w:rPr>
          <w:rStyle w:val="FootnoteAnchor"/>
          <w:rtl w:val="true"/>
        </w:rPr>
        <w:footnoteReference w:id="3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الذکری‌</w:t>
      </w:r>
      <w:r>
        <w:rPr>
          <w:rStyle w:val="FootnoteAnchor"/>
          <w:rtl w:val="true"/>
        </w:rPr>
        <w:footnoteReference w:id="3136"/>
      </w:r>
      <w:r>
        <w:rPr>
          <w:rFonts w:ascii="IRNazanin" w:hAnsi="IRNazanin" w:eastAsia="IRNazanin"/>
          <w:color w:val="111111"/>
          <w:sz w:val="28"/>
          <w:sz w:val="28"/>
          <w:szCs w:val="28"/>
          <w:rtl w:val="true"/>
          <w:lang w:bidi="fa-IR"/>
        </w:rPr>
        <w:t>و الروض</w:t>
      </w:r>
      <w:r>
        <w:rPr>
          <w:rStyle w:val="FootnoteAnchor"/>
          <w:rtl w:val="true"/>
        </w:rPr>
        <w:footnoteReference w:id="3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العبد و الولد و الزوجة و الخادم و الأسیر تابعون یقصّرون إن علموا جزم المتبوع</w:t>
      </w:r>
      <w:r>
        <w:rPr>
          <w:rFonts w:eastAsia="IRNazanin" w:cs="IRNazanin"/>
          <w:color w:val="111111"/>
          <w:sz w:val="28"/>
          <w:szCs w:val="28"/>
          <w:rtl w:val="true"/>
          <w:lang w:bidi="fa-IR"/>
        </w:rPr>
        <w:t>»</w:t>
      </w:r>
      <w:r>
        <w:rPr>
          <w:rStyle w:val="FootnoteAnchor"/>
          <w:rtl w:val="true"/>
        </w:rPr>
        <w:footnoteReference w:id="3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الریاض</w:t>
      </w:r>
      <w:r>
        <w:rPr>
          <w:rStyle w:val="FootnoteAnchor"/>
          <w:rtl w:val="true"/>
        </w:rPr>
        <w:footnoteReference w:id="3139"/>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المسافة و لو تبعاً نصّاً و إجماعاً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فی اعتبار قصد المسافة فی الترخّص بین التابع و غیره، سواء کانت التبعیّة لوجوب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کالزوجة و العبد و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الدروس و غیرها من أنّه یکفی قصد المتبوع عن قصد التابع یراد منه کفایة ذلک بعد بناء التابع علی التبعیّة، و إناطة مقصده بمقصد متبوعه و معرفته به، فإنّه حینئذٍ قصد المسافة بذلک، لا أنّه یکفی و إن لم یکن التابع قاصداً له، کما لو عزم</w:t>
      </w:r>
    </w:p>
    <w:p>
      <w:pPr>
        <w:pStyle w:val="BookText"/>
        <w:rPr/>
      </w:pPr>
      <w:r>
        <w:rPr>
          <w:rFonts w:ascii="IRNazanin" w:hAnsi="IRNazanin" w:eastAsia="IRNazanin"/>
          <w:color w:val="111111"/>
          <w:sz w:val="28"/>
          <w:sz w:val="28"/>
          <w:szCs w:val="28"/>
          <w:rtl w:val="true"/>
          <w:lang w:bidi="fa-IR"/>
        </w:rPr>
        <w:t>علی مفارقة متبوعه</w:t>
      </w:r>
      <w:r>
        <w:rPr>
          <w:rFonts w:eastAsia="IRNazanin" w:cs="IRNazanin"/>
          <w:color w:val="111111"/>
          <w:sz w:val="28"/>
          <w:szCs w:val="28"/>
          <w:rtl w:val="true"/>
          <w:lang w:bidi="fa-IR"/>
        </w:rPr>
        <w:t>»</w:t>
      </w:r>
      <w:r>
        <w:rPr>
          <w:rStyle w:val="FootnoteAnchor"/>
          <w:rtl w:val="true"/>
        </w:rPr>
        <w:footnoteReference w:id="3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المسالک</w:t>
      </w:r>
      <w:r>
        <w:rPr>
          <w:rStyle w:val="FootnoteAnchor"/>
          <w:rtl w:val="true"/>
        </w:rPr>
        <w:footnoteReference w:id="3141"/>
      </w:r>
      <w:r>
        <w:rPr>
          <w:rFonts w:ascii="IRNazanin" w:hAnsi="IRNazanin" w:eastAsia="IRNazanin"/>
          <w:color w:val="111111"/>
          <w:sz w:val="28"/>
          <w:sz w:val="28"/>
          <w:szCs w:val="28"/>
          <w:rtl w:val="true"/>
          <w:lang w:bidi="fa-IR"/>
        </w:rPr>
        <w:t>، و به قال السادة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الطباطبائی</w:t>
      </w:r>
      <w:r>
        <w:rPr>
          <w:rStyle w:val="FootnoteAnchor"/>
          <w:rtl w:val="true"/>
        </w:rPr>
        <w:footnoteReference w:id="3142"/>
      </w:r>
      <w:r>
        <w:rPr>
          <w:rFonts w:ascii="IRNazanin" w:hAnsi="IRNazanin" w:eastAsia="IRNazanin"/>
          <w:color w:val="111111"/>
          <w:sz w:val="28"/>
          <w:sz w:val="28"/>
          <w:szCs w:val="28"/>
          <w:rtl w:val="true"/>
          <w:lang w:bidi="fa-IR"/>
        </w:rPr>
        <w:t>و الحکیم</w:t>
      </w:r>
      <w:r>
        <w:rPr>
          <w:rStyle w:val="FootnoteAnchor"/>
          <w:rtl w:val="true"/>
        </w:rPr>
        <w:footnoteReference w:id="3143"/>
      </w:r>
    </w:p>
    <w:p>
      <w:pPr>
        <w:pStyle w:val="BookText"/>
        <w:rPr/>
      </w:pPr>
      <w:r>
        <w:rPr>
          <w:rFonts w:ascii="IRNazanin" w:hAnsi="IRNazanin" w:eastAsia="IRNazanin"/>
          <w:color w:val="111111"/>
          <w:sz w:val="28"/>
          <w:sz w:val="28"/>
          <w:szCs w:val="28"/>
          <w:rtl w:val="true"/>
          <w:lang w:bidi="fa-IR"/>
        </w:rPr>
        <w:t>و الخوئی</w:t>
      </w:r>
      <w:r>
        <w:rPr>
          <w:rStyle w:val="FootnoteAnchor"/>
          <w:rtl w:val="true"/>
        </w:rPr>
        <w:footnoteReference w:id="3144"/>
      </w:r>
      <w:r>
        <w:rPr>
          <w:rFonts w:ascii="IRNazanin" w:hAnsi="IRNazanin" w:eastAsia="IRNazanin"/>
          <w:color w:val="111111"/>
          <w:sz w:val="28"/>
          <w:sz w:val="28"/>
          <w:szCs w:val="28"/>
          <w:rtl w:val="true"/>
          <w:lang w:bidi="fa-IR"/>
        </w:rPr>
        <w:t>و الشیخ الفاضل اللنکرانی</w:t>
      </w:r>
      <w:r>
        <w:rPr>
          <w:rStyle w:val="FootnoteAnchor"/>
          <w:rtl w:val="true"/>
        </w:rPr>
        <w:footnoteReference w:id="3145"/>
      </w:r>
      <w:r>
        <w:rPr>
          <w:rFonts w:ascii="IRNazanin" w:hAnsi="IRNazanin" w:eastAsia="IRNazanin"/>
          <w:color w:val="111111"/>
          <w:sz w:val="28"/>
          <w:sz w:val="28"/>
          <w:szCs w:val="28"/>
          <w:rtl w:val="true"/>
          <w:lang w:bidi="fa-IR"/>
        </w:rPr>
        <w:t>و غیرهم</w:t>
      </w:r>
      <w:r>
        <w:rPr>
          <w:rStyle w:val="FootnoteAnchor"/>
          <w:rtl w:val="true"/>
        </w:rPr>
        <w:footnoteReference w:id="3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یعتبر فی قصد المسافة أن یکون مستقلاًّ، بل یکفی و لو من جهة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العلم بکون قصد المتبوع مسافة، و إلّا بقی علی التمام</w:t>
      </w:r>
      <w:r>
        <w:rPr>
          <w:rFonts w:eastAsia="IRNazanin" w:cs="IRNazanin"/>
          <w:color w:val="111111"/>
          <w:sz w:val="28"/>
          <w:szCs w:val="28"/>
          <w:rtl w:val="true"/>
          <w:lang w:bidi="fa-IR"/>
        </w:rPr>
        <w:t>»</w:t>
      </w:r>
      <w:r>
        <w:rPr>
          <w:rStyle w:val="FootnoteAnchor"/>
          <w:rtl w:val="true"/>
        </w:rPr>
        <w:footnoteReference w:id="3147"/>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الحکم المذکور إطلاق النصوص،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رجل خرج من بغداد یرید أن یلحق رجلاً علی رأس میل، فلم یزل یتبعه حتّی بلغ النهروان، و هی أربعة فراسخ من بغداد، أ یفطر إذا أراد الرجوع و یقصّر؟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یقصّر و لا یفطر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 خرج من منزله یرید النهروان ذاهباً و جائیاً لکان علیه أن ینوی من اللیل سفراً و الإفطار، فإن هو أصبح و لم ینوِ السفر فبدا له بعد أن أصبح فی السفر قصّر و لم یفطر یومه ذلک</w:t>
      </w:r>
      <w:r>
        <w:rPr>
          <w:rFonts w:eastAsia="IRNazanin" w:cs="IRNazanin"/>
          <w:color w:val="111111"/>
          <w:sz w:val="28"/>
          <w:szCs w:val="28"/>
          <w:rtl w:val="true"/>
          <w:lang w:bidi="fa-IR"/>
        </w:rPr>
        <w:t>»</w:t>
      </w:r>
      <w:r>
        <w:rPr>
          <w:rStyle w:val="FootnoteAnchor"/>
          <w:rtl w:val="true"/>
        </w:rPr>
        <w:footnoteReference w:id="3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Style w:val="FootnoteAnchor"/>
          <w:rtl w:val="true"/>
        </w:rPr>
        <w:footnoteReference w:id="3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مقتضی إطلاق الأدلّة المتضمّنة لإناطة التقصیر بقصد المسافة عدم اعتبار الاستقلال فی القصد المزبور، فیشمل ما إذا کان تابعاً لقصد الغیر، سواء کانت التبعیّة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الزوجة و العبد و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مباحة مع الاختیار، کما فی الخادم، أو الإکراه کالأسیر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یعتبر فی ذلک علم التابع بقصد المتبوع و أنّه یرید المسافة</w:t>
      </w:r>
      <w:r>
        <w:rPr>
          <w:rStyle w:val="FootnoteAnchor"/>
          <w:rtl w:val="true"/>
        </w:rPr>
        <w:footnoteReference w:id="3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التواریخ و السیر</w:t>
      </w:r>
      <w:r>
        <w:rPr>
          <w:rStyle w:val="FootnoteAnchor"/>
          <w:rtl w:val="true"/>
        </w:rPr>
        <w:footnoteReference w:id="3151"/>
      </w:r>
      <w:r>
        <w:rPr>
          <w:rFonts w:ascii="IRNazanin" w:hAnsi="IRNazanin" w:eastAsia="IRNazanin"/>
          <w:color w:val="111111"/>
          <w:sz w:val="28"/>
          <w:sz w:val="28"/>
          <w:szCs w:val="28"/>
          <w:rtl w:val="true"/>
          <w:lang w:bidi="fa-IR"/>
        </w:rPr>
        <w:t>من صحبة النبیّ صلی الله علیه و آله بعض زوجاته فی بعض الأسفار و الغزوات، و لا شبهة فی أنّها کانت تقصّر صلاتها مع عدم الاستقلال فی إرادتها للسیر و السفر</w:t>
      </w:r>
      <w:r>
        <w:rPr>
          <w:rStyle w:val="FootnoteAnchor"/>
          <w:rtl w:val="true"/>
        </w:rPr>
        <w:footnoteReference w:id="3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ما ورد من أنّ مولانا الرضا علیه السلام قصّر فی طریق سفره من المدینة إلی مرو، فعن رجاء بن أبی الضحّاک،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المأمون فی إشخاص علیّ بن موسی الرضا علیه السلام من المدینة إلی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یصلّی فی الطریق فرائضه و نوافله رکعتین إلّا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علیه السلام لا یصوم فی السفر شیئاً</w:t>
      </w:r>
      <w:r>
        <w:rPr>
          <w:rStyle w:val="FootnoteAnchor"/>
          <w:rtl w:val="true"/>
        </w:rPr>
        <w:footnoteReference w:id="3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الصدوق و غیره أحادیث فی أن الرضا علیه السلام خرج من المدینة إلی مرو مکرهاً، و اللّه تعالی أعلم</w:t>
      </w:r>
      <w:r>
        <w:rPr>
          <w:rFonts w:eastAsia="IRNazanin" w:cs="IRNazanin"/>
          <w:color w:val="111111"/>
          <w:sz w:val="28"/>
          <w:szCs w:val="28"/>
          <w:rtl w:val="true"/>
          <w:lang w:bidi="fa-IR"/>
        </w:rPr>
        <w:t>»</w:t>
      </w:r>
      <w:r>
        <w:rPr>
          <w:rStyle w:val="FootnoteAnchor"/>
          <w:rtl w:val="true"/>
        </w:rPr>
        <w:footnoteReference w:id="3154"/>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مستدلّاً علی الحکم المذکور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لتحقّق القصد فی التابع أیضاً، إلّا أنّ منشأ تحقّقه فی المتبوع شیء، و منشأ تحقّقه فی التابع جهة التبعیّة،</w:t>
      </w:r>
      <w:bookmarkStart w:id="911" w:name="pg11755_255441"/>
    </w:p>
    <w:p>
      <w:pPr>
        <w:pStyle w:val="BookText"/>
        <w:rPr/>
      </w:pPr>
      <w:bookmarkEnd w:id="911"/>
      <w:r>
        <w:rPr>
          <w:rFonts w:ascii="IRNazanin" w:hAnsi="IRNazanin" w:eastAsia="IRNazanin"/>
          <w:color w:val="111111"/>
          <w:sz w:val="28"/>
          <w:sz w:val="28"/>
          <w:szCs w:val="28"/>
          <w:rtl w:val="true"/>
          <w:lang w:bidi="fa-IR"/>
        </w:rPr>
        <w:t>و ذلک لا یوجب اختلافاً فی أصل تحقّقه</w:t>
      </w:r>
      <w:r>
        <w:rPr>
          <w:rFonts w:eastAsia="IRNazanin" w:cs="IRNazanin"/>
          <w:color w:val="111111"/>
          <w:sz w:val="28"/>
          <w:szCs w:val="28"/>
          <w:rtl w:val="true"/>
          <w:lang w:bidi="fa-IR"/>
        </w:rPr>
        <w:t>»</w:t>
      </w:r>
      <w:r>
        <w:rPr>
          <w:rStyle w:val="FootnoteAnchor"/>
          <w:rtl w:val="true"/>
        </w:rPr>
        <w:footnoteReference w:id="31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2" w:name="__RefHeading___Toc9587930_73709187"/>
      <w:bookmarkStart w:id="913" w:name="_Toc339"/>
      <w:bookmarkEnd w:id="912"/>
      <w:r>
        <w:rPr>
          <w:rtl w:val="true"/>
        </w:rPr>
        <w:t>فرع</w:t>
      </w:r>
      <w:bookmarkEnd w:id="913"/>
    </w:p>
    <w:p>
      <w:pPr>
        <w:pStyle w:val="BookText"/>
        <w:rPr/>
      </w:pPr>
      <w:r>
        <w:rPr>
          <w:rFonts w:ascii="IRNazanin" w:hAnsi="IRNazanin" w:eastAsia="IRNazanin"/>
          <w:color w:val="111111"/>
          <w:sz w:val="28"/>
          <w:sz w:val="28"/>
          <w:szCs w:val="28"/>
          <w:rtl w:val="true"/>
          <w:lang w:bidi="fa-IR"/>
        </w:rPr>
        <w:t>لو لم یعلم التابع بقصد المتبوع، و احتمل کون مقصد المتبوع غیر مسافة، لم یقصّر؛ لعدم حصول الشرط؛ إذ الاعتبار بفعلیّة القصد المنفی عن التابع؛ لأنّ تعلّق قصده بالمسافة منوط بقصد المتبوع، فیقصد علی تقدیر قصده، و إلّا فلا، و حیث إنّه لا یدری فلا جرم لیس له قصد فعلیّ، کما فی الجواهر و المستند</w:t>
      </w:r>
      <w:r>
        <w:rPr>
          <w:rStyle w:val="FootnoteAnchor"/>
          <w:rtl w:val="true"/>
        </w:rPr>
        <w:footnoteReference w:id="31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4" w:name="__RefHeading___Toc9587932_73709187"/>
      <w:bookmarkStart w:id="915" w:name="_Toc340"/>
      <w:bookmarkEnd w:id="914"/>
      <w:r>
        <w:rPr>
          <w:rtl w:val="true"/>
        </w:rPr>
        <w:t>رأی أهل السنّة</w:t>
      </w:r>
      <w:bookmarkEnd w:id="915"/>
    </w:p>
    <w:p>
      <w:pPr>
        <w:pStyle w:val="BookText"/>
        <w:rPr/>
      </w:pPr>
      <w:r>
        <w:rPr>
          <w:rFonts w:ascii="IRNazanin" w:hAnsi="IRNazanin" w:eastAsia="IRNazanin"/>
          <w:color w:val="111111"/>
          <w:sz w:val="28"/>
          <w:sz w:val="28"/>
          <w:szCs w:val="28"/>
          <w:rtl w:val="true"/>
          <w:lang w:bidi="fa-IR"/>
        </w:rPr>
        <w:t>جاء فی الموسوعة الفقهیّة الکویتیّة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المعتبر فی نیّة السفر الشرعی نیّة الأصل دون التابع، فمن کان سفره تابعاً لغیره فإنّه یصیر مسافراً بنیّة ذلک الغیر، و ذلک کالزوجة التابعة لزوجها، فإنّها تصیر مسافرة بنیّة زوجها، و کذلک من لزمه طاعة غیره کالسلطان و أمیر الجیش، فإنّه یصیر مسافراً بنیّة من لزمته طاعته؛ لأنّ حکم التبع حکم الأصل</w:t>
      </w:r>
      <w:r>
        <w:rPr>
          <w:rFonts w:eastAsia="IRNazanin" w:cs="IRNazanin"/>
          <w:color w:val="111111"/>
          <w:sz w:val="28"/>
          <w:szCs w:val="28"/>
          <w:rtl w:val="true"/>
          <w:lang w:bidi="fa-IR"/>
        </w:rPr>
        <w:t>»</w:t>
      </w:r>
      <w:r>
        <w:rPr>
          <w:rStyle w:val="FootnoteAnchor"/>
          <w:rtl w:val="true"/>
        </w:rPr>
        <w:footnoteReference w:id="3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منه أنّ الصبیّ تابع فی سفره لأبویه أو لأحدهما؛ لأنّهما أصلان دونه</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أحکام الصغار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یکون مسافراً بسفر أبیه</w:t>
      </w:r>
      <w:r>
        <w:rPr>
          <w:rFonts w:eastAsia="IRNazanin" w:cs="IRNazanin"/>
          <w:color w:val="111111"/>
          <w:sz w:val="28"/>
          <w:szCs w:val="28"/>
          <w:rtl w:val="true"/>
          <w:lang w:bidi="fa-IR"/>
        </w:rPr>
        <w:t>»</w:t>
      </w:r>
      <w:r>
        <w:rPr>
          <w:rStyle w:val="FootnoteAnchor"/>
          <w:rtl w:val="true"/>
        </w:rPr>
        <w:footnoteReference w:id="3158"/>
      </w:r>
      <w:r>
        <w:rPr>
          <w:rFonts w:eastAsia="Times New Roman" w:cs="Times New Roman" w:ascii="Times New Roman" w:hAnsi="Times New Roman"/>
          <w:color w:val="111111"/>
          <w:sz w:val="28"/>
          <w:szCs w:val="28"/>
          <w:rtl w:val="true"/>
          <w:lang w:val="en-US" w:bidi="en-US"/>
        </w:rPr>
        <w:t>.</w:t>
      </w:r>
      <w:bookmarkStart w:id="916" w:name="pg11755_255443"/>
    </w:p>
    <w:p>
      <w:pPr>
        <w:pStyle w:val="BookText"/>
        <w:rPr/>
      </w:pPr>
      <w:bookmarkEnd w:id="916"/>
      <w:r>
        <w:rPr>
          <w:rFonts w:ascii="IRNazanin" w:hAnsi="IRNazanin" w:eastAsia="IRNazanin"/>
          <w:color w:val="111111"/>
          <w:sz w:val="28"/>
          <w:sz w:val="28"/>
          <w:szCs w:val="28"/>
          <w:rtl w:val="true"/>
          <w:lang w:bidi="fa-IR"/>
        </w:rPr>
        <w:t>کما یستفاد ذلک أیضاً من کلام الکاسانی فی البدائع</w:t>
      </w:r>
      <w:r>
        <w:rPr>
          <w:rStyle w:val="FootnoteAnchor"/>
          <w:rtl w:val="true"/>
        </w:rPr>
        <w:footnoteReference w:id="3159"/>
      </w:r>
      <w:r>
        <w:rPr>
          <w:rFonts w:ascii="IRNazanin" w:hAnsi="IRNazanin" w:eastAsia="IRNazanin"/>
          <w:color w:val="111111"/>
          <w:sz w:val="28"/>
          <w:sz w:val="28"/>
          <w:szCs w:val="28"/>
          <w:rtl w:val="true"/>
          <w:lang w:bidi="fa-IR"/>
        </w:rPr>
        <w:t>، و کذا فی کشّاف القناع</w:t>
      </w:r>
      <w:r>
        <w:rPr>
          <w:rStyle w:val="FootnoteAnchor"/>
          <w:rtl w:val="true"/>
        </w:rPr>
        <w:footnoteReference w:id="3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7" w:name="__RefHeading___Toc9587934_73709187"/>
      <w:bookmarkStart w:id="918" w:name="_Toc341"/>
      <w:bookmarkEnd w:id="917"/>
      <w:r>
        <w:rPr>
          <w:rtl w:val="true"/>
        </w:rPr>
        <w:t>المطلب الثالث</w:t>
      </w:r>
      <w:r>
        <w:rPr>
          <w:rtl w:val="true"/>
        </w:rPr>
        <w:t xml:space="preserve">: </w:t>
      </w:r>
      <w:r>
        <w:rPr>
          <w:rtl w:val="true"/>
        </w:rPr>
        <w:t>صلاة الصبیّ فی السفر</w:t>
      </w:r>
      <w:bookmarkEnd w:id="918"/>
    </w:p>
    <w:p>
      <w:pPr>
        <w:pStyle w:val="Heading6"/>
        <w:numPr>
          <w:ilvl w:val="5"/>
          <w:numId w:val="1"/>
        </w:numPr>
        <w:rPr/>
      </w:pPr>
      <w:bookmarkStart w:id="919" w:name="__RefHeading___Toc9587936_73709187"/>
      <w:bookmarkStart w:id="920" w:name="_Toc342"/>
      <w:bookmarkEnd w:id="919"/>
      <w:r>
        <w:rPr>
          <w:rtl w:val="true"/>
        </w:rPr>
        <w:t>اشارة</w:t>
      </w:r>
      <w:bookmarkEnd w:id="920"/>
    </w:p>
    <w:p>
      <w:pPr>
        <w:pStyle w:val="BookText"/>
        <w:rPr/>
      </w:pPr>
      <w:r>
        <w:rPr>
          <w:rFonts w:ascii="IRNazanin" w:hAnsi="IRNazanin" w:eastAsia="IRNazanin"/>
          <w:color w:val="111111"/>
          <w:sz w:val="28"/>
          <w:sz w:val="28"/>
          <w:szCs w:val="28"/>
          <w:rtl w:val="true"/>
          <w:lang w:bidi="fa-IR"/>
        </w:rPr>
        <w:t>و فیه مسألتان</w:t>
      </w:r>
      <w:r>
        <w:rPr>
          <w:rFonts w:eastAsia="IRNazanin" w:cs="IRNazanin"/>
          <w:color w:val="111111"/>
          <w:sz w:val="28"/>
          <w:szCs w:val="28"/>
          <w:rtl w:val="true"/>
          <w:lang w:bidi="fa-IR"/>
        </w:rPr>
        <w:t>:</w:t>
      </w:r>
    </w:p>
    <w:p>
      <w:pPr>
        <w:pStyle w:val="Heading6"/>
        <w:numPr>
          <w:ilvl w:val="5"/>
          <w:numId w:val="1"/>
        </w:numPr>
        <w:rPr/>
      </w:pPr>
      <w:bookmarkStart w:id="921" w:name="__RefHeading___Toc9587938_73709187"/>
      <w:bookmarkStart w:id="922" w:name="_Toc343"/>
      <w:bookmarkEnd w:id="921"/>
      <w:r>
        <w:rPr>
          <w:rtl w:val="true"/>
        </w:rPr>
        <w:t>المسألة الاُولی</w:t>
      </w:r>
      <w:r>
        <w:rPr>
          <w:rtl w:val="true"/>
        </w:rPr>
        <w:t xml:space="preserve">: </w:t>
      </w:r>
      <w:r>
        <w:rPr>
          <w:rtl w:val="true"/>
        </w:rPr>
        <w:t>صلاته مع عدم قصده إقامة عشرة أیّام</w:t>
      </w:r>
      <w:bookmarkEnd w:id="922"/>
    </w:p>
    <w:p>
      <w:pPr>
        <w:pStyle w:val="BookText"/>
        <w:rPr/>
      </w:pPr>
      <w:r>
        <w:rPr>
          <w:rFonts w:ascii="IRNazanin" w:hAnsi="IRNazanin" w:eastAsia="IRNazanin"/>
          <w:color w:val="111111"/>
          <w:sz w:val="28"/>
          <w:sz w:val="28"/>
          <w:szCs w:val="28"/>
          <w:rtl w:val="true"/>
          <w:lang w:bidi="fa-IR"/>
        </w:rPr>
        <w:t>لو قصد الصبیّ المسافة المعتبرة فی تحقّق القصر فی الصلاة و أراد التطوّع بالصلاة یقصّر، کما صرّح به بعض من تعرّض لهذه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قصد الصبیّ مسافة، ثمّ بلغ فی الأثناء وجب علیه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یقصّر إذا أراد التطوّع بالصلاة مع عدم بلوغه</w:t>
      </w:r>
      <w:r>
        <w:rPr>
          <w:rFonts w:eastAsia="IRNazanin" w:cs="IRNazanin"/>
          <w:color w:val="111111"/>
          <w:sz w:val="28"/>
          <w:szCs w:val="28"/>
          <w:rtl w:val="true"/>
          <w:lang w:bidi="fa-IR"/>
        </w:rPr>
        <w:t>»</w:t>
      </w:r>
      <w:r>
        <w:rPr>
          <w:rStyle w:val="FootnoteAnchor"/>
          <w:rtl w:val="true"/>
        </w:rPr>
        <w:footnoteReference w:id="3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الأعلام الذین علّقوا علیها، و کذا فی المستمسک</w:t>
      </w:r>
      <w:r>
        <w:rPr>
          <w:rStyle w:val="FootnoteAnchor"/>
          <w:rtl w:val="true"/>
        </w:rPr>
        <w:footnoteReference w:id="3162"/>
      </w:r>
      <w:r>
        <w:rPr>
          <w:rFonts w:ascii="IRNazanin" w:hAnsi="IRNazanin" w:eastAsia="IRNazanin"/>
          <w:color w:val="111111"/>
          <w:sz w:val="28"/>
          <w:sz w:val="28"/>
          <w:szCs w:val="28"/>
          <w:rtl w:val="true"/>
          <w:lang w:bidi="fa-IR"/>
        </w:rPr>
        <w:t>و المستند</w:t>
      </w:r>
      <w:r>
        <w:rPr>
          <w:rStyle w:val="FootnoteAnchor"/>
          <w:rtl w:val="true"/>
        </w:rPr>
        <w:footnoteReference w:id="3163"/>
      </w:r>
    </w:p>
    <w:p>
      <w:pPr>
        <w:pStyle w:val="BookText"/>
        <w:rPr/>
      </w:pPr>
      <w:r>
        <w:rPr>
          <w:rFonts w:ascii="Amiri" w:hAnsi="Amiri" w:eastAsia="Amiri" w:cs="Amiri"/>
          <w:color w:val="111111"/>
          <w:sz w:val="28"/>
          <w:sz w:val="28"/>
          <w:szCs w:val="28"/>
          <w:rtl w:val="true"/>
          <w:lang w:bidi="ar-SA"/>
        </w:rPr>
        <w:t>و المهذّب</w:t>
      </w:r>
      <w:r>
        <w:rPr>
          <w:rStyle w:val="FootnoteAnchor"/>
          <w:rtl w:val="true"/>
        </w:rPr>
        <w:footnoteReference w:id="3164"/>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إطلاق النصوص، کصحیحة أبی أیّوب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التقصیر،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بریدین أو بیاض یوم</w:t>
      </w:r>
      <w:r>
        <w:rPr>
          <w:rFonts w:eastAsia="IRNazanin" w:cs="IRNazanin"/>
          <w:color w:val="111111"/>
          <w:sz w:val="28"/>
          <w:szCs w:val="28"/>
          <w:rtl w:val="true"/>
          <w:lang w:bidi="fa-IR"/>
        </w:rPr>
        <w:t>»</w:t>
      </w:r>
      <w:r>
        <w:rPr>
          <w:rStyle w:val="FootnoteAnchor"/>
          <w:rtl w:val="true"/>
        </w:rPr>
        <w:footnoteReference w:id="3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صحیحة عبد الرحمن بن الحجّاج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أدنی ما یقصّر فی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جرت السنّة ببیاض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بیاض یوم یختلف، یسیر الرجل خمسة عشر فرسخاً فی یوم، و یسیر الآخر أربعة فراسخ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لیس إلی ذلک ینظر، أما رأیت سیر هذه الأثقال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مکّة و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أومأ بیده أربعة و عشرین میلاً، یکون ثمانیة فراسخ</w:t>
      </w:r>
      <w:r>
        <w:rPr>
          <w:rStyle w:val="FootnoteAnchor"/>
          <w:rtl w:val="true"/>
        </w:rPr>
        <w:footnoteReference w:id="3166"/>
      </w:r>
      <w:r>
        <w:rPr>
          <w:rFonts w:ascii="IRNazanin" w:hAnsi="IRNazanin" w:eastAsia="IRNazanin"/>
          <w:color w:val="111111"/>
          <w:sz w:val="28"/>
          <w:sz w:val="28"/>
          <w:szCs w:val="28"/>
          <w:rtl w:val="true"/>
          <w:lang w:bidi="fa-IR"/>
        </w:rPr>
        <w:t>، و غیرها</w:t>
      </w:r>
      <w:r>
        <w:rPr>
          <w:rStyle w:val="FootnoteAnchor"/>
          <w:rtl w:val="true"/>
        </w:rPr>
        <w:footnoteReference w:id="3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فإطلاقها یشمل الصبیّ کالبالغ؛ لأنّ الحکم یتحقّق بتحقّق موضوعه، و لا شکّ أنّه إذا قصد الصبیّ المسافة المعتبرة فی القصر و شرع فی سیرها یصدق علیه عنوان المسافر، فیشمله حکم هذه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غیر دخیل فی إناطة التقصیر بقصد المسافة؛ إذ هو شرط فی الحکم بالوجوب لا فی متعلّقه، و القصد المزبور دخیل فی نفس المتعلّق، فذات الصلاة الصادرة من أیّ متصدّ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یقتضیه إطلاق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فیها التقصیر مع قصد المسافة و الإتمام مع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أنّها تتصف بالوجوب لو صدرت من البالغ العاقل، و بالاستحباب لو صدرت من غیره، فلو تطوّع الصبیّ القاصد للمسافة بالصلاة تعیّن علیه القصر، و کانت صلاته محکومة بالاستحباب</w:t>
      </w:r>
      <w:r>
        <w:rPr>
          <w:rStyle w:val="FootnoteAnchor"/>
          <w:rtl w:val="true"/>
        </w:rPr>
        <w:footnoteReference w:id="3168"/>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عدم الاعتبار بقصده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w:t>
      </w:r>
      <w:r>
        <w:rPr>
          <w:rStyle w:val="FootnoteAnchor"/>
          <w:rtl w:val="true"/>
        </w:rPr>
        <w:footnoteReference w:id="3169"/>
      </w:r>
      <w:bookmarkStart w:id="923" w:name="pg11755_255447"/>
    </w:p>
    <w:p>
      <w:pPr>
        <w:pStyle w:val="BookText"/>
        <w:rPr/>
      </w:pPr>
      <w:bookmarkEnd w:id="92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عنه</w:t>
      </w:r>
      <w:r>
        <w:rPr>
          <w:rFonts w:eastAsia="IRNazanin" w:cs="IRNazanin"/>
          <w:color w:val="111111"/>
          <w:sz w:val="28"/>
          <w:szCs w:val="28"/>
          <w:rtl w:val="true"/>
          <w:lang w:bidi="fa-IR"/>
        </w:rPr>
        <w:t>»</w:t>
      </w:r>
      <w:r>
        <w:rPr>
          <w:rStyle w:val="FootnoteAnchor"/>
          <w:rtl w:val="true"/>
        </w:rPr>
        <w:footnoteReference w:id="3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بما تقدّم</w:t>
      </w:r>
      <w:r>
        <w:rPr>
          <w:rStyle w:val="FootnoteAnchor"/>
          <w:rtl w:val="true"/>
        </w:rPr>
        <w:footnoteReference w:id="3171"/>
      </w:r>
      <w:r>
        <w:rPr>
          <w:rFonts w:ascii="IRNazanin" w:hAnsi="IRNazanin" w:eastAsia="IRNazanin"/>
          <w:color w:val="111111"/>
          <w:sz w:val="28"/>
          <w:sz w:val="28"/>
          <w:szCs w:val="28"/>
          <w:rtl w:val="true"/>
          <w:lang w:bidi="fa-IR"/>
        </w:rPr>
        <w:t>؛ من أنّ الحدیث مختصّ بالجنایات، و المراد برفع القلم رفع الإلزام و العقاب، لا الصحّة و الثواب التی کانت من الأحکام الوضعیّة، و تتعلّق بالصبیّ أیضاً کالبالغ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لازم الإشکال عدم إمکان تطوّعه بالقصر فی السفر، و بطلانه علی القول بکون عباداته شرعیّة، و أنّه لا بدّ من تطوّعه بالتمام، و لا یظنّ الالتزام به من أحد، کما فی المستمسک</w:t>
      </w:r>
      <w:r>
        <w:rPr>
          <w:rStyle w:val="FootnoteAnchor"/>
          <w:rtl w:val="true"/>
        </w:rPr>
        <w:footnoteReference w:id="31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4" w:name="__RefHeading___Toc9587940_73709187"/>
      <w:bookmarkStart w:id="925" w:name="_Toc344"/>
      <w:bookmarkEnd w:id="924"/>
      <w:r>
        <w:rPr>
          <w:rtl w:val="true"/>
        </w:rPr>
        <w:t>المسألة الثانیة</w:t>
      </w:r>
      <w:r>
        <w:rPr>
          <w:rtl w:val="true"/>
        </w:rPr>
        <w:t xml:space="preserve">: </w:t>
      </w:r>
      <w:r>
        <w:rPr>
          <w:rtl w:val="true"/>
        </w:rPr>
        <w:t>وجوب الإتمام مع قصده الإقامة</w:t>
      </w:r>
      <w:bookmarkEnd w:id="925"/>
    </w:p>
    <w:p>
      <w:pPr>
        <w:pStyle w:val="BookText"/>
        <w:rPr/>
      </w:pPr>
      <w:r>
        <w:rPr>
          <w:rFonts w:ascii="IRNazanin" w:hAnsi="IRNazanin" w:eastAsia="IRNazanin"/>
          <w:color w:val="111111"/>
          <w:sz w:val="28"/>
          <w:sz w:val="28"/>
          <w:szCs w:val="28"/>
          <w:rtl w:val="true"/>
          <w:lang w:bidi="fa-IR"/>
        </w:rPr>
        <w:t>إنّ المسافر لو نوی الإقامة فی بلد عشرة أیّام متوالیات، أو کان له العلم بذلک و إن کان لا عن اختیار أتمّ فی صلاته، و الظاهر أنّه لا فرق فی هذا الحکم بین الصغیر و الکبیر، فإذا نوی الصبیّ إقامة عشرة أیّام متوالیات فی بلد و أراد التطوّع بالصلاة، یلزم أن یتمّ، کما صرّح به بعض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یشترط فی تحقّق الإقامة کونه مکلّفاً بالصلاة، فلو نوی الإقامة و هو غیر بالغ، ثمّ بلغ فی أثناء العشرة، وجب علیه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أراد التطوّع بالصلاة قبل البلوغ یصلّی تماماً</w:t>
      </w:r>
      <w:r>
        <w:rPr>
          <w:rFonts w:eastAsia="IRNazanin" w:cs="IRNazanin"/>
          <w:color w:val="111111"/>
          <w:sz w:val="28"/>
          <w:szCs w:val="28"/>
          <w:rtl w:val="true"/>
          <w:lang w:bidi="fa-IR"/>
        </w:rPr>
        <w:t>»</w:t>
      </w:r>
      <w:r>
        <w:rPr>
          <w:rStyle w:val="FootnoteAnchor"/>
          <w:rtl w:val="true"/>
        </w:rPr>
        <w:footnoteReference w:id="3173"/>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اختاره الأعلام من المعاصرین الذین علّقوا علیها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w:t>
      </w:r>
    </w:p>
    <w:p>
      <w:pPr>
        <w:pStyle w:val="BookText"/>
        <w:rPr/>
      </w:pPr>
      <w:r>
        <w:rPr>
          <w:rFonts w:ascii="IRNazanin" w:hAnsi="IRNazanin" w:eastAsia="IRNazanin"/>
          <w:color w:val="111111"/>
          <w:sz w:val="28"/>
          <w:sz w:val="28"/>
          <w:szCs w:val="28"/>
          <w:rtl w:val="true"/>
          <w:lang w:bidi="fa-IR"/>
        </w:rPr>
        <w:t>فی المستمسک</w:t>
      </w:r>
      <w:r>
        <w:rPr>
          <w:rStyle w:val="FootnoteAnchor"/>
          <w:rtl w:val="true"/>
        </w:rPr>
        <w:footnoteReference w:id="3174"/>
      </w:r>
      <w:r>
        <w:rPr>
          <w:rFonts w:ascii="IRNazanin" w:hAnsi="IRNazanin" w:eastAsia="IRNazanin"/>
          <w:color w:val="111111"/>
          <w:sz w:val="28"/>
          <w:sz w:val="28"/>
          <w:szCs w:val="28"/>
          <w:rtl w:val="true"/>
          <w:lang w:bidi="fa-IR"/>
        </w:rPr>
        <w:t>و المستند</w:t>
      </w:r>
      <w:r>
        <w:rPr>
          <w:rStyle w:val="FootnoteAnchor"/>
          <w:rtl w:val="true"/>
        </w:rPr>
        <w:footnoteReference w:id="3175"/>
      </w:r>
      <w:r>
        <w:rPr>
          <w:rFonts w:ascii="Amiri" w:hAnsi="Amiri" w:eastAsia="Amiri" w:cs="Amiri"/>
          <w:color w:val="111111"/>
          <w:sz w:val="28"/>
          <w:sz w:val="28"/>
          <w:szCs w:val="28"/>
          <w:rtl w:val="true"/>
          <w:lang w:bidi="ar-SA"/>
        </w:rPr>
        <w:t>و المهذّب</w:t>
      </w:r>
      <w:r>
        <w:rPr>
          <w:rStyle w:val="FootnoteAnchor"/>
          <w:rtl w:val="true"/>
        </w:rPr>
        <w:footnoteReference w:id="3176"/>
      </w:r>
      <w:r>
        <w:rPr>
          <w:rFonts w:ascii="IRNazanin" w:hAnsi="IRNazanin" w:eastAsia="IRNazanin"/>
          <w:color w:val="111111"/>
          <w:sz w:val="28"/>
          <w:sz w:val="28"/>
          <w:szCs w:val="28"/>
          <w:rtl w:val="true"/>
          <w:lang w:bidi="fa-IR"/>
        </w:rPr>
        <w:t>و غیرها</w:t>
      </w:r>
      <w:r>
        <w:rPr>
          <w:rStyle w:val="FootnoteAnchor"/>
          <w:rtl w:val="true"/>
        </w:rPr>
        <w:footnoteReference w:id="3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أیضاً إطلاق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من قدم بلدة إلی متی ینبغی له أن یکون مقصّراً؟ و متی ینبغی أن یتمّ؟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أرضاً فأیقنت أنّ لک بها مقام عشرة أیّام فأتمّ الصلاة</w:t>
      </w:r>
      <w:r>
        <w:rPr>
          <w:rFonts w:eastAsia="IRNazanin" w:cs="IRNazanin"/>
          <w:color w:val="111111"/>
          <w:sz w:val="28"/>
          <w:szCs w:val="28"/>
          <w:rtl w:val="true"/>
          <w:lang w:bidi="fa-IR"/>
        </w:rPr>
        <w:t>...»</w:t>
      </w:r>
      <w:r>
        <w:rPr>
          <w:rStyle w:val="FootnoteAnchor"/>
          <w:rtl w:val="true"/>
        </w:rPr>
        <w:footnoteReference w:id="3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جعفر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یدرکه شهر رمضان فی السفر، فیقیم الأیّام فی المکان، علیه صوم؟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یجمع علی مقام عشرة أیّام، و إذا أجمع علی مقام عشرة أیّام صام و أتمّ الصلاة</w:t>
      </w:r>
      <w:r>
        <w:rPr>
          <w:rFonts w:eastAsia="IRNazanin" w:cs="IRNazanin"/>
          <w:color w:val="111111"/>
          <w:sz w:val="28"/>
          <w:szCs w:val="28"/>
          <w:rtl w:val="true"/>
          <w:lang w:bidi="fa-IR"/>
        </w:rPr>
        <w:t>»</w:t>
      </w:r>
      <w:r>
        <w:rPr>
          <w:rStyle w:val="FootnoteAnchor"/>
          <w:rtl w:val="true"/>
        </w:rPr>
        <w:footnoteReference w:id="3179"/>
      </w:r>
      <w:r>
        <w:rPr>
          <w:rFonts w:ascii="IRNazanin" w:hAnsi="IRNazanin" w:eastAsia="IRNazanin"/>
          <w:color w:val="111111"/>
          <w:sz w:val="28"/>
          <w:sz w:val="28"/>
          <w:szCs w:val="28"/>
          <w:rtl w:val="true"/>
          <w:lang w:bidi="fa-IR"/>
        </w:rPr>
        <w:t>، و غیرها</w:t>
      </w:r>
      <w:r>
        <w:rPr>
          <w:rStyle w:val="FootnoteAnchor"/>
          <w:rtl w:val="true"/>
        </w:rPr>
        <w:footnoteReference w:id="3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عنوان الرجل فی السؤال فی بعض النصوص لا توجب الخصوصیّة؛ لأنّه من باب التمثیل، مضافاً إلی أنّ قاعدة الاشتراک توجب إلحاق کلّ من قصد الإقامة بالرجل، و لذا لا فرق بین الرجل و المرأة، و کذا الصبیّ، فإطلاقها یشمل الصبیّ بالتقریب المتقدّم فی المسألة الاُولی</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الإطلاق فی أدلّة الإقامة عدم الفرق فی تحقّقها بین من وجبت علیه الصلاة و من لم تجب علیه کغیر البالغ، فإنّ هذه الأدلّة بمثابة التخصیص فی أدلّة التقصیر، و إنّ المقیم خارج عن موضوع دلیل القصر بحیث</w:t>
      </w:r>
      <w:bookmarkStart w:id="926" w:name="pg11755_255452"/>
    </w:p>
    <w:p>
      <w:pPr>
        <w:pStyle w:val="BookText"/>
        <w:rPr/>
      </w:pPr>
      <w:bookmarkEnd w:id="926"/>
      <w:r>
        <w:rPr>
          <w:rFonts w:ascii="IRNazanin" w:hAnsi="IRNazanin" w:eastAsia="IRNazanin"/>
          <w:color w:val="111111"/>
          <w:sz w:val="28"/>
          <w:sz w:val="28"/>
          <w:szCs w:val="28"/>
          <w:rtl w:val="true"/>
          <w:lang w:bidi="fa-IR"/>
        </w:rPr>
        <w:t xml:space="preserve">لو خوطب بالصلاة، فإنّما یخاطب بها تماماً، و لکن لا علی نحو الوجوب، بل الاستحباب، فلو بلغ الصبیّ أثناء العشرة وجب التمام فی الباقی، کما یستحبّ له تماماً قبل البلوغ؛ لأنّ ناوی 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هو الرجل أو الصبیّ الممیّز أو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موضوع دلیل السفر، فمتی تمشّی منه القصد فهو محکوم بالتمام و إن منع فعلاً عن وجوبه مانع</w:t>
      </w:r>
      <w:r>
        <w:rPr>
          <w:rFonts w:eastAsia="IRNazanin" w:cs="IRNazanin"/>
          <w:color w:val="111111"/>
          <w:sz w:val="28"/>
          <w:szCs w:val="28"/>
          <w:rtl w:val="true"/>
          <w:lang w:bidi="fa-IR"/>
        </w:rPr>
        <w:t>.</w:t>
      </w:r>
    </w:p>
    <w:p>
      <w:pPr>
        <w:pStyle w:val="Heading6"/>
        <w:numPr>
          <w:ilvl w:val="5"/>
          <w:numId w:val="1"/>
        </w:numPr>
        <w:rPr/>
      </w:pPr>
      <w:bookmarkStart w:id="927" w:name="__RefHeading___Toc9587942_73709187"/>
      <w:bookmarkStart w:id="928" w:name="_Toc345"/>
      <w:bookmarkEnd w:id="927"/>
      <w:r>
        <w:rPr>
          <w:rtl w:val="true"/>
        </w:rPr>
        <w:t>رأی أهل السنّة فی المسألة</w:t>
      </w:r>
      <w:bookmarkEnd w:id="928"/>
    </w:p>
    <w:p>
      <w:pPr>
        <w:pStyle w:val="BookText"/>
        <w:rPr/>
      </w:pPr>
      <w:r>
        <w:rPr>
          <w:rFonts w:ascii="IRNazanin" w:hAnsi="IRNazanin" w:eastAsia="IRNazanin"/>
          <w:color w:val="111111"/>
          <w:sz w:val="28"/>
          <w:sz w:val="28"/>
          <w:szCs w:val="28"/>
          <w:rtl w:val="true"/>
          <w:lang w:bidi="fa-IR"/>
        </w:rPr>
        <w:t>إنّهم ذهبوا فی المسألة الاُولی إلی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الحنفیّة و بعض المالکیّة إلی وجوب إتمام الصلاة للصبیّ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الصنائع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الصبیّ و الکافر إذا خرجا إلی السفر فبقی إلی مقصدهما أقلّ من مدّة السفر، فأسلم الکافر و بلغ الصبیّ، فإن الصبیّ یصلّی أربعاً، و الکافر الذی أسلم یصلّی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أنّ قصد السفر صحیح من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الصبیّ فقصده السفر لم یصحّ، و حین أدرک لم یبقَ إلی مقصده مدّة السفر، فلا یصیر مسافراً ابتداءً</w:t>
      </w:r>
      <w:r>
        <w:rPr>
          <w:rFonts w:eastAsia="IRNazanin" w:cs="IRNazanin"/>
          <w:color w:val="111111"/>
          <w:sz w:val="28"/>
          <w:szCs w:val="28"/>
          <w:rtl w:val="true"/>
          <w:lang w:bidi="fa-IR"/>
        </w:rPr>
        <w:t>»</w:t>
      </w:r>
      <w:r>
        <w:rPr>
          <w:rStyle w:val="FootnoteAnchor"/>
          <w:rtl w:val="true"/>
        </w:rPr>
        <w:footnoteReference w:id="3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شرح فتح القدیر</w:t>
      </w:r>
      <w:r>
        <w:rPr>
          <w:rStyle w:val="FootnoteAnchor"/>
          <w:rtl w:val="true"/>
        </w:rPr>
        <w:footnoteReference w:id="3182"/>
      </w:r>
      <w:r>
        <w:rPr>
          <w:rFonts w:ascii="IRNazanin" w:hAnsi="IRNazanin" w:eastAsia="IRNazanin"/>
          <w:color w:val="111111"/>
          <w:sz w:val="28"/>
          <w:sz w:val="28"/>
          <w:szCs w:val="28"/>
          <w:rtl w:val="true"/>
          <w:lang w:bidi="fa-IR"/>
        </w:rPr>
        <w:t>و مواهب الجلیل</w:t>
      </w:r>
      <w:r>
        <w:rPr>
          <w:rStyle w:val="FootnoteAnchor"/>
          <w:rtl w:val="true"/>
        </w:rPr>
        <w:footnoteReference w:id="3183"/>
      </w:r>
    </w:p>
    <w:p>
      <w:pPr>
        <w:pStyle w:val="BookText"/>
        <w:rPr/>
      </w:pPr>
      <w:r>
        <w:rPr>
          <w:rFonts w:ascii="IRNazanin" w:hAnsi="IRNazanin" w:eastAsia="IRNazanin"/>
          <w:color w:val="111111"/>
          <w:sz w:val="28"/>
          <w:sz w:val="28"/>
          <w:szCs w:val="28"/>
          <w:rtl w:val="true"/>
          <w:lang w:bidi="fa-IR"/>
        </w:rPr>
        <w:t>و أحکام الصغار</w:t>
      </w:r>
      <w:r>
        <w:rPr>
          <w:rStyle w:val="FootnoteAnchor"/>
          <w:rtl w:val="true"/>
        </w:rPr>
        <w:footnoteReference w:id="3184"/>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الحنابلة و الشافعیّة إلی أنّ الصبیّ لو أراد أن یتطوّع بالصلاة</w:t>
      </w:r>
    </w:p>
    <w:p>
      <w:pPr>
        <w:pStyle w:val="BookText"/>
        <w:rPr/>
      </w:pPr>
      <w:r>
        <w:rPr>
          <w:rFonts w:ascii="IRNazanin" w:hAnsi="IRNazanin" w:eastAsia="IRNazanin"/>
          <w:color w:val="111111"/>
          <w:sz w:val="28"/>
          <w:sz w:val="28"/>
          <w:szCs w:val="28"/>
          <w:rtl w:val="true"/>
          <w:lang w:bidi="fa-IR"/>
        </w:rPr>
        <w:t>فی السفر 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کشّاف القناع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یقصّر من له قصد صحیح و نوی سفراً یبلغ المسافة و إن لم تلزمه الصلاة حال شروعه فی السفر، کحائض و مجنون و کافر و صبیّ ذکر أو انثی، تطهّر الحائض و یسلم الکافر و یفیق المجنون و یبلغ الصبیّ، و لو بقی بعد الطهر و الإسلام و الإفاقة و البلوغ دون مسافة قصّر؛ لأنّ عدم التکلیف لیس بمانع من القصر فی أوّل السفر</w:t>
      </w:r>
      <w:r>
        <w:rPr>
          <w:rFonts w:eastAsia="IRNazanin" w:cs="IRNazanin"/>
          <w:color w:val="111111"/>
          <w:sz w:val="28"/>
          <w:szCs w:val="28"/>
          <w:rtl w:val="true"/>
          <w:lang w:bidi="fa-IR"/>
        </w:rPr>
        <w:t>»</w:t>
      </w:r>
      <w:r>
        <w:rPr>
          <w:rStyle w:val="FootnoteAnchor"/>
          <w:rtl w:val="true"/>
        </w:rPr>
        <w:footnoteReference w:id="3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روضة الواعظین</w:t>
      </w:r>
      <w:r>
        <w:rPr>
          <w:rStyle w:val="FootnoteAnchor"/>
          <w:rtl w:val="true"/>
        </w:rPr>
        <w:footnoteReference w:id="3186"/>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الفقه علی المذاهب الأربعة</w:t>
      </w:r>
      <w:r>
        <w:rPr>
          <w:rStyle w:val="FootnoteAnchor"/>
          <w:rtl w:val="true"/>
        </w:rPr>
        <w:footnoteReference w:id="3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نعثر علی رأی لهم فی المسألة الثانیة</w:t>
      </w:r>
      <w:r>
        <w:rPr>
          <w:rFonts w:eastAsia="IRNazanin" w:cs="IRNazanin"/>
          <w:color w:val="111111"/>
          <w:sz w:val="28"/>
          <w:szCs w:val="28"/>
          <w:rtl w:val="true"/>
          <w:lang w:bidi="fa-IR"/>
        </w:rPr>
        <w:t>.</w:t>
      </w:r>
      <w:bookmarkStart w:id="929" w:name="pg11755_255456"/>
    </w:p>
    <w:p>
      <w:pPr>
        <w:pStyle w:val="Heading4"/>
        <w:numPr>
          <w:ilvl w:val="3"/>
          <w:numId w:val="1"/>
        </w:numPr>
        <w:rPr/>
      </w:pPr>
      <w:bookmarkStart w:id="930" w:name="__RefHeading___Toc9587944_73709187"/>
      <w:bookmarkStart w:id="931" w:name="_Toc346"/>
      <w:bookmarkEnd w:id="929"/>
      <w:bookmarkEnd w:id="930"/>
      <w:r>
        <w:rPr>
          <w:rtl w:val="true"/>
        </w:rPr>
        <w:t>المبحث العاشر</w:t>
      </w:r>
      <w:r>
        <w:rPr>
          <w:rtl w:val="true"/>
        </w:rPr>
        <w:t>:</w:t>
      </w:r>
      <w:r>
        <w:rPr>
          <w:rtl w:val="true"/>
        </w:rPr>
        <w:t>بلوغ الصبیّ فی أثناء وقت الصلاة</w:t>
      </w:r>
      <w:bookmarkEnd w:id="931"/>
    </w:p>
    <w:p>
      <w:pPr>
        <w:pStyle w:val="Heading5"/>
        <w:numPr>
          <w:ilvl w:val="4"/>
          <w:numId w:val="1"/>
        </w:numPr>
        <w:rPr/>
      </w:pPr>
      <w:bookmarkStart w:id="932" w:name="__RefHeading___Toc9587946_73709187"/>
      <w:bookmarkStart w:id="933" w:name="_Toc347"/>
      <w:bookmarkEnd w:id="932"/>
      <w:r>
        <w:rPr>
          <w:rtl w:val="true"/>
        </w:rPr>
        <w:t>اشارة</w:t>
      </w:r>
      <w:bookmarkEnd w:id="933"/>
    </w:p>
    <w:p>
      <w:pPr>
        <w:pStyle w:val="BookText"/>
        <w:rPr/>
      </w:pPr>
      <w:r>
        <w:rPr>
          <w:rFonts w:ascii="Amiri" w:hAnsi="Amiri" w:eastAsia="Amiri" w:cs="Amiri"/>
          <w:color w:val="111111"/>
          <w:sz w:val="28"/>
          <w:sz w:val="28"/>
          <w:szCs w:val="28"/>
          <w:rtl w:val="true"/>
          <w:lang w:bidi="ar-SA"/>
        </w:rPr>
        <w:t>و للمسألة صور</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9587948_73709187"/>
      <w:bookmarkStart w:id="935" w:name="_Toc348"/>
      <w:bookmarkEnd w:id="934"/>
      <w:r>
        <w:rPr>
          <w:rtl w:val="true"/>
        </w:rPr>
        <w:t>الصورة الاُولی</w:t>
      </w:r>
      <w:r>
        <w:rPr>
          <w:rtl w:val="true"/>
        </w:rPr>
        <w:t xml:space="preserve">: </w:t>
      </w:r>
      <w:r>
        <w:rPr>
          <w:rtl w:val="true"/>
        </w:rPr>
        <w:t>بلوغه فی ضیق الوقت</w:t>
      </w:r>
      <w:bookmarkEnd w:id="935"/>
    </w:p>
    <w:p>
      <w:pPr>
        <w:pStyle w:val="Heading6"/>
        <w:numPr>
          <w:ilvl w:val="5"/>
          <w:numId w:val="1"/>
        </w:numPr>
        <w:rPr/>
      </w:pPr>
      <w:bookmarkStart w:id="936" w:name="__RefHeading___Toc9587950_73709187"/>
      <w:bookmarkStart w:id="937" w:name="_Toc349"/>
      <w:bookmarkEnd w:id="936"/>
      <w:r>
        <w:rPr>
          <w:rtl w:val="true"/>
        </w:rPr>
        <w:t>اشارة</w:t>
      </w:r>
      <w:bookmarkEnd w:id="937"/>
    </w:p>
    <w:p>
      <w:pPr>
        <w:pStyle w:val="BookText"/>
        <w:rPr/>
      </w:pPr>
      <w:r>
        <w:rPr>
          <w:rFonts w:ascii="IRNazanin" w:hAnsi="IRNazanin" w:eastAsia="IRNazanin"/>
          <w:color w:val="111111"/>
          <w:sz w:val="28"/>
          <w:sz w:val="28"/>
          <w:szCs w:val="28"/>
          <w:rtl w:val="true"/>
          <w:lang w:bidi="fa-IR"/>
        </w:rPr>
        <w:t xml:space="preserve">إذا بلغ الصبیّ آخر وقت الفریضة، بحیث لم یتمکّن إلّا من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إتیان رکعة واحدة فی الوقت فقط، فهل یجب علیه إتیان الصلاة أداءً، أو قضاؤها جمیعاً، أو التوزیع؟ فیه أقوال</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 قضاءها جمیعاً، ذهب إلیه السیّد المرتضی علی ما حکاه فی الخلاف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المرتضی رحمه الله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یکون قاضیاً لجمیع الصلاة</w:t>
      </w:r>
      <w:r>
        <w:rPr>
          <w:rFonts w:eastAsia="IRNazanin" w:cs="IRNazanin"/>
          <w:color w:val="111111"/>
          <w:sz w:val="28"/>
          <w:szCs w:val="28"/>
          <w:rtl w:val="true"/>
          <w:lang w:bidi="fa-IR"/>
        </w:rPr>
        <w:t>»</w:t>
      </w:r>
      <w:r>
        <w:rPr>
          <w:rStyle w:val="FootnoteAnchor"/>
          <w:rtl w:val="true"/>
        </w:rPr>
        <w:footnoteReference w:id="3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حکاه عنه فی المختلف</w:t>
      </w:r>
      <w:r>
        <w:rPr>
          <w:rStyle w:val="FootnoteAnchor"/>
          <w:rtl w:val="true"/>
        </w:rPr>
        <w:footnoteReference w:id="3189"/>
      </w:r>
      <w:r>
        <w:rPr>
          <w:rFonts w:ascii="IRNazanin" w:hAnsi="IRNazanin" w:eastAsia="IRNazanin"/>
          <w:color w:val="111111"/>
          <w:sz w:val="28"/>
          <w:sz w:val="28"/>
          <w:szCs w:val="28"/>
          <w:rtl w:val="true"/>
          <w:lang w:bidi="fa-IR"/>
        </w:rPr>
        <w:t>و المدارک</w:t>
      </w:r>
      <w:r>
        <w:rPr>
          <w:rStyle w:val="FootnoteAnchor"/>
          <w:rtl w:val="true"/>
        </w:rPr>
        <w:footnoteReference w:id="3190"/>
      </w:r>
      <w:r>
        <w:rPr>
          <w:rFonts w:ascii="IRNazanin" w:hAnsi="IRNazanin" w:eastAsia="IRNazanin"/>
          <w:color w:val="111111"/>
          <w:sz w:val="28"/>
          <w:sz w:val="28"/>
          <w:szCs w:val="28"/>
          <w:rtl w:val="true"/>
          <w:lang w:bidi="fa-IR"/>
        </w:rPr>
        <w:t>و الحدائق</w:t>
      </w:r>
      <w:r>
        <w:rPr>
          <w:rStyle w:val="FootnoteAnchor"/>
          <w:rtl w:val="true"/>
        </w:rPr>
        <w:footnoteReference w:id="3191"/>
      </w:r>
    </w:p>
    <w:p>
      <w:pPr>
        <w:pStyle w:val="BookText"/>
        <w:rPr/>
      </w:pPr>
      <w:r>
        <w:rPr>
          <w:rFonts w:ascii="IRNazanin" w:hAnsi="IRNazanin" w:eastAsia="IRNazanin"/>
          <w:color w:val="111111"/>
          <w:sz w:val="28"/>
          <w:sz w:val="28"/>
          <w:szCs w:val="28"/>
          <w:rtl w:val="true"/>
          <w:lang w:bidi="fa-IR"/>
        </w:rPr>
        <w:t>و الجواهر</w:t>
      </w:r>
      <w:r>
        <w:rPr>
          <w:rStyle w:val="FootnoteAnchor"/>
          <w:rtl w:val="true"/>
        </w:rPr>
        <w:footnoteReference w:id="3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نسبه فی المبسوط إلی بعض الأصحاب من دون تعیین له</w:t>
      </w:r>
      <w:r>
        <w:rPr>
          <w:rStyle w:val="FootnoteAnchor"/>
          <w:rtl w:val="true"/>
        </w:rPr>
        <w:footnoteReference w:id="3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وجّهه فی المختلف</w:t>
      </w:r>
      <w:r>
        <w:rPr>
          <w:rStyle w:val="FootnoteAnchor"/>
          <w:rtl w:val="true"/>
        </w:rPr>
        <w:footnoteReference w:id="3194"/>
      </w:r>
      <w:r>
        <w:rPr>
          <w:rFonts w:ascii="IRNazanin" w:hAnsi="IRNazanin" w:eastAsia="IRNazanin"/>
          <w:color w:val="111111"/>
          <w:sz w:val="28"/>
          <w:sz w:val="28"/>
          <w:szCs w:val="28"/>
          <w:rtl w:val="true"/>
          <w:lang w:bidi="fa-IR"/>
        </w:rPr>
        <w:t>و المدارک</w:t>
      </w:r>
      <w:r>
        <w:rPr>
          <w:rStyle w:val="FootnoteAnchor"/>
          <w:rtl w:val="true"/>
        </w:rPr>
        <w:footnoteReference w:id="3195"/>
      </w:r>
      <w:r>
        <w:rPr>
          <w:rFonts w:ascii="IRNazanin" w:hAnsi="IRNazanin" w:eastAsia="IRNazanin"/>
          <w:color w:val="111111"/>
          <w:sz w:val="28"/>
          <w:sz w:val="28"/>
          <w:szCs w:val="28"/>
          <w:rtl w:val="true"/>
          <w:lang w:bidi="fa-IR"/>
        </w:rPr>
        <w:t>بأنّ أجزاء العبادة مقابلة لأجزاء الوقت، فالرکعة الاُولی قد فعلت فی آخر الوقت، و لیس ذلک وقتاً لها، فتکون قضاءً، و کذا باقی الرکعات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التوزیع بمعنی أنّ ما وقع فی الوقت یکون أداءً، و ما وقع فی خارجه یکون قضاءً، و هو قول بعض أهل السنّة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التوزیع فأظهر</w:t>
      </w:r>
      <w:r>
        <w:rPr>
          <w:rStyle w:val="FootnoteAnchor"/>
          <w:rtl w:val="true"/>
        </w:rPr>
        <w:footnoteReference w:id="3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نسبه فی المبسوط‌</w:t>
      </w:r>
      <w:r>
        <w:rPr>
          <w:rStyle w:val="FootnoteAnchor"/>
          <w:rtl w:val="true"/>
        </w:rPr>
        <w:footnoteReference w:id="3197"/>
      </w:r>
      <w:r>
        <w:rPr>
          <w:rFonts w:ascii="IRNazanin" w:hAnsi="IRNazanin" w:eastAsia="IRNazanin"/>
          <w:color w:val="111111"/>
          <w:sz w:val="28"/>
          <w:sz w:val="28"/>
          <w:szCs w:val="28"/>
          <w:rtl w:val="true"/>
          <w:lang w:bidi="fa-IR"/>
        </w:rPr>
        <w:t>و الحدائق إلی الأصحاب، و قال فی الأخیر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القول بالتوزیع فوجهه ظاهر، بمعنی أنّ ما صادف الوقت و وقع فیه یکون أداءً؛ لوجود معنی الأداء فیه، و ما وقع بعد خروجه یکون قضاءً؛ لأنّه لیس القضاء إلّا ما وقع بعد خروج وقته</w:t>
      </w:r>
      <w:r>
        <w:rPr>
          <w:rFonts w:eastAsia="IRNazanin" w:cs="IRNazanin"/>
          <w:color w:val="111111"/>
          <w:sz w:val="28"/>
          <w:szCs w:val="28"/>
          <w:rtl w:val="true"/>
          <w:lang w:bidi="fa-IR"/>
        </w:rPr>
        <w:t>»</w:t>
      </w:r>
      <w:r>
        <w:rPr>
          <w:rStyle w:val="FootnoteAnchor"/>
          <w:rtl w:val="true"/>
        </w:rPr>
        <w:footnoteReference w:id="3198"/>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فی المختلف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بالمنع من کونه قد فعل خارج الوقت؛ لأنّ إدراک الرکعة مقتض لإدراک الصلاة أجمع</w:t>
      </w:r>
      <w:r>
        <w:rPr>
          <w:rFonts w:eastAsia="IRNazanin" w:cs="IRNazanin"/>
          <w:color w:val="111111"/>
          <w:sz w:val="28"/>
          <w:szCs w:val="28"/>
          <w:rtl w:val="true"/>
          <w:lang w:bidi="fa-IR"/>
        </w:rPr>
        <w:t>»</w:t>
      </w:r>
      <w:r>
        <w:rPr>
          <w:rStyle w:val="FootnoteAnchor"/>
          <w:rtl w:val="true"/>
        </w:rPr>
        <w:footnoteReference w:id="3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الأدلّة فی أنّ دخول هذا الجزء موجب لدخول الجمیع لا العکس، و الاُولی و الثانیة وقعتا فی الوقت و ما هو بمنزلته شرعاً، فلا یقدح الصدق المزبور بعد کون المراد منه الوقت حقیقة، لا ما یشمل ما کان بمنزلته، و إلّا کان کاذباً، و من ذلک ظهر فساد التلفیق المزبور، بل یمکن دعوی عدم مشروعیّة مثله، ضرورة کون المستفاد من الأدلّة إمّا قضائیّة و إمّا أدائیّة</w:t>
      </w:r>
      <w:r>
        <w:rPr>
          <w:rFonts w:eastAsia="IRNazanin" w:cs="IRNazanin"/>
          <w:color w:val="111111"/>
          <w:sz w:val="28"/>
          <w:szCs w:val="28"/>
          <w:rtl w:val="true"/>
          <w:lang w:bidi="fa-IR"/>
        </w:rPr>
        <w:t>»</w:t>
      </w:r>
      <w:r>
        <w:rPr>
          <w:rStyle w:val="FootnoteAnchor"/>
          <w:rtl w:val="true"/>
        </w:rPr>
        <w:footnoteReference w:id="3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المشهور من أنّه یجب علیه إتیان الصلاة أداءً، و لو أهمل و لم یصلِّ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یطرأ إلی أن یمضی مقدار فعل الصلاة مع الطهارة مانع عقلی أو شرعی من الأعذار المانعة للتکلیف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الجامع للشرائع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طهرت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بلغ الصبیّ و قد بقی من الوقت قدر الطهارة و صلاة رکعة وجبت علیه</w:t>
      </w:r>
      <w:r>
        <w:rPr>
          <w:rFonts w:eastAsia="IRNazanin" w:cs="IRNazanin"/>
          <w:color w:val="111111"/>
          <w:sz w:val="28"/>
          <w:szCs w:val="28"/>
          <w:rtl w:val="true"/>
          <w:lang w:bidi="fa-IR"/>
        </w:rPr>
        <w:t>»</w:t>
      </w:r>
      <w:r>
        <w:rPr>
          <w:rStyle w:val="FootnoteAnchor"/>
          <w:rtl w:val="true"/>
        </w:rPr>
        <w:footnoteReference w:id="3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المبسوط‌</w:t>
      </w:r>
      <w:r>
        <w:rPr>
          <w:rStyle w:val="FootnoteAnchor"/>
          <w:rtl w:val="true"/>
        </w:rPr>
        <w:footnoteReference w:id="3202"/>
      </w:r>
      <w:r>
        <w:rPr>
          <w:rFonts w:ascii="IRNazanin" w:hAnsi="IRNazanin" w:eastAsia="IRNazanin"/>
          <w:color w:val="111111"/>
          <w:sz w:val="28"/>
          <w:sz w:val="28"/>
          <w:szCs w:val="28"/>
          <w:rtl w:val="true"/>
          <w:lang w:bidi="fa-IR"/>
        </w:rPr>
        <w:t>، و ادّعی علیه فی الخلاف إجماع الفرقة المحقّة</w:t>
      </w:r>
      <w:r>
        <w:rPr>
          <w:rStyle w:val="FootnoteAnchor"/>
          <w:rtl w:val="true"/>
        </w:rPr>
        <w:footnoteReference w:id="3203"/>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ابن إدریس</w:t>
      </w:r>
      <w:r>
        <w:rPr>
          <w:rStyle w:val="FootnoteAnchor"/>
          <w:rtl w:val="true"/>
        </w:rPr>
        <w:footnoteReference w:id="3204"/>
      </w:r>
      <w:r>
        <w:rPr>
          <w:rFonts w:ascii="Amiri" w:hAnsi="Amiri" w:eastAsia="Amiri" w:cs="Amiri"/>
          <w:color w:val="111111"/>
          <w:sz w:val="28"/>
          <w:sz w:val="28"/>
          <w:szCs w:val="28"/>
          <w:rtl w:val="true"/>
          <w:lang w:bidi="ar-SA"/>
        </w:rPr>
        <w:t>و المحقّق</w:t>
      </w:r>
      <w:r>
        <w:rPr>
          <w:rStyle w:val="FootnoteAnchor"/>
          <w:rtl w:val="true"/>
        </w:rPr>
        <w:footnoteReference w:id="3205"/>
      </w:r>
      <w:r>
        <w:rPr>
          <w:rFonts w:ascii="Amiri" w:hAnsi="Amiri" w:eastAsia="Amiri" w:cs="Amiri"/>
          <w:color w:val="111111"/>
          <w:sz w:val="28"/>
          <w:sz w:val="28"/>
          <w:szCs w:val="28"/>
          <w:rtl w:val="true"/>
          <w:lang w:bidi="ar-SA"/>
        </w:rPr>
        <w:t>و العلّامة</w:t>
      </w:r>
      <w:r>
        <w:rPr>
          <w:rStyle w:val="FootnoteAnchor"/>
          <w:rtl w:val="true"/>
        </w:rPr>
        <w:footnoteReference w:id="3206"/>
      </w:r>
      <w:r>
        <w:rPr>
          <w:rFonts w:ascii="IRNazanin" w:hAnsi="IRNazanin" w:eastAsia="IRNazanin"/>
          <w:color w:val="111111"/>
          <w:sz w:val="28"/>
          <w:sz w:val="28"/>
          <w:szCs w:val="28"/>
          <w:rtl w:val="true"/>
          <w:lang w:bidi="fa-IR"/>
        </w:rPr>
        <w:t>و الشهید</w:t>
      </w:r>
      <w:r>
        <w:rPr>
          <w:rStyle w:val="FootnoteAnchor"/>
          <w:rtl w:val="true"/>
        </w:rPr>
        <w:footnoteReference w:id="3207"/>
      </w:r>
      <w:r>
        <w:rPr>
          <w:rFonts w:ascii="Amiri" w:hAnsi="Amiri" w:eastAsia="Amiri" w:cs="Amiri"/>
          <w:color w:val="111111"/>
          <w:sz w:val="28"/>
          <w:sz w:val="28"/>
          <w:szCs w:val="28"/>
          <w:rtl w:val="true"/>
          <w:lang w:bidi="ar-SA"/>
        </w:rPr>
        <w:t>و المحقّق</w:t>
      </w:r>
      <w:bookmarkStart w:id="938" w:name="pg11755_255462"/>
    </w:p>
    <w:p>
      <w:pPr>
        <w:pStyle w:val="BookText"/>
        <w:rPr/>
      </w:pPr>
      <w:bookmarkEnd w:id="938"/>
      <w:r>
        <w:rPr>
          <w:rFonts w:ascii="IRNazanin" w:hAnsi="IRNazanin" w:eastAsia="IRNazanin"/>
          <w:color w:val="111111"/>
          <w:sz w:val="28"/>
          <w:sz w:val="28"/>
          <w:szCs w:val="28"/>
          <w:rtl w:val="true"/>
          <w:lang w:bidi="fa-IR"/>
        </w:rPr>
        <w:t>العاملی</w:t>
      </w:r>
      <w:r>
        <w:rPr>
          <w:rStyle w:val="FootnoteAnchor"/>
          <w:rtl w:val="true"/>
        </w:rPr>
        <w:footnoteReference w:id="3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الحدائق</w:t>
      </w:r>
      <w:r>
        <w:rPr>
          <w:rStyle w:val="FootnoteAnchor"/>
          <w:rtl w:val="true"/>
        </w:rPr>
        <w:footnoteReference w:id="3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کشف الغطاء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طهرت الحائض أو النفساء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بلغ الصبیّ و قد بقی من الوقت قدر الطهارة و رکعة وجبت الصلاة</w:t>
      </w:r>
      <w:r>
        <w:rPr>
          <w:rFonts w:eastAsia="IRNazanin" w:cs="IRNazanin"/>
          <w:color w:val="111111"/>
          <w:sz w:val="28"/>
          <w:szCs w:val="28"/>
          <w:rtl w:val="true"/>
          <w:lang w:bidi="fa-IR"/>
        </w:rPr>
        <w:t>»</w:t>
      </w:r>
      <w:r>
        <w:rPr>
          <w:rStyle w:val="FootnoteAnchor"/>
          <w:rtl w:val="true"/>
        </w:rPr>
        <w:footnoteReference w:id="3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الجواهر، و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الأظهر الأشهر، بل المشهور</w:t>
      </w:r>
      <w:r>
        <w:rPr>
          <w:rFonts w:eastAsia="IRNazanin" w:cs="IRNazanin"/>
          <w:color w:val="111111"/>
          <w:sz w:val="28"/>
          <w:szCs w:val="28"/>
          <w:rtl w:val="true"/>
          <w:lang w:bidi="fa-IR"/>
        </w:rPr>
        <w:t>»</w:t>
      </w:r>
      <w:r>
        <w:rPr>
          <w:rStyle w:val="FootnoteAnchor"/>
          <w:rtl w:val="true"/>
        </w:rPr>
        <w:footnoteReference w:id="3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العروة</w:t>
      </w:r>
      <w:r>
        <w:rPr>
          <w:rStyle w:val="FootnoteAnchor"/>
          <w:rtl w:val="true"/>
        </w:rPr>
        <w:footnoteReference w:id="3212"/>
      </w:r>
      <w:r>
        <w:rPr>
          <w:rFonts w:ascii="IRNazanin" w:hAnsi="IRNazanin" w:eastAsia="IRNazanin"/>
          <w:color w:val="111111"/>
          <w:sz w:val="28"/>
          <w:sz w:val="28"/>
          <w:szCs w:val="28"/>
          <w:rtl w:val="true"/>
          <w:lang w:bidi="fa-IR"/>
        </w:rPr>
        <w:t>، و اختاره الأعلام الذین علّقوا علیها</w:t>
      </w:r>
      <w:r>
        <w:rPr>
          <w:rStyle w:val="FootnoteAnchor"/>
          <w:rtl w:val="true"/>
        </w:rPr>
        <w:footnoteReference w:id="3213"/>
      </w:r>
      <w:r>
        <w:rPr>
          <w:rFonts w:ascii="IRNazanin" w:hAnsi="IRNazanin" w:eastAsia="IRNazanin"/>
          <w:color w:val="111111"/>
          <w:sz w:val="28"/>
          <w:sz w:val="28"/>
          <w:szCs w:val="28"/>
          <w:rtl w:val="true"/>
          <w:lang w:bidi="fa-IR"/>
        </w:rPr>
        <w:t>، و کذا فی المهذّب</w:t>
      </w:r>
      <w:r>
        <w:rPr>
          <w:rStyle w:val="FootnoteAnchor"/>
          <w:rtl w:val="true"/>
        </w:rPr>
        <w:footnoteReference w:id="3214"/>
      </w:r>
      <w:r>
        <w:rPr>
          <w:rFonts w:ascii="IRNazanin" w:hAnsi="IRNazanin" w:eastAsia="IRNazanin"/>
          <w:color w:val="111111"/>
          <w:sz w:val="28"/>
          <w:sz w:val="28"/>
          <w:szCs w:val="28"/>
          <w:rtl w:val="true"/>
          <w:lang w:bidi="fa-IR"/>
        </w:rPr>
        <w:t>و المستند</w:t>
      </w:r>
      <w:r>
        <w:rPr>
          <w:rStyle w:val="FootnoteAnchor"/>
          <w:rtl w:val="true"/>
        </w:rPr>
        <w:footnoteReference w:id="3215"/>
      </w:r>
      <w:r>
        <w:rPr>
          <w:rFonts w:ascii="IRNazanin" w:hAnsi="IRNazanin" w:eastAsia="IRNazanin"/>
          <w:color w:val="111111"/>
          <w:sz w:val="28"/>
          <w:sz w:val="28"/>
          <w:szCs w:val="28"/>
          <w:rtl w:val="true"/>
          <w:lang w:bidi="fa-IR"/>
        </w:rPr>
        <w:t>، و به قال الشیخ الفاضل اللنکرانی</w:t>
      </w:r>
      <w:r>
        <w:rPr>
          <w:rStyle w:val="FootnoteAnchor"/>
          <w:rtl w:val="true"/>
        </w:rPr>
        <w:footnoteReference w:id="3216"/>
      </w:r>
      <w:r>
        <w:rPr>
          <w:rFonts w:ascii="IRNazanin" w:hAnsi="IRNazanin" w:eastAsia="IRNazanin"/>
          <w:color w:val="111111"/>
          <w:sz w:val="28"/>
          <w:sz w:val="28"/>
          <w:szCs w:val="28"/>
          <w:rtl w:val="true"/>
          <w:lang w:bidi="fa-IR"/>
        </w:rPr>
        <w:t>، و کذا غیرهم</w:t>
      </w:r>
      <w:r>
        <w:rPr>
          <w:rStyle w:val="FootnoteAnchor"/>
          <w:rtl w:val="true"/>
        </w:rPr>
        <w:footnoteReference w:id="3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بلغ الصبیّ أو أفاق المجنون أو المغمی علیه فی الوقت وجب علیهم الأداء و إن لم یدرکوا إلّا مقدار رکعة مع الطهارة و لو کانت ترابیّة، و مع الترک یجب علیهم القضاء</w:t>
      </w:r>
      <w:r>
        <w:rPr>
          <w:rFonts w:eastAsia="IRNazanin" w:cs="IRNazanin"/>
          <w:color w:val="111111"/>
          <w:sz w:val="28"/>
          <w:szCs w:val="28"/>
          <w:rtl w:val="true"/>
          <w:lang w:bidi="fa-IR"/>
        </w:rPr>
        <w:t>...»</w:t>
      </w:r>
      <w:r>
        <w:rPr>
          <w:rStyle w:val="FootnoteAnchor"/>
          <w:rtl w:val="true"/>
        </w:rPr>
        <w:footnoteReference w:id="3218"/>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39" w:name="__RefHeading___Toc9587952_73709187"/>
      <w:bookmarkStart w:id="940" w:name="_Toc350"/>
      <w:bookmarkEnd w:id="939"/>
      <w:r>
        <w:rPr>
          <w:rtl w:val="true"/>
        </w:rPr>
        <w:t>أدلّة وجوب الصلاة علی الصبیّ لو بلغ فی أثناء الوقت</w:t>
      </w:r>
      <w:bookmarkEnd w:id="940"/>
    </w:p>
    <w:p>
      <w:pPr>
        <w:pStyle w:val="BookText"/>
        <w:rPr/>
      </w:pPr>
      <w:r>
        <w:rPr>
          <w:rFonts w:ascii="Amiri" w:hAnsi="Amiri" w:eastAsia="Amiri" w:cs="Amiri"/>
          <w:color w:val="111111"/>
          <w:sz w:val="28"/>
          <w:sz w:val="28"/>
          <w:szCs w:val="28"/>
          <w:rtl w:val="true"/>
          <w:lang w:bidi="ar-SA"/>
        </w:rPr>
        <w:t>یدلّ علی الحکم المذکور عمومات أدلّة التکالیف من الکتاب و السنّة، أمّا الکتاب فکقوله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الزوال</w:t>
      </w:r>
      <w:r>
        <w:rPr>
          <w:rStyle w:val="FootnoteAnchor"/>
          <w:rtl w:val="true"/>
        </w:rPr>
        <w:footnoteReference w:id="3219"/>
      </w:r>
      <w:r>
        <w:rPr>
          <w:rFonts w:ascii="IRNazanin" w:hAnsi="IRNazanin" w:eastAsia="IRNazanin"/>
          <w:color w:val="111111"/>
          <w:sz w:val="28"/>
          <w:sz w:val="28"/>
          <w:szCs w:val="28"/>
          <w:rtl w:val="true"/>
          <w:lang w:bidi="fa-IR"/>
        </w:rPr>
        <w:t>من الدّلک؛ لأنّ الناظر إلیها یدلک عینه لیدفع شعاعها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ظلمة اللیل، و ذلک حتّی یغیب الشفق،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اللیل إذا غاب الشفق</w:t>
      </w:r>
      <w:r>
        <w:rPr>
          <w:rFonts w:eastAsia="IRNazanin" w:cs="IRNazanin"/>
          <w:color w:val="111111"/>
          <w:sz w:val="28"/>
          <w:szCs w:val="28"/>
          <w:rtl w:val="true"/>
          <w:lang w:bidi="fa-IR"/>
        </w:rPr>
        <w:t>»</w:t>
      </w:r>
      <w:r>
        <w:rPr>
          <w:rStyle w:val="FootnoteAnchor"/>
          <w:rtl w:val="true"/>
        </w:rPr>
        <w:footnoteReference w:id="3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ظلمته</w:t>
      </w:r>
      <w:r>
        <w:rPr>
          <w:rStyle w:val="FootnoteAnchor"/>
          <w:rtl w:val="true"/>
        </w:rPr>
        <w:footnoteReference w:id="3221"/>
      </w:r>
      <w:r>
        <w:rPr>
          <w:rFonts w:ascii="IRNazanin" w:hAnsi="IRNazanin" w:eastAsia="IRNazanin"/>
          <w:color w:val="111111"/>
          <w:sz w:val="28"/>
          <w:sz w:val="28"/>
          <w:szCs w:val="28"/>
          <w:rtl w:val="true"/>
          <w:lang w:bidi="fa-IR"/>
        </w:rPr>
        <w:t>، و ذلک إنّما یکون فی نصف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اللام هنا للوقت،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لانتهاء الغایة، فیکون الوقت ممتدّاً من الزوال إلی نصف اللیل کما تدلّ علیه الروایة</w:t>
      </w:r>
      <w:r>
        <w:rPr>
          <w:rStyle w:val="FootnoteAnchor"/>
          <w:rtl w:val="true"/>
        </w:rPr>
        <w:footnoteReference w:id="3222"/>
      </w:r>
      <w:r>
        <w:rPr>
          <w:rFonts w:ascii="IRNazanin" w:hAnsi="IRNazanin" w:eastAsia="IRNazanin"/>
          <w:color w:val="111111"/>
          <w:sz w:val="28"/>
          <w:sz w:val="28"/>
          <w:szCs w:val="28"/>
          <w:rtl w:val="true"/>
          <w:lang w:bidi="fa-IR"/>
        </w:rPr>
        <w:t>، أو ذهاب الشفق علی الخلاف فی ذلک، و تکون الأربع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 العصر و المغرب و العشاء داخلة فی الآیة، و من المعلوم أنّ الصلوات الأربع یسعها بعض ذلک للأداء، فلم یبق إلّا أن یکون المراد اتّساع وقتها، بمعنی أنّ کلّ جزء منه صالح للأداء علی سبیل الوجوب و الأداء، کما فی کنز العرفان</w:t>
      </w:r>
      <w:r>
        <w:rPr>
          <w:rStyle w:val="FootnoteAnchor"/>
          <w:rtl w:val="true"/>
        </w:rPr>
        <w:footnoteReference w:id="3223"/>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فعموم الآیة یشمل من أدرک جمیع الرکعات فی الوقت أو بعض الرکعات حتّی الرکعة الواحدة، خرج عنه ما إذا أدرک أقلّ من رکعة للإجماع، فیبقی الباقی علی عمومه</w:t>
      </w:r>
      <w:r>
        <w:rPr>
          <w:rStyle w:val="FootnoteAnchor"/>
          <w:rtl w:val="true"/>
        </w:rPr>
        <w:footnoteReference w:id="3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طَرَفَیِ النَّهارِ وَ زُلَفاً مِنَ اللَّیْلِ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هی تدلّ علی ابتداء وجوب صلاة الفجر و انتهاء صلاة الظهرین؛ لأنّ النهار کالخطّ الذی له طرفان، فطرف الصبح أوّل طلوع الفجر، و طرف الظهرین عند غروب الشمس، کما وردت به الروایة</w:t>
      </w:r>
      <w:r>
        <w:rPr>
          <w:rStyle w:val="FootnoteAnchor"/>
          <w:rtl w:val="true"/>
        </w:rPr>
        <w:footnoteReference w:id="3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فوجوب صلاة الظهرین یستوعب کلّ جزء من أجزاء الزمان من أوّله إلی آخره، فإذا أمکن المکلّف أن یأتی رکعة فی الوقت وجب علیه إتیانها 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السنّة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صلاة وقتان، و أوّل الوقت أفضله، و لیس لأحد أن یجعل آخر الوقتین وقتاً إلّا فی عذر من غیر علّةٍ</w:t>
      </w:r>
      <w:r>
        <w:rPr>
          <w:rFonts w:eastAsia="IRNazanin" w:cs="IRNazanin"/>
          <w:color w:val="111111"/>
          <w:sz w:val="28"/>
          <w:szCs w:val="28"/>
          <w:rtl w:val="true"/>
          <w:lang w:bidi="fa-IR"/>
        </w:rPr>
        <w:t>»</w:t>
      </w:r>
      <w:r>
        <w:rPr>
          <w:rStyle w:val="FootnoteAnchor"/>
          <w:rtl w:val="true"/>
        </w:rPr>
        <w:footnoteReference w:id="3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وجهه ظاهر؛ لأنّ الصبیّ إذا بلغ فی أثناء الوقت فهو معذور بالنسبة إلی الوقت الأوّل؛ لعدم توجّه التکلیف إلیه، و أمّا بعد بلوغه فیجب علیه إتیان الصلاة فی آخر الوقتین و لو لم یبق إلّا مقدار رکعة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الوقت إلی اللّه عزّ و جلّ أوّله حین یدخل وقت الصّلاة فصلّ الفریضة، فإن لم تفعل فإنّک فی وقت منهما حتّی تغیب الشمس</w:t>
      </w:r>
      <w:r>
        <w:rPr>
          <w:rFonts w:eastAsia="IRNazanin" w:cs="IRNazanin"/>
          <w:color w:val="111111"/>
          <w:sz w:val="28"/>
          <w:szCs w:val="28"/>
          <w:rtl w:val="true"/>
          <w:lang w:bidi="fa-IR"/>
        </w:rPr>
        <w:t>»</w:t>
      </w:r>
      <w:r>
        <w:rPr>
          <w:rStyle w:val="FootnoteAnchor"/>
          <w:rtl w:val="true"/>
        </w:rPr>
        <w:footnoteReference w:id="3227"/>
      </w:r>
      <w:r>
        <w:rPr>
          <w:rFonts w:ascii="IRNazanin" w:hAnsi="IRNazanin" w:eastAsia="IRNazanin"/>
          <w:color w:val="111111"/>
          <w:sz w:val="28"/>
          <w:sz w:val="28"/>
          <w:szCs w:val="28"/>
          <w:rtl w:val="true"/>
          <w:lang w:bidi="fa-IR"/>
        </w:rPr>
        <w:t>بالتقریب المتقدّم</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الإنصاف أنّ دلالة ما تقدّم من الآیات و الروایات علی المدّعی خفیّ إلّا بضمیمة القاعدة المعروفة،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رکعة من الوقت فقد أدرک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ادّعی فی التذکرة الإجماع علی ذلک</w:t>
      </w:r>
      <w:r>
        <w:rPr>
          <w:rStyle w:val="FootnoteAnchor"/>
          <w:rtl w:val="true"/>
        </w:rPr>
        <w:footnoteReference w:id="3228"/>
      </w:r>
      <w:r>
        <w:rPr>
          <w:rFonts w:ascii="IRNazanin" w:hAnsi="IRNazanin" w:eastAsia="IRNazanin"/>
          <w:color w:val="111111"/>
          <w:sz w:val="28"/>
          <w:sz w:val="28"/>
          <w:szCs w:val="28"/>
          <w:rtl w:val="true"/>
          <w:lang w:bidi="fa-IR"/>
        </w:rPr>
        <w:t>، و فی المنتهی عدم الخلاف فیها</w:t>
      </w:r>
      <w:r>
        <w:rPr>
          <w:rStyle w:val="FootnoteAnchor"/>
          <w:rtl w:val="true"/>
        </w:rPr>
        <w:footnoteReference w:id="3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الجمهور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رکعة من الصلاة فقد أدرک الصلاة</w:t>
      </w:r>
      <w:r>
        <w:rPr>
          <w:rFonts w:eastAsia="IRNazanin" w:cs="IRNazanin"/>
          <w:color w:val="111111"/>
          <w:sz w:val="28"/>
          <w:szCs w:val="28"/>
          <w:rtl w:val="true"/>
          <w:lang w:bidi="fa-IR"/>
        </w:rPr>
        <w:t>»</w:t>
      </w:r>
      <w:r>
        <w:rPr>
          <w:rStyle w:val="FootnoteAnchor"/>
          <w:rtl w:val="true"/>
        </w:rPr>
        <w:footnoteReference w:id="3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أدرک رکعة من العصر قبل أن تغرب الشمس فقد أدرک العصر</w:t>
      </w:r>
      <w:r>
        <w:rPr>
          <w:rFonts w:eastAsia="IRNazanin" w:cs="IRNazanin"/>
          <w:color w:val="111111"/>
          <w:sz w:val="28"/>
          <w:szCs w:val="28"/>
          <w:rtl w:val="true"/>
          <w:lang w:bidi="fa-IR"/>
        </w:rPr>
        <w:t>»</w:t>
      </w:r>
      <w:r>
        <w:rPr>
          <w:rStyle w:val="FootnoteAnchor"/>
          <w:rtl w:val="true"/>
        </w:rPr>
        <w:footnoteReference w:id="3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طریق الأصحاب ما رواه الشیخ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من الغداة رکعة قبل طلوع الشمس فقد أدرک الغداة تامّة</w:t>
      </w:r>
      <w:r>
        <w:rPr>
          <w:rFonts w:eastAsia="IRNazanin" w:cs="IRNazanin"/>
          <w:color w:val="111111"/>
          <w:sz w:val="28"/>
          <w:szCs w:val="28"/>
          <w:rtl w:val="true"/>
          <w:lang w:bidi="fa-IR"/>
        </w:rPr>
        <w:t>»</w:t>
      </w:r>
      <w:r>
        <w:rPr>
          <w:rStyle w:val="FootnoteAnchor"/>
          <w:rtl w:val="true"/>
        </w:rPr>
        <w:footnoteReference w:id="3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عمّار الساباطی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صلّی رکعة من الغداة ثمّ طلعت الشمس فلیتمّ الصلاة و قد جازت صلاته</w:t>
      </w:r>
      <w:r>
        <w:rPr>
          <w:rFonts w:eastAsia="IRNazanin" w:cs="IRNazanin"/>
          <w:color w:val="111111"/>
          <w:sz w:val="28"/>
          <w:szCs w:val="28"/>
          <w:rtl w:val="true"/>
          <w:lang w:bidi="fa-IR"/>
        </w:rPr>
        <w:t>»</w:t>
      </w:r>
      <w:r>
        <w:rPr>
          <w:rStyle w:val="FootnoteAnchor"/>
          <w:rtl w:val="true"/>
        </w:rPr>
        <w:footnoteReference w:id="3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الروایات و إن ضعف سندها إلّا أنّ عمل الطائفة علیها، و لا معارض لها فیتعیّن العمل بها</w:t>
      </w:r>
      <w:r>
        <w:rPr>
          <w:rFonts w:eastAsia="IRNazanin" w:cs="IRNazanin"/>
          <w:color w:val="111111"/>
          <w:sz w:val="28"/>
          <w:szCs w:val="28"/>
          <w:rtl w:val="true"/>
          <w:lang w:bidi="fa-IR"/>
        </w:rPr>
        <w:t>»</w:t>
      </w:r>
      <w:r>
        <w:rPr>
          <w:rStyle w:val="FootnoteAnchor"/>
          <w:rtl w:val="true"/>
        </w:rPr>
        <w:footnoteReference w:id="3234"/>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الحائری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الفتوی المذکورة شهرة بین العلماء قدّس 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عدّ المسألة من المسلّمات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للخدشة فیما ذکرنا</w:t>
      </w:r>
    </w:p>
    <w:p>
      <w:pPr>
        <w:pStyle w:val="BookText"/>
        <w:rPr/>
      </w:pPr>
      <w:r>
        <w:rPr>
          <w:rFonts w:ascii="IRNazanin" w:hAnsi="IRNazanin" w:eastAsia="IRNazanin"/>
          <w:color w:val="111111"/>
          <w:sz w:val="28"/>
          <w:sz w:val="28"/>
          <w:szCs w:val="28"/>
          <w:rtl w:val="true"/>
          <w:lang w:bidi="fa-IR"/>
        </w:rPr>
        <w:t>من المدرک مجال</w:t>
      </w:r>
      <w:r>
        <w:rPr>
          <w:rFonts w:eastAsia="IRNazanin" w:cs="IRNazanin"/>
          <w:color w:val="111111"/>
          <w:sz w:val="28"/>
          <w:szCs w:val="28"/>
          <w:rtl w:val="true"/>
          <w:lang w:bidi="fa-IR"/>
        </w:rPr>
        <w:t>»</w:t>
      </w:r>
      <w:r>
        <w:rPr>
          <w:rStyle w:val="FootnoteAnchor"/>
          <w:rtl w:val="true"/>
        </w:rPr>
        <w:footnoteReference w:id="3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مصباح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یخفی علیک أنّ الخدشة فی مثل هذه الروایة المشهورة المعمول بها لدی الأصحاب قدیماً و حدیثاً، المعتضدة بالنصوص الخاصّة فی مثل هذا الفرع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یعلم وجود قائل بالخلاف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محلّها، فلا ینبغی الاستشکال فی لزوم الإتیان بالفریضة فی الصورة المفروضة</w:t>
      </w:r>
      <w:r>
        <w:rPr>
          <w:rFonts w:eastAsia="IRNazanin" w:cs="IRNazanin"/>
          <w:color w:val="111111"/>
          <w:sz w:val="28"/>
          <w:szCs w:val="28"/>
          <w:rtl w:val="true"/>
          <w:lang w:bidi="fa-IR"/>
        </w:rPr>
        <w:t>»</w:t>
      </w:r>
      <w:r>
        <w:rPr>
          <w:rStyle w:val="FootnoteAnchor"/>
          <w:rtl w:val="true"/>
        </w:rPr>
        <w:footnoteReference w:id="3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و إن کان بعض الروایات الواردة ضعیفاً إلّا أنّ الأخیرة الّتی وردت فی صلاة الغداة معتبرة، و بضمیمة القطع بعدم الفرق بینها و بین بقیة الصلوات یثبت الحکم فی جمیع الفرائض الیومیّة، فلا مجال للإشکال فی تمامیّة القاعدة و لا فی انطباقها علی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یشکل الأمر فی تطبیق الحدیث علی المقام بدعوی اختصاصها بما إذا کان الوقت فی حدّ ذاتها واسعاً و صالحاً لتوجّه التکلیف فیه، سوی أنّ المکلّف لم یدرک منه إلّا بمقدار رکعة؛ لمسامحته فی الامتثال أو لغیر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الوقت فی حدّ ذاته ضیّقاً لا یسع الفعل کما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قبل ارتفاع العذر لا تکلیف علی الفرض، فلا عبرة بالسعة فی ذلک، و بعد ارتفاعه لا یسع الزمان لوقوع العمل، لقصوره طبعاً لا لأجل عدم إدراک المکلّف منه إلّا ذلک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للاستناد إلی الحدیث فیه</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فیشکل الأمر فی الأداء فضلاً عن القضاء؛ لامتناع تعلّق التکلیف</w:t>
      </w:r>
      <w:bookmarkStart w:id="941" w:name="pg11755_255472"/>
    </w:p>
    <w:p>
      <w:pPr>
        <w:pStyle w:val="BookText"/>
        <w:rPr/>
      </w:pPr>
      <w:bookmarkEnd w:id="941"/>
      <w:r>
        <w:rPr>
          <w:rFonts w:ascii="IRNazanin" w:hAnsi="IRNazanin" w:eastAsia="IRNazanin"/>
          <w:color w:val="111111"/>
          <w:sz w:val="28"/>
          <w:sz w:val="28"/>
          <w:szCs w:val="28"/>
          <w:rtl w:val="true"/>
          <w:lang w:bidi="fa-IR"/>
        </w:rPr>
        <w:t>بعمل فی زمان أقصر منه و أقلّ، فإنّه من التکلیف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قصور فی الوقت بحسب الذات لامتداده بحسب طبعه، غیر أنّ المکلّف لأجل بعض العوارض و الملابسات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کالصِّغَر و الجنون و الإغماء و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من إدراک الوقت المذکور إلّا بمقدار لا یسع تمام العمل، ففی أمثال هذه الموارد إذا ارتفع العذر فی وقت لم یسع إلّا مقدار رکعة، یصدق علیه حینئذٍ أنّه لم یدرک الوقت کلّه و إنّما أدرک بعضه؛ لأنّ المانع إنّما تحقّق من ناحیة العبد لا من ناحیة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لا مانع من شمول الحدیث للمقام؛ لانطباق موضوعه علیه، و بعد الشمول المقتضی للتوسعة فی الوقت و لو تعبّداً یخرج التکلیف عن کونه تکلیفاً بما لا یطاق؛ لفرض قدرته حینئذٍ علی الامتثال، لکن فی الوقت الثانوی المضروب له بمقتضی الحدیث، فیتّجه الأمر بالأداء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الفوت یثبت علیه القضاء أیضاً، کما فی المستند</w:t>
      </w:r>
      <w:r>
        <w:rPr>
          <w:rStyle w:val="FootnoteAnchor"/>
          <w:rtl w:val="true"/>
        </w:rPr>
        <w:footnoteReference w:id="32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2" w:name="__RefHeading___Toc9587954_73709187"/>
      <w:bookmarkStart w:id="943" w:name="_Toc351"/>
      <w:bookmarkEnd w:id="942"/>
      <w:r>
        <w:rPr>
          <w:rtl w:val="true"/>
        </w:rPr>
        <w:t>فرع</w:t>
      </w:r>
      <w:bookmarkEnd w:id="943"/>
    </w:p>
    <w:p>
      <w:pPr>
        <w:pStyle w:val="BookText"/>
        <w:rPr/>
      </w:pPr>
      <w:r>
        <w:rPr>
          <w:rFonts w:ascii="IRNazanin" w:hAnsi="IRNazanin" w:eastAsia="IRNazanin"/>
          <w:color w:val="111111"/>
          <w:sz w:val="28"/>
          <w:sz w:val="28"/>
          <w:szCs w:val="28"/>
          <w:rtl w:val="true"/>
          <w:lang w:bidi="fa-IR"/>
        </w:rPr>
        <w:t>قال فی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تظهر فائدة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الخلاف فی الأقوال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النیّة</w:t>
      </w:r>
      <w:r>
        <w:rPr>
          <w:rFonts w:eastAsia="IRNazanin" w:cs="IRNazanin"/>
          <w:color w:val="111111"/>
          <w:sz w:val="28"/>
          <w:szCs w:val="28"/>
          <w:rtl w:val="true"/>
          <w:lang w:bidi="fa-IR"/>
        </w:rPr>
        <w:t>»</w:t>
      </w:r>
      <w:r>
        <w:rPr>
          <w:rStyle w:val="FootnoteAnchor"/>
          <w:rtl w:val="true"/>
        </w:rPr>
        <w:footnoteReference w:id="3238"/>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ثمرة لهذا الخلاف و لا أثر یترتّب علی هذا الاختلاف؛ إذ المستفاد من الأخبار هو صحّة الصلاة علی الوجه المذکور، و عدم وجوب</w:t>
      </w:r>
      <w:bookmarkStart w:id="944" w:name="pg11755_255474"/>
    </w:p>
    <w:p>
      <w:pPr>
        <w:pStyle w:val="BookText"/>
        <w:rPr/>
      </w:pPr>
      <w:bookmarkEnd w:id="944"/>
      <w:r>
        <w:rPr>
          <w:rFonts w:ascii="IRNazanin" w:hAnsi="IRNazanin" w:eastAsia="IRNazanin"/>
          <w:color w:val="111111"/>
          <w:sz w:val="28"/>
          <w:sz w:val="28"/>
          <w:szCs w:val="28"/>
          <w:rtl w:val="true"/>
          <w:lang w:bidi="fa-IR"/>
        </w:rPr>
        <w:t>القضاء بعد ذلک، و أمّا کونها أداءً أو قضاءً أو موزّعة فلا یظهر له أثر من تلک الأخبار، و هذه الفائدة التی اتّفقوا علیها إنّما یتمّ التفریع بها لو قام الدلیل علی وجوب نیّة الأداء فی ما کان أداء و القضاء فی ما کان قضاءً، و الحال أنّه لا دلیل علی ذلک سوی مجرّد اعتبارات ذکروها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لتأسیس الأحکام الشرعیّة</w:t>
      </w:r>
      <w:r>
        <w:rPr>
          <w:rFonts w:eastAsia="IRNazanin" w:cs="IRNazanin"/>
          <w:color w:val="111111"/>
          <w:sz w:val="28"/>
          <w:szCs w:val="28"/>
          <w:rtl w:val="true"/>
          <w:lang w:bidi="fa-IR"/>
        </w:rPr>
        <w:t>»</w:t>
      </w:r>
      <w:r>
        <w:rPr>
          <w:rStyle w:val="FootnoteAnchor"/>
          <w:rtl w:val="true"/>
        </w:rPr>
        <w:footnoteReference w:id="3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 هذا فی الجواهر</w:t>
      </w:r>
      <w:r>
        <w:rPr>
          <w:rStyle w:val="FootnoteAnchor"/>
          <w:rtl w:val="true"/>
        </w:rPr>
        <w:footnoteReference w:id="32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5" w:name="__RefHeading___Toc9587956_73709187"/>
      <w:bookmarkStart w:id="946" w:name="_Toc352"/>
      <w:bookmarkEnd w:id="945"/>
      <w:r>
        <w:rPr>
          <w:rtl w:val="true"/>
        </w:rPr>
        <w:t>آراء أهل السنّة فی المقام</w:t>
      </w:r>
      <w:bookmarkEnd w:id="946"/>
    </w:p>
    <w:p>
      <w:pPr>
        <w:pStyle w:val="BookText"/>
        <w:rPr/>
      </w:pPr>
      <w:r>
        <w:rPr>
          <w:rFonts w:ascii="IRNazanin" w:hAnsi="IRNazanin" w:eastAsia="IRNazanin"/>
          <w:color w:val="111111"/>
          <w:sz w:val="28"/>
          <w:sz w:val="28"/>
          <w:szCs w:val="28"/>
          <w:rtl w:val="true"/>
          <w:lang w:bidi="fa-IR"/>
        </w:rPr>
        <w:t>ذهب جمهور الفقهاء من الشافعیّة و المالکیّة و الحنابلة إلی أنّ الصبیّ إذا بلغ فی آخر الوقت و أدرک قدر رکعة فی الوقت وجب علیه إتیان الصلاة 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بقی من وقت الصلاة قدر رکعة لزمه فرض الوقت؛ لما روی أبو هریرة أنّ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رکعة من الصبح قبل أن تطلع الشمس فقد أدرک الصبح، و من أدرک رکعة من العصر قبل أن تغرب الشمس فقد أدرک العصر</w:t>
      </w:r>
      <w:r>
        <w:rPr>
          <w:rFonts w:eastAsia="IRNazanin" w:cs="IRNazanin"/>
          <w:color w:val="111111"/>
          <w:sz w:val="28"/>
          <w:szCs w:val="28"/>
          <w:rtl w:val="true"/>
          <w:lang w:bidi="fa-IR"/>
        </w:rPr>
        <w:t>...»</w:t>
      </w:r>
      <w:r>
        <w:rPr>
          <w:rStyle w:val="FootnoteAnchor"/>
          <w:rtl w:val="true"/>
        </w:rPr>
        <w:footnoteReference w:id="3241"/>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r>
        <w:rPr>
          <w:rStyle w:val="FootnoteAnchor"/>
          <w:rtl w:val="true"/>
        </w:rPr>
        <w:footnoteReference w:id="3242"/>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المغنی،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أعلم فی هذا خلافاً</w:t>
      </w:r>
      <w:r>
        <w:rPr>
          <w:rStyle w:val="FootnoteAnchor"/>
          <w:rtl w:val="true"/>
        </w:rPr>
        <w:footnoteReference w:id="3243"/>
      </w:r>
      <w:r>
        <w:rPr>
          <w:rFonts w:ascii="IRNazanin" w:hAnsi="IRNazanin" w:eastAsia="IRNazanin"/>
          <w:color w:val="111111"/>
          <w:sz w:val="28"/>
          <w:sz w:val="28"/>
          <w:szCs w:val="28"/>
          <w:rtl w:val="true"/>
          <w:lang w:bidi="fa-IR"/>
        </w:rPr>
        <w:t>، و به قال فی المجموع</w:t>
      </w:r>
      <w:r>
        <w:rPr>
          <w:rStyle w:val="FootnoteAnchor"/>
          <w:rtl w:val="true"/>
        </w:rPr>
        <w:footnoteReference w:id="3244"/>
      </w:r>
      <w:r>
        <w:rPr>
          <w:rFonts w:ascii="IRNazanin" w:hAnsi="IRNazanin" w:eastAsia="IRNazanin"/>
          <w:color w:val="111111"/>
          <w:sz w:val="28"/>
          <w:sz w:val="28"/>
          <w:szCs w:val="28"/>
          <w:rtl w:val="true"/>
          <w:lang w:bidi="fa-IR"/>
        </w:rPr>
        <w:t>،</w:t>
      </w:r>
      <w:bookmarkStart w:id="947" w:name="pg11755_255477"/>
    </w:p>
    <w:p>
      <w:pPr>
        <w:pStyle w:val="BookText"/>
        <w:rPr/>
      </w:pPr>
      <w:bookmarkEnd w:id="947"/>
      <w:r>
        <w:rPr>
          <w:rFonts w:ascii="IRNazanin" w:hAnsi="IRNazanin" w:eastAsia="IRNazanin"/>
          <w:color w:val="111111"/>
          <w:sz w:val="28"/>
          <w:sz w:val="28"/>
          <w:szCs w:val="28"/>
          <w:rtl w:val="true"/>
          <w:lang w:bidi="fa-IR"/>
        </w:rPr>
        <w:t>و الإنصاف</w:t>
      </w:r>
      <w:r>
        <w:rPr>
          <w:rStyle w:val="FootnoteAnchor"/>
          <w:rtl w:val="true"/>
        </w:rPr>
        <w:footnoteReference w:id="3245"/>
      </w:r>
      <w:r>
        <w:rPr>
          <w:rFonts w:ascii="Amiri" w:hAnsi="Amiri" w:eastAsia="Amiri" w:cs="Amiri"/>
          <w:color w:val="111111"/>
          <w:sz w:val="28"/>
          <w:sz w:val="28"/>
          <w:szCs w:val="28"/>
          <w:rtl w:val="true"/>
          <w:lang w:bidi="ar-SA"/>
        </w:rPr>
        <w:t>و الکواکب الدرّیّة</w:t>
      </w:r>
      <w:r>
        <w:rPr>
          <w:rStyle w:val="FootnoteAnchor"/>
          <w:rtl w:val="true"/>
        </w:rPr>
        <w:footnoteReference w:id="3246"/>
      </w:r>
      <w:r>
        <w:rPr>
          <w:rFonts w:ascii="IRNazanin" w:hAnsi="IRNazanin" w:eastAsia="IRNazanin"/>
          <w:color w:val="111111"/>
          <w:sz w:val="28"/>
          <w:sz w:val="28"/>
          <w:szCs w:val="28"/>
          <w:rtl w:val="true"/>
          <w:lang w:bidi="fa-IR"/>
        </w:rPr>
        <w:t>و حاشیة الدسوقی</w:t>
      </w:r>
      <w:r>
        <w:rPr>
          <w:rStyle w:val="FootnoteAnchor"/>
          <w:rtl w:val="true"/>
        </w:rPr>
        <w:footnoteReference w:id="3247"/>
      </w:r>
      <w:r>
        <w:rPr>
          <w:rFonts w:ascii="IRNazanin" w:hAnsi="IRNazanin" w:eastAsia="IRNazanin"/>
          <w:color w:val="111111"/>
          <w:sz w:val="28"/>
          <w:sz w:val="28"/>
          <w:szCs w:val="28"/>
          <w:rtl w:val="true"/>
          <w:lang w:bidi="fa-IR"/>
        </w:rPr>
        <w:t>و غیرها</w:t>
      </w:r>
      <w:r>
        <w:rPr>
          <w:rStyle w:val="FootnoteAnchor"/>
          <w:rtl w:val="true"/>
        </w:rPr>
        <w:footnoteReference w:id="3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 الحنفیّة فی المسألة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الکرخی و أکثر المحقّقین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یتعلّق بآخر الوقت بمقدار التحریمة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إلّا إذا بقی من الوقت مقدار ما یؤدّی فیه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بنی علی هذا الأصل الحائض إذا طهرت فی آخر الوقت و بلغ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قول زفر و من تابعه من أصحابنا لا یجب الفرض و لا یتعیّن، إلّا إذا بقی من الوقت مقدار ما یمکن فیه الأداء، و علی القول المختار یجب الفرض و یتعیّن الأداء و إن بقی مقدار ما یسع التحریمة فقط‌</w:t>
      </w:r>
      <w:r>
        <w:rPr>
          <w:rStyle w:val="FootnoteAnchor"/>
          <w:rtl w:val="true"/>
        </w:rPr>
        <w:footnoteReference w:id="3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8" w:name="__RefHeading___Toc9587958_73709187"/>
      <w:bookmarkStart w:id="949" w:name="_Toc353"/>
      <w:bookmarkEnd w:id="948"/>
      <w:r>
        <w:rPr>
          <w:rtl w:val="true"/>
        </w:rPr>
        <w:t>الصورة الثانیة</w:t>
      </w:r>
      <w:r>
        <w:rPr>
          <w:rtl w:val="true"/>
        </w:rPr>
        <w:t xml:space="preserve">: </w:t>
      </w:r>
      <w:r>
        <w:rPr>
          <w:rtl w:val="true"/>
        </w:rPr>
        <w:t>بلوغ الصبیّ فی أثناء الصلاة</w:t>
      </w:r>
      <w:bookmarkEnd w:id="949"/>
    </w:p>
    <w:p>
      <w:pPr>
        <w:pStyle w:val="Heading6"/>
        <w:numPr>
          <w:ilvl w:val="5"/>
          <w:numId w:val="1"/>
        </w:numPr>
        <w:rPr/>
      </w:pPr>
      <w:bookmarkStart w:id="950" w:name="__RefHeading___Toc9587960_73709187"/>
      <w:bookmarkStart w:id="951" w:name="_Toc354"/>
      <w:bookmarkEnd w:id="950"/>
      <w:r>
        <w:rPr>
          <w:rtl w:val="true"/>
        </w:rPr>
        <w:t>اشارة</w:t>
      </w:r>
      <w:bookmarkEnd w:id="951"/>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بلغ الصبیّ المتطوّع بالصلاة فی أثنائها بما لا یبطل الطهارة کبلوغه بکمال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الوقت باقیاً بحیث یسع رکعة فصاعداً، فهل یحکم بصحّة طهارته و یجب علیه إتمام الصلاة، أو یجب قطعها و استیناف الطهارة و الصلاة؟ قولان</w:t>
      </w:r>
      <w:r>
        <w:rPr>
          <w:rFonts w:eastAsia="IRNazanin" w:cs="IRNazanin"/>
          <w:color w:val="111111"/>
          <w:sz w:val="28"/>
          <w:szCs w:val="28"/>
          <w:rtl w:val="true"/>
          <w:lang w:bidi="fa-IR"/>
        </w:rPr>
        <w:t>:</w:t>
      </w:r>
      <w:bookmarkStart w:id="952" w:name="pg11755_255479"/>
    </w:p>
    <w:p>
      <w:pPr>
        <w:pStyle w:val="Heading6"/>
        <w:numPr>
          <w:ilvl w:val="5"/>
          <w:numId w:val="1"/>
        </w:numPr>
        <w:rPr/>
      </w:pPr>
      <w:bookmarkStart w:id="953" w:name="__RefHeading___Toc9587962_73709187"/>
      <w:bookmarkStart w:id="954" w:name="_Toc355"/>
      <w:bookmarkEnd w:id="952"/>
      <w:bookmarkEnd w:id="953"/>
      <w:r>
        <w:rPr>
          <w:rtl w:val="true"/>
        </w:rPr>
        <w:t>القول الأوّل</w:t>
      </w:r>
      <w:r>
        <w:rPr>
          <w:rtl w:val="true"/>
        </w:rPr>
        <w:t xml:space="preserve">: </w:t>
      </w:r>
      <w:r>
        <w:rPr>
          <w:rtl w:val="true"/>
        </w:rPr>
        <w:t>وجوب إعادة الطهارة و الصلاة</w:t>
      </w:r>
      <w:bookmarkEnd w:id="954"/>
    </w:p>
    <w:p>
      <w:pPr>
        <w:pStyle w:val="BookText"/>
        <w:rPr/>
      </w:pPr>
      <w:r>
        <w:rPr>
          <w:rFonts w:ascii="IRNazanin" w:hAnsi="IRNazanin" w:eastAsia="IRNazanin"/>
          <w:color w:val="111111"/>
          <w:sz w:val="28"/>
          <w:sz w:val="28"/>
          <w:szCs w:val="28"/>
          <w:rtl w:val="true"/>
          <w:lang w:bidi="fa-IR"/>
        </w:rPr>
        <w:t>ذهب إلیه الشیخ فی الخلاف،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إذا دخل فی الصلاة أو الصوم ثمّ بلغ فی خلال الصلاة أو خلال الصوم بالنهار بما لا یفسد الصلاة، من کمال خمس عشر سنة أو الإنبات دون الاحتلام الذی یفسد الصلاة، ینظر فیه، فإن کان الوقت باقیاً أعاد الصلاة من أوّلها، و إن کان ماضیاً لم یکن علیه شیء</w:t>
      </w:r>
      <w:r>
        <w:rPr>
          <w:rFonts w:eastAsia="IRNazanin" w:cs="IRNazanin"/>
          <w:color w:val="111111"/>
          <w:sz w:val="28"/>
          <w:szCs w:val="28"/>
          <w:rtl w:val="true"/>
          <w:lang w:bidi="fa-IR"/>
        </w:rPr>
        <w:t>»</w:t>
      </w:r>
      <w:r>
        <w:rPr>
          <w:rStyle w:val="FootnoteAnchor"/>
          <w:rtl w:val="true"/>
        </w:rPr>
        <w:footnoteReference w:id="3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الجامع للشرائع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بلغ فی خلال الصلاة و الوقت باقٍ وجب علیه قطعها و استئناف طهارة و صلاة؛ لأنّ ما فعله لم یکن واجباً، فلا تجزی عن الواجب</w:t>
      </w:r>
      <w:r>
        <w:rPr>
          <w:rFonts w:eastAsia="IRNazanin" w:cs="IRNazanin"/>
          <w:color w:val="111111"/>
          <w:sz w:val="28"/>
          <w:szCs w:val="28"/>
          <w:rtl w:val="true"/>
          <w:lang w:bidi="fa-IR"/>
        </w:rPr>
        <w:t>»</w:t>
      </w:r>
      <w:r>
        <w:rPr>
          <w:rStyle w:val="FootnoteAnchor"/>
          <w:rtl w:val="true"/>
        </w:rPr>
        <w:footnoteReference w:id="3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الشرائع</w:t>
      </w:r>
      <w:r>
        <w:rPr>
          <w:rStyle w:val="FootnoteAnchor"/>
          <w:rtl w:val="true"/>
        </w:rPr>
        <w:footnoteReference w:id="3252"/>
      </w:r>
      <w:r>
        <w:rPr>
          <w:rFonts w:ascii="IRNazanin" w:hAnsi="IRNazanin" w:eastAsia="IRNazanin"/>
          <w:color w:val="111111"/>
          <w:sz w:val="28"/>
          <w:sz w:val="28"/>
          <w:szCs w:val="28"/>
          <w:rtl w:val="true"/>
          <w:lang w:bidi="fa-IR"/>
        </w:rPr>
        <w:t>و البیان</w:t>
      </w:r>
      <w:r>
        <w:rPr>
          <w:rStyle w:val="FootnoteAnchor"/>
          <w:rtl w:val="true"/>
        </w:rPr>
        <w:footnoteReference w:id="3253"/>
      </w:r>
      <w:r>
        <w:rPr>
          <w:rFonts w:ascii="IRNazanin" w:hAnsi="IRNazanin" w:eastAsia="IRNazanin"/>
          <w:color w:val="111111"/>
          <w:sz w:val="28"/>
          <w:sz w:val="28"/>
          <w:szCs w:val="28"/>
          <w:rtl w:val="true"/>
          <w:lang w:bidi="fa-IR"/>
        </w:rPr>
        <w:t>و الذکری‌</w:t>
      </w:r>
      <w:r>
        <w:rPr>
          <w:rStyle w:val="FootnoteAnchor"/>
          <w:rtl w:val="true"/>
        </w:rPr>
        <w:footnoteReference w:id="3254"/>
      </w:r>
      <w:r>
        <w:rPr>
          <w:rFonts w:ascii="IRNazanin" w:hAnsi="IRNazanin" w:eastAsia="IRNazanin"/>
          <w:color w:val="111111"/>
          <w:sz w:val="28"/>
          <w:sz w:val="28"/>
          <w:szCs w:val="28"/>
          <w:rtl w:val="true"/>
          <w:lang w:bidi="fa-IR"/>
        </w:rPr>
        <w:t>و القواعد</w:t>
      </w:r>
      <w:r>
        <w:rPr>
          <w:rStyle w:val="FootnoteAnchor"/>
          <w:rtl w:val="true"/>
        </w:rPr>
        <w:footnoteReference w:id="3255"/>
      </w:r>
      <w:r>
        <w:rPr>
          <w:rFonts w:ascii="IRNazanin" w:hAnsi="IRNazanin" w:eastAsia="IRNazanin"/>
          <w:color w:val="111111"/>
          <w:sz w:val="28"/>
          <w:sz w:val="28"/>
          <w:szCs w:val="28"/>
          <w:rtl w:val="true"/>
          <w:lang w:bidi="fa-IR"/>
        </w:rPr>
        <w:t>و التحریر</w:t>
      </w:r>
      <w:r>
        <w:rPr>
          <w:rStyle w:val="FootnoteAnchor"/>
          <w:rtl w:val="true"/>
        </w:rPr>
        <w:footnoteReference w:id="3256"/>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التذکرة</w:t>
      </w:r>
      <w:r>
        <w:rPr>
          <w:rStyle w:val="FootnoteAnchor"/>
          <w:rtl w:val="true"/>
        </w:rPr>
        <w:footnoteReference w:id="3257"/>
      </w:r>
      <w:r>
        <w:rPr>
          <w:rFonts w:ascii="IRNazanin" w:hAnsi="IRNazanin" w:eastAsia="IRNazanin"/>
          <w:color w:val="111111"/>
          <w:sz w:val="28"/>
          <w:sz w:val="28"/>
          <w:szCs w:val="28"/>
          <w:rtl w:val="true"/>
          <w:lang w:bidi="fa-IR"/>
        </w:rPr>
        <w:t>و المختلف</w:t>
      </w:r>
      <w:r>
        <w:rPr>
          <w:rStyle w:val="FootnoteAnchor"/>
          <w:rtl w:val="true"/>
        </w:rPr>
        <w:footnoteReference w:id="3258"/>
      </w:r>
      <w:r>
        <w:rPr>
          <w:rFonts w:ascii="IRNazanin" w:hAnsi="IRNazanin" w:eastAsia="IRNazanin"/>
          <w:color w:val="111111"/>
          <w:sz w:val="28"/>
          <w:sz w:val="28"/>
          <w:szCs w:val="28"/>
          <w:rtl w:val="true"/>
          <w:lang w:bidi="fa-IR"/>
        </w:rPr>
        <w:t>و جامع المقاصد</w:t>
      </w:r>
      <w:r>
        <w:rPr>
          <w:rStyle w:val="FootnoteAnchor"/>
          <w:rtl w:val="true"/>
        </w:rPr>
        <w:footnoteReference w:id="3259"/>
      </w:r>
      <w:r>
        <w:rPr>
          <w:rFonts w:ascii="IRNazanin" w:hAnsi="IRNazanin" w:eastAsia="IRNazanin"/>
          <w:color w:val="111111"/>
          <w:sz w:val="28"/>
          <w:sz w:val="28"/>
          <w:szCs w:val="28"/>
          <w:rtl w:val="true"/>
          <w:lang w:bidi="fa-IR"/>
        </w:rPr>
        <w:t>و مدارک الأحکام</w:t>
      </w:r>
      <w:r>
        <w:rPr>
          <w:rStyle w:val="FootnoteAnchor"/>
          <w:rtl w:val="true"/>
        </w:rPr>
        <w:footnoteReference w:id="3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فی کشف اللثام،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اعتبار وقت الطهارة</w:t>
      </w:r>
      <w:r>
        <w:rPr>
          <w:rStyle w:val="FootnoteAnchor"/>
          <w:rtl w:val="true"/>
        </w:rPr>
        <w:footnoteReference w:id="3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الصبیّ فی أثناء الصلاة بما لا یفسدها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کالسنّ و الإنبات و إن بَعُدَ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یستأنف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بقی من الوقت مقدار الطهارة و رکعة، کما صرّح به بعض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اعتبروا وقت الطهارة أیضاً فیمن بلغ بعد الفراغ</w:t>
      </w:r>
      <w:r>
        <w:rPr>
          <w:rStyle w:val="FootnoteAnchor"/>
          <w:rtl w:val="true"/>
        </w:rPr>
        <w:footnoteReference w:id="3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الشیخ علی الحکم المذکور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دلیلنا علی وجوب إعادة الصلاة مع بقاء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مخاطب بها بعد البلوغ، و إذا کان الوقت باقیاً وجب علیه فعلها، و ما فعله قبل البلوغ لم یکن واجباً علیه، و إنّما کان مندوباً إلیه، و لا یجزی المندوب عن الواجب</w:t>
      </w:r>
      <w:r>
        <w:rPr>
          <w:rFonts w:eastAsia="IRNazanin" w:cs="IRNazanin"/>
          <w:color w:val="111111"/>
          <w:sz w:val="28"/>
          <w:szCs w:val="28"/>
          <w:rtl w:val="true"/>
          <w:lang w:bidi="fa-IR"/>
        </w:rPr>
        <w:t>»</w:t>
      </w:r>
      <w:r>
        <w:rPr>
          <w:rStyle w:val="FootnoteAnchor"/>
          <w:rtl w:val="true"/>
        </w:rPr>
        <w:footnoteReference w:id="3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غیره</w:t>
      </w:r>
      <w:r>
        <w:rPr>
          <w:rStyle w:val="FootnoteAnchor"/>
          <w:rtl w:val="true"/>
        </w:rPr>
        <w:footnoteReference w:id="3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للعمومات الّتی لم یخرج عن مقتضاها بفعله الأوّل الذی هو مقتضی أمر آخر غیرها؛ ضرورة عدم کون المراد بشرعیّة أفعاله أنّ الأمر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ممّا هو ظاهر فی المکلّفین مراد منه الندب بالنسبة إلیه، و إلّا کان مستعملاً فی الحقیقة و المجاز، بل المراد استحباب متعلّقه بأمر آخر غیره، فیکون اللّذان تواردا علی الصبیّ فی الفرض أمرین</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ندبیّاً و إیجابیّاً، و من المعلوم عدم إجزاء الأوّل عن الثانی، بل لو کان حتمیّاً کان کذلک أیضاً؛ لأصالة تعدّد المسبّب بتعدّد السبب، خصوصاً فی مثل المقام الذی منشأ التعدّد فیه اختلاف موضوعین، کلّ منهما تعلّق به أمر، و هما</w:t>
      </w:r>
    </w:p>
    <w:p>
      <w:pPr>
        <w:pStyle w:val="BookText"/>
        <w:rPr/>
      </w:pPr>
      <w:r>
        <w:rPr>
          <w:rFonts w:ascii="IRNazanin" w:hAnsi="IRNazanin" w:eastAsia="IRNazanin"/>
          <w:color w:val="111111"/>
          <w:sz w:val="28"/>
          <w:sz w:val="28"/>
          <w:szCs w:val="28"/>
          <w:rtl w:val="true"/>
          <w:lang w:bidi="fa-IR"/>
        </w:rPr>
        <w:t>الصبیّ و البالغ</w:t>
      </w:r>
      <w:r>
        <w:rPr>
          <w:rFonts w:eastAsia="IRNazanin" w:cs="IRNazanin"/>
          <w:color w:val="111111"/>
          <w:sz w:val="28"/>
          <w:szCs w:val="28"/>
          <w:rtl w:val="true"/>
          <w:lang w:bidi="fa-IR"/>
        </w:rPr>
        <w:t>»</w:t>
      </w:r>
      <w:r>
        <w:rPr>
          <w:rStyle w:val="FootnoteAnchor"/>
          <w:rtl w:val="true"/>
        </w:rPr>
        <w:footnoteReference w:id="3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المأمور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المحدود بین الحدّین خوطب بها صنف وجوباً و صنف آخر ندباً، و الطبیعة طبیعة واحدة، وجدت فی الخارج صحیحة و متقرّباً بها إلی اللّه تعالی، و لم یکن بعد ذلک أیّ مقتض للإعادة</w:t>
      </w:r>
      <w:r>
        <w:rPr>
          <w:rStyle w:val="FootnoteAnchor"/>
          <w:rtl w:val="true"/>
        </w:rPr>
        <w:footnoteReference w:id="3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وجه للاستدلال علی وجوب الاستئناف بعمومات الأمر بالصلاة، حیث قد أثبتنا فی المباحث المتقدّمة</w:t>
      </w:r>
      <w:r>
        <w:rPr>
          <w:rStyle w:val="FootnoteAnchor"/>
          <w:rtl w:val="true"/>
        </w:rPr>
        <w:footnoteReference w:id="3267"/>
      </w:r>
      <w:r>
        <w:rPr>
          <w:rFonts w:ascii="IRNazanin" w:hAnsi="IRNazanin" w:eastAsia="IRNazanin"/>
          <w:color w:val="111111"/>
          <w:sz w:val="28"/>
          <w:sz w:val="28"/>
          <w:szCs w:val="28"/>
          <w:rtl w:val="true"/>
          <w:lang w:bidi="fa-IR"/>
        </w:rPr>
        <w:t>أنّ الخطابات تعمّ الصبیّ، و لکنّ ثبت له جواز الترک بدلیل منفصل، کحدیث رفع القلم و نحوه</w:t>
      </w:r>
      <w:r>
        <w:rPr>
          <w:rStyle w:val="FootnoteAnchor"/>
          <w:rtl w:val="true"/>
        </w:rPr>
        <w:footnoteReference w:id="3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یلزم من ذلک استعمال اللفظ فی المعنی الحقیقی و المجازی کما هو واضح؛ إذ لو سلّم کون هذا النحو من الاستعمال مجازاً فهو من باب عموم المجاز، و لا ضیر فیه بعد مساعدة القرینة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بمثل هذه الخطابات لیس إلّا الطلب الحتمی المخصوص بالبالغین، و إنّما ثبت استحبابها للصبیّ بأمر آخر ممّا دلّ علی شرعیّة عباداته</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وحدة المتعلّق مانعة من أن یتعلّق بصلاة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فی الأثناء، أو بعد الفراغ منها، و لذا لا یکاد یخطر فی ذهن الصبیّ الذی بلغ فی أثناء الصلاة أو بعد صلاته التی زعم صحّتها وجوب إعادتها بعد البلوغ، مع أنّ وجوب الصلاة علی البالغین و عدم وجوبها علی الصبیّ</w:t>
      </w:r>
      <w:bookmarkStart w:id="955" w:name="pg11755_255486"/>
    </w:p>
    <w:p>
      <w:pPr>
        <w:pStyle w:val="BookText"/>
        <w:rPr/>
      </w:pPr>
      <w:bookmarkEnd w:id="955"/>
      <w:r>
        <w:rPr>
          <w:rFonts w:ascii="IRNazanin" w:hAnsi="IRNazanin" w:eastAsia="IRNazanin"/>
          <w:color w:val="111111"/>
          <w:sz w:val="28"/>
          <w:sz w:val="28"/>
          <w:szCs w:val="28"/>
          <w:rtl w:val="true"/>
          <w:lang w:bidi="fa-IR"/>
        </w:rPr>
        <w:t>من الضروریّات المغروسة فی ذهنه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الأمر المتوجّه إلی البالغین منصرف عمّن صلّی صلاته صحیحة فی وقتها، و لیس توارد الأمرین علی الصبیّ علی سبیل الاجتماع حتّی یلزمه تعدّد متعلّقهما ذاتاً أو وجوداً، بل علی سبیل التعاقب، و لا مانع من تواردهما علی فعل خاصّ بحسب أحوال المکلّف، کاستحبابه فی السفر و وجوبه فی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المستدلّ قدس سره زعم أنّ متعلّق کلّ واحد من الأمرین تکلیف مستقلّ لا ربط لأحدهما بالآخر، فرأی أنّ مقتضی إطلاق وجوب الصلاة علی البالغ وجوب الإتیان بهذه الطبیعة بعد بلوغه مطلقاً، سواء أتی بها قبل البلوغ ضمن فرد آخر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الأمر لیس کذلک؛ لما تقدّم من أن المقصود بشرعیّة عبادات الصبیّ هو أنّ الصلوات المعهودة فی الشریعة الّتی أوجبها اللّه تعالی علی البالغین جعلها بعینها مسنونة للصبیّ، نظیر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واجبة عیناً علی الحرّ الحاضر و تخییراً للعبد و المسافر، أو أنّها مستحبّة لهما، إلی غیر ذلک من الموارد التی اتّحد التکلیف مع اختلاف الطلب بلحاظ أحوال المکلّفین، فلا مسرح فی مثل هذه الموارد للتمسّک بأصالة الإطلاق بعد فرض وحدة التکلیف و حصول متعلّقه جامعاً لشرائط الصحّة</w:t>
      </w:r>
      <w:r>
        <w:rPr>
          <w:rStyle w:val="FootnoteAnchor"/>
          <w:rtl w:val="true"/>
        </w:rPr>
        <w:footnoteReference w:id="32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6" w:name="__RefHeading___Toc9587964_73709187"/>
      <w:bookmarkStart w:id="957" w:name="_Toc356"/>
      <w:bookmarkEnd w:id="956"/>
      <w:r>
        <w:rPr>
          <w:rtl w:val="true"/>
        </w:rPr>
        <w:t>القول الثانی</w:t>
      </w:r>
      <w:r>
        <w:rPr>
          <w:rtl w:val="true"/>
        </w:rPr>
        <w:t xml:space="preserve">: </w:t>
      </w:r>
      <w:r>
        <w:rPr>
          <w:rtl w:val="true"/>
        </w:rPr>
        <w:t>عدم وجوب الإعادة، و هو الحقّ‌</w:t>
      </w:r>
      <w:bookmarkEnd w:id="957"/>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إلیه الشیخ فی المبسوط،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الصبیّ إذا بلغ فی خلال</w:t>
      </w:r>
    </w:p>
    <w:p>
      <w:pPr>
        <w:pStyle w:val="BookText"/>
        <w:rPr/>
      </w:pPr>
      <w:r>
        <w:rPr>
          <w:rFonts w:ascii="IRNazanin" w:hAnsi="IRNazanin" w:eastAsia="IRNazanin"/>
          <w:color w:val="111111"/>
          <w:sz w:val="28"/>
          <w:sz w:val="28"/>
          <w:szCs w:val="28"/>
          <w:rtl w:val="true"/>
          <w:lang w:bidi="fa-IR"/>
        </w:rPr>
        <w:t>الصلاة بما لا یفسد الصلاة من کمال خمس عشر سنة أو الإنبات و الوقت باقٍ، وجب علیه إتمام الصلاة، و إن بلغ بما ینافیها أعادها من أوّلها</w:t>
      </w:r>
      <w:r>
        <w:rPr>
          <w:rFonts w:eastAsia="IRNazanin" w:cs="IRNazanin"/>
          <w:color w:val="111111"/>
          <w:sz w:val="28"/>
          <w:szCs w:val="28"/>
          <w:rtl w:val="true"/>
          <w:lang w:bidi="fa-IR"/>
        </w:rPr>
        <w:t>»</w:t>
      </w:r>
      <w:r>
        <w:rPr>
          <w:rStyle w:val="FootnoteAnchor"/>
          <w:rtl w:val="true"/>
        </w:rPr>
        <w:footnoteReference w:id="3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تردّد العلّامة فی النهایة فاحتمل وجوب الاستیناف؛ لأنّها غیر مجزیة لو وقعت کاملة، فکذا أبعاضها، و وجوب الإتمام لأنّها صلاة صحیحة قد أدرک الوجوب فیها، فیلزمه إتمامها، و قد تکون العبادة تطوّعاً فی الابتداء، ثمّ یجب إتمامها کحجّ التطوّع، و کما لو نذر إتمام المندوب</w:t>
      </w:r>
      <w:r>
        <w:rPr>
          <w:rStyle w:val="FootnoteAnchor"/>
          <w:rtl w:val="true"/>
        </w:rPr>
        <w:footnoteReference w:id="3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الظاهر من المسالک، حیث جعل تمرینیّة عبادات الصبیّ مبنی للاستئناف، فیستفاد منه عدم وجوب الإعادة إن قلنا بمشروعیّتها کما هو المفروض، و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ذلک بین الطهارة و الصلاة، فلا بدّ من إدراک قدر الطهارة و رکعة</w:t>
      </w:r>
      <w:r>
        <w:rPr>
          <w:rFonts w:eastAsia="IRNazanin" w:cs="IRNazanin"/>
          <w:color w:val="111111"/>
          <w:sz w:val="28"/>
          <w:szCs w:val="28"/>
          <w:rtl w:val="true"/>
          <w:lang w:bidi="fa-IR"/>
        </w:rPr>
        <w:t>»</w:t>
      </w:r>
      <w:r>
        <w:rPr>
          <w:rStyle w:val="FootnoteAnchor"/>
          <w:rtl w:val="true"/>
        </w:rPr>
        <w:footnoteReference w:id="3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المحقّق الهمدانی</w:t>
      </w:r>
      <w:r>
        <w:rPr>
          <w:rStyle w:val="FootnoteAnchor"/>
          <w:rtl w:val="true"/>
        </w:rPr>
        <w:footnoteReference w:id="3273"/>
      </w:r>
      <w:r>
        <w:rPr>
          <w:rFonts w:ascii="IRNazanin" w:hAnsi="IRNazanin" w:eastAsia="IRNazanin"/>
          <w:color w:val="111111"/>
          <w:sz w:val="28"/>
          <w:sz w:val="28"/>
          <w:szCs w:val="28"/>
          <w:rtl w:val="true"/>
          <w:lang w:bidi="fa-IR"/>
        </w:rPr>
        <w:t>، و کذا فی الحدائق</w:t>
      </w:r>
      <w:r>
        <w:rPr>
          <w:rStyle w:val="FootnoteAnchor"/>
          <w:rtl w:val="true"/>
        </w:rPr>
        <w:footnoteReference w:id="3274"/>
      </w:r>
      <w:r>
        <w:rPr>
          <w:rFonts w:ascii="Amiri" w:hAnsi="Amiri" w:eastAsia="Amiri" w:cs="Amiri"/>
          <w:color w:val="111111"/>
          <w:sz w:val="28"/>
          <w:sz w:val="28"/>
          <w:szCs w:val="28"/>
          <w:rtl w:val="true"/>
          <w:lang w:bidi="ar-SA"/>
        </w:rPr>
        <w:t>و العروة</w:t>
      </w:r>
      <w:r>
        <w:rPr>
          <w:rStyle w:val="FootnoteAnchor"/>
          <w:rtl w:val="true"/>
        </w:rPr>
        <w:footnoteReference w:id="3275"/>
      </w:r>
      <w:r>
        <w:rPr>
          <w:rFonts w:ascii="IRNazanin" w:hAnsi="IRNazanin" w:eastAsia="IRNazanin"/>
          <w:color w:val="111111"/>
          <w:sz w:val="28"/>
          <w:sz w:val="28"/>
          <w:szCs w:val="28"/>
          <w:rtl w:val="true"/>
          <w:lang w:bidi="fa-IR"/>
        </w:rPr>
        <w:t>، و اختاره الأعلام الذین علّقوا علیها</w:t>
      </w:r>
      <w:r>
        <w:rPr>
          <w:rStyle w:val="FootnoteAnchor"/>
          <w:rtl w:val="true"/>
        </w:rPr>
        <w:footnoteReference w:id="3276"/>
      </w:r>
      <w:r>
        <w:rPr>
          <w:rFonts w:ascii="IRNazanin" w:hAnsi="IRNazanin" w:eastAsia="IRNazanin"/>
          <w:color w:val="111111"/>
          <w:sz w:val="28"/>
          <w:sz w:val="28"/>
          <w:szCs w:val="28"/>
          <w:rtl w:val="true"/>
          <w:lang w:bidi="fa-IR"/>
        </w:rPr>
        <w:t>، و کذا فی المستمسک</w:t>
      </w:r>
      <w:r>
        <w:rPr>
          <w:rStyle w:val="FootnoteAnchor"/>
          <w:rtl w:val="true"/>
        </w:rPr>
        <w:footnoteReference w:id="3277"/>
      </w:r>
      <w:r>
        <w:rPr>
          <w:rFonts w:ascii="Amiri" w:hAnsi="Amiri" w:eastAsia="Amiri" w:cs="Amiri"/>
          <w:color w:val="111111"/>
          <w:sz w:val="28"/>
          <w:sz w:val="28"/>
          <w:szCs w:val="28"/>
          <w:rtl w:val="true"/>
          <w:lang w:bidi="ar-SA"/>
        </w:rPr>
        <w:t>و المهذّب</w:t>
      </w:r>
      <w:r>
        <w:rPr>
          <w:rStyle w:val="FootnoteAnchor"/>
          <w:rtl w:val="true"/>
        </w:rPr>
        <w:footnoteReference w:id="3278"/>
      </w:r>
      <w:r>
        <w:rPr>
          <w:rFonts w:ascii="IRNazanin" w:hAnsi="IRNazanin" w:eastAsia="IRNazanin"/>
          <w:color w:val="111111"/>
          <w:sz w:val="28"/>
          <w:sz w:val="28"/>
          <w:szCs w:val="28"/>
          <w:rtl w:val="true"/>
          <w:lang w:bidi="fa-IR"/>
        </w:rPr>
        <w:t>و المستند</w:t>
      </w:r>
      <w:r>
        <w:rPr>
          <w:rStyle w:val="FootnoteAnchor"/>
          <w:rtl w:val="true"/>
        </w:rPr>
        <w:footnoteReference w:id="3279"/>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للحکم المذکور فی المختلف بأنّها صلاة شرعیّة، فلا یجوز إبطالها؛</w:t>
      </w:r>
    </w:p>
    <w:p>
      <w:pPr>
        <w:pStyle w:val="BookText"/>
        <w:rPr/>
      </w:pP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تُبْطِلُوا أَعْمالَکُمْ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إذا وجب إتمامها سقط بها الفرض؛ لأنّ الأمر یقتضی الإجزاء</w:t>
      </w:r>
      <w:r>
        <w:rPr>
          <w:rStyle w:val="FootnoteAnchor"/>
          <w:rtl w:val="true"/>
        </w:rPr>
        <w:footnoteReference w:id="3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فی المدارک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تسلیم دلالة الآیة علی تحریم إبطال مطلق العمل، إنّ الإبطال هنا لم یصدر من المکلّف، بل من حکم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وجوب الإتمام لکن لا نسلّم سقوط الفرض بها، و الامتثال إنّما یقتضی الإجزاء بالنسبة إلی الأمر الوارد بالإتمام لا بالنسبة إلی الأوامر الواردة بوجوب الصلاة</w:t>
      </w:r>
      <w:r>
        <w:rPr>
          <w:rFonts w:eastAsia="IRNazanin" w:cs="IRNazanin"/>
          <w:color w:val="111111"/>
          <w:sz w:val="28"/>
          <w:szCs w:val="28"/>
          <w:rtl w:val="true"/>
          <w:lang w:bidi="fa-IR"/>
        </w:rPr>
        <w:t>»</w:t>
      </w:r>
      <w:r>
        <w:rPr>
          <w:rStyle w:val="FootnoteAnchor"/>
          <w:rtl w:val="true"/>
        </w:rPr>
        <w:footnoteReference w:id="3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غیر مرّة أنّ عموم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الصبیّ حتّی یحتلم</w:t>
      </w:r>
      <w:r>
        <w:rPr>
          <w:rFonts w:eastAsia="IRNazanin" w:cs="IRNazanin"/>
          <w:color w:val="111111"/>
          <w:sz w:val="28"/>
          <w:szCs w:val="28"/>
          <w:rtl w:val="true"/>
          <w:lang w:bidi="fa-IR"/>
        </w:rPr>
        <w:t>»</w:t>
      </w:r>
      <w:r>
        <w:rPr>
          <w:rStyle w:val="FootnoteAnchor"/>
          <w:rtl w:val="true"/>
        </w:rPr>
        <w:footnoteReference w:id="3282"/>
      </w:r>
      <w:r>
        <w:rPr>
          <w:rFonts w:ascii="IRNazanin" w:hAnsi="IRNazanin" w:eastAsia="IRNazanin"/>
          <w:color w:val="111111"/>
          <w:sz w:val="28"/>
          <w:sz w:val="28"/>
          <w:szCs w:val="28"/>
          <w:rtl w:val="true"/>
          <w:lang w:bidi="fa-IR"/>
        </w:rPr>
        <w:t>بمناسبة وروده فی مقام الامتنان إنّما یرفع التکلیف و الإلزام؛ لأنّه الذی فی رفعه الامتنان لا غیر، فیکون فعل الصبیّ کفعل البالغ من جمیع الجهات إلّا من حیث الإلزام؛ فإنّه غیر ملزم به و إن کان واجداً لملاک الإلزام؛ کفعل البالغ، فإذا جاء فی حال صباه حصل به الفرض و سقط الأمر، فلا مجال للامتثال ثانیاً، و کذا الحال فیما لو بلغ فی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أنّ الصبیّ الآتی بوظیفة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کصلاة الصبح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یقصد بفعله الإتیان بالماهیّة المعهودة التی أوجبها اللّه تعالی علی البالغین، لا طبیعة اخری مغایرة لها بالذات و مشابهة لها فی الصورة، کفریضة الصبح و نافلته</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متی أتی بتلک الطبیعة جامعة لشرائط الصحّة سقط عنه هذا التکلیف، سواء</w:t>
      </w:r>
      <w:bookmarkStart w:id="958" w:name="pg11755_255493"/>
    </w:p>
    <w:p>
      <w:pPr>
        <w:pStyle w:val="BookText"/>
        <w:rPr/>
      </w:pPr>
      <w:bookmarkEnd w:id="958"/>
      <w:r>
        <w:rPr>
          <w:rFonts w:ascii="IRNazanin" w:hAnsi="IRNazanin" w:eastAsia="IRNazanin"/>
          <w:color w:val="111111"/>
          <w:sz w:val="28"/>
          <w:sz w:val="28"/>
          <w:szCs w:val="28"/>
          <w:rtl w:val="true"/>
          <w:lang w:bidi="fa-IR"/>
        </w:rPr>
        <w:t>کان ذلک بعد صیرورته إلزامیّاً أم قبله، من غیر فرق بین أن یتعلّق بذلک التکلیف المستمرّ أمر واحد، کما لو أمره قبل البلوغ بصلاة الصبح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رخّصه فی ترک الامتثال ما لم یبلغ امتناناً، أو ثبت بخطابین مستقلّین، بأن قال تستحبّ صلاة الصبح قبل البلوغ و تجب بعده، أو تستحبّ علی الصبیّ و تجب علی البالغ، فإنّ حصول المأمور به فی الخارج علی نحو تعلّق به غرض الآمر کما أنّه مسقط للأمر المتعلّق به بالفعل کذلک مانع عن أن یتعلّق به أمر فیما بعد؛ لکونه طلباً للحاصل، کما فی مصباح الفقیه</w:t>
      </w:r>
      <w:r>
        <w:rPr>
          <w:rStyle w:val="FootnoteAnchor"/>
          <w:rtl w:val="true"/>
        </w:rPr>
        <w:footnoteReference w:id="3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9" w:name="__RefHeading___Toc9587966_73709187"/>
      <w:bookmarkStart w:id="960" w:name="_Toc357"/>
      <w:bookmarkEnd w:id="959"/>
      <w:r>
        <w:rPr>
          <w:rtl w:val="true"/>
        </w:rPr>
        <w:t>الصورة الثالثة</w:t>
      </w:r>
      <w:r>
        <w:rPr>
          <w:rtl w:val="true"/>
        </w:rPr>
        <w:t xml:space="preserve">: </w:t>
      </w:r>
      <w:r>
        <w:rPr>
          <w:rtl w:val="true"/>
        </w:rPr>
        <w:t>بلوغ الصبیّ بعد إتیانه الصلاة فی الوقت</w:t>
      </w:r>
      <w:bookmarkEnd w:id="960"/>
    </w:p>
    <w:p>
      <w:pPr>
        <w:pStyle w:val="Heading6"/>
        <w:numPr>
          <w:ilvl w:val="5"/>
          <w:numId w:val="1"/>
        </w:numPr>
        <w:rPr/>
      </w:pPr>
      <w:bookmarkStart w:id="961" w:name="__RefHeading___Toc9587968_73709187"/>
      <w:bookmarkStart w:id="962" w:name="_Toc358"/>
      <w:bookmarkEnd w:id="961"/>
      <w:r>
        <w:rPr>
          <w:rtl w:val="true"/>
        </w:rPr>
        <w:t>اشارة</w:t>
      </w:r>
      <w:bookmarkEnd w:id="962"/>
    </w:p>
    <w:p>
      <w:pPr>
        <w:pStyle w:val="BookText"/>
        <w:rPr/>
      </w:pPr>
      <w:r>
        <w:rPr>
          <w:rFonts w:ascii="IRNazanin" w:hAnsi="IRNazanin" w:eastAsia="IRNazanin"/>
          <w:color w:val="111111"/>
          <w:sz w:val="28"/>
          <w:sz w:val="28"/>
          <w:szCs w:val="28"/>
          <w:rtl w:val="true"/>
          <w:lang w:bidi="fa-IR"/>
        </w:rPr>
        <w:t>و فیها أیضاً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ذهب جماعة من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وجوب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المتطوّع بوظیفة الوقت إذا بلغ بما لا یبطل الطهارة و الوقت باق یستأنف علی الأشبه</w:t>
      </w:r>
      <w:r>
        <w:rPr>
          <w:rFonts w:eastAsia="IRNazanin" w:cs="IRNazanin"/>
          <w:color w:val="111111"/>
          <w:sz w:val="28"/>
          <w:szCs w:val="28"/>
          <w:rtl w:val="true"/>
          <w:lang w:bidi="fa-IR"/>
        </w:rPr>
        <w:t>»</w:t>
      </w:r>
      <w:r>
        <w:rPr>
          <w:rStyle w:val="FootnoteAnchor"/>
          <w:rtl w:val="true"/>
        </w:rPr>
        <w:footnoteReference w:id="3284"/>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اختاره العلّامة فی النهایة، و علّله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فعله حال الصغَر وقع حالة النقصان، فلا یجزی عن الفرض بعد حصول الکمال فی الوقت، و لأنّه لم یکن مخاطباً بالعبادة و الآن هو مخاطب</w:t>
      </w:r>
      <w:r>
        <w:rPr>
          <w:rStyle w:val="FootnoteAnchor"/>
          <w:rtl w:val="true"/>
        </w:rPr>
        <w:footnoteReference w:id="3285"/>
      </w:r>
      <w:r>
        <w:rPr>
          <w:rFonts w:eastAsia="Times New Roman" w:cs="Times New Roman" w:ascii="Times New Roman" w:hAnsi="Times New Roman"/>
          <w:color w:val="111111"/>
          <w:sz w:val="28"/>
          <w:szCs w:val="28"/>
          <w:rtl w:val="true"/>
          <w:lang w:val="en-US" w:bidi="en-US"/>
        </w:rPr>
        <w:t>.</w:t>
      </w:r>
      <w:bookmarkStart w:id="963" w:name="pg11755_255495"/>
    </w:p>
    <w:p>
      <w:pPr>
        <w:pStyle w:val="BookText"/>
        <w:rPr/>
      </w:pPr>
      <w:bookmarkEnd w:id="963"/>
      <w:r>
        <w:rPr>
          <w:rFonts w:ascii="IRNazanin" w:hAnsi="IRNazanin" w:eastAsia="IRNazanin"/>
          <w:color w:val="111111"/>
          <w:sz w:val="28"/>
          <w:sz w:val="28"/>
          <w:szCs w:val="28"/>
          <w:rtl w:val="true"/>
          <w:lang w:bidi="fa-IR"/>
        </w:rPr>
        <w:t>و به قال فی التذکرة</w:t>
      </w:r>
      <w:r>
        <w:rPr>
          <w:rStyle w:val="FootnoteAnchor"/>
          <w:rtl w:val="true"/>
        </w:rPr>
        <w:footnoteReference w:id="3286"/>
      </w:r>
      <w:r>
        <w:rPr>
          <w:rFonts w:ascii="IRNazanin" w:hAnsi="IRNazanin" w:eastAsia="IRNazanin"/>
          <w:color w:val="111111"/>
          <w:sz w:val="28"/>
          <w:sz w:val="28"/>
          <w:szCs w:val="28"/>
          <w:rtl w:val="true"/>
          <w:lang w:bidi="fa-IR"/>
        </w:rPr>
        <w:t>و البیان</w:t>
      </w:r>
      <w:r>
        <w:rPr>
          <w:rStyle w:val="FootnoteAnchor"/>
          <w:rtl w:val="true"/>
        </w:rPr>
        <w:footnoteReference w:id="3287"/>
      </w:r>
      <w:r>
        <w:rPr>
          <w:rFonts w:ascii="IRNazanin" w:hAnsi="IRNazanin" w:eastAsia="IRNazanin"/>
          <w:color w:val="111111"/>
          <w:sz w:val="28"/>
          <w:sz w:val="28"/>
          <w:szCs w:val="28"/>
          <w:rtl w:val="true"/>
          <w:lang w:bidi="fa-IR"/>
        </w:rPr>
        <w:t>و المسالک</w:t>
      </w:r>
      <w:r>
        <w:rPr>
          <w:rStyle w:val="FootnoteAnchor"/>
          <w:rtl w:val="true"/>
        </w:rPr>
        <w:footnoteReference w:id="3288"/>
      </w:r>
      <w:r>
        <w:rPr>
          <w:rFonts w:ascii="IRNazanin" w:hAnsi="IRNazanin" w:eastAsia="IRNazanin"/>
          <w:color w:val="111111"/>
          <w:sz w:val="28"/>
          <w:sz w:val="28"/>
          <w:szCs w:val="28"/>
          <w:rtl w:val="true"/>
          <w:lang w:bidi="fa-IR"/>
        </w:rPr>
        <w:t>و المدارک</w:t>
      </w:r>
      <w:r>
        <w:rPr>
          <w:rStyle w:val="FootnoteAnchor"/>
          <w:rtl w:val="true"/>
        </w:rPr>
        <w:footnoteReference w:id="3289"/>
      </w:r>
      <w:r>
        <w:rPr>
          <w:rFonts w:ascii="IRNazanin" w:hAnsi="IRNazanin" w:eastAsia="IRNazanin"/>
          <w:color w:val="111111"/>
          <w:sz w:val="28"/>
          <w:sz w:val="28"/>
          <w:szCs w:val="28"/>
          <w:rtl w:val="true"/>
          <w:lang w:bidi="fa-IR"/>
        </w:rPr>
        <w:t>و الجواهر</w:t>
      </w:r>
      <w:r>
        <w:rPr>
          <w:rStyle w:val="FootnoteAnchor"/>
          <w:rtl w:val="true"/>
        </w:rPr>
        <w:footnoteReference w:id="3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فی العروة من عدم وجوب الإعادة،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صلّی قبل البلوغ ثمّ بلغ فی أثناء الوقت فالأقوی کفایتها و عدم وجوب إعادتها و إن کان أحوط، و کذا الحال لو بلغ فی أثناء الصلاة</w:t>
      </w:r>
      <w:r>
        <w:rPr>
          <w:rFonts w:eastAsia="IRNazanin" w:cs="IRNazanin"/>
          <w:color w:val="111111"/>
          <w:sz w:val="28"/>
          <w:szCs w:val="28"/>
          <w:rtl w:val="true"/>
          <w:lang w:bidi="fa-IR"/>
        </w:rPr>
        <w:t>»</w:t>
      </w:r>
      <w:r>
        <w:rPr>
          <w:rStyle w:val="FootnoteAnchor"/>
          <w:rtl w:val="true"/>
        </w:rPr>
        <w:footnoteReference w:id="3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التعلیقات علیها و فی المستمسک</w:t>
      </w:r>
      <w:r>
        <w:rPr>
          <w:rStyle w:val="FootnoteAnchor"/>
          <w:rtl w:val="true"/>
        </w:rPr>
        <w:footnoteReference w:id="3292"/>
      </w:r>
      <w:r>
        <w:rPr>
          <w:rFonts w:ascii="IRNazanin" w:hAnsi="IRNazanin" w:eastAsia="IRNazanin"/>
          <w:color w:val="111111"/>
          <w:sz w:val="28"/>
          <w:sz w:val="28"/>
          <w:szCs w:val="28"/>
          <w:rtl w:val="true"/>
          <w:lang w:bidi="fa-IR"/>
        </w:rPr>
        <w:t>و المستند</w:t>
      </w:r>
      <w:r>
        <w:rPr>
          <w:rStyle w:val="FootnoteAnchor"/>
          <w:rtl w:val="true"/>
        </w:rPr>
        <w:footnoteReference w:id="3293"/>
      </w:r>
      <w:r>
        <w:rPr>
          <w:rFonts w:ascii="Amiri" w:hAnsi="Amiri" w:eastAsia="Amiri" w:cs="Amiri"/>
          <w:color w:val="111111"/>
          <w:sz w:val="28"/>
          <w:sz w:val="28"/>
          <w:szCs w:val="28"/>
          <w:rtl w:val="true"/>
          <w:lang w:bidi="ar-SA"/>
        </w:rPr>
        <w:t>و المهذّب</w:t>
      </w:r>
      <w:r>
        <w:rPr>
          <w:rStyle w:val="FootnoteAnchor"/>
          <w:rtl w:val="true"/>
        </w:rPr>
        <w:footnoteReference w:id="3294"/>
      </w:r>
      <w:r>
        <w:rPr>
          <w:rFonts w:ascii="IRNazanin" w:hAnsi="IRNazanin" w:eastAsia="IRNazanin"/>
          <w:color w:val="111111"/>
          <w:sz w:val="28"/>
          <w:sz w:val="28"/>
          <w:szCs w:val="28"/>
          <w:rtl w:val="true"/>
          <w:lang w:bidi="fa-IR"/>
        </w:rPr>
        <w:t>،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القول المختار فی هذه الصورة نفس ما تقدّم دلیلاً للقول المختار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الاستدلال للقول الأوّل هو الجواب هناک، فراجع</w:t>
      </w:r>
      <w:r>
        <w:rPr>
          <w:rFonts w:eastAsia="IRNazanin" w:cs="IRNazanin"/>
          <w:color w:val="111111"/>
          <w:sz w:val="28"/>
          <w:szCs w:val="28"/>
          <w:rtl w:val="true"/>
          <w:lang w:bidi="fa-IR"/>
        </w:rPr>
        <w:t>.</w:t>
      </w:r>
    </w:p>
    <w:p>
      <w:pPr>
        <w:pStyle w:val="Heading6"/>
        <w:numPr>
          <w:ilvl w:val="5"/>
          <w:numId w:val="1"/>
        </w:numPr>
        <w:rPr/>
      </w:pPr>
      <w:bookmarkStart w:id="964" w:name="__RefHeading___Toc9587970_73709187"/>
      <w:bookmarkStart w:id="965" w:name="_Toc359"/>
      <w:bookmarkEnd w:id="964"/>
      <w:r>
        <w:rPr>
          <w:rtl w:val="true"/>
        </w:rPr>
        <w:t>آراء أهل السنّة فی الصورتین الأخیرتین</w:t>
      </w:r>
      <w:bookmarkEnd w:id="965"/>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اتّفقت المذاهب الأربعة علی أنّه تصحّ طهارة الصبیّ لو توضّأ أو اغتسل قبل بلوغه ثمّ بلغ، و لا یجب علیه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المرداوی فی الإنصاف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توضّأ قبل بلوغه ثمّ بلغ و هو علی تلک الطهارة لم یلزمه إعادتها، کوضوء البالغ قبل الوقت و هو غیر مقصود فی نفسه، و قصاراه أن یکون کوضوء البالغ للنافلة</w:t>
      </w:r>
      <w:r>
        <w:rPr>
          <w:rFonts w:eastAsia="IRNazanin" w:cs="IRNazanin"/>
          <w:color w:val="111111"/>
          <w:sz w:val="28"/>
          <w:szCs w:val="28"/>
          <w:rtl w:val="true"/>
          <w:lang w:bidi="fa-IR"/>
        </w:rPr>
        <w:t>»</w:t>
      </w:r>
      <w:r>
        <w:rPr>
          <w:rStyle w:val="FootnoteAnchor"/>
          <w:rtl w:val="true"/>
        </w:rPr>
        <w:footnoteReference w:id="3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المجموع</w:t>
      </w:r>
      <w:r>
        <w:rPr>
          <w:rStyle w:val="FootnoteAnchor"/>
          <w:rtl w:val="true"/>
        </w:rPr>
        <w:footnoteReference w:id="3296"/>
      </w:r>
      <w:r>
        <w:rPr>
          <w:rFonts w:ascii="IRNazanin" w:hAnsi="IRNazanin" w:eastAsia="IRNazanin"/>
          <w:color w:val="111111"/>
          <w:sz w:val="28"/>
          <w:sz w:val="28"/>
          <w:szCs w:val="28"/>
          <w:rtl w:val="true"/>
          <w:lang w:bidi="fa-IR"/>
        </w:rPr>
        <w:t>و شرح فتح القدیر</w:t>
      </w:r>
      <w:r>
        <w:rPr>
          <w:rStyle w:val="FootnoteAnchor"/>
          <w:rtl w:val="true"/>
        </w:rPr>
        <w:footnoteReference w:id="3297"/>
      </w:r>
      <w:r>
        <w:rPr>
          <w:rFonts w:ascii="IRNazanin" w:hAnsi="IRNazanin" w:eastAsia="IRNazanin"/>
          <w:color w:val="111111"/>
          <w:sz w:val="28"/>
          <w:sz w:val="28"/>
          <w:szCs w:val="28"/>
          <w:rtl w:val="true"/>
          <w:lang w:bidi="fa-IR"/>
        </w:rPr>
        <w:t>و غایة المرام</w:t>
      </w:r>
      <w:r>
        <w:rPr>
          <w:rStyle w:val="FootnoteAnchor"/>
          <w:rtl w:val="true"/>
        </w:rPr>
        <w:footnoteReference w:id="3298"/>
      </w:r>
      <w:r>
        <w:rPr>
          <w:rFonts w:ascii="IRNazanin" w:hAnsi="IRNazanin" w:eastAsia="IRNazanin"/>
          <w:color w:val="111111"/>
          <w:sz w:val="28"/>
          <w:sz w:val="28"/>
          <w:szCs w:val="28"/>
          <w:rtl w:val="true"/>
          <w:lang w:bidi="fa-IR"/>
        </w:rPr>
        <w:t>و غیرها</w:t>
      </w:r>
      <w:r>
        <w:rPr>
          <w:rStyle w:val="FootnoteAnchor"/>
          <w:rtl w:val="true"/>
        </w:rPr>
        <w:footnoteReference w:id="3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اختلفوا فی حکم صلاته، فذهب الحنفیّة و الحنابلة و المالکیّة إلی وجوب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بلغ فی أثنائها أو بعدها فی وقتها لزمه إعادتها، و هذا قول أبی حنیفة، و علّله بأنّ الصبیّ صلّاها قبل وجوبها فلم تجزه عمّا وجد سبب وجوبها کما لو صلّی قبل الوقت، و لأنّها نافلة فی حقّه لم تجزه کما لو نواها نفلاً، و لأنّه بلغ فی وقت العبادة بعد فعلها، فلزمه إعادتها کالحجّ‌</w:t>
      </w:r>
      <w:r>
        <w:rPr>
          <w:rStyle w:val="FootnoteAnchor"/>
          <w:rtl w:val="true"/>
        </w:rPr>
        <w:footnoteReference w:id="3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شرح فتح القدیر</w:t>
      </w:r>
      <w:r>
        <w:rPr>
          <w:rStyle w:val="FootnoteAnchor"/>
          <w:rtl w:val="true"/>
        </w:rPr>
        <w:footnoteReference w:id="3301"/>
      </w:r>
      <w:r>
        <w:rPr>
          <w:rFonts w:ascii="IRNazanin" w:hAnsi="IRNazanin" w:eastAsia="IRNazanin"/>
          <w:color w:val="111111"/>
          <w:sz w:val="28"/>
          <w:sz w:val="28"/>
          <w:szCs w:val="28"/>
          <w:rtl w:val="true"/>
          <w:lang w:bidi="fa-IR"/>
        </w:rPr>
        <w:t>و الذخیرة</w:t>
      </w:r>
      <w:r>
        <w:rPr>
          <w:rStyle w:val="FootnoteAnchor"/>
          <w:rtl w:val="true"/>
        </w:rPr>
        <w:footnoteReference w:id="3302"/>
      </w:r>
      <w:r>
        <w:rPr>
          <w:rFonts w:ascii="IRNazanin" w:hAnsi="IRNazanin" w:eastAsia="IRNazanin"/>
          <w:color w:val="111111"/>
          <w:sz w:val="28"/>
          <w:sz w:val="28"/>
          <w:szCs w:val="28"/>
          <w:rtl w:val="true"/>
          <w:lang w:bidi="fa-IR"/>
        </w:rPr>
        <w:t>و غیرها</w:t>
      </w:r>
      <w:r>
        <w:rPr>
          <w:rStyle w:val="FootnoteAnchor"/>
          <w:rtl w:val="true"/>
        </w:rPr>
        <w:footnoteReference w:id="3303"/>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الشافعیّة بعدم وجوب الإعادة، 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مذهبنا المشهور المنصوص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الصبیّ إذا بلغ فی أثناء الوقت و قد صلّی لا یلزمه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حنیفة و مالک و أحمد تلزمه إعادة الصلاة دون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 أصحابنا بأنّه أدّی وظیفة یومه</w:t>
      </w:r>
      <w:r>
        <w:rPr>
          <w:rFonts w:eastAsia="IRNazanin" w:cs="IRNazanin"/>
          <w:color w:val="111111"/>
          <w:sz w:val="28"/>
          <w:szCs w:val="28"/>
          <w:rtl w:val="true"/>
          <w:lang w:bidi="fa-IR"/>
        </w:rPr>
        <w:t>»</w:t>
      </w:r>
      <w:r>
        <w:rPr>
          <w:rStyle w:val="FootnoteAnchor"/>
          <w:rtl w:val="true"/>
        </w:rPr>
        <w:footnoteReference w:id="3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المهذّب</w:t>
      </w:r>
      <w:r>
        <w:rPr>
          <w:rStyle w:val="FootnoteAnchor"/>
          <w:rtl w:val="true"/>
        </w:rPr>
        <w:footnoteReference w:id="3305"/>
      </w:r>
      <w:r>
        <w:rPr>
          <w:rFonts w:ascii="IRNazanin" w:hAnsi="IRNazanin" w:eastAsia="IRNazanin"/>
          <w:color w:val="111111"/>
          <w:sz w:val="28"/>
          <w:sz w:val="28"/>
          <w:szCs w:val="28"/>
          <w:rtl w:val="true"/>
          <w:lang w:bidi="fa-IR"/>
        </w:rPr>
        <w:t>و مغنی المحتاج</w:t>
      </w:r>
      <w:r>
        <w:rPr>
          <w:rStyle w:val="FootnoteAnchor"/>
          <w:rtl w:val="true"/>
        </w:rPr>
        <w:footnoteReference w:id="3306"/>
      </w:r>
      <w:r>
        <w:rPr>
          <w:rFonts w:eastAsia="Times New Roman" w:cs="Times New Roman" w:ascii="Times New Roman" w:hAnsi="Times New Roman"/>
          <w:color w:val="111111"/>
          <w:sz w:val="28"/>
          <w:szCs w:val="28"/>
          <w:rtl w:val="true"/>
          <w:lang w:val="en-US" w:bidi="en-US"/>
        </w:rPr>
        <w:t>.</w:t>
      </w:r>
      <w:bookmarkStart w:id="966" w:name="pg11755_255501"/>
    </w:p>
    <w:p>
      <w:pPr>
        <w:pStyle w:val="Heading2"/>
        <w:numPr>
          <w:ilvl w:val="1"/>
          <w:numId w:val="1"/>
        </w:numPr>
        <w:rPr/>
      </w:pPr>
      <w:bookmarkStart w:id="967" w:name="__RefHeading___Toc9587972_73709187"/>
      <w:bookmarkStart w:id="968" w:name="_Toc360"/>
      <w:bookmarkEnd w:id="966"/>
      <w:bookmarkEnd w:id="967"/>
      <w:r>
        <w:rPr>
          <w:rtl w:val="true"/>
        </w:rPr>
        <w:t>فهرس المطالب</w:t>
      </w:r>
      <w:bookmarkEnd w:id="968"/>
    </w:p>
    <w:p>
      <w:pPr>
        <w:pStyle w:val="BookText"/>
        <w:rPr/>
      </w:pPr>
      <w:r>
        <w:rPr>
          <w:rFonts w:ascii="IRNazanin" w:hAnsi="IRNazanin" w:eastAsia="IRNazanin"/>
          <w:color w:val="111111"/>
          <w:sz w:val="28"/>
          <w:sz w:val="28"/>
          <w:szCs w:val="28"/>
          <w:rtl w:val="true"/>
          <w:lang w:bidi="fa-IR"/>
        </w:rPr>
        <w:t xml:space="preserve">شکر و ثناء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أحکام الطهارة المتعلّقة بالصبیّ حیّاً و میّتاً</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الطهارة و النجاسة لغةً و اصطلاحاً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الطهارة من الخبث</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الصبّ فی التطهیر من بول الرضیع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الرضیع فی اللغة و الاصطلاح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آراء الفقهاء فی المسألة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أدلّة کفایة الصبّ فی التطهیر من بول الرضیع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جهات یلزم ذکرها </w:t>
      </w:r>
      <w:r>
        <w:rPr>
          <w:rFonts w:eastAsia="IRNazanin" w:cs="IRNazanin"/>
          <w:color w:val="111111"/>
          <w:sz w:val="28"/>
          <w:szCs w:val="28"/>
          <w:lang w:bidi="fa-IR"/>
        </w:rPr>
        <w:t>24</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الصبّ لغة و اصطلاحاً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کفایة النضح و الرشّ عن الصبّ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الصبّ مرّةً واحدة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العصر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انفصال الغسالة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غسالة بول الصبیّ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إلحاق الصبیّة بالصبیّ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أدلّة اختصاص الحکم بالصبیّ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آراء فقهاء أهل السنّة فی المسألة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ثوب المربّیة للصبیّ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أدلّة هذا الحکم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اختصاص الحکم بالمربّیة للصبیّ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الحکم بالثوب فقط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إلحاق المربّی بالمربّیة فی هذا الحکم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الحکم بالنجاسة بالبول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وقت غسل المربّیة ثوبها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الغسل فی اللیل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آراء فقهاء أهل السنّة فی تطهیر ثوب المرضعة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إقعاد الطفل للتخلّی مستقبلاً أو مستدبراً للقبلة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حرمة إقعاد الطفل إلی القبلة للتخلّی </w:t>
      </w:r>
      <w:r>
        <w:rPr>
          <w:rFonts w:eastAsia="IRNazanin" w:cs="IRNazanin"/>
          <w:color w:val="111111"/>
          <w:sz w:val="28"/>
          <w:szCs w:val="28"/>
          <w:lang w:bidi="fa-IR"/>
        </w:rPr>
        <w:t>73</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منع الطفل إذا استقبل القبلة للتخلّی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السقط و العلقة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السقط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أدلّة هذا الحکم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العلقة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التردید فی الحکم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رأی بعض أهل السنّة فی المسألة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أولاد الکفّار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أدلّة نجاسة أولاد الکفّار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فرعان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طهارة الکافر و المشرک عند أهل السنّة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غَیبَة الصبیّ و إخباره عن النجاسة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المطلب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أنّ غیبة الصبیّ من المطهّرات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إخبار الصبیّ عن النجاسة أو الطهارة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إیضاح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آراء أهل السنّة فی المسألة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الطهارة من الحدث</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مسّ الصبیّ کتابة القرآن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عدم وجوب منع الولیّ الصبیَّ من المسّ </w:t>
      </w:r>
      <w:r>
        <w:rPr>
          <w:rFonts w:eastAsia="Amiri" w:cs="Amiri" w:ascii="Amiri" w:hAnsi="Amiri"/>
          <w:color w:val="111111"/>
          <w:sz w:val="28"/>
          <w:szCs w:val="28"/>
          <w:lang w:bidi="ar-SA"/>
        </w:rPr>
        <w:t>121</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یجب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أدلّة هذا الحکم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یجب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أدلّة عدم وجوب المنع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فرعان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التسبیب لمسّ الطفل کتابة القرآن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آراء أهل السنّة فی مسّ الصبیّ المصحف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جنابة الصبیّ و صحّة غسله و حکم عرقه لو أجنب من حرام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عدم تحقّق الجنابة من الصبیّ بالإیلاج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تحقّق الجنابة من الصبیّ بالإیلاج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صحّة غسل الجنابة من الصبیّ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منع الصبیّ ممّا یحرم علی الجنب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حکم عرق الصبیّ المجنب من الحرام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آراء أهل السنّة فی هذا المبحث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الشافعیّة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الحنابلة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الحنفیّة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المالکیّة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رؤیة الصغیرة الدم </w:t>
      </w:r>
      <w:r>
        <w:rPr>
          <w:rFonts w:eastAsia="IRNazanin" w:cs="IRNazanin"/>
          <w:color w:val="111111"/>
          <w:sz w:val="28"/>
          <w:szCs w:val="28"/>
          <w:lang w:bidi="fa-IR"/>
        </w:rPr>
        <w:t>159</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إمکان تحقّق الحیض قبل البلوغ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أدلّة عدم إمکان تحقّق الحیض قبل التسع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إزاحة شبهة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کون تحدید سنّ الحیض تحقیقاً لا تقریباً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رؤیة الدم من مشکوکة البلوغ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مذهب أهل السنّة فیما تراه الصغیرة من الدم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الحنابلة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الحنفیّة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الشافعیّة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المالکیّة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استحاضة الصبیّة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الاستحاضة لغةً و اصطلاحاً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أدلّة جواز استحاضة الصبیّة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المناقشات و دفعها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ثمرة الحکم بجواز استحاضة الصبیّة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آراء فقهاء أهل السنّة فی استحاضة الصغیرة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ولد الکافر بالتبعیّة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تبعیّة الطفل لأبویه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أدلّة طهارة ولد الکافر بتبعیّته لأبویه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التبعیّة للأجداد و الجدّات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مذهب أهل السنّة فی المسألة </w:t>
      </w:r>
      <w:r>
        <w:rPr>
          <w:rFonts w:eastAsia="IRNazanin" w:cs="IRNazanin"/>
          <w:color w:val="111111"/>
          <w:sz w:val="28"/>
          <w:szCs w:val="28"/>
          <w:lang w:bidi="fa-IR"/>
        </w:rPr>
        <w:t>211</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تبعیّة دار الإسلام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المقصود من دار الإسلام فی المقام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أدلّة تبعیّة اللقیط لدار الإسلام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مذهب أهل السنّة فی التبعیّة للدار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تبعیّة الصبیّ للسابی فی الإسلام و عدمها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أدلّة القول بعدم التبعیّة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تبعیّة الطفل للسابی فی الإسلام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أدلّة القول بالتبعیّة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التوقّف فی الحکم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التبعیّة فی الطهارة خاصّة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أدلّة تبعیّة الطفل للسابی فی الطهارة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مذهب أهل السنّة فی المسألة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إسلام الصبیّ و عدمها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طهارة الصبیّ بالإسلام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أدلّة القول بعدم صحّة إسلام الصبیّ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صحّة إسلام الصبیّ الممیّز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أدلّة صحّة إسلام الصبیّ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مذهب أهل السنّة فی إسلام الصبیّ الممیّز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الطفل المیّت</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تلقینه و توجیهه إلی القبلة </w:t>
      </w:r>
      <w:r>
        <w:rPr>
          <w:rFonts w:eastAsia="IRNazanin" w:cs="IRNazanin"/>
          <w:color w:val="111111"/>
          <w:sz w:val="28"/>
          <w:szCs w:val="28"/>
          <w:lang w:bidi="fa-IR"/>
        </w:rPr>
        <w:t>263</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تلقینه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توجیهه إلی القبلة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أدلّة وجوب توجیه الصبیّ إلی القبلة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رأی أهل السنّة فی المسألة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تغسیله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تغسیل الطفل الذی ولد حیّاً ثمّ مات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أدلّة وجوب تغسیل الطفل المیّت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تغسیل لقیط دار الإسلام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دلیل وجوب تغسیل اللقیط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تغسیل الطفل المولود من الزنی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تغسیل الطفل الأسیر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تغسیل السقط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تغسیل السقط الذی بلغ أربعة أشهر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أدلّة وجوب تغسیل السقط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إیهام و دفعه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تغسیل السقط الذی لم یمض علیه أربعة أشهر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تغسیل الصبیّ المیّت عند أهل السنّة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الطفل الشهید لا یغسّل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أدلّة عدم وجوب تغسیل الصبیّ الشهید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قول أهل السنّة فی عدم تغسیل الصبیّ الشهید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التحقیق فی الفقه المنسوب إلی الرضا علیه السلام </w:t>
      </w:r>
      <w:r>
        <w:rPr>
          <w:rFonts w:eastAsia="IRNazanin" w:cs="IRNazanin"/>
          <w:color w:val="111111"/>
          <w:sz w:val="28"/>
          <w:szCs w:val="28"/>
          <w:lang w:bidi="fa-IR"/>
        </w:rPr>
        <w:t>301</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المماثلة فی الغاسل بالنسبة إلی الطفل المیّت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تغسیل الرجل بنت ثلاث سنین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أدلّة جواز تغسیل الرجل بنت ثلاث فما دون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تغسیل المرأة ابن ثلاث سنین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أدلّة هذا الحکم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تغسیل الرجل و المرأة للأطفال عند أهل السنّة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تکفین الصبیّ و تحنیطه و دفنه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أدلّة وجوب تکفین الصبیّ و تحنیطه و دفنه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وضع الجریدتین مع الصبیّ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الدلیل علی وضع الجریدتین مع الصبیّ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فرعان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الصبیّ تحنیط المیّت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نزول الأب فی قبر ولده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مذهب أهل السنّة فی تکفین الطفل و تحنیطه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علی المیّت الصغیر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 السقط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أدلّة عدم مشروعیّة الصلاة علی السقط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علی الطفل الذی لم یبلغ الستّ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الدلیل علی استحباب الصلاة علی من کان عمره أقلّ من الستّ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أدلّة هذا الحکم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التحقیق فی أدلّة القولین </w:t>
      </w:r>
      <w:r>
        <w:rPr>
          <w:rFonts w:eastAsia="IRNazanin" w:cs="IRNazanin"/>
          <w:color w:val="111111"/>
          <w:sz w:val="28"/>
          <w:szCs w:val="28"/>
          <w:lang w:bidi="fa-IR"/>
        </w:rPr>
        <w:t>353</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استحباب الصلاة علی الطفل بالعنوان الثانوی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الصلاة علی الطفل الّذی بلغ ستّ سنین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وجوب الصلاة علی الطفل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أدلّة وجوب الصلاة علی الطفل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الدعاء فی الصلاة علی الطفل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أدلّة وجوب الدعاء فی الصلاة علی الطفل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الدعاء فی الصلاة علی الطفل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الصلاة علی الطفل المیّت عند مذاهب أهل السنّة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کیفیّة الدعاء فی الصلاة علی الطفل عندهم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الاستئذان فی تجهیز المیّت إذا کان الولیّ صغیراً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أدلّة أولویّة الإناث بتجهیز المیّت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قول بعض أهل السنّة فی المسألة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صلاة الصبیّ الممیّز علی المیّت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أدلّة هذا الحکم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سقوط الواجب الکفائی بفعل الصبیّ عند أهل السنّة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الصبیّ</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مشروعیّة عبادات الصبیّ</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ما هو المقصود من مشروعیّة عبادات الصبیّ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الأقوال فی المسألة و أدلّتها </w:t>
      </w:r>
      <w:r>
        <w:rPr>
          <w:rFonts w:eastAsia="IRNazanin" w:cs="IRNazanin"/>
          <w:color w:val="111111"/>
          <w:sz w:val="28"/>
          <w:szCs w:val="28"/>
          <w:lang w:bidi="fa-IR"/>
        </w:rPr>
        <w:t>407</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أدلّة مشروعیّة عبادات الصبیّ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مناقشة الاستدلال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أذان الصبیّ و جواز إمامته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صوم الصبیّ و صلاته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حجّ الصبیّ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صدقة الصبیّ و وقفه و عتقه و وصیّته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ما معنی مشروعیّة عبادات الصبیّ؟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عبادات الصبیّ تمرینیّة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أدلّة القول بتمرینیّة عبادات الصبیّ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معنی تمرینیّة عبادات الصبیّ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الثمرات المتفرّعة علی مشروعیّة عبادات الصبیّ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آراء مذاهب أهل السنّة فی المسألة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المالکیّة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الحنابلة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الحنفیّة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الشافعیّة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الصبیّ</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صلاة الصبیّ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أدلّة هذا الحکم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الطائفة الاُولی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lang w:bidi="ar-SA"/>
        </w:rPr>
        <w:t>462</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الرابعة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رأی أهل السنّة فی المسألة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الصبیّ فی الصلاة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الصبیّ لباس الشهرة و ما یختصّ بالصبیّة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الصبیان فی لباس أو مکان مغصوبین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الصبیّ فی الحریر المحض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إلباس الولیّ الصبیّ الحریر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التفصیل فی المسألة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الصبیّ نفسه الحریر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صلاة الصبیّ فی الحریر المحض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رأی أهل السنّة فی هذا الفرع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الصبیّ فی الثوب المموّه بالذهب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الاُولی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الحکم التکلیفی فی المسألة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الوضعی فی المسألة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صلاة الصبیّة مع عدم تغطیة رأسها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أدلّة عدم اشتراط ستر الرأس للصبیّة فی الصلاة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رأی أهل السنّة فی المسألة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تقدّم الصبیّة علی الصبیّ فی الصلاة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أذان الصبیّ و إقامته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أذان الصبیّ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أدلّة صحّة أذان الصبیّ الممیّز و جواز الاکتفاء به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أذان الصبیّ عند أهل السنّة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الصبیّ </w:t>
      </w:r>
      <w:r>
        <w:rPr>
          <w:rFonts w:eastAsia="IRNazanin" w:cs="IRNazanin"/>
          <w:color w:val="111111"/>
          <w:sz w:val="28"/>
          <w:szCs w:val="28"/>
          <w:lang w:bidi="fa-IR"/>
        </w:rPr>
        <w:t>509</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إقامة الصبیّ عند أهل السنّة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انعقاد الجماعة بالصبیّ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أدلّة انعقاد الجماعة بالصبیّ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آراء أهل السنّة فی المسألة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کراهة تمکین الصبیان من الصفّ الأوّل أو عدمها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رأی أهل السنّة فی المسألة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انعقاد صلاة الجمعة بالصبیّ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رأی أهل السنّة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إمامة الصبیّ فی الصلاة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إمامته فی الفرائض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أدلّة صحّة إمامة الصبیّ فی الفرائض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 xml:space="preserve">عدم جواز إمامة الصبیّ فی الفرائض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أدلّة عدم جواز إمامة الصبیّ فی الفرائض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إیضاح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رأی أهل السنّة فی المسألة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إمامة الصبیّ فی النفل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مذهب أهل السنّة فی المسألة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إمامة الصبیّ لمثله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رأی أهل السنّة فی المسألة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فرعان ینبغی ذکرهما فی المقام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القضاء علی الصبیّ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رأی أهل السنّة فی وجوب القضاء علیه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قضاء صلاة المیّت بالنسبة إلی الصغیر </w:t>
      </w:r>
      <w:r>
        <w:rPr>
          <w:rFonts w:eastAsia="IRNazanin" w:cs="IRNazanin"/>
          <w:color w:val="111111"/>
          <w:sz w:val="28"/>
          <w:szCs w:val="28"/>
          <w:lang w:bidi="fa-IR"/>
        </w:rPr>
        <w:t>555</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أدلّة عدم اشتراط کمال الولیّ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نیابة الصبیّ فی الصلاة أو الصوم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صحّتها علی القول بمشروعیّة عباداته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رأی أهل السنّة فی المسألة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استحباب تطوّع الصبیّ بالصلاة و الصوم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المبحث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الصبیّ فی السفر و تبعیّته لأبویه فیه و فی الوطن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تبعیّة الصبیّ فی الوطن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إعراض الصبیّ عن وطن أبویه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 xml:space="preserve">مذهب أهل السنّة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تبعیّة الصبیّ لأبویه فی السفر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رأی أهل السنّة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الصبیّ فی السفر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صلاته مع عدم قصده إقامة عشرة أیّام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الإتمام مع قصده الإقامة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رأی أهل السنّة فی المسألة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المبحث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الصبیّ فی أثناء وقت الصلاة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بلوغه فی ضیق الوقت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أدلّة وجوب الصلاة علی الصبیّ لو بلغ فی أثناء الوقت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آراء أهل السنّة فی المقام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الصبیّ فی أثناء الصلاة </w:t>
      </w:r>
      <w:r>
        <w:rPr>
          <w:rFonts w:eastAsia="IRNazanin" w:cs="IRNazanin"/>
          <w:color w:val="111111"/>
          <w:sz w:val="28"/>
          <w:szCs w:val="28"/>
          <w:lang w:bidi="fa-IR"/>
        </w:rPr>
        <w:t>598</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إعادة الطهارة و الصلاة </w:t>
      </w:r>
      <w:r>
        <w:rPr>
          <w:rFonts w:eastAsia="Amiri" w:cs="Amiri" w:ascii="Amiri" w:hAnsi="Amiri"/>
          <w:color w:val="111111"/>
          <w:sz w:val="28"/>
          <w:szCs w:val="28"/>
          <w:lang w:bidi="ar-SA"/>
        </w:rPr>
        <w:t>599</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الإعادة، و هو الحقّ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الصبیّ بعد إتیانه الصلاة فی الوقت </w:t>
      </w:r>
      <w:r>
        <w:rPr>
          <w:rFonts w:eastAsia="IRNazanin" w:cs="IRNazanin"/>
          <w:color w:val="111111"/>
          <w:sz w:val="28"/>
          <w:szCs w:val="28"/>
          <w:lang w:bidi="fa-IR"/>
        </w:rPr>
        <w:t>605</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آراء أهل السنّة فی الصورتین الأخیرتین </w:t>
      </w:r>
      <w:r>
        <w:rPr>
          <w:rFonts w:eastAsia="IRNazanin" w:cs="IRNazanin"/>
          <w:color w:val="111111"/>
          <w:sz w:val="28"/>
          <w:szCs w:val="28"/>
          <w:lang w:bidi="fa-IR"/>
        </w:rPr>
        <w:t>606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591:1</w:t>
      </w:r>
      <w:r>
        <w:rPr>
          <w:rFonts w:ascii="IRNazanin" w:hAnsi="IRNazanin" w:eastAsia="IRNazanin"/>
          <w:b w:val="false"/>
          <w:b w:val="false"/>
          <w:bCs w:val="false"/>
          <w:i w:val="false"/>
          <w:i w:val="false"/>
          <w:iCs w:val="false"/>
          <w:color w:val="333333"/>
          <w:sz w:val="20"/>
          <w:sz w:val="20"/>
          <w:szCs w:val="20"/>
          <w:rtl w:val="true"/>
        </w:rPr>
        <w:t xml:space="preserve">، المصباح المنیر </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اسماً لخصوص الطهارات الثلاث فالتعریف لفظی، و أمّا إذا کان اسماً لها مقیّداً بکونه مؤثّراً فی استباحة الصلاة فلیس بلفظی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438:7</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للراوندی، الطهارة أحکام المیاه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1752:3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أنّه وقع الاختلاف بین الأصحاب فی أنّه هل تکون النجاسة قذارة اعتباریّة اعتبرها الشارع، أو أمراً انتزاعیّاً ینتزع من الأحکام الشرعیّة کوجوب الغسل و بطلان الصلاة معها و هکذا، أو أمراً واقعیّاً تکوینیّاً کشف عنها الشارع، و رتّب علیها أحکاماً؟کما أنّه یحتمل أن تکون الأعیان النجسة مختلفة بحسب الجعل، بمعنی أنّ منها ما هو قذر عرفاً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کالبول و الغائط و المنیّ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یجعل الشارع لها القذارة؛ لأنّ القذارة فیها ترجع إلی ثبوت خصوصیّة موجبة لاستکراه العقلاء و تنفّرهم و انزجارهم عنها، و منها ما هو لیس کذلک کالکافر و الخمر و الکلب، فإنّ الشارع ألحقها بالأعیان النجسة و اعتبر لها النجاسة و القذارة، فیکون للقذارة مصداقان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حقیقی، و اعتباری جعلی کالأمثلة المتقدّمة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فی معنی النجاسة و حقیقتها آراء مختلفة، و التحقیق فیه فی محلّه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1001:2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الماء و نحوه یصبّه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أراقه، لسان العرب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الغسل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لإفاضة الماء علی جمیع البدن، و اسم للماء الّذی یغتسل به، و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فسکبت له غسلاً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بالفتح المصدر، و بالکسر ما یغسل به کالخطمی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الوسخ و نحوه عنه بإجراء الماء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1319:2</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494:11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1003:2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1003:2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1003:2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انتفاء الغسل لا یستلزم نفی الصبّ، لکن بملاحظة التعلیل الوارد فی الروایة لزم القول بالاستلزام جدّاً، اللّهم إلّا أن یقال بعدم صحّة الاعتماد علی أمثال هذه التعلیلات الواردة فی الروایات و استبعاد کونها تعلیلاً حقیقیاً، و الأولی ردّ علمها إلی أهلها علی فرض صحّة سندها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ما تقدّم من صحیح الحلبی إنّما هو بالنسبة إلی ما بعد الأکل و الطعام، و المذکور فی روایة السکونی إنّما هو بالنسبة إلی ما قبلهما، فلا تعارض بینهما، إلّا أن یقال بالتعارض مع سائر الروایات الاُخر،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274:5</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706:2</w:t>
      </w:r>
      <w:r>
        <w:rPr>
          <w:rFonts w:ascii="IRNazanin" w:hAnsi="IRNazanin" w:eastAsia="IRNazanin"/>
          <w:b w:val="false"/>
          <w:b w:val="false"/>
          <w:bCs w:val="false"/>
          <w:i w:val="false"/>
          <w:i w:val="false"/>
          <w:iCs w:val="false"/>
          <w:color w:val="333333"/>
          <w:sz w:val="20"/>
          <w:sz w:val="20"/>
          <w:szCs w:val="20"/>
          <w:rtl w:val="true"/>
        </w:rPr>
        <w:t>،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436:1</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نهایة الاحکام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سؤال یطرح نفسه،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العنوان شاملٌ للصبیّ الّذی لم یأکل الطعام و لکن لم یرتضع من ثدی امّه، بل یشرب ما هو الیوم قائم مقام لبن الاُمّ و یسمّی بالحلیب المجفّف أم لا؟ الظاهر الأوّل، و الملاک عدم أکل الطعام المتعارف بین البالغین، و لا یشمل اللبن الّذی هو قائم مقام لبن الاُمّ،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حکاه عنه البحرانی فی الحدائق الناضرة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 سنن البیهقی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دعوی التبادر غیر وجیهة جدّاً؛ لأنّ الملاک عدم الأکل و إن تجاوز الحولین، و لعلّه لذلک لم یعبّر بالرضیع بل عبّر عنه بالغلام أو الجاریة، و من المعلوم صدقهما علی من تجاوز الحولین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کشف الغطاء </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تفصیل الشریعة، النجاسات و أحکامها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1002:2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حکاه عنه فی مستدرک الوسائل </w:t>
      </w:r>
      <w:r>
        <w:rPr>
          <w:rFonts w:eastAsia="IRNazanin" w:cs="IRNazanin"/>
          <w:b w:val="false"/>
          <w:bCs w:val="false"/>
          <w:i w:val="false"/>
          <w:iCs w:val="false"/>
          <w:color w:val="333333"/>
          <w:sz w:val="20"/>
          <w:szCs w:val="20"/>
        </w:rPr>
        <w:t>554:2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الإزدام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یقال للرجل إذا قطع 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أزدمت بولک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1008:2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للمیثمی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1002:2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1003:2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1002:2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أبی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یعدّ فی الاُصول، أخبرنا به جماعة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عمیر و صفوان، عن الحسین بن أبی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أبی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الحسین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مولی بنی عامر، و أخواه علیّ و عبد الحمید، روی الجمیع عن أبی عبد اللّه علیه السلام و کان الحسین أوجههم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دلالة علی وجاهة الإخوة، و أنّ الحسین یکون أوجههم، فالأظهر أنّه ثقة، لا سیّما أنّ کتابه یعدّ فی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یروی عنه ابن أبی عمیر و صفوان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 و کتاب الطهارة للإمام الخمینی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الاحتمال بعید جدّاً؛ لأنّ الإمام علیه السلام فی مقام بیان کیفیّة الطهارة لا التجفیف، فإنّه لیس من شأنه علیه السلام، و علیه فالحمل علی الاستحباب أولی، إلّا أن یقال بعدم وجود ملاک الاستحباب فی أمثال هذه الاُمور، فالأرجح حمله علی الإرشاد أو علی کونه جاریاً مجری الغالب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نضحت الثوب نضحاً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البلّ بالماء و الرشّ، المصباح المنیر </w:t>
      </w:r>
      <w:r>
        <w:rPr>
          <w:rFonts w:eastAsia="IRNazanin" w:cs="IRNazanin"/>
          <w:b w:val="false"/>
          <w:bCs w:val="false"/>
          <w:i w:val="false"/>
          <w:iCs w:val="false"/>
          <w:color w:val="333333"/>
          <w:sz w:val="20"/>
          <w:szCs w:val="20"/>
        </w:rPr>
        <w:t>609:11</w:t>
      </w:r>
      <w:r>
        <w:rPr>
          <w:rFonts w:ascii="IRNazanin" w:hAnsi="IRNazanin" w:eastAsia="IRNazanin"/>
          <w:b w:val="false"/>
          <w:b w:val="false"/>
          <w:bCs w:val="false"/>
          <w:i w:val="false"/>
          <w:i w:val="false"/>
          <w:iCs w:val="false"/>
          <w:color w:val="333333"/>
          <w:sz w:val="20"/>
          <w:sz w:val="20"/>
          <w:szCs w:val="20"/>
          <w:rtl w:val="true"/>
        </w:rPr>
        <w:t>، و رشّ الثوب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نضح علیه الماء، و رشّ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نضح علیه الماء لیسکن غباره، المعجم الوسیط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447:2</w:t>
      </w:r>
      <w:r>
        <w:rPr>
          <w:rFonts w:ascii="IRNazanin" w:hAnsi="IRNazanin" w:eastAsia="IRNazanin"/>
          <w:b w:val="false"/>
          <w:b w:val="false"/>
          <w:bCs w:val="false"/>
          <w:i w:val="false"/>
          <w:i w:val="false"/>
          <w:iCs w:val="false"/>
          <w:color w:val="333333"/>
          <w:sz w:val="20"/>
          <w:sz w:val="20"/>
          <w:szCs w:val="20"/>
          <w:rtl w:val="true"/>
        </w:rPr>
        <w:t xml:space="preserve">، و یقال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پاشید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العزیر شرح الوجیز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734:1</w:t>
      </w:r>
      <w:r>
        <w:rPr>
          <w:rFonts w:ascii="IRNazanin" w:hAnsi="IRNazanin" w:eastAsia="IRNazanin"/>
          <w:b w:val="false"/>
          <w:b w:val="false"/>
          <w:bCs w:val="false"/>
          <w:i w:val="false"/>
          <w:i w:val="false"/>
          <w:iCs w:val="false"/>
          <w:color w:val="333333"/>
          <w:sz w:val="20"/>
          <w:sz w:val="20"/>
          <w:szCs w:val="20"/>
          <w:rtl w:val="true"/>
        </w:rPr>
        <w:t xml:space="preserve">، و الشرح الکبیر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للإمام الخمینی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484:1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التنقیح فی شرح العروة الوثقی، کتاب الطهارة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تفصیل الشریعة، کتاب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1001:2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1001:2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الروایات المتعدّدة إنّما وردت بالنسبة إلی مطلق البول، و لیست نصاً فی خصوص بول الصبیّ، بل إطلاقها شامل له أیضاً، و علی هذا فالروایات الظاهرة فی الصبّ الواحد مقیّدة لها، فتکفی مرّة واحدة کما هو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1002:2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تفصیل فی هذه الروایة حتّی یکون قاطعاً للشرکة، فراجع حتّی تعرف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554:2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ذیل البحث عن أدلّة حکم عدم وجوب الغسل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ذیل البحث عن أدلّة حکم عدم وجوب الغسل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الحواشی علی القواعد، و لکن لم نعثر علیه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النجاسات و أحکامها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عبّر بعدم وجوب الغسل، و لکن فی الشرائع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بعدم وجوب العصر، و هکذا فی ریاض المسائل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البحث مبنی علی عدم وجوب العصر، و علیه یقع الخلاف فی وجوب الانفصال و عدمه، و إلّا فبناءً علی وجوب العصر لا معنی لهذا البحث کما هو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484:1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الإفهام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للإمام الخمینی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فی المختلف علی هذا الإجماع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التذییل بهذا الذیل فی الروایة إنّما هو من جهة کون السؤال عن خصوص الغلام و الصبیّ، و الإمام علیه السلام صرّح بعدم الفرق بین الغلام و الجاریة، فالتسویة بینهما لیس فی خصوص التنجیس لما بعد الأکل و الطعام، بل هی موجودة لما قبل الطعام، و لکن فی عدم التنجیس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یستفاد التفصیل بینهما من روایة السکونی أو من بعض الروایات غیر المعتبرة و لکن یلزم الإعراض عنها لعدم صحّة الاعتماد علی التعلیل الوارد فی روایة السکونی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المقام من قبیل القید المتعقّب لجمل متعددة، بل لا یکون الذیل من قبیل القیود أصلاً، و الظاهر کونه کبری کلّیّة فی جمیع الأحکام فی هذا الموضوع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1003:2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الوارد فی النصوص الصّبیّ، بل مورد السؤال فیها إنّما هو خصوص الصبیّ، و بما أنّ المستفاد من الروایات أنّ الملاک فی هذا الحکم إنّما هو عدم التغذّی بالطعام، فلا فرق بین الصبیّ و الصبیّة من هذه الجهة؛ و 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1003:2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عدم وجود الإجمال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1003:2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للإمام الخمینی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الروایات یدلّ علی شمول الحکم بالنسبة إلی هذا المورد أیضاً، و مع وجود الإطلاق لا وجه للأخذ بالقدر المتیقّن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یسیر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للإمام الخمینی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العزیز شرح الوجیز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منهاج الطالبین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734:1</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حلیة العلماء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المسلم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 بدایة المجتهد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ردّ المحتار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 حلیة العلماء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الاستذکار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أوجز المسالک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ذکری الشیعة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xml:space="preserve">، مسالک الإفهام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586:1</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التنقیح فی شرح العروة الوثقی، کتاب الطهارة </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النجاسات و أحکامها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1004:2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قسم الفقه </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 جاء فی بعض الکتب الرجالیّة ثلاثة رجال باسم عمر، و کنیتهم أبو حفص، رجلان منهم ثقتان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حفص الرمّانی و أبو حفص الکلبی، و الثالث غیر ثقة، و هو القزّاز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293:11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المشهور لم یعتبروا هذا القید، و لم یکن معتبراً فی الواقع؛ لوجود الملازمة العادیّة بین عملهم و بین کون الخبر مورداً للوثوق الشخصی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یحرز کون العمل من جهة القطع بصحّة الأخبار المدوّنة فی الکتب الأربعة، و أیضاً لم یحرز من جهة تفسیر العدالة بإظهار الإسلام، و أیضاً لم یکن فی البین قرینة علی کون العمل من جهة کون مضمونه مورداً للإجماع أو الشهرة، فنستکشف وجود الملازمة العادیّة بین العمل و بین کون الخبر مورداً للوثوق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نحن نقبل أنّ الانجبار إنّما هو فیما إذا أوجد العمل وثوقاً شخصیّاً بالروایة، و لکن لا یجب إحراز هذا القید مستقلاً؛ لوجود الملازمة العادیّة بعد عدم إحراز العناوین الأخر،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الاُصول للشهید الصدر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293:11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8681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الأصیلة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النشر الإسلامی بقم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طبعة مؤسسة النشر الإسلامی بقم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رسائل الشریف المرتضی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هذا مناف لما مرّ قریباً من کون عمل الأصحاب بالخبر الضعیف إنّما هو من جهة کونه مضبوطاً فی الاُصول المعتمدة، فخبر علی الید ممّا لم یأت فی الکتب المعتمدة و مع ذلک عمل به المشهور و استند إلیه فی مقام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346:5</w:t>
      </w:r>
      <w:r>
        <w:rPr>
          <w:rFonts w:ascii="IRNazanin" w:hAnsi="IRNazanin" w:eastAsia="IRNazanin"/>
          <w:b w:val="false"/>
          <w:b w:val="false"/>
          <w:bCs w:val="false"/>
          <w:i w:val="false"/>
          <w:i w:val="false"/>
          <w:iCs w:val="false"/>
          <w:color w:val="333333"/>
          <w:sz w:val="20"/>
          <w:sz w:val="20"/>
          <w:szCs w:val="20"/>
          <w:rtl w:val="true"/>
        </w:rPr>
        <w:t xml:space="preserve">، غنائم الأیّام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تراث الشیخ الأعظم، کتاب الطهارة </w:t>
      </w:r>
      <w:r>
        <w:rPr>
          <w:rFonts w:eastAsia="IRNazanin" w:cs="IRNazanin"/>
          <w:b w:val="false"/>
          <w:bCs w:val="false"/>
          <w:i w:val="false"/>
          <w:iCs w:val="false"/>
          <w:color w:val="333333"/>
          <w:sz w:val="20"/>
          <w:szCs w:val="20"/>
        </w:rPr>
        <w:t>274:5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578:1</w:t>
      </w:r>
      <w:r>
        <w:rPr>
          <w:rFonts w:ascii="IRNazanin" w:hAnsi="IRNazanin" w:eastAsia="IRNazanin"/>
          <w:b w:val="false"/>
          <w:b w:val="false"/>
          <w:bCs w:val="false"/>
          <w:i w:val="false"/>
          <w:i w:val="false"/>
          <w:iCs w:val="false"/>
          <w:color w:val="333333"/>
          <w:sz w:val="20"/>
          <w:sz w:val="20"/>
          <w:szCs w:val="20"/>
          <w:rtl w:val="true"/>
        </w:rPr>
        <w:t xml:space="preserve">، کتاب الطهارة للإمام الخمینی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النجاسات و أحکامها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xml:space="preserve">، معالم الدین، قسم الفقه </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تعالیق مبسوطة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التنقیح فی شرح العروة الوثقی، کتاب الطهارة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جَعَلَ عَلَیْکُمْ فِی الدِّینِ مِنْ 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یُرِیدُ اللّهُ لِیَجْعَلَ عَلَیْکُمْ مِنْ 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 اللّهُ بِکُمُ الْیُسْرَ وَ لا یُرِیدُ بِکُمُ الْعُسْرَ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494:5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246:5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الصلوات،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أنّه لیس من البعید جدّاً أن یکون الحکم المذکور فی ثوب المربّیة إنّما هو بملاک الحرج و إن لم یصرّح به فی الروایة، بمعنی أنّ الشارع قد عفی عن النجاسة فی ثوبها فیما إذا کان الثوب منحصراً و أجاز الصلاة فیه مع غسله مرّة واحدة، و کون هذا الحکم تعبّدیّاً محضاً بعید جدّاً، و أمّا کون لزوم الحرج شخصیّاً کما هو المشهور فقد أثبتنا فی رسالتنا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لا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المستفاد من بعض المدارک و الأدلّة فی هذه القاعدة، الحرج النوعی و لیس منحصراً بالحرج الشخصی، و الحرج النوعی فی المقام موجود قطعاً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النجاسات و أحکامها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الفقهاء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النائینی و العراقی و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قسم الفقه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النجاسات و أحکامها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النجاسات و أحکامها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قسم الفقه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587:1</w:t>
      </w:r>
      <w:r>
        <w:rPr>
          <w:rFonts w:ascii="IRNazanin" w:hAnsi="IRNazanin" w:eastAsia="IRNazanin"/>
          <w:b w:val="false"/>
          <w:b w:val="false"/>
          <w:bCs w:val="false"/>
          <w:i w:val="false"/>
          <w:i w:val="false"/>
          <w:iCs w:val="false"/>
          <w:color w:val="333333"/>
          <w:sz w:val="20"/>
          <w:sz w:val="20"/>
          <w:szCs w:val="20"/>
          <w:rtl w:val="true"/>
        </w:rPr>
        <w:t xml:space="preserve">، کتاب الطهارة للإمام الخمینی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تفصیل الشریعة، النجاسات و أحکامها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غنائم الأیّام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معالم الدین، قسم الفقه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هذا عین المدّعی، و النزاع إنّما هو فی أنّ الولد هل له الخصوصیّة فی هذا الحکم أم لا؟ فالمرجع فی الاستدلال شمول لفظ المولود لهما أو الاستناد إلی قاعدة الحرج کما تقدّم ذکره فی تعلیقات 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للإمام الخمینی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450:1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348:5</w:t>
      </w:r>
      <w:r>
        <w:rPr>
          <w:rFonts w:ascii="IRNazanin" w:hAnsi="IRNazanin" w:eastAsia="IRNazanin"/>
          <w:b w:val="false"/>
          <w:b w:val="false"/>
          <w:bCs w:val="false"/>
          <w:i w:val="false"/>
          <w:i w:val="false"/>
          <w:iCs w:val="false"/>
          <w:color w:val="333333"/>
          <w:sz w:val="20"/>
          <w:sz w:val="20"/>
          <w:szCs w:val="20"/>
          <w:rtl w:val="true"/>
        </w:rPr>
        <w:t xml:space="preserve">، معالم الدین، قسم الفقه </w:t>
      </w:r>
      <w:r>
        <w:rPr>
          <w:rFonts w:eastAsia="IRNazanin" w:cs="IRNazanin"/>
          <w:b w:val="false"/>
          <w:bCs w:val="false"/>
          <w:i w:val="false"/>
          <w:iCs w:val="false"/>
          <w:color w:val="333333"/>
          <w:sz w:val="20"/>
          <w:szCs w:val="20"/>
        </w:rPr>
        <w:t>623:2</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النجاسات و أحکامها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جواهر الکلام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لعلّه السیّد حسن أحد مشایخ شیخنا الشهید الثانی، و قال فی الحدائق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صاحب المعالم فی الحاشیة أنّ ذلک البعض السیّد حسن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قسم الفقه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الغلبة ممنوعة، و علیه لا مجال لما ذکره فی الذیل من خلو الخبر عن الأمر بتطهیر البدن لکلّ صلاة، فالمتعیّن فی البدن الرجوع إلی أدلّة لزوم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للإمام الخمینی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ذکری الشیعة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قسم الفقه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591:1</w:t>
      </w:r>
      <w:r>
        <w:rPr>
          <w:rFonts w:ascii="IRNazanin" w:hAnsi="IRNazanin" w:eastAsia="IRNazanin"/>
          <w:b w:val="false"/>
          <w:b w:val="false"/>
          <w:bCs w:val="false"/>
          <w:i w:val="false"/>
          <w:i w:val="false"/>
          <w:iCs w:val="false"/>
          <w:color w:val="333333"/>
          <w:sz w:val="20"/>
          <w:sz w:val="20"/>
          <w:szCs w:val="20"/>
          <w:rtl w:val="true"/>
        </w:rPr>
        <w:t xml:space="preserve">، کتاب الطهارة للإمام الخمینی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تفصیل الشریعة، النجاسات و أحکامها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العلّة منصوصة بناء علی العمل بمضمرة سماعة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قسم الفقه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لها خصوصیّة إذا لم یکن جاریاً مجری الغالب، و الظاهر أنّ ذکر المربّیة فی المقام من جهة کونها مورداً للعمل غالباً، فلا خصوصیّة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للإمام الخمینی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النجاسات و أحکامها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قسم الفقه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للإمام الخمینی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لهذا الاحتمال وجه، و کذا لما ذکره السیّد الإمام الخمینی رحمه الله من کثرة الابتلاء، و لکن الاعتناء بهذه الاحتمالات مقبول فیما إذا ورد ذکر البول فی کلام الإمام علیه السلام، أی فی جوابه علیه السلام، مع أنّ ذکره إنّما جاء فی مورد السؤال و لم یذکر فی الجواب، و علیه بناءً علی کون الحکم تخفیفاً للمربّیة و تسهیلاً لها فلا یبعد التعدّی بالنسبة إلی الغائط، بل مطلق النجاسات، کما صرّح بها فی مضمرة سماعة، فإنّ موردها دم الجروح و القروح،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النجاسات و أحکامها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xml:space="preserve">، کشف الالتباس </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xml:space="preserve">، معالم الدین، قسم الفقه </w:t>
      </w:r>
      <w:r>
        <w:rPr>
          <w:rFonts w:eastAsia="IRNazanin" w:cs="IRNazanin"/>
          <w:b w:val="false"/>
          <w:bCs w:val="false"/>
          <w:i w:val="false"/>
          <w:iCs w:val="false"/>
          <w:color w:val="333333"/>
          <w:sz w:val="20"/>
          <w:szCs w:val="20"/>
        </w:rPr>
        <w:t>624:2</w:t>
      </w:r>
      <w:r>
        <w:rPr>
          <w:rFonts w:ascii="IRNazanin" w:hAnsi="IRNazanin" w:eastAsia="IRNazanin"/>
          <w:b w:val="false"/>
          <w:b w:val="false"/>
          <w:bCs w:val="false"/>
          <w:i w:val="false"/>
          <w:i w:val="false"/>
          <w:iCs w:val="false"/>
          <w:color w:val="333333"/>
          <w:sz w:val="20"/>
          <w:sz w:val="20"/>
          <w:szCs w:val="20"/>
          <w:rtl w:val="true"/>
        </w:rPr>
        <w:t xml:space="preserve">، غنائم الأیّام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xml:space="preserve">، تراث الشیخ الأعظم، کتاب الطهارة </w:t>
      </w:r>
      <w:r>
        <w:rPr>
          <w:rFonts w:eastAsia="IRNazanin" w:cs="IRNazanin"/>
          <w:b w:val="false"/>
          <w:bCs w:val="false"/>
          <w:i w:val="false"/>
          <w:iCs w:val="false"/>
          <w:color w:val="333333"/>
          <w:sz w:val="20"/>
          <w:szCs w:val="20"/>
        </w:rPr>
        <w:t>275:5</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للإمام الخمینی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التنقیح فی شرح العروة الوثقی، کتاب الطهارة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 مناسبة الحکم و الموضوع فی المقام قرینة واضحة علی کون الدفعة الواحدة شرط لصحّة الصلوات الآتیة بعدها مطلقاً، و الشارع یعتبر الغسل الواحد بمنزلة الغسلات المتعدّدة فی تمام الیوم، فالروایة من باب الحکومة و التوسعة، و لیس بمعنی عدم اعتبار الطهارة فی بقیة الصلوات و اعتبارها فی صلاة واحدة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النجاسات و أحکامها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معالم الدین، قسم الفقه </w:t>
      </w:r>
      <w:r>
        <w:rPr>
          <w:rFonts w:eastAsia="IRNazanin" w:cs="IRNazanin"/>
          <w:b w:val="false"/>
          <w:bCs w:val="false"/>
          <w:i w:val="false"/>
          <w:iCs w:val="false"/>
          <w:color w:val="333333"/>
          <w:sz w:val="20"/>
          <w:szCs w:val="20"/>
        </w:rPr>
        <w:t>622:2</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غنائم الأیّام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 تراث الشیخ الأعظم، کتاب الطهارة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779:17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قسم الفقه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xml:space="preserve">، کتاب الطهارة للإمام الخمینی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348:5</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الفقه الإسلامی و أدلّته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الفقه علی المذاهب الأربعة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الماتن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المسالک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مفاتیح الشرائع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أحکام التخلّی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قوّة فیه أصلاً بعد کون المتفاهم من الخطاب خصوص المباشرة، و أیضاً لزوم کون العمل مستنداً إلی الفاعل، و عمل الطفل لیس مستنداً إلی الولیّ حتّی فی صورة الاتّحاد، 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الصورة لا یکون الولیّ سبباً لکون التخلّی من الطفل مستقبلاً أو مستدبراً،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 مصباح الهدی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التنقیح فی شرح العروة الوثقی، کتاب الطهارة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302:3</w:t>
      </w:r>
      <w:r>
        <w:rPr>
          <w:rFonts w:ascii="IRNazanin" w:hAnsi="IRNazanin" w:eastAsia="IRNazanin"/>
          <w:b w:val="false"/>
          <w:b w:val="false"/>
          <w:bCs w:val="false"/>
          <w:i w:val="false"/>
          <w:i w:val="false"/>
          <w:iCs w:val="false"/>
          <w:color w:val="333333"/>
          <w:sz w:val="20"/>
          <w:sz w:val="20"/>
          <w:szCs w:val="20"/>
          <w:rtl w:val="true"/>
        </w:rPr>
        <w:t>،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للإمام الخمینی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الفاضل اللنکرانی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جواهر الکلام </w:t>
      </w:r>
      <w:r>
        <w:rPr>
          <w:rFonts w:eastAsia="IRNazanin" w:cs="IRNazanin"/>
          <w:b w:val="false"/>
          <w:bCs w:val="false"/>
          <w:i w:val="false"/>
          <w:iCs w:val="false"/>
          <w:color w:val="333333"/>
          <w:sz w:val="20"/>
          <w:szCs w:val="20"/>
        </w:rPr>
        <w:t>345:5</w:t>
      </w:r>
      <w:r>
        <w:rPr>
          <w:rFonts w:ascii="IRNazanin" w:hAnsi="IRNazanin" w:eastAsia="IRNazanin"/>
          <w:b w:val="false"/>
          <w:b w:val="false"/>
          <w:bCs w:val="false"/>
          <w:i w:val="false"/>
          <w:i w:val="false"/>
          <w:iCs w:val="false"/>
          <w:color w:val="333333"/>
          <w:sz w:val="20"/>
          <w:sz w:val="20"/>
          <w:szCs w:val="20"/>
          <w:rtl w:val="true"/>
        </w:rPr>
        <w:t xml:space="preserve">، و کذا فی مستمسک العروة الوثقی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1082:2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1082:2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270:16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فی العبارة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جواهر الکلام </w:t>
      </w:r>
      <w:r>
        <w:rPr>
          <w:rFonts w:eastAsia="IRNazanin" w:cs="IRNazanin"/>
          <w:b w:val="false"/>
          <w:bCs w:val="false"/>
          <w:i w:val="false"/>
          <w:iCs w:val="false"/>
          <w:color w:val="333333"/>
          <w:sz w:val="20"/>
          <w:szCs w:val="20"/>
        </w:rPr>
        <w:t>345:5</w:t>
      </w:r>
      <w:r>
        <w:rPr>
          <w:rFonts w:ascii="IRNazanin" w:hAnsi="IRNazanin" w:eastAsia="IRNazanin"/>
          <w:b w:val="false"/>
          <w:b w:val="false"/>
          <w:bCs w:val="false"/>
          <w:i w:val="false"/>
          <w:i w:val="false"/>
          <w:iCs w:val="false"/>
          <w:color w:val="333333"/>
          <w:sz w:val="20"/>
          <w:sz w:val="20"/>
          <w:szCs w:val="20"/>
          <w:rtl w:val="true"/>
        </w:rPr>
        <w:t xml:space="preserve">، و مستمسک العروة الوثقی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شمول الجیفة للجنین ممنوع جدّاً، فإنّها ظاهرة فیمن خرجت روحه من جسده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شرح العروة الوثقی، کتاب الطهارة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فی اللغة </w:t>
      </w:r>
      <w:r>
        <w:rPr>
          <w:rFonts w:eastAsia="IRNazanin" w:cs="IRNazanin"/>
          <w:b w:val="false"/>
          <w:bCs w:val="false"/>
          <w:i w:val="false"/>
          <w:iCs w:val="false"/>
          <w:color w:val="333333"/>
          <w:sz w:val="20"/>
          <w:szCs w:val="20"/>
        </w:rPr>
        <w:t>1028:2</w:t>
      </w:r>
      <w:r>
        <w:rPr>
          <w:rFonts w:ascii="IRNazanin" w:hAnsi="IRNazanin" w:eastAsia="IRNazanin"/>
          <w:b w:val="false"/>
          <w:b w:val="false"/>
          <w:bCs w:val="false"/>
          <w:i w:val="false"/>
          <w:i w:val="false"/>
          <w:iCs w:val="false"/>
          <w:color w:val="333333"/>
          <w:sz w:val="20"/>
          <w:sz w:val="20"/>
          <w:szCs w:val="20"/>
          <w:rtl w:val="true"/>
        </w:rPr>
        <w:t>،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جیف</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ماء المطلق،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المیتة عرفاً علی الجنین قبل ولوج الروح ممنوع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1255:2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490:1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کتاب الطهارة للإمام الخمینی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490:1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قسم الفقه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النجاسات و أحکامها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للإمام الخمینی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xml:space="preserve">، و کذا فی تحریر الوسیلة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الفاضل اللنکرانی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الإمام أحمد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ذکری الشیعة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کشف الالتباس </w:t>
      </w:r>
      <w:r>
        <w:rPr>
          <w:rFonts w:eastAsia="IRNazanin" w:cs="IRNazanin"/>
          <w:b w:val="false"/>
          <w:bCs w:val="false"/>
          <w:i w:val="false"/>
          <w:iCs w:val="false"/>
          <w:color w:val="333333"/>
          <w:sz w:val="20"/>
          <w:szCs w:val="20"/>
        </w:rPr>
        <w:t>402:1</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معالم الدین، قسم الفقه </w:t>
      </w:r>
      <w:r>
        <w:rPr>
          <w:rFonts w:eastAsia="IRNazanin" w:cs="IRNazanin"/>
          <w:b w:val="false"/>
          <w:bCs w:val="false"/>
          <w:i w:val="false"/>
          <w:iCs w:val="false"/>
          <w:color w:val="333333"/>
          <w:sz w:val="20"/>
          <w:szCs w:val="20"/>
        </w:rPr>
        <w:t>539:2</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465:7</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کشف الغطاء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134:21</w:t>
      </w:r>
      <w:r>
        <w:rPr>
          <w:rFonts w:ascii="IRNazanin" w:hAnsi="IRNazanin" w:eastAsia="IRNazanin"/>
          <w:b w:val="false"/>
          <w:b w:val="false"/>
          <w:bCs w:val="false"/>
          <w:i w:val="false"/>
          <w:i w:val="false"/>
          <w:iCs w:val="false"/>
          <w:color w:val="333333"/>
          <w:sz w:val="20"/>
          <w:sz w:val="20"/>
          <w:szCs w:val="20"/>
          <w:rtl w:val="true"/>
        </w:rPr>
        <w:t xml:space="preserve">، تراث الشیخ الأعظم، کتاب الطهارة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 کتاب الطهارة لشیخ الفقهاء الأراکی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للإمام الخمینی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الفاضل اللنکرانی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قسم الفقه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 ذخیرة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للمنع؛ فانّ الجنین فی جمیع المراحل یکون جزءاً من الامّ، سواء کان علقة أو مضغة، فالجواب عن هذا التقریر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الولد إذا تولّد و انفصل من الاُمّ لا یکون جزءاً قطعاً، فیتبدّل الموضوع فلا مجال للاستصحاب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التنقیح فی شرح العروة الوثقی، کتاب الطهارة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وفقاً للروایات أنّ الکفر لیس أمراً عدمیاً، بل هو جحد و انکار و لا شکّ فی وجودیّتهما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روی فی الکافی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عبد اللّه علیه السلام جالساً عن یساره و زرارة عن یمینه، فدخل علیه أبو بصیر،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 اللّه، ما تقول فیمن شکّ فی اللّه؟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کافر یا أبا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فشکّ فی رسول اللّه؟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التفت إلی زرارة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یکفر إذا جحد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569:18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المراد من هذه الأخبار لیس ما هو ظاهرها من دخول الأولاد فی النار؛ لمخالفته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تَزِرُ وازِرَةٌ وِزْرَ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استحقاق دخولهم فی النار بمعنی أنّهم لو کانوا بالغین فی الدنیا لصاروا کافرین، و یشهد علی ذلک التعبیر بالإلحاق، فانّ المراد منه اللحوق الحکمی أو التعلیقی لا العملی و العقلی، و أیضاً مخالفته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فِطْرَتَ اللّهِ الَّتِی فَطَرَ النّاسَ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89:11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ما یناسبه،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قام الدلیل علی سقوط التکلیف فی الآخرة و أنّها دار جزاء لا دار عمل، فلا یصحّ دخولهم مداخل آبائهم لمخالفة الآباء للتکلیف المتوجّه إلیهم، و قبح عقابهم عقلاً و نقلاً بشرک آبائهم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 باب الأطفال،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للإمام الخمینی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المراد بتبعیة الولد للوالد الکافر عدم ترتّب أحکام الإسلام لا ترتّب جمیع أحکام الکفر،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للشیخ الأراکی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للسیّد الشیرازی، کتاب الطهارة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یسیر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260:7</w:t>
      </w:r>
      <w:r>
        <w:rPr>
          <w:rFonts w:ascii="IRNazanin" w:hAnsi="IRNazanin" w:eastAsia="IRNazanin"/>
          <w:b w:val="false"/>
          <w:b w:val="false"/>
          <w:bCs w:val="false"/>
          <w:i w:val="false"/>
          <w:i w:val="false"/>
          <w:iCs w:val="false"/>
          <w:color w:val="333333"/>
          <w:sz w:val="20"/>
          <w:sz w:val="20"/>
          <w:szCs w:val="20"/>
          <w:rtl w:val="true"/>
        </w:rPr>
        <w:t xml:space="preserve">، کتاب الطهارة للإمام الخمینی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شکّ فی مدرکیّة هذا الإجماع، و علیه لا یکون دلیلاً تعبّدیّاً مستقلاًّ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قسم الفقه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135:21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فی أحکام الشریعة للسیّد محسن الکاظمی الأعرجی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 کتاب الطهارة للإمام الخمینی </w:t>
      </w:r>
      <w:r>
        <w:rPr>
          <w:rFonts w:eastAsia="IRNazanin" w:cs="IRNazanin"/>
          <w:b w:val="false"/>
          <w:bCs w:val="false"/>
          <w:i w:val="false"/>
          <w:iCs w:val="false"/>
          <w:color w:val="333333"/>
          <w:sz w:val="20"/>
          <w:szCs w:val="20"/>
        </w:rPr>
        <w:t>417:3</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التنقیح فی شرح العروة الوثقی، کتاب الطهارة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مصباح الهدی </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العمدة الروایات کما لا یخفی، و الإجماع و السیرة فی المقام مستفادان منها، و لا اعتبار بالمدرکی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224:14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المناقشة فی الإجماع، و الظاهر صحّة الاستناد إلی الروایات و إن کانت محتاجة إلی التأویل و التوجیه، و علیه فإطلاق الروایات یشمل ما إذا کان الولد مخالطاً للمسلمین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الموسوعة الفقهیّة الکویتیّة </w:t>
      </w:r>
      <w:r>
        <w:rPr>
          <w:rFonts w:eastAsia="IRNazanin" w:cs="IRNazanin"/>
          <w:b w:val="false"/>
          <w:bCs w:val="false"/>
          <w:i w:val="false"/>
          <w:iCs w:val="false"/>
          <w:color w:val="333333"/>
          <w:sz w:val="20"/>
          <w:szCs w:val="20"/>
        </w:rPr>
        <w:t>100:24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جواهر الکلام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الشیعة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السادة الفقهاء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الفیروزآبادی و الحکیم و الگلپایگانی و کاشف الغطاء، العروة الوثقی مع تعلیقات عدّة من الفقهاء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 مصباح الهدی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یسیر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السیرة ثابتة مطلقا من دون أن تکون مستندة إلی شیء آخر فالطهارة حکم تعبّدی، و أمّا إذا کانت السیرة بملاک الحرج أو بملاک تقدیم الظاهر علی الأصل أو ملاک آخر فالحکم بالطهارة لیس تعبّدیّاً، و المقام من القسم الثانی،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المطهّرات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غیر الممیّز فلا یعتبر؛ لأنّه لم یمیّز بین النجاسة و الطهارة حتّی یخبر بهما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المقام من قبیل قول ذی الید تأمّلاً و اشکالاً، کما أنّ اعتبار قول البالغ فی طهارة یده أو بدنه لیس من باب اعتبار قول ذی الید، بل کلاهما من مصادیق الإخبار فی الموضوعات الخارجیّة أو الإخبار بما لا یعرف إلّا من قبله، کما أنّ قول المرأة بأنّها لیست لها بعل أو کانت طاهرة من الدم لیس من باب اعتبار قول ذی الید، و کما أنّ إخبار الصبیّ بفعل شیء أو ترکه لیس من مصادیق الید، و علیه یمکن أن یقال باستقرار السیرة علی اعتبار الأفعال أو الاُمور الّتی لا تعرف غالباً إلّا من قبل نفسه، و بناء علی ذلک لا فرق بین المراهق و غیره، کما أنّه لا فرق بین الإخبار بطهارة بدنه أو لباسه و بین الإخبار بسائر الاُمور المتعلّقة به، فإذا أخبر بأنّه قال شیئاً أو فعل شیئاً یقبل إلّا إذا کان معلوم الکذب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المتّقین، 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للشیخ الأراکی </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العلیّة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النجاسات و أحکامها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ج </w:t>
      </w:r>
      <w:r>
        <w:rPr>
          <w:rFonts w:eastAsia="IRNazanin" w:cs="IRNazanin"/>
          <w:b w:val="false"/>
          <w:bCs w:val="false"/>
          <w:i w:val="false"/>
          <w:iCs w:val="false"/>
          <w:color w:val="333333"/>
          <w:sz w:val="20"/>
          <w:szCs w:val="20"/>
        </w:rPr>
        <w:t>1069:2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262:14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الإمام أحمد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فی فقه أحمد بن حنبل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الخرشی علی مختصر الخلیل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المحتاج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ذکری الشیعة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الألفیّة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العروة الوثقی مع التعلیقات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تفصیل الشریعة، أحکام التخلی و الوضوء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508:9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508:9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تعلیم الکتاب، و الجمع الکتاتیب و المکاتب، لسان العرب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قلنا بعدم صحّة الوضوء من الصبیان أو عدم جواز تعلّق الخطاب بهم فالکراهة أیضاً لا معنی لها،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فی مختلف الشیعة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ابن الجنید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یکره للجنب و الحائض مسّ الکتابة من المصحف أو الدراهم التی علیها القرآن أو أسماء اللّه تعالی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کالأردبیلی فی مجمع الفائدة و البرهان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و 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السیّد فی مدارک الأحکام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فیهما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489:4</w:t>
      </w:r>
      <w:r>
        <w:rPr>
          <w:rFonts w:ascii="IRNazanin" w:hAnsi="IRNazanin" w:eastAsia="IRNazanin"/>
          <w:b w:val="false"/>
          <w:b w:val="false"/>
          <w:bCs w:val="false"/>
          <w:i w:val="false"/>
          <w:i w:val="false"/>
          <w:iCs w:val="false"/>
          <w:color w:val="333333"/>
          <w:sz w:val="20"/>
          <w:sz w:val="20"/>
          <w:szCs w:val="20"/>
          <w:rtl w:val="true"/>
        </w:rPr>
        <w:t xml:space="preserve">، مصباح الهدی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و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و بحار الأنوار </w:t>
      </w:r>
      <w:r>
        <w:rPr>
          <w:rFonts w:eastAsia="IRNazanin" w:cs="IRNazanin"/>
          <w:b w:val="false"/>
          <w:bCs w:val="false"/>
          <w:i w:val="false"/>
          <w:iCs w:val="false"/>
          <w:color w:val="333333"/>
          <w:sz w:val="20"/>
          <w:szCs w:val="20"/>
        </w:rPr>
        <w:t>185:89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الولد علی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یستحسن اسمه، و یعلّمه کتاب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199:15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ما فیه من إمکان الانفکاک عادة، و علیه فلا منافاة بین استحباب تعلیم القرآن و الحکم بلزوم منعهم عن المسّ کما هو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روایة حریز، وسائل الشیعة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العربیة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مصباح الهدی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التنقیح فی شرح العروة الوثقی، کتاب الطهارة </w:t>
      </w:r>
      <w:r>
        <w:rPr>
          <w:rFonts w:eastAsia="IRNazanin" w:cs="IRNazanin"/>
          <w:b w:val="false"/>
          <w:bCs w:val="false"/>
          <w:i w:val="false"/>
          <w:iCs w:val="false"/>
          <w:color w:val="333333"/>
          <w:sz w:val="20"/>
          <w:szCs w:val="20"/>
        </w:rPr>
        <w:t>488:4</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الشیخ الفاضل اللنکرانی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غنائم الأیّام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أنه لیس من ضروریّاته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الأوّل من هذا الباب، مبحث مشروعیّة عبادات الصبیّ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صدق التسبیب فی هذه الصورة تأمّل و إشکال، و المتیقّن فیه ما إذا کان المسّ مستنداً إلی السبب کما لا یخفی، و لکن لا یبعد أن یقال بالجواز حتّی فی الصورة الثانیة من حیث إنّ الظاهر حرمة المسّ مباشرة بنفس البشرة، أمّا إذا تحقّق المسّ عن وراء ثوب فلا بأس به، و المسّ عن طریق إصبع الصبیّ کالمسّ عن وراء الثوب، و بالنتیجة کما لا دلیل علی الحرمة مطلقاً کذلک لا دلیل علیها تفصیلاً، و 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الفاضل اللنکرانی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أیضاً مختصّ بما إذا کان العمل مبغوضاً مطلقاً بحیث لا یرضی الشارع بوقوعه خارجاً، و لیس المقام منه،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488:4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للسید محمّد الشیرازی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الهندیّة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القدیر لابن الهمام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علی الشرح الکبیر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فیها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الإمام أحمد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الصلاة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النصوص أنّ وجوب الغسل حکم تکلیفی و لیس مسبّباً عن الإدخال، کما أنّ المهر و الرجم لا معنی لکونهما مسبّبین عن شیء، بل وجوبهما من باب الحکم الشرعی، و التعبیر بأنّ الحدّ یجب ظاهر فی کونه حکماً شرعیّاً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لا یخفی أنّ الجنابة لیست شیئاً آخر غیر الإدخال، بل هی نفس الإیلاج، و هو موضوع لوجوب الغسل و سائر الأحکام الشرعیّة، و ممّا یشهد علی ذلک لزوم إجراء ضوابط السببیّة حتّی فی الأسباب الشرعیة مع وضوح عدم جریانها فی المقام، فالنوم سبب للحدثیّة أو ناقض للوضوء، امّا وجوب الوضوء فلیس مسبّباً عنه، 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 وجوب الوضوء و وجوب الغسل فی کونهما حکماً شرعیّاً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صاحب المدارک فی هذه العبارة لیس فی مقام إبداء الفرق بین السبب و الحکم، بل هو فی مقام بیان أصل العلّیّة و السببیّة للجنابة،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مکتوبة محمّد سنان عن الرضا علیه السلام أنّه کتب إلیه فی جواب مسائله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علّة غسل الجنابة النظافة، و لتطهیر الإنسان ممّا أصابه من أذاه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کذا ما فی ذیل روایة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زندیقاً قال لأبی عبد اللّه علیه السلام فما علّة الغسل من الجنابة و إنّما أتی الحلال، و لیس من الحلال تدنیس؟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الجنابة بمنزلة الحیض، و ذلک أنّ النطفة دم لم یستحکم، و لا یکون الجماع إلّا بحرکة شدیدة و شهوة غالبة، فإذا فزع الرجل تنفّس البدن و وجد الرجل من نفسه رائحة کریهة، فوجب الغسل لذلک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466:1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الخطاب إلّا وجوب الغسل و لا خطاب وضعی حتّی تنتزع الجنابة منه،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لوجوب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التنقیح فی شرح العروة الوثقی، کتاب الطهارة </w:t>
      </w:r>
      <w:r>
        <w:rPr>
          <w:rFonts w:eastAsia="IRNazanin" w:cs="IRNazanin"/>
          <w:b w:val="false"/>
          <w:bCs w:val="false"/>
          <w:i w:val="false"/>
          <w:iCs w:val="false"/>
          <w:color w:val="333333"/>
          <w:sz w:val="20"/>
          <w:szCs w:val="20"/>
        </w:rPr>
        <w:t>265:6</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مصباح الهدی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غسل الجنابة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الفصل الأوّل من الباب العاشر فی المجلّد السادس من الموسوعة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الروایة دالّة علی أنّه بمجرّد التقاء الختانین فقد وجب الغسل، و الوجوب ظاهر فی الفعلیّة و علی هذا یکون التفسیر بأنّ الالتقاء مقتض لذلک و الصبی بعد البلوغ یجب علیه الغسل، خلاف الظاهر جدّاً و بناء علیه یکون شاملاً لمن یکون مکلّفاً بالفعل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غسل الجنابة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254:3</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مصباح الهدی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التنقیح فی شرح العروة الوثقی، کتاب الطهارة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الفصل الأوّل من الباب التاسع فی هذا 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التنقیح فی شرح العروة الوثقی، کتاب الطهارة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مصباح الهدی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غسل الجنابة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 بکفایة غسله و عدم لزوم الإعادة بعد البلوغ حتّی علی القول بعدم مشروعیّة عباداته، و بیان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المستفاد من دلیل تحقّق الجنابة لیس مجرّد وقوع الحدث فقط، بل الدلیل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شمول 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التقی الختانان فقد وجب الغسل للصبیّ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496:1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الغسل،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 بالدلالة المطابقیّة فی وجوب الغسل و بالدلالة الالتزامیّة فی تحقّق الحدث و الجنابة، فیصحّ الغسل و إن لم نقل بمشروعیّة عباداته کما أنّه فی باب الحجّ یکون حجّه صحیحاً بمقتضی الأدلّة الخاصّة الواردة فی الحجّ و إن لم نقل بالمشروعیّة فی جمیع عباداته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الأوّل، الباب التاسع</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xml:space="preserve">، و ما بعده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التنظیر إشکال واضح؛ لجریان النزاع بنفسه فی أولاد المشرکین، فهل یجوز دخولهم أو إدخالهم فی المسجد الحرام أم لا؟ و المستفاد من حدیث الرفع نفی جمیع الأحکام اللزومیّة عن الصبیّ إلّا ما خرج بالدلیل، و فی شمول الآیة الشریفة للصبیّ تأمّل، بل منع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أنّه بناء علی ذلک یکون الإدخال حراماً من باب التسبیب إلی الحرام، و لکن لا یدلّ علی لزوم منعه عن الدخول، فالظاهر من مجموع الأدلّة حرمة الإدخال و عدم وجوب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الدخول لنفسه حراماً فلا یکون الإدخال أیضاً تسبیباً إلی الحرام،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عدم ترتّب هذا الحکم علی الجنب بما هو جنب و قلنا بإمکان الفرق بین الأحکام المترتّبة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عدم الدلیل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فیحتاج الترتّب إلی الدلیل، و مع عدمه لا حرمة؛ للأصل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للسیّد الشیرازی الطهارة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التقسیم ینفع بناء علی مسلک حقّ الطاعة الّذی ذهب إلیه الشهید الصدر رحمه الله و أصرّ علیه، و لکن قد خالفناه فی مباحثنا الأصولیّة،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کان، بناء علیه لا وجه لهذا التفصیل، بل فی جمیع المحرّمات یلزم رعایتها مطلقاً حتّی لا ینافی حقّ الطاعة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362:18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الزنی، و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السرقة، و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بحار الأنوار المکتبة الإسلامیة </w:t>
      </w:r>
      <w:r>
        <w:rPr>
          <w:rFonts w:eastAsia="IRNazanin" w:cs="IRNazanin"/>
          <w:b w:val="false"/>
          <w:bCs w:val="false"/>
          <w:i w:val="false"/>
          <w:iCs w:val="false"/>
          <w:color w:val="333333"/>
          <w:sz w:val="20"/>
          <w:szCs w:val="20"/>
        </w:rPr>
        <w:t>119:80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 فی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483:1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المجلس الثالث و التسعون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ذکری الشیعة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xml:space="preserve">، کفایة الأحکام،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کشف الالتباس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النجاسات و أحکامها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للشیخ الأراکی </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الإنصاف أنّ هذا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فی السبب الحرام، بمعنی أنّ العرق الحاصل من السبب الحرام حرام، و لیس لعنوان الحرمة الفعلیة دخل فی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النجاسات و أحکامها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شرح الهدایة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الهندیّة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المسالک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الخرشی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مدوّنة فقه المالکی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840:1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ذکری الشیعة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کفایة الأحکام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الأحکام الواضحة للفاضل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374:2</w:t>
      </w:r>
      <w:r>
        <w:rPr>
          <w:rFonts w:ascii="IRNazanin" w:hAnsi="IRNazanin" w:eastAsia="IRNazanin"/>
          <w:b w:val="false"/>
          <w:b w:val="false"/>
          <w:bCs w:val="false"/>
          <w:i w:val="false"/>
          <w:i w:val="false"/>
          <w:iCs w:val="false"/>
          <w:color w:val="333333"/>
          <w:sz w:val="20"/>
          <w:sz w:val="20"/>
          <w:szCs w:val="20"/>
          <w:rtl w:val="true"/>
        </w:rPr>
        <w:t xml:space="preserve">، تراث الشیخ الأعظم، کتاب الطهارة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غنائم الأیّام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کتاب الطهارة للإمام الخمینی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نهایة الأحکام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579:2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مراد العلّامة من الحکمة هی العلّة الّتی یکون الحکم دائراً مدارها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409:15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للإمام الخمینی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الإشکال منحصر بما إذا کان السنّ مجهولاً، و لا یمکن الجواب فی هذا الفرض بأنّه إذا کان الدم واجداً لأوصاف الحیض و أماراته فیحکم بکونه حیضاً؛ لأنّ عدم کون الدم قبل التسع حیضاً من جملة الأمارات، و حیث إنّا لا نعلم بذلک فلا یجوز الحکم بالحیضیّة، ففی هذا الفرض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جریان استصحاب عدم الحیضیّة إلی القطع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 بأنّ قاعدة الإمکان تکون حاکمة علی هذا الشرط، بمعنی أنّه إذا کان السن مجهولاً و یکون الدم واجدة لسائر صفات الحیض، و یمکن أن یکون حیضاً، فیحکم بالحیضیّة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374:2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374:2</w:t>
      </w:r>
      <w:r>
        <w:rPr>
          <w:rFonts w:ascii="IRNazanin" w:hAnsi="IRNazanin" w:eastAsia="IRNazanin"/>
          <w:b w:val="false"/>
          <w:b w:val="false"/>
          <w:bCs w:val="false"/>
          <w:i w:val="false"/>
          <w:i w:val="false"/>
          <w:iCs w:val="false"/>
          <w:color w:val="333333"/>
          <w:sz w:val="20"/>
          <w:sz w:val="20"/>
          <w:szCs w:val="20"/>
          <w:rtl w:val="true"/>
        </w:rPr>
        <w:t xml:space="preserve">، تراث الشیخ الأعظم، کتاب الطهارة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للإمام الخمینی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للإمام الخمینی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القمریّة المتوسطة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ثلاثمائة و أربعة و خمسون یوماً و خمس یوم و سدسه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أدلّته لوهبة الزحیلی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فی دائرة المعارف الفارسیة للمصاحب غلام 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السنة القمریّة المتوسطة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ثلاثمائة و أربعة و خمسون یوماً، و قال بعض آخر السنة القمریّة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ساعات 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دقیقة، گاهنامه تطبیقی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198:14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البجنوردی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فی الحاشیة السابقة أنّ مقتضی جریان قاعدة الإمکان الحکم بالحیضیّة فیما إذا کان السنّ مشکوکاً، و یکون الدم واجداً لصفات الحیض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بالجملة، مقتضی حکومة قاعدة الإمکان اختصاص هذا 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الدم بعد إکمال التسع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إذا کان السنّ معلوماً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529:1</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الفاضل اللنکرانی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فیما تقدّم أنّ مقتضی حکومة قاعدة الإمکان الحکم بالحیضیّة و إن لم تتحقّق التسع، و القاعدة لا تثبت تحقّق التسعة؛ لأنّ مدلولها محدود بإثبات کونه حیضاً شرعاً، و لیس أکثر من ذلک و التسعیّة لیست من اللوازم الشرعیّة أو العادیّة أو العقلیّة له حتّی یقال بأنّ لوازم الأمارة حجّة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یستکشف منه البلوغ شرعاً، و مع حکومة القاعدة فی مورد الشکّ لا مجال للأخذ بالأخبار فإنّها مختصّة بما إذا کان السن معلوماً،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الوصایا،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العبیط، أی طری 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أنّه مع الشکّ و جریان قاعدة الإمکان یحکم بالحیضیّة و البلوغ دون التسعیّة،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فصل فی غسل الحیض،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تعلیقة الشیخ ضیاء الدِّین العراقی </w:t>
      </w:r>
      <w:r>
        <w:rPr>
          <w:rFonts w:eastAsia="IRNazanin" w:cs="IRNazanin"/>
          <w:b w:val="false"/>
          <w:bCs w:val="false"/>
          <w:i w:val="false"/>
          <w:iCs w:val="false"/>
          <w:color w:val="333333"/>
          <w:sz w:val="20"/>
          <w:szCs w:val="20"/>
        </w:rPr>
        <w:t>529:1</w:t>
      </w:r>
      <w:r>
        <w:rPr>
          <w:rFonts w:ascii="IRNazanin" w:hAnsi="IRNazanin" w:eastAsia="IRNazanin"/>
          <w:b w:val="false"/>
          <w:b w:val="false"/>
          <w:bCs w:val="false"/>
          <w:i w:val="false"/>
          <w:i w:val="false"/>
          <w:iCs w:val="false"/>
          <w:color w:val="333333"/>
          <w:sz w:val="20"/>
          <w:sz w:val="20"/>
          <w:szCs w:val="20"/>
          <w:rtl w:val="true"/>
        </w:rPr>
        <w:t xml:space="preserve">، ذیل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xml:space="preserve">، کتاب النکاح،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فی شرح المقنع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الإمام أحمد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الإرادات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الحقائق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البنایة فی شرح الهدایة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لأبی إسحاق الشیرازی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للبغوی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 منهاج الطالبین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زاد المحتاج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شرح فتح القدیر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الوجیز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المقدّمات الممهّدات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الخرشی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الزرقانی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840:1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ذکری الشیعة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مصابیح الظلام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کتاب الطهارة للإمام الخمینی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للسیّد الشیرازی، کتاب الطهارة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موسوعة الإمام الخوئی، التنقیح فی شرح العروة الوثقی، کتاب الطهارة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تلخیص</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xml:space="preserve">، تراث الشیخ الأعظم، کتاب الطهارة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فصل الاستحاضة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مفتاح الکرامة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ذیل القول الأوّل فی المسألة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577:2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ینکر، و لکن مورد السؤال و الجواب إنّما هو فی الحامل البالغة، فلا یشمل الصغیرة، کما أنّ التعبیر بلزوم الصلاة و عدمه یدلّ علی ذلک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577:2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579:2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555:2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578:2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ذکری الشیعة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کفایة الأحکام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مصابیح الظلام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قال الشیخ الأعظم فی کتاب الطهارة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ما أمکن کونه استحاضةً و امتنع کونه حیضاً فهو من الاستحاضة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الاعظم، کتاب الطهارة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للإمام الخمینی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الحیضیّة أو عنوان النفاس و الاستحاضة لیست من العناوین التکوینیّة الواقعیّة حتّی تکون المرأة بحسب طبعها منحصرة فیها، بل هذه العناوین اعتباریّة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منشأ اختلاف الاعتبار هو الاختلاف فی بعض الصفات، و لکن هذا لا یخرجه عن الاعتباریّة، و بناء علیه یمکن عدم جریان الاعتبارات الثلاثة علی دم فی مدّة من الزمان و لا یلزم الاختلاف فی المجری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الدم غیر الدماء الثلاثة لا یکون متوقّفاً علی اختلاف المجری، و بالنتیجة لا مجال للقول بعدم إمکان الدم قبل البلوغ غیر الدماء الثلاثة، بل إمکانه من جهة الاعتبار بمکان من الوضوح، فلو لم یدلّ دلیل واضح علی جریان الاستحاضة و أحکامها لکان الدم خارجاً عن الثلاثة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للإمام الخمینی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تتقشّر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وسف</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الطبّیّة الفقهیّة للدکتور أحمد محمّد کنعان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دراسات فقهیّة فی قضایا طبّیّة معاصرة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الموطّأ لمالک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المستحاضة،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577:2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أدری کیف یجمع بین کونها صغیرة مستحاضة و کونها واجبة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لیس التعبیر بالصلاة حاکیاً عن کون الاستحاضة الواردة فی الروایات منحصرة بالبالغة؟ 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بناء علی مشروعیّة عبادات الصبیّ تصحّ منه الصلاة؛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الروایات ظاهرة فی الصلاة المفروضة لا مجرّد المشروعیّة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609:2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462:1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606:2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606:2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التنظیر فی غیر محلّه جدّاً و خلط بین الإحکام الوضعیّة الّتی تشمل الجمیع من دون فرق بین البالغ و غیره، و بین الأحکام التکلیفیّة الّتی تدلّ علیها الروایات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للإمام الخمینی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کالدلیل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بناء العقلاء علی الحمل علی الاستحاضة فی الدم الخارج من الباطن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للإمام الخمینی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xml:space="preserve">، تراث الشیخ الأعظم، کتاب الطهارة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فی شرح الوجیز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الحقائق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الإرادات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المالکی فی ثوبة الجدید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البنایة فی شرح الهدایة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الحقائق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الأردبیلی فی تعریف المرتدّ الفطری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المرتدّ الذی ارتدّ بعد أن ولد علی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ولد و أحد أبویه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318:13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فی جواهر الکلام </w:t>
      </w:r>
      <w:r>
        <w:rPr>
          <w:rFonts w:eastAsia="IRNazanin" w:cs="IRNazanin"/>
          <w:b w:val="false"/>
          <w:bCs w:val="false"/>
          <w:i w:val="false"/>
          <w:iCs w:val="false"/>
          <w:color w:val="333333"/>
          <w:sz w:val="20"/>
          <w:szCs w:val="20"/>
        </w:rPr>
        <w:t>604:41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خلاف و لا إشکال فی فطریّة من انعقد و ولد و وصف الإسلام عند بلوغه و أبواه مسلمان، بل أو أحدهما و لو الاُم ثمّ ارتدّ حتّی لو ارتدّ أبواه بعد انعقاده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کذا فی مهذّب الأحکام </w:t>
      </w:r>
      <w:r>
        <w:rPr>
          <w:rFonts w:eastAsia="IRNazanin" w:cs="IRNazanin"/>
          <w:b w:val="false"/>
          <w:bCs w:val="false"/>
          <w:i w:val="false"/>
          <w:iCs w:val="false"/>
          <w:color w:val="333333"/>
          <w:sz w:val="20"/>
          <w:szCs w:val="20"/>
        </w:rPr>
        <w:t>134:28</w:t>
      </w:r>
      <w:r>
        <w:rPr>
          <w:rFonts w:ascii="IRNazanin" w:hAnsi="IRNazanin" w:eastAsia="IRNazanin"/>
          <w:b w:val="false"/>
          <w:b w:val="false"/>
          <w:bCs w:val="false"/>
          <w:i w:val="false"/>
          <w:i w:val="false"/>
          <w:iCs w:val="false"/>
          <w:color w:val="333333"/>
          <w:sz w:val="20"/>
          <w:sz w:val="20"/>
          <w:szCs w:val="20"/>
          <w:rtl w:val="true"/>
        </w:rPr>
        <w:t xml:space="preserve">، و مبانی تکملة المنهاج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224:14</w:t>
      </w:r>
      <w:r>
        <w:rPr>
          <w:rFonts w:ascii="IRNazanin" w:hAnsi="IRNazanin" w:eastAsia="IRNazanin"/>
          <w:b w:val="false"/>
          <w:b w:val="false"/>
          <w:bCs w:val="false"/>
          <w:i w:val="false"/>
          <w:i w:val="false"/>
          <w:iCs w:val="false"/>
          <w:color w:val="333333"/>
          <w:sz w:val="20"/>
          <w:sz w:val="20"/>
          <w:szCs w:val="20"/>
          <w:rtl w:val="true"/>
        </w:rPr>
        <w:t xml:space="preserve">، کفایة الأحکام </w:t>
      </w:r>
      <w:r>
        <w:rPr>
          <w:rFonts w:eastAsia="IRNazanin" w:cs="IRNazanin"/>
          <w:b w:val="false"/>
          <w:bCs w:val="false"/>
          <w:i w:val="false"/>
          <w:iCs w:val="false"/>
          <w:color w:val="333333"/>
          <w:sz w:val="20"/>
          <w:szCs w:val="20"/>
        </w:rPr>
        <w:t>794:2</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356:9</w:t>
      </w:r>
      <w:r>
        <w:rPr>
          <w:rFonts w:ascii="IRNazanin" w:hAnsi="IRNazanin" w:eastAsia="IRNazanin"/>
          <w:b w:val="false"/>
          <w:b w:val="false"/>
          <w:bCs w:val="false"/>
          <w:i w:val="false"/>
          <w:i w:val="false"/>
          <w:iCs w:val="false"/>
          <w:color w:val="333333"/>
          <w:sz w:val="20"/>
          <w:sz w:val="20"/>
          <w:szCs w:val="20"/>
          <w:rtl w:val="true"/>
        </w:rPr>
        <w:t xml:space="preserve">، کشف الغطاء </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134:21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للإمام الخمینی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دلالة الآیة علی المقام نظر و إشکال، بل منع؛ و ذلک لأنها ظاهرة فی أن التبعیة من ناحیة الذّریّة اختیاریّة، فهم اتبعوهم فی الإیمان فی الدنیا، و من اجل هذا ألحقهم اللّه بهم فی الآخرة، و لا ظهور فی الآیة علی الإلحاق فی أحکام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591:3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البجنوردی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البجنوردی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96:11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591:3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 تصدیق الحقّ إلّا الإسلام؟ و هل التوحید غیر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للإمام الخمینی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224:14</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89:11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135:21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 و الذنب، و بلغ الغلام الحنث، أی المعصیة و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حنث</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135:21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لکن لا ریب فی استفادة التبعیة إجمالاً، هذا المقدار یکفی للمقام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للإمام الخمینی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أبی خدیجة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ذرّیّة الرجل المسلم إذا مات یعطون من الزکاة و الفطرة کما کان یعطی أبوهم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 باب جواز إعطاء أطفال المؤمنین الزکاة،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روی فی التهذیب فی الصحیح عن یونس،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الرضا علیه السلام عن الرجل یکون له الجاریة الیهودیّة و النصرانیّة فیواقعها فتحمل، ثمّ یدعوها إلی أن تسلم، فتأبی علیه، فدنا ولادتها فماتت و هی تطلق و الولد فی بطنها و مات الولد، أ یدفن معها علی النصرانیّة أو یخرج منها و یدفن علی فطرة الإسلام؟ فکتب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یدفن 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866:2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أی یدفن معها علی فطرة الإسلام، فإنّها صریحة بأنّ الولد تابع لأبیه فی الإسلام حیث کان أبوه یوم العلوق مسلماً و إن کانت امه نصرانیّة أو یهودیّة، و لذا أمر علیه السلام بدفنه مع امّه علی فطرة الإسلام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135:21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591:3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135:21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793:2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224:14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للإمام الخمینی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794:2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413:10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183:38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الزرکشی علی مختصر الخرقی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أسهل المدارک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115:10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أسهل المدارک </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 عقد الجواهر الثمینة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الهندیّة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معنی اللقیط و ما یشترط فیه و فی الملتقط فی المبحث الأوّل من الفصل الثانی من الباب السادس، فراجع</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منهاج الصالحین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الفقه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184:38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476:12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414:10</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الحکیم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منهاج الصالحین للسیّد الخوئی مع فتاوی الشیخ وحید الخراسانی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اللقطة، شرح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الخاتمة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بوزن قربوس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بالشام، مشرفة علی البحر قرب المرقب و عکّا، و هی الیوم بید الإفرنج، نسبوا إلیها أبا عبد اللّه الحسین بن محمد بن الحسین الخوّاص المقرئ الطرطوسی، معجم البلدان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الطبعة الحجریّة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لیس عنوان دار الإسلام أو دار الحرب موضوعاً للحکم فی الروایات بل هما رائجتان علی ألسنة الفقهاء، فلا فائدة فی البحث عن تعریفهما، و إنّما الکلام فی أنّ اللقیط المشکوک إلحاقه هل یلحق بالمسلم أم لا؟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استفدنا من الأدلّة السابقة أنّ المولود محکوم بالفطرة الإسلامیّة إلّا مع وجود الدلیل الخاصّ علی خلافها، فاللازم الحکم بکون کلّ لقیط محکوماً بالإسلام، من دون فرق بین وجدانه فی بلد الإسلام أو فی بلد الکفر، و من دون فرق بین أن ینفّذ فیها أحکام الإسلام أو لا، و من دون فرق بین وجود مسلم یمکن إلحاقه به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لم نقل بذلک فالظاهر أنّ وزان ذلک وزان قاعدة الولد للفراش، فکما أنّ الولد فی صورة الشکّ یلحق بالفراش إذا أمکن إلحاقه به فکذلک اللقیط یلحق بالمسلم إذا أمکن عرفاً الحاق الولد به، ففی بلد الکفر إذا أمکن إلحاق الولد بالمسلم فیلحق به، و لیس الملاک وجود المسلم فقط، بل المناط إمکان تولّده منه، مثلاً إذا کان المسلم الموجود شیخاً کبیراً لا یمکن إلحاق الولد به، فلا یلحق به و 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186:38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476:12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اللقطة، شرح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الخاتمة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96:11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557:15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557:15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المطلب الأوّل من هذا المبحث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الأدلّة الّتی اقیمت علی طهارة الطفل لتبعیّته لأبویه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اللقیط،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478:12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190:38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187:38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414:10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184:38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354:23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البدائع الصنائع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مدوّنة الفقه المالکی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 بلغة السالک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و ما بعدها، تبیین الحقائق </w:t>
      </w:r>
      <w:r>
        <w:rPr>
          <w:rFonts w:eastAsia="IRNazanin" w:cs="IRNazanin"/>
          <w:b w:val="false"/>
          <w:bCs w:val="false"/>
          <w:i w:val="false"/>
          <w:iCs w:val="false"/>
          <w:color w:val="333333"/>
          <w:sz w:val="20"/>
          <w:szCs w:val="20"/>
        </w:rPr>
        <w:t>302:3</w:t>
      </w:r>
      <w:r>
        <w:rPr>
          <w:rFonts w:ascii="IRNazanin" w:hAnsi="IRNazanin" w:eastAsia="IRNazanin"/>
          <w:b w:val="false"/>
          <w:b w:val="false"/>
          <w:bCs w:val="false"/>
          <w:i w:val="false"/>
          <w:i w:val="false"/>
          <w:iCs w:val="false"/>
          <w:color w:val="333333"/>
          <w:sz w:val="20"/>
          <w:sz w:val="20"/>
          <w:szCs w:val="20"/>
          <w:rtl w:val="true"/>
        </w:rPr>
        <w:t xml:space="preserve">، حاشیة الدسوقی مع الشرح الکبیر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الوسیط </w:t>
      </w:r>
      <w:r>
        <w:rPr>
          <w:rFonts w:eastAsia="IRNazanin" w:cs="IRNazanin"/>
          <w:b w:val="false"/>
          <w:bCs w:val="false"/>
          <w:i w:val="false"/>
          <w:iCs w:val="false"/>
          <w:color w:val="333333"/>
          <w:sz w:val="20"/>
          <w:szCs w:val="20"/>
        </w:rPr>
        <w:t>309:4</w:t>
      </w:r>
      <w:r>
        <w:rPr>
          <w:rFonts w:ascii="IRNazanin" w:hAnsi="IRNazanin" w:eastAsia="IRNazanin"/>
          <w:b w:val="false"/>
          <w:b w:val="false"/>
          <w:bCs w:val="false"/>
          <w:i w:val="false"/>
          <w:i w:val="false"/>
          <w:iCs w:val="false"/>
          <w:color w:val="333333"/>
          <w:sz w:val="20"/>
          <w:sz w:val="20"/>
          <w:szCs w:val="20"/>
          <w:rtl w:val="true"/>
        </w:rPr>
        <w:t xml:space="preserve">، الوجیز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xml:space="preserve">، مواهب الجلیل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للإمام الخمینی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منهاج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184:38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المبحث الأوّل من هذا الفصل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الإسلام بعد السبی و بعد تحقّق الملکیة لا ینافی الملکیة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قبل السبی ینافی الملکیّة کما أنّه ینافی السبی أیضاً، و کیف کان فالدلیل علیل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414:10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202:33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للإمام الخمینی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202:33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الاستصحاب یجری بالنسبة إلی أصل التبعیّة، بمعنی أنّ الولد قبل السبی کان تابعاً لأبویه و بعده نشکّ فی زوال التبعیّة و عدمه، فیستصحب التبعیّة و یجری علیها أحکامها من الکفر و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للإمام الخمینی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الألفاظ</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کصحیحة ابن سنان المتقدّمة،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أولاد المشرکین یموتون قبل أن یبلغوا الحنث،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کفّار، و اللّه أعلم بما کانوا عاملین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136:21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149:15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 قد مرّ أنّ المراد من التبعیّة لیست التبعیّة الخارجیة حتّی انقطعت بالسبی، بل المراد هو الإلحاق فی الدین شرعاً إلی الأبوین، و بعد السبی لا دلیل علی إبطال هذه التبعیّة، بل مقتضی الاستصحاب بقاؤها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414:10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96:11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بعض العبارات أنّ هذه الجملة من تتمّة الحدیث، و لکن لم نعثر علیها فی الجوامع الحدیثیّة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حکاها العلّامة فی التذکرة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هذا الذیل</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137:21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الألفاظ</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149:15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الإنصاف جریان السیرة فی أکثر من ذلک کالتغسیل و التکفین و الصلاة علیه، و من أجل هذا لا مجال لجریان الاستصحاب، فلا یبعد القول بالتبعیّة فی الإسلام و الطهارة معاً لا فی خصوص الطهارة، و 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توضیح منّا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السادة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الأصفهانی و البروجردی و الخوانساری و الگلپایگانی، العروة الوثقی مع تعلیقات عدّة من الفقهاء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 لا یجری الحرج فیما إذا سبی مع الأبوین؟ فهل الاستخدام فی هذا الفرض غیر مستلزم للحرج؟ هذا مضافاً إلی أنّ هذا الاستدلال مبنی علی جریان قاعدة الحرج فی الوضعیّات، کما ذهب الیه والدنا المعظّم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یبدو بنظری القاصر کما أثبتناه فی رسالتنا حول القاعدة و أثبتنا عدم جریانها فیها، و إن کان ذلک موجباً للفرق بین هذه القاعدة و قاعدة لا ضرر، مع أنّ الفرق بینهما من هذه الناحیة مشکل جدّاً، فراجع إلی التنبیه الرابع من تلک الرسالة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الشرائع للکرکی فی ضمن حیاة المحقّق الکرکی و آثاره </w:t>
      </w:r>
      <w:r>
        <w:rPr>
          <w:rFonts w:eastAsia="IRNazanin" w:cs="IRNazanin"/>
          <w:b w:val="false"/>
          <w:bCs w:val="false"/>
          <w:i w:val="false"/>
          <w:iCs w:val="false"/>
          <w:color w:val="333333"/>
          <w:sz w:val="20"/>
          <w:szCs w:val="20"/>
        </w:rPr>
        <w:t>79:11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من باب اللطف کما صرح بذلک فی الإیضاح و قال إنّ الإسلام لطف و علیه فلا ینحصر بالطهارة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قسم الفقه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414:10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الینابیع الفقهیّة </w:t>
      </w:r>
      <w:r>
        <w:rPr>
          <w:rFonts w:eastAsia="IRNazanin" w:cs="IRNazanin"/>
          <w:b w:val="false"/>
          <w:bCs w:val="false"/>
          <w:i w:val="false"/>
          <w:iCs w:val="false"/>
          <w:color w:val="333333"/>
          <w:sz w:val="20"/>
          <w:szCs w:val="20"/>
        </w:rPr>
        <w:t>205:31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قسم الفقه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414:10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136:21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قسم الفقیه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للإمام الخمینی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تصرّف، جواهر الکلام </w:t>
      </w:r>
      <w:r>
        <w:rPr>
          <w:rFonts w:eastAsia="IRNazanin" w:cs="IRNazanin"/>
          <w:b w:val="false"/>
          <w:bCs w:val="false"/>
          <w:i w:val="false"/>
          <w:iCs w:val="false"/>
          <w:color w:val="333333"/>
          <w:sz w:val="20"/>
          <w:szCs w:val="20"/>
        </w:rPr>
        <w:t>139:21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اللفظ</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فی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یجزی فی القتل خاصّة إلّا البالغ الحنث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هذا خلط بین المقام و بین ما مرّ فی حکم دار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کان، فی مسألة السبی لا دخل لدار الإسلام و غیرها؛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472:10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التلخیص</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106:21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للماوردی </w:t>
      </w:r>
      <w:r>
        <w:rPr>
          <w:rFonts w:eastAsia="IRNazanin" w:cs="IRNazanin"/>
          <w:b w:val="false"/>
          <w:bCs w:val="false"/>
          <w:i w:val="false"/>
          <w:iCs w:val="false"/>
          <w:color w:val="333333"/>
          <w:sz w:val="20"/>
          <w:szCs w:val="20"/>
        </w:rPr>
        <w:t>286:18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44:10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475:12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203:33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181:38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475:12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الثلاثة، 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307:19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عن هذا الدلیل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الإسلام لیس أمراً یکون رفعه أو وضعه بید الشارع، 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الحدیث هو الاُمور الاعتباریّة الّتی تکون بید الشارع، و الإسلام لیس من الاُمور الاعتباریّة، فلا یشمله الحدیث کما هو واضح، و بذلک یظهر أنّه کما لا معنی لوجوبه الشرعی، کذلک لا معنی لوجوبه العقلی أیضاً، و لا معنی للنزاع فی وجوبه و عدمه، بل النزاع انّما فی اعتبار الإسلام، و ترتیب الآثار علیه بعد تحقّقه خارجاً، فالإسلام کسائر الاُمور القلبیّة الواقعیّة یحتاج إلی مقدّمات و بعد تحقّقها یتحقّق قهراً، و الکلام إنّما هو فی اعتبار هذا الإسلام المتحقّق من الصبیّ، و هل تکون الصباوة مانعة عن ترتیب الآثار علیه أم لا؟ و التحقیق أنّه لا دلیل علی عدم اعتباره، بل کیف یمکن أن یقال بعد تحقّق الإسلام منه لم یجر الشارع أثره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ملازمة بین الإسلام و الکفر بمعنی أنّه یمکن أن یقال بترتّب آثار الإسلام علی إسلامه مع عدم ترتّب آثار الکفر علی کفره، فلو کفر بعد الإسلام لا یترتّب علیه آثار الارتداد، لظهور أدلّته فی من یکون بالغاً فی حال ارتداده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بالجملة، یمکن أن یستدلّ للاعتبار بإسلام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علیه السلام کان فی حال الصغر و کان فی حجر النبیّ صلی الله علیه و آله و کان سنّه عشر أو خمس سنین، کما أنّه یصحّ الاستدلال بما دلّ علی مشروعیّة عبادات الصبیّ، فبالالتزام أو الاولویّة یدلّ علی اعتبار إسلامه، إلّا أن یقال بأنّ المشروعیّة موضوعها هو الصبیّ المسلم لا مطلق الصبیّ، و هو کما تری؛ فالإسلام منه معتبر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التبعیّة بالنسبة إلی الوالدین إنّما هی فی فرض عدم القدرة علی اختیار الإسلام أو الکفر أو عدم اختیار أحدهما، فمع الاختیار لا وجه للتبعیّة کما لا دلیل علی إطلاقها، و 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553:1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اللمعة الدمشقیّة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المبحث الأوّل من الفصل الثانی من هذا الباب</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307:19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کتاب الصوم </w:t>
      </w:r>
      <w:r>
        <w:rPr>
          <w:rFonts w:eastAsia="IRNazanin" w:cs="IRNazanin"/>
          <w:b w:val="false"/>
          <w:bCs w:val="false"/>
          <w:i w:val="false"/>
          <w:iCs w:val="false"/>
          <w:color w:val="333333"/>
          <w:sz w:val="20"/>
          <w:szCs w:val="20"/>
        </w:rPr>
        <w:t>360:14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ترتیب آثار الارتداد علی ارتداده مشکل بل ممنوع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591:3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410:10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الشیخ الفاضل اللنکرانی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حاشیة المکاسب للسیّد الیزدی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التنقیح فی شرح العروة الوثقی کتاب الطهارة </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 xml:space="preserve">، مصباح الهدی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کما مرّ أنّه لا ربط لهذا البیان بالمقام، و لیس الکلام فی الوجوب العقلی أو الشرعی، کما أنّه لیس الکلام فی لزوم معرفة اللّه، بل النزاع فی أنّ الشارع المقدّس هل رتّب الآثار علی اسلام الصبیّ أم لا؟ فما جاء فی الکلمات من الوجوب العقلی أو کون معرفة اللّه عقلیّاً خال عن التحقیق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411:10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للسیّد الیزدی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الروایات إنّما هی فی مقام بیان حقیقة الإسلام و لیس فی مقام آخر، فلا یستفاد منها الإطلاق بالنسبة إلی العاقل و المجنون حتّی یکون الدلیل الدالّ علی عدم صحّته من المجنون مقیّداً لها،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تحقن الدماء و علیه تجری المواریث و یجوز النکاح، و أیضاً تصیر الدماء و الأموال به محترمة، و یخرج بذلک عن تبعیّة العمودین الکافرین، و لا یعتبر فی ترتّب هذه الآثار و غیرها إلّا إظهار الشهادتین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الأوّل من الباب التاسع</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الصغار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مدوّنة الفقه المالکی </w:t>
      </w:r>
      <w:r>
        <w:rPr>
          <w:rFonts w:eastAsia="IRNazanin" w:cs="IRNazanin"/>
          <w:b w:val="false"/>
          <w:bCs w:val="false"/>
          <w:i w:val="false"/>
          <w:iCs w:val="false"/>
          <w:color w:val="333333"/>
          <w:sz w:val="20"/>
          <w:szCs w:val="20"/>
        </w:rPr>
        <w:t>600:4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2946</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88:10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8318:14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6816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100:21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664:2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847:2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بذلک لحضور الملائکة عنده أو الأئمّة، خصوصاً أمیر المؤمنین علیه السلام أو حضور المؤمنین، أو جمیع ذلک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 مسالک الإفهام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358:3</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التنقیح فی شرح العروة الوثقی، کتاب الطهارة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662:2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حاشیة ردّ المحتار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 عقد الجواهر الثمنیة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أثیر </w:t>
      </w:r>
      <w:r>
        <w:rPr>
          <w:rFonts w:eastAsia="IRNazanin" w:cs="IRNazanin"/>
          <w:b w:val="false"/>
          <w:bCs w:val="false"/>
          <w:i w:val="false"/>
          <w:iCs w:val="false"/>
          <w:color w:val="333333"/>
          <w:sz w:val="20"/>
          <w:szCs w:val="20"/>
        </w:rPr>
        <w:t>367:3</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1319:2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الفاضل اللنکرانی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التنقیح فی شرح العروة الوثقی، کتاب الطهارة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709:1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678:2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 xml:space="preserve">، مصباح الهدی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الإسلامی قم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 ذلک أنّ المیّت البالغ المشکوک إسلامه و کفره یجب تغسیله، و لیس هذا إلّا من جهة عموم وجوب التغسیل لکلّ میّت، و العموم شامل للأسباب و الأفراد و أنواع المیّت کما هو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الخوئی، التنقیح فی شرح العروة الوثقی، کتاب الطهارة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کشف الغطاء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النشر الإسلامی قم</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678:2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البیت قم،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573:2</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الإنصاف أنّه لا یستفاد من هذه الروایات انحصار لزوم التغسیل بالمسلم أو المؤمن، و لا یستفاد أنّ الموضوع عنوان المسلم أو المؤمن، و المورد لا یکون مخصّصاً أو مقیّداً، کما أنّه لا یستفاد منها اختصاص التغسیل بالمذکّر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706:2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692:2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692:2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یشترط مع عدم لزوم تغسیل الشهید و وجوب الصلاة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لا ترتّب بینهما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678:2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یجری فی من لم یحرز کفره أیضاً، مضافاً إلی أنّ هذا من قبیل الأثر و الفائدة لا من قبیل العلّة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المبحث الثانی من الفصل الرابع فی هذا الباب</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غنائم الأیّام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النشر الإسلامی</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713:1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یجوز الوضوء بسؤر الیهودیّ و النصرانیّ و ولد الزنی و المشرک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ذیل حدیث 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به قال السیّد المرتضی فی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 رسائل الشریف المرتضی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فجعلا ولد الزنی کالکافر، و قال فی السرائر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 الزنی لا خلاف بیننا أنّه قد ثبت کفره بالأدلّة</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الفاضل اللنکرانی رحمه الله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المبحث الثانی من الفصل الثانی فی هذا الباب</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صدر هذا المبحث</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451:4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710:1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ذکری الشیعة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466:1</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709:1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المستفاد 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سَوَّیْتُهُ وَ نَفَخْتُ فِیهِ مِنْ رُوحِی فَقَعُوا لَهُ ساجِدِینَ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الاستواء قبل زمان النفخ، و هو متأخّر عنه و لو بمقدار قلیل، و کیف کان فلا ریب فی أنّ معنی أربعة أشهر کاشف عن الاستواء، فالملاک الأساسی هو الاستواء و الأمارة الدالة علیه مضی أربعة أشهر، و 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خلق الإنسان،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بدء الخلق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1616:4</w:t>
      </w:r>
      <w:r>
        <w:rPr>
          <w:rFonts w:ascii="IRNazanin" w:hAnsi="IRNazanin" w:eastAsia="IRNazanin"/>
          <w:b w:val="false"/>
          <w:b w:val="false"/>
          <w:bCs w:val="false"/>
          <w:i w:val="false"/>
          <w:i w:val="false"/>
          <w:iCs w:val="false"/>
          <w:color w:val="333333"/>
          <w:sz w:val="20"/>
          <w:sz w:val="20"/>
          <w:szCs w:val="20"/>
          <w:rtl w:val="true"/>
        </w:rPr>
        <w:t xml:space="preserve">، کتاب القدر، ح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695:2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مصباح الهدی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409:3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المبحث الثالث من هذا الفصل</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696:2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زاد المحتاج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منهاج الطالبین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تحفة المحتاج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العزیز </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البیان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عقد الجواهر الثمینة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 حاشیة الخرشی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698:2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711:1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xml:space="preserve">، کشف الالتباس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الخوئی التنقیح فی شرح العروة الوثقی، کتاب الطهارة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تخریجهما</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تخریجهما</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403:4</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إلی أنّ المرأة لم یکن التکلیف بالجهاد متوجّهاً إلیها، مع أنّه إذا قتلت تکون شهیدة بلا إشکال، فیستفاد من ذلک أنّ التکلیف اللزومی لم یتوجّه إلی الصبیّ، و لکن أصل الرجحان لا ینبغی الشکّ فیه و یصدق علیه الشهید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 التنقیح فی شرح العروة الوثقی، کتاب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تراث الشیخ الأعظم، کتاب الطهارة </w:t>
      </w:r>
      <w:r>
        <w:rPr>
          <w:rFonts w:eastAsia="IRNazanin" w:cs="IRNazanin"/>
          <w:b w:val="false"/>
          <w:bCs w:val="false"/>
          <w:i w:val="false"/>
          <w:iCs w:val="false"/>
          <w:color w:val="333333"/>
          <w:sz w:val="20"/>
          <w:szCs w:val="20"/>
        </w:rPr>
        <w:t>403:4</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619:1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615:1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 المغازی للواقدی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الإرشاد للمفید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العزیز شرح الوجیز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مواهب الجلیل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حاشیة الخرشی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العبارات</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673:2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673:2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729:1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476:3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652:4</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301:4</w:t>
      </w:r>
      <w:r>
        <w:rPr>
          <w:rFonts w:ascii="IRNazanin" w:hAnsi="IRNazanin" w:eastAsia="IRNazanin"/>
          <w:b w:val="false"/>
          <w:b w:val="false"/>
          <w:bCs w:val="false"/>
          <w:i w:val="false"/>
          <w:i w:val="false"/>
          <w:iCs w:val="false"/>
          <w:color w:val="333333"/>
          <w:sz w:val="20"/>
          <w:sz w:val="20"/>
          <w:szCs w:val="20"/>
          <w:rtl w:val="true"/>
        </w:rPr>
        <w:t xml:space="preserve">، مسالک الإفهام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460:1</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الفقهاء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الصلاة للنائینی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التحقیق کما ذکرناه فی مباحثنا الفقهیّة التوقّف و عدم الوثوق بکونه للإمام الثامن علیه السلام، فقد ورد فیه ما لا یناسب صدوره من الإمام علیه السلام فجاء فیه التعبیر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بالمجهول أو روی عنه، و قد نقل فی آخر الکتاب عن ابن أبی عمیر و صفوان، و من البیّن عدم نقل الإمام علیه السلام عنهما، کما أنّ وجود بعض الأحکام المتضادّة و أیضاً وجود بعض الفتاوی المناسب لمذهب العامّة یدلّان علی عدم صدور الکتاب من الامام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مضافاً إلی قرائن أخری ذکرناها فی محلّها، و أیضاً فما ذهب الیه بعض کصاحب الریاض من أنّ هذا الکتاب هو کتاب الشرائع من تصنیفات والد الصدوق علیّ بن حسین بن موسی بن بابویه، غیر صحیح؛ لأنّه ورد فی الکتاب التعبیر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نحن معاشر أهل البیت کما أنّه لم یثبت کون الکتاب عبارة عن رسالة التکلیف لمحمّد بن علی الشلمقانی، کما ذهب إلیه السیّد حسن الصدر رحمه الله، فالحقّ التوقّف و العمل بروایاته الواردة فیه علی نحو العمل بسائر المراسیل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353:96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عائدة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خاتمة مستدرک الوسائل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الحاشیة علی المدارک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لوامع صاحبقرانی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للنائینی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خاتمة المستدرک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375:4</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 غنائم الأیّام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بعض العبائر</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673:2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866:2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العروة الوثقی مع تعلیقات الشیخ الفاضل اللنکرانی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التنقیح فی شرح العروة الوثقی، کتاب الطهارة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الأحکام الواضحة، للفاضل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265:1</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678:2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691:2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لهذا البیان، فإنّ المستفاد من السؤال الأوّل و الثانی فی موثّقة عمّار أنّ اعتبار المماثلة کان أمراً مسلّماً عند المتشرّعة، فیسأل السائل عن اعتبارها بالنسبة إلی الصبیّ و الصبیّة، فیجیب الإمام علیه السلام بعدم اعتبارها فی الموردین، فالروایة شاهدة علی المدّعی لا منافیة لها،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ذکری الشیعة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713:2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عباراتهم</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ذکری الشیعة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 الّتی ذکرناها فی ذیل البحث فی جواز تغسیل الرجل ابنة ثلاث سنین</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397:3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340:13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48:23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15173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من عبّر عن التحدید بما دون ثلاث مراده ما دون تمام الثلاث، و إلّا فقبل شروع الثلاث لا یعبّر عنه بهذا التعبیر، و علیه فلا ضیر فی التعبیر من هذه الجهة،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أی إن کنّ المتروکات أو الأولاد نساء فوق اثنتین فلها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الأولویّة ما جاء فی المعتبر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الشارع أذن فی اطّلاع النساء علی الصبیّ، لافتقاره إلیهنّ فی التربیة، و لیس کذلک الصبیّة، و الأصل حرمة النظر</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مستندهم الروایتان الدالّتان علی أنّ ابنة أکثر من خمس سنین أو ستّ دفنت و لم تغسّل، و إذا کانت أقلّ من خمس سنین غسّلت، و قد صرّح فی المدارک بأنّه لا بأس بالعمل بمضمونها؛ لاعتضادهما بالأصل و العمومات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یمکن أن یقال بوجود التعارض بینهما و بین خبر أبی النمیر، و الحلّ إمّا بأن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مورد خبر أبی النمیر هو الصبیّ مع أنّ مورد الخبرین عبارة عن الصبیّة، فالجمع بین الروایات یقتضی التفصیل بین الصبیّ و الصبیّة، أو یقال بأنّ الثلاث مطابق لفتوی المشهور، فیرجّح بناء علی مرجّحیّة فتوی المشهور،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الأحکام الواضحة 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تلخیص</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الفاضل اللنکرانی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الإمام أحمد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xml:space="preserve">، تحفة المحتاج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 زاد المحتاج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xml:space="preserve">، ردّ المحتار علی الدرّ المختار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الخرشی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حاشیة الدسوقی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xml:space="preserve">، عقد الجواهر الثمینة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السالک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المبدع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251:7</w:t>
      </w:r>
      <w:r>
        <w:rPr>
          <w:rFonts w:ascii="IRNazanin" w:hAnsi="IRNazanin" w:eastAsia="IRNazanin"/>
          <w:b w:val="false"/>
          <w:b w:val="false"/>
          <w:bCs w:val="false"/>
          <w:i w:val="false"/>
          <w:i w:val="false"/>
          <w:iCs w:val="false"/>
          <w:color w:val="333333"/>
          <w:sz w:val="20"/>
          <w:sz w:val="20"/>
          <w:szCs w:val="20"/>
          <w:rtl w:val="true"/>
        </w:rPr>
        <w:t xml:space="preserve">، و هو ظاهر تذکرة الفقهاء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466:1</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 تراث الشیخ الأعظم، کتاب الطهارة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التنقیح فی شرح العروة الوثقی، کتاب الطهارة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الفاضل اللنکرانی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251:7</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790:2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790:2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695:2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الفاضل اللنکرانی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744:2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695:2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النخل، الواحدة خوصة، و السعف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أغصان النخل ما دام فیه الخوص، فإن زال الخصوص عنها،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جریدة، الواحدة سعفة، مثل قصب و قصبة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و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736:2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اغترز رجله فی الغرز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وضعها فیه،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الجریدة فی القبر، ح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باب فی عذاب القبر، عمدة القاری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406:4</w:t>
      </w:r>
      <w:r>
        <w:rPr>
          <w:rFonts w:ascii="IRNazanin" w:hAnsi="IRNazanin" w:eastAsia="IRNazanin"/>
          <w:b w:val="false"/>
          <w:b w:val="false"/>
          <w:bCs w:val="false"/>
          <w:i w:val="false"/>
          <w:i w:val="false"/>
          <w:iCs w:val="false"/>
          <w:color w:val="333333"/>
          <w:sz w:val="20"/>
          <w:sz w:val="20"/>
          <w:szCs w:val="20"/>
          <w:rtl w:val="true"/>
        </w:rPr>
        <w:t xml:space="preserve">، کشف الغطاء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xml:space="preserve">، تراث الشیخ الأعظم، کتاب الطهارة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xml:space="preserve">، غنائم الأیّام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الفاضل اللنکرانی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الجریدتین</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روایة زیاد الصیقل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توضع للمیّت جریدتان، واحدة فی الیمین، و اخری فی الأیسر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الجریدة تنفع المؤمن و الکافر و المحسن و المسیء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xml:space="preserve">، تراث الشیخ الأعظم، کتاب الطهارة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736:2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 بإمکان قصد القربة من الصبیّ أیضاً و إن لم یمکن قصد الأمر منه کما هو واضح، و المعتبر هو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مجرّد عدم الدلیل علی صدوره من خصوص المکلّف البالغ یکفی فی صحّة صدوره من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نحتاج لعدم الصحّة إلی إثبات خصوصیّة للبالغ، مع أنّه لا دلیل علیها، و مجرّد توجّه الخطاب إلی المکلّفین لا یدلّ علی هذه الخصوصیّة، فالمحتاج إلی القرینة عبارة عن هذه الخصوصیّة، و مع عدمها نستفید أنّ الغرض مجرّد تحقّق الفعل فی الخارج، فعلیه یصحّ تحنیط الصبیّ الممیّز کما یصحّ تغسیله أیضاً خلافاً لما مرّ من 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تلخیص</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ذکری الشیعة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حَثَا علیه التراب حثواً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هاله، و یحثو عنه، أی یرمی عن نفسه التراب، لسان العرب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497:2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851:2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851:2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استهلال الصبیّ تصویته عند الولادة،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الهلال و استهلّ، إذا رفع صوته بالتکبیر عند رؤیته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1878:3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أسهل المدارک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المولود الذی تضعه المرأة لغیر تمام</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غنائم الأیّام </w:t>
      </w:r>
      <w:r>
        <w:rPr>
          <w:rFonts w:eastAsia="IRNazanin" w:cs="IRNazanin"/>
          <w:b w:val="false"/>
          <w:bCs w:val="false"/>
          <w:i w:val="false"/>
          <w:iCs w:val="false"/>
          <w:color w:val="333333"/>
          <w:sz w:val="20"/>
          <w:szCs w:val="20"/>
        </w:rPr>
        <w:t>455:3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الفاضل اللنکرانی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التنقیح فی شرح العروة الوثقی، کتاب الطهارة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290:7</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 کفایة الأحکام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مصباح الفقیه، کتاب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کشف الغطاء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مصباح الهدی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279:6</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عدم جریان التقیّة فی هذه الروایات؛ لأنّها بصدد الضابطة الکلّیّة و لیست فی مقام بیان الحکم المعیّن فی مورد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یصحّ الحمل علی التقیّة فیما إذا کانت الروایة واردة فی مورد خاصّ و إلّا فلا یصحّ، فافهم و اغتنم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باب غسل الأطفال و الصبیان و الصلاة علیهم</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370:10</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360:78</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496:25</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 وزان 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حصیر صغیر قدر ما یسجد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الأولی و الثانیة و الثالثة روایة واحدة و لیست بثلاث روایات و إن اختلف متن بعضها مع بعض، لکن هذا لا یوجب التعدّد، و بعد هذا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الصلاة علی ابنه کانت بحسب الظاهر عند الناس بعنوان الوجوب و الإمام علیه السلام قد دفع هذا التوهّم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لیس بواجب، و القرینة علی ذلک قوله علیه السلام فی ذیل الروایة عند السؤال عن زمان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790:2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أنّها لیست نصّاً فی عدم المطلوبیّة، بل صریحة فی عدم الوجوب و الناس کانوا یوجبون الصلاة علی جمیع المؤتی للمسلمین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790:2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373:10</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یکون الشیخ أراد من التقیّة، جریانها فی نفس الاستحباب بناء علی ذهابهم إلی تأکید هذا الاستحباب و الالتزام بالعمل بهذا الندب فما ذکره القمّی لیس بصحیح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کتاب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هذا البیان مخالف لما مرّ من الروایات الّتی دلّت علی الصلاة علی الصبیّ بمجرّد الاستهلال، و لا شکّ فی دلالتها علی رجحانها بمجرّد الاستهلال، و قد مرّ أنّها مستند المشهور فی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إلی أنّ هذا العنوان الثانوی لیس إلّا عنوان التقیّة، و إلّا فلیس لدینا عنوان ثان آخر غیر عنوان التقیّة حتّی أنّ عنوان المداراة أیضاً أحد أقسام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ذکرنا فی رسالتنا حول التقیّة الأقسام الثلاثة لها و المداراة منها،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فی الفقه و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 الأخبار محمولة علی ضرب من الاستحباب أو التقیّة دون الفرض و الإیجاب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الحکیم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مع فتاوی الشیخ الوحید الخراسانی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منهاج الصالحین للشیخ جواد التبریزی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منهاج الصالحین للسیّد السیستانی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الفاضل اللنکرانی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الإنصاف ما ذهب إلیه المشهور من الاستحباب من أجل أنّه قد مرّ أنّ الروایات الواردة لیست دالّة علی عدم المطلوبیّة حتّی یقال بأنّ الاحوط الإتیان برجاء المطلوبیّة و روایات الاستحباب واضحة الدلالة کما مرّ، و 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374:10</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مختلف الشیعة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ذکری الشیعة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496:25</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صلاة المیّت لیست مجرّد دعاء و استغفار، بل هی مشتملة علی الشهادة بالتوحید و النّبوة، و أیضاً متضمّنة للصلاة علی النبیّ و آله، و الظاهر أنّ هذه العناوین تدخله فی دائرة المسلمین، و ربّما یحتمل أنّه من قبله و ناحیته، فکأنّه یشهد بهذه الاُمور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372:10</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791:2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499:25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24507</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709:1</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کفایة الأحکام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کشف الغطاء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الأحکام الواضحة للفاضل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709:1</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المراد من الوجوب هو الحکم الشرعی التکلیفی، و إلّا مجرّد الثبوت لا یدلّ علی فتوی المشهور، و قرینة ذلک سؤال الراوی عن الوجوب المرتکز عند المتشرّعة و هو الحکم التکلیفی، فما ذهب إلیه المشهور من الوجوب فیما إذا بلغ ستّ سنین تامّ مستفاد من هذه الروایات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368:10</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368:10</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أثر لذلک، لسبق سؤال السائل عن الصلاة علی الصبیّ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یصلّی؟ فظهر أنّ وجود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وجودها سواء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381:10</w:t>
      </w:r>
      <w:r>
        <w:rPr>
          <w:rFonts w:ascii="IRNazanin" w:hAnsi="IRNazanin" w:eastAsia="IRNazanin"/>
          <w:b w:val="false"/>
          <w:b w:val="false"/>
          <w:bCs w:val="false"/>
          <w:i w:val="false"/>
          <w:i w:val="false"/>
          <w:iCs w:val="false"/>
          <w:color w:val="333333"/>
          <w:sz w:val="20"/>
          <w:sz w:val="20"/>
          <w:szCs w:val="20"/>
          <w:rtl w:val="true"/>
        </w:rPr>
        <w:t xml:space="preserve">، غنائم الأیّام </w:t>
      </w:r>
      <w:r>
        <w:rPr>
          <w:rFonts w:eastAsia="IRNazanin" w:cs="IRNazanin"/>
          <w:b w:val="false"/>
          <w:bCs w:val="false"/>
          <w:i w:val="false"/>
          <w:iCs w:val="false"/>
          <w:color w:val="333333"/>
          <w:sz w:val="20"/>
          <w:szCs w:val="20"/>
        </w:rPr>
        <w:t>455:3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التنقیح فی شرح العروة الوثقی، کتاب الطهارة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713:1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المبحث الثانی من هذا الفصل</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819:2</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772:2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724:1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فی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724:1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58:12</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فرطاً، أی أجراً متقدّماً</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447:10</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التعلیقات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799:2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799:2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167:12</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الخوئی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 الکلام فی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 النجاشی خبر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یرجع إلی الحسین بن علوان المترجم، أو أنّها مجملة، و ظاهر العبارة هو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التنقیح فی شرح العروة الوثقی، کتاب الطهارة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معجم رجال الحدیث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استفاد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التوثیق فی کلامه راجع إلی الحسن، و لکنّه فاسد، بل التوثیق راجع إلی الحسین فإنّه المترجم، و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أخوه الحسن یکنّی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معترضة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مبحث الفقه و الرجال متنافیان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الکشّی محمّد بن إسحاق و محمّد بن المنکدر و عمرو بن خالد الواسطی و عبد الملک بن جریح و الحسین بن علوان و الکلبی، هؤلاء من رجال العامّة، إلّا أنّ لهم میلاً و محبّة شدیدة، و قد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الکلبی کان مستوراً و لم یکن مخالفاً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القهپائی فی ذیل کلامه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زیادة کلمة واو العطف من قلم الکاتب فی نسخ هذا الکتاب، فإنّ الظاهر أنّه الحسین بن علوان الکلبی العامی، کما صرّح به فی رجال النجاشی، و یفهم من رجال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تنقیح المقال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نقله الکشّی من کون الحسین بن علوان الکلبی إمامیّاً مستتراً تقیّة أقرب شیء فی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أشکل علیه فی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بأنّ الکشّی لم یجعل الکلبی صفة للحسین بن علوان، بل عطفه علیه، و المراد به محمّد بن السائب الکلبی النسّابة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أفاده العلمان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القهپائی و 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کمال القوّة و المتانة، و أنّ المراد من الکلبی هو الحسین بن علوان، و ما ذکره فی قاموس الرجال فهو ضعیف؛ لأن محمّد بن السائب الکلبی النسّابة لم ینصّ أحد من الرجالیین علی أنّه من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فی الفهرست لابن 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سلیمان بن علیّ هو عامل بالبصرة فی عهد أبی العباس الخلیفة العباسی، و هو عمّ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أقدم محمّد بن السائب من الکوفة إلی البصرة و أجلسه فی داره، فجعل یملی علی الناس تفسیر القرآن حتّی بلغ إلی آیة من سورة براءة، ففسّرها علی خلاف ما کان یُعرف،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نکتب هذا التفسیر، فقال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أملیت حرفاً حتّی یکتب تفسیر هذه الآیة علی ما أنزل اللّه، فرفع ذلک إلی سلیمان بن علیّ، فقال اکتبوا کما یقول، ودعوا ما سوی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یحیی بن یعلی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أختلف إلی الکلبی اقرأ علیه القرآن، فسمعته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مرضت مرضة فنسیت ما کنت أحفظ، فأتیت آل محمّد فتفلوا فی فی، فحفظت ما کنت نسیت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لا أروی عنک بعد هذا شیئاً، فترکته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لا یلائم لما ذکره الکشّی من أنّ الکلبی عامّی و کان یستتر للتقیّة</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علی منهج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170:12</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783:2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استهلال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یرفع صوته بالبکاء عند ولادته</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ردّ المحتار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حاشیة الخرشی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 بدایة المجتهد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 عقد الجواهر الثمینة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 بلغة السالک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العزیز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xml:space="preserve">، کتاب الجنائز،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الجنائز،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 ردّ المحتار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أحکام الصغار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البیان فی مذهب الشافعی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حلیة العلماء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xml:space="preserve">، کتاب الجنائز،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الصغار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العزیز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 البیان فی مذهب الشافعی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من أحادیث سیّد الأخیار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719:1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و ص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الجمع بینهما مشکل جدّاً، فإذا قلنا بأنّ تلک الأفعال واجبة علی الکفایة فمعناه سقوط التکلیف عن الآخرین بفعل أحد المکلّفین، و أیضاً لا یحتاج فی السقوط عن الآخرین اطّلاعهم أو إذنهم علی فعل الغیر، و إذا قلنا بأنّ أولی الناس بالمیّت میراثاً أولی بتلک الأفعال، فلا یناسب کونه واجباً کفائیّاً، بل ینحصر الوجوب بالطبقة الاُولی من الإرث، و مع عدمها بالثانیة و الثالثة، و مع الانحصار ما هو الدلیل علی أنّ الغیر یجوز أن یأتی بها بإذنهم، فإنّه من المعلوم عدم إتیان الغیر نیابة عنهم، و أمّا مجرّد کون ذلک حقّاً لهم فلا یدلّ علیه 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لا بأس بأن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الحقّ لیس حقّاً شرعیّاً واقعیّاً حتّی ینافی کونه واجباً کفائیّاً، بل عنوان تکریمی احترامی بمعنی أنّ الشارع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استفدنا من الروایات بحقّ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الاحترام و الإکرام جعل لها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نتیجة ذلک أنّه لو قلنا إنّ ذلک حقّ واقعی، فلا یصحّ صدوره من الغیر بدون إذنهم، و لو قلنا بأنّ هذا حقّ من باب الاحترام، فیصحّ الصدور من الغیر بدون إذنهم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کان، فالمسألة لیست واضحة، و الظاهر عدم نصّ علی ثبوت هذا الحقّ، و علیه فلا تصل النوبة إلی المطلب المذکور بعد هذه المقدّمة، و لا فرق بین إیقاعها جماعة و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720:1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 کفایة الأحکام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803:2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الشیخ ضیاء الدین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الصغار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الفاضل اللنکرانی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الثانی فی هذا الباب</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398:10</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553:1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السیّد الگلپایگانی، و السیّد الخوانساری و غیرهما، العروة الوثقی مع تعلیقات عدّة من الفقهاء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829:2</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280:2</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الفاضل اللنکرانی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الأوّل من الباب التاسع</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بناء علی الشرعیّة لا مجال للتردید فی الوفاء بالغرض، فإنّ معناها أنّ إتیان الصبیّ کإتیان البالغ، و إلّا فلا معنی لشرعیّتها له، فبین الشرعیّة و الإجزاء ملازمة، و الظاهر أنّ أدلّة الواجب الکفائی لیست مطلقة من جهة إتیان الصبیّ و عدمه حتّی یتمسّک بالإطلاق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فرض الإطلاق فأدلّة المشروعیّة توسّع دائرة المکلّفین، بمعنی أنّها تدلّ علی کفایة مجرّد صدور الفعل من أیّ شخص کان، بالغاً أو صبیّاً ممیّزاً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اعتبار بعمل غیر الممیّز کما هو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حاشیة العراقی</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التنقیح فی شرح العروة الوثقی، کتاب الطهارة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الطهارة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الصغار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الإرادات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258:11</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الطاعة و الخضوع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اصطلاح الفقهاء فهی عبارة عن وقوع الفعل بقصد الامتثال للسیّد المنعم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957:2</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943:2</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القواعد الفقهیّة للبجنوردی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القواعد الفقهیّة للفاضل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ذکری الشیعة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البجنوردی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336:10</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فی البین ما یدلّ علی اشتراط التکلیف بالبلوغ و کنّا نحن و هذه الأدلّة، لما شککنا فی عدم اختصاصه بالبالغین، و لوجب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الخطاب متوجّه إلی کلّ من یصحّ الخطاب إلیه عرفاً، و لا شکّ أنّ الصبیّ الممیّز یصحّ توجّه الخطاب إلیه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البجنوردی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الصوم </w:t>
      </w:r>
      <w:r>
        <w:rPr>
          <w:rFonts w:eastAsia="IRNazanin" w:cs="IRNazanin"/>
          <w:b w:val="false"/>
          <w:bCs w:val="false"/>
          <w:i w:val="false"/>
          <w:iCs w:val="false"/>
          <w:color w:val="333333"/>
          <w:sz w:val="20"/>
          <w:szCs w:val="20"/>
        </w:rPr>
        <w:t>502:21</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التنقیح فی شرح العروة الوثقی، کتاب الطهارة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منهاج الصالحین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قلنا بأنّ حدیث الرفع یقتضی رفع مؤاخذة التکلیف فقط فلا شکّ فی بقاء أصل التکلیف و تصحّ عباداته، و کذا لو قلنا برفع خصوص الإلزام، و لکن بقی أصل الملاک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یأتی الإشکال فی هذا الفرض، و هو أنّه لو رفع الإلزام فمن أی طریق نستکشف وجود الملاک؟ و قد صرّح بعض الأعلام فی الاُصول بأنّ الطریق المنحصر لکشف الملاک إنّما هو الأمر المتوجّه إلیه، و مع رفعه لا طریق لنا لکشف الملاک، و الظاهر من الحدیث أنّ التعبیر بالقلم ظاهر فی قلم التکلیف لا خصوص المؤاخذة، و علیه لا معنی لوجود الملاک بعد رفع التکلیف إلّا أن یحرز وجود الملاک من طریق آخر، و هو مشکل جدّاً فی باب العبادات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للمحقّق الداماد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البجنوردی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المکاسب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الفاضل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الفاضل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التحقیق فی مفاد حدیث الرفع فی بیان حکم خمس أموال الأطفال إن شاء اللّه</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المراد من الصلاة فی 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قربان کلّ 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الصلاة المشروعة، و المراد من الصوم فی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الصوم جنّة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الصوم المشروع، و نحن الآن نشکّ فی مشروعیّة صلاة الصبیّ فالتمسّک بالعامّ من قبیل التمسّک به فی الشبهة المصداقیّة، و یؤیّد ذلک أنّه هل یجوز لأحدٍ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الصوم جنّة و لو کان صادراً من الکافر؟ کلّا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للمحقّق الداماد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288:7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18916</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للشیخ الأراکی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البجنوردی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العناوین </w:t>
      </w:r>
      <w:r>
        <w:rPr>
          <w:rFonts w:eastAsia="IRNazanin" w:cs="IRNazanin"/>
          <w:b w:val="false"/>
          <w:bCs w:val="false"/>
          <w:i w:val="false"/>
          <w:iCs w:val="false"/>
          <w:color w:val="333333"/>
          <w:sz w:val="20"/>
          <w:szCs w:val="20"/>
        </w:rPr>
        <w:t>667:2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الفاضل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الروایات أخصّ من المدّعی،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ترتّب الثواب أو عدم ضیاع العمل أعمّ من المشروعیّة الّتی هی محلّ البحث فی المقام، فیمکن ترتّبه علی الواجب التوصّلی إذا کان صادراً عن قصد القربة، و قد حقّقنا فی محلّه أنّه بذلک لا ینقلب إلی التعبّدیة، و أیضاً یترتّب الثواب علی العمل حتّی علی القول بالتمرینیّة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307:19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307:19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کتاب الصوم </w:t>
      </w:r>
      <w:r>
        <w:rPr>
          <w:rFonts w:eastAsia="IRNazanin" w:cs="IRNazanin"/>
          <w:b w:val="false"/>
          <w:bCs w:val="false"/>
          <w:i w:val="false"/>
          <w:iCs w:val="false"/>
          <w:color w:val="333333"/>
          <w:sz w:val="20"/>
          <w:szCs w:val="20"/>
        </w:rPr>
        <w:t>360:14</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الأراکی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مستدرک الوسائل </w:t>
      </w:r>
      <w:r>
        <w:rPr>
          <w:rFonts w:eastAsia="IRNazanin" w:cs="IRNazanin"/>
          <w:b w:val="false"/>
          <w:bCs w:val="false"/>
          <w:i w:val="false"/>
          <w:iCs w:val="false"/>
          <w:color w:val="333333"/>
          <w:sz w:val="20"/>
          <w:szCs w:val="20"/>
        </w:rPr>
        <w:t>393:7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بحار الأنوار </w:t>
      </w:r>
      <w:r>
        <w:rPr>
          <w:rFonts w:eastAsia="IRNazanin" w:cs="IRNazanin"/>
          <w:b w:val="false"/>
          <w:bCs w:val="false"/>
          <w:i w:val="false"/>
          <w:iCs w:val="false"/>
          <w:color w:val="333333"/>
          <w:sz w:val="20"/>
          <w:szCs w:val="20"/>
        </w:rPr>
        <w:t>50:104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حقائق الاُصول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التنقیح فی شرح العروة الوثقی، کتاب الطهارة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مبانی منهاج الصالحین </w:t>
      </w:r>
      <w:r>
        <w:rPr>
          <w:rFonts w:eastAsia="IRNazanin" w:cs="IRNazanin"/>
          <w:b w:val="false"/>
          <w:bCs w:val="false"/>
          <w:i w:val="false"/>
          <w:iCs w:val="false"/>
          <w:color w:val="333333"/>
          <w:sz w:val="20"/>
          <w:szCs w:val="20"/>
        </w:rPr>
        <w:t>175:6</w:t>
      </w:r>
      <w:r>
        <w:rPr>
          <w:rFonts w:ascii="IRNazanin" w:hAnsi="IRNazanin" w:eastAsia="IRNazanin"/>
          <w:b w:val="false"/>
          <w:b w:val="false"/>
          <w:bCs w:val="false"/>
          <w:i w:val="false"/>
          <w:i w:val="false"/>
          <w:iCs w:val="false"/>
          <w:color w:val="333333"/>
          <w:sz w:val="20"/>
          <w:sz w:val="20"/>
          <w:szCs w:val="20"/>
          <w:rtl w:val="true"/>
        </w:rPr>
        <w:t xml:space="preserve">، أنوار الاُصول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التحقیق مع قطع النظر عن الروایات الخاصّة فی الموارد المخصوصة أنّ هذه الأخبار هی الطریق الوحید لإثبات المشروعیّة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الصوم </w:t>
      </w:r>
      <w:r>
        <w:rPr>
          <w:rFonts w:eastAsia="IRNazanin" w:cs="IRNazanin"/>
          <w:b w:val="false"/>
          <w:bCs w:val="false"/>
          <w:i w:val="false"/>
          <w:iCs w:val="false"/>
          <w:color w:val="333333"/>
          <w:sz w:val="20"/>
          <w:szCs w:val="20"/>
        </w:rPr>
        <w:t>502:21</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أکثر الروایات خالیة عن التعبیر بالعادة و التمرین، و لکن مع فرض وجودها لا یستفاد أنّ المصلحة قائمة بنفس التمرین، و لا یصحّ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الفعل مشتمل علی المصلحة لا بعنوان الصلاة بل بعنوان العادة، کیف أنّ العادة بما هی هی لا ینبغی أن تکون مشتملة علی المصلحة، بل هی عنوان ذات إضافة و اشتمالها علی المصلحة ناش من الشیء المضاف الیه، أی المتعلّق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للفاضل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361:17</w:t>
      </w:r>
      <w:r>
        <w:rPr>
          <w:rFonts w:ascii="IRNazanin" w:hAnsi="IRNazanin" w:eastAsia="IRNazanin"/>
          <w:b w:val="false"/>
          <w:b w:val="false"/>
          <w:bCs w:val="false"/>
          <w:i w:val="false"/>
          <w:i w:val="false"/>
          <w:iCs w:val="false"/>
          <w:color w:val="333333"/>
          <w:sz w:val="20"/>
          <w:sz w:val="20"/>
          <w:szCs w:val="20"/>
          <w:rtl w:val="true"/>
        </w:rPr>
        <w:t xml:space="preserve">، العناوین </w:t>
      </w:r>
      <w:r>
        <w:rPr>
          <w:rFonts w:eastAsia="IRNazanin" w:cs="IRNazanin"/>
          <w:b w:val="false"/>
          <w:bCs w:val="false"/>
          <w:i w:val="false"/>
          <w:iCs w:val="false"/>
          <w:color w:val="333333"/>
          <w:sz w:val="20"/>
          <w:szCs w:val="20"/>
        </w:rPr>
        <w:t>667:2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العبارة فیهما</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336:10</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553:1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325:13</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327:13</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 الذی قارب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المعتمد فی شرح العروة الوثقی کتاب الحج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المعتبرة </w:t>
      </w:r>
      <w:r>
        <w:rPr>
          <w:rFonts w:eastAsia="IRNazanin" w:cs="IRNazanin"/>
          <w:b w:val="false"/>
          <w:bCs w:val="false"/>
          <w:i w:val="false"/>
          <w:iCs w:val="false"/>
          <w:color w:val="333333"/>
          <w:sz w:val="20"/>
          <w:szCs w:val="20"/>
        </w:rPr>
        <w:t>747:2</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 تفصیل الشریعة کتاب الحجّ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 و 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 و 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362:14</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البجنوردی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و قریب من هذا فی العناوین </w:t>
      </w:r>
      <w:r>
        <w:rPr>
          <w:rFonts w:eastAsia="IRNazanin" w:cs="IRNazanin"/>
          <w:b w:val="false"/>
          <w:bCs w:val="false"/>
          <w:i w:val="false"/>
          <w:iCs w:val="false"/>
          <w:color w:val="333333"/>
          <w:sz w:val="20"/>
          <w:szCs w:val="20"/>
        </w:rPr>
        <w:t>667:2</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إلی أنّ حسن العمل لا یلازم المشروعیّة و العبادیّة، سیّما و أنّ العبادات من الاُمور التأسیسیّة الّتی لا مجال للعقل فی ماهیّتها و کیفیّتها، و أنّها هل تصحّ من الصبیّ أم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الفاضل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یدرک استحقاق الذمّ لا أکثر من ذلک، هذا بناء علی مذهب المشهور من إدراک العقل لاستحقاق العقاب، و أمّا علی مذهب من یری أنّه لیس للعقل مجال فی باب العقاب فالأمر واضح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البجنوردی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الحدیث القدسی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تقرّب إلیّ شبراً تقرّبت إلیه ذراعاً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190:87</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البجنوردی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الفاضل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المتن،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بتغیّرهما</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667:2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المبحث الأوّل فی هذا الفصل</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الجوامع الروائیّة</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الفاضل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تغییر</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الإفهام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361:17</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165:13</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333:10</w:t>
      </w:r>
      <w:r>
        <w:rPr>
          <w:rFonts w:ascii="IRNazanin" w:hAnsi="IRNazanin" w:eastAsia="IRNazanin"/>
          <w:b w:val="false"/>
          <w:b w:val="false"/>
          <w:bCs w:val="false"/>
          <w:i w:val="false"/>
          <w:i w:val="false"/>
          <w:iCs w:val="false"/>
          <w:color w:val="333333"/>
          <w:sz w:val="20"/>
          <w:sz w:val="20"/>
          <w:szCs w:val="20"/>
          <w:rtl w:val="true"/>
        </w:rPr>
        <w:t>، القواعد الفقهیّة، الفاضل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333:10</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المستند فی شرح العروة الوثقی، کتاب الصوم </w:t>
      </w:r>
      <w:r>
        <w:rPr>
          <w:rFonts w:eastAsia="IRNazanin" w:cs="IRNazanin"/>
          <w:b w:val="false"/>
          <w:bCs w:val="false"/>
          <w:i w:val="false"/>
          <w:iCs w:val="false"/>
          <w:color w:val="333333"/>
          <w:sz w:val="20"/>
          <w:szCs w:val="20"/>
        </w:rPr>
        <w:t>502:21</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بالاعمال الحسنة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336:10</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الدلیل الثانی و الثالث و الخامس من الأدلّة المتقدّمة لإثبات القول بمشروعیّة عبادات الصبیّ</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العناوین </w:t>
      </w:r>
      <w:r>
        <w:rPr>
          <w:rFonts w:eastAsia="IRNazanin" w:cs="IRNazanin"/>
          <w:b w:val="false"/>
          <w:bCs w:val="false"/>
          <w:i w:val="false"/>
          <w:iCs w:val="false"/>
          <w:color w:val="333333"/>
          <w:sz w:val="20"/>
          <w:szCs w:val="20"/>
        </w:rPr>
        <w:t>666:2</w:t>
      </w:r>
      <w:r>
        <w:rPr>
          <w:rFonts w:ascii="IRNazanin" w:hAnsi="IRNazanin" w:eastAsia="IRNazanin"/>
          <w:b w:val="false"/>
          <w:b w:val="false"/>
          <w:bCs w:val="false"/>
          <w:i w:val="false"/>
          <w:i w:val="false"/>
          <w:iCs w:val="false"/>
          <w:color w:val="333333"/>
          <w:sz w:val="20"/>
          <w:sz w:val="20"/>
          <w:szCs w:val="20"/>
          <w:rtl w:val="true"/>
        </w:rPr>
        <w:t xml:space="preserve">، القواعد الفقهیّة، الفاضل اللنکرانی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333:10</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ربط لهذا الحدیث و مسألة الأمر بالأمر، فإنّها تستفاد من الروایات الواردة فی ذلک، و أیضاً قد مرّ أنّ ثواب أصل العمل لا ینافی ثواب التمرین،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670:2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393:7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الشاهد علی ذلک تصریح الإمام علیه السلام بأنّ هذا الصوم لیس بفرض، فیستفاد منه أنّ صوم التأدیب لیس فی مقابل المندوب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باب حدّ الغلام و الجاریة،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596:3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268:12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307:19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البجنوردی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165:13</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القائلون بهذا القول و أدلّتهم</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البجنوردی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البجنوردی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القواعد الفقهیّة، الفاضل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تغییر فیهما</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البجنوردی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 باب أحکام الأرضین،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327:17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409:3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باب القضاء،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88:17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المبحث الثانی من الفصل الأوّل فی هذا الباب</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البجنوردی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الأصول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الوافیة للفاضل التونی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القواعد الحائریّة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هدایة المسترشدین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قوانین الاُصول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الفصول الغرویّة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337:10</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الفاضل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العناوین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الصوم </w:t>
      </w:r>
      <w:r>
        <w:rPr>
          <w:rFonts w:eastAsia="IRNazanin" w:cs="IRNazanin"/>
          <w:b w:val="false"/>
          <w:bCs w:val="false"/>
          <w:i w:val="false"/>
          <w:iCs w:val="false"/>
          <w:color w:val="333333"/>
          <w:sz w:val="20"/>
          <w:szCs w:val="20"/>
        </w:rPr>
        <w:t>502:21</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للمحقّق الداماد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للفاضل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العروة الوثقی مع تعلیقات عدّة من الفقهاء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التنقیح فی شرح العروة الوثقی، کتاب الطهارة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البجنوردی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الدلیل الخامس من الأدلّة المتقدّمة فی إثبات المشروعیّة</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الفاضل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السالک لأقرب المسالک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647:1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فقه الإمام أحمد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 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البنایة فی شرح الهدایة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تلخیص</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الهندیّة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الحنفی و أدلّته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xml:space="preserve">، الهدایة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المنثور فی القواعد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العباب المحیط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المحتاج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الفقه علی المذاهب الأربعة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الأوّل من هذا الباب</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395:15</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tl w:val="true"/>
        </w:rPr>
        <w:t xml:space="preserve">؛ مدارک العروة </w:t>
      </w:r>
      <w:r>
        <w:rPr>
          <w:rFonts w:eastAsia="IRNazanin" w:cs="IRNazanin"/>
          <w:b w:val="false"/>
          <w:bCs w:val="false"/>
          <w:i w:val="false"/>
          <w:iCs w:val="false"/>
          <w:color w:val="333333"/>
          <w:sz w:val="20"/>
          <w:szCs w:val="20"/>
        </w:rPr>
        <w:t>623:15</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مؤلفات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للفاضل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للبجنوردی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732:4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732:4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305:7</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التنقیح فی شرح العروة الوثقی، کتاب الطهارة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للمحقّق الداماد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 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المنثور فی القواعد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إعداد الفرائض،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276:10</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مع وجود الإطلاقات و العمومات الدالّة علی لزوم اعتبار الشرائط و الخصوصیّات فی جمیع الموارد لا مجال للتمسّک بقاعدة التسامح فضلاً عن تقییدها للإطلاقات، فإنّ التمسّک فی هذه القاعدة منحصر بما إذا لم یکن فی البین دلیل آخر یعارضه، و إلّا فمع وجود المعارض و حجّیّته لا مجال للرجوع إلی الدلیل الضعیف استناداً إلی هذه القاعدة ثمّ ایقاع التعارض بینهما،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إنّه خارج عن حقیقة الصلاة و لکن لیس خارجاً عن الصلاة لأنّ تعلّق النهی بالشرط ملازم لتعلّقه بالمشروط إذا کان الشرط متّحداً و مقارناً للمشروط وجوداً کما فی الستر، و بناء علیه لا یبعد البطلان لو قلنا بحرمة لبس لباس الشهرة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393:12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بطلان الصلاة فی لباس الشهرة</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الصلاة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البابین</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المحقّق النائینی رحمه الله علی کلام السیّد فی العروة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الأقوی اختصاص ذلک بما إذا خرج الرجل عن زی الرجال رأساً، و أخذ بزیّ النساء، و کذلک العکس دون ما إذا تلبّس کلّ منهما بملابس الآخر مدّة یسیرة لغرض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476:2</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نهایة الأحکام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ذکری الشیعة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جامع المقاصد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528:5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Pr>
        <w:t>350:10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کتاب الصلاة الشیخ عبد الکریم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تراث الشیخ الأعظم، کتاب الصلاة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504:1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ذکری الشیعة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180:4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اللباس، ح </w:t>
      </w:r>
      <w:r>
        <w:rPr>
          <w:rFonts w:eastAsia="IRNazanin" w:cs="IRNazanin"/>
          <w:b w:val="false"/>
          <w:bCs w:val="false"/>
          <w:i w:val="false"/>
          <w:iCs w:val="false"/>
          <w:color w:val="333333"/>
          <w:sz w:val="20"/>
          <w:szCs w:val="20"/>
        </w:rPr>
        <w:t>3595</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4057</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اللباس، ح </w:t>
      </w:r>
      <w:r>
        <w:rPr>
          <w:rFonts w:eastAsia="IRNazanin" w:cs="IRNazanin"/>
          <w:b w:val="false"/>
          <w:bCs w:val="false"/>
          <w:i w:val="false"/>
          <w:iCs w:val="false"/>
          <w:color w:val="333333"/>
          <w:sz w:val="20"/>
          <w:szCs w:val="20"/>
        </w:rPr>
        <w:t>4059</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العروة </w:t>
      </w:r>
      <w:r>
        <w:rPr>
          <w:rFonts w:eastAsia="IRNazanin" w:cs="IRNazanin"/>
          <w:b w:val="false"/>
          <w:bCs w:val="false"/>
          <w:i w:val="false"/>
          <w:iCs w:val="false"/>
          <w:color w:val="333333"/>
          <w:sz w:val="20"/>
          <w:szCs w:val="20"/>
        </w:rPr>
        <w:t>259:13</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391:5</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تفصیل الشریعة، کتاب الصلاة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بعد البلوغ الشرعی قد لا یطلق الرجل عرفاً علیه، 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الرجولیّة العرفیّة و البلوغ الشرعی عموم و خصوص من وجه، فلیس کلّ بالغ برجل عرفاً، فلا بدّ من حمل الرجل فی الروایات علی البلوغ الشرعی، کما أنّه فی سائر الموارد فی الروایات یطلق علیه، و هل الهمدانی یلتزم بأنّ کلّ ما ورد التعبیر بالرجل فی الروایات یحمل علی الأعمّ من البالغ و المراهق؟ کلّا، هذا، مضافاً إلی أنّ التعبیر بالرجل علی حسب مشهور اللغویّین یدلّ علی البلوغ أیضاً،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بالضمّ معروف، و إنّما هو لمن شبّ و احتلم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رجلٌ ساعة تلده امّه، و علی ذلک کلّه فلا یشمل المراهق، و 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تخریجه</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أحرزنا المبغوضیّة علی وجه الإطلاق، مع أنّه محلّ تأمّل، فلا یبعد القول بجواز الإلباس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321:10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مستند العروة الوثقی کتاب الصلاة </w:t>
      </w:r>
      <w:r>
        <w:rPr>
          <w:rFonts w:eastAsia="IRNazanin" w:cs="IRNazanin"/>
          <w:b w:val="false"/>
          <w:bCs w:val="false"/>
          <w:i w:val="false"/>
          <w:iCs w:val="false"/>
          <w:color w:val="333333"/>
          <w:sz w:val="20"/>
          <w:szCs w:val="20"/>
        </w:rPr>
        <w:t>387:12</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الصلاة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xml:space="preserve">، وسیلة النجاة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387:12</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387:12</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الصلاة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الأوّل من الباب العاشر</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کتاب الصلاة </w:t>
      </w:r>
      <w:r>
        <w:rPr>
          <w:rFonts w:eastAsia="IRNazanin" w:cs="IRNazanin"/>
          <w:b w:val="false"/>
          <w:bCs w:val="false"/>
          <w:i w:val="false"/>
          <w:iCs w:val="false"/>
          <w:color w:val="333333"/>
          <w:sz w:val="20"/>
          <w:szCs w:val="20"/>
        </w:rPr>
        <w:t>325:10</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للمحقّق الداماد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الصلاة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العروة </w:t>
      </w:r>
      <w:r>
        <w:rPr>
          <w:rFonts w:eastAsia="IRNazanin" w:cs="IRNazanin"/>
          <w:b w:val="false"/>
          <w:bCs w:val="false"/>
          <w:i w:val="false"/>
          <w:iCs w:val="false"/>
          <w:color w:val="333333"/>
          <w:sz w:val="20"/>
          <w:szCs w:val="20"/>
        </w:rPr>
        <w:t>260:13</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استفدنا الملازمة من الروایات فالحقّ ما ذکره الوالد المحقّق قدس سره، و أمّا إذا قلنا بعدم دلالة الروایات علی الملازمة بل بعضها ظاهر فی الإرشاد إلی المانعیّة فلا وجه له، بل اللازم التمسّک بإطلاقها، و هو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الصلاة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387:12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یسیر</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المعلولیّة أو العلّیّة منتفیة جدّاً فی المقام، بل الحکم الوضعی امّا أن ینتزع من التکلیفی، و مع عدم ثبوت منشأ الانتزاع لا یستفاد الحکم الوضعی، و إمّا أن یکون بجعل مستقلّ مع قطع النظر عن الحرمة التکلیفیّة، و ظاهر الروایات یدلّ علی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للمحقّق النائینی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 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موّه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طلاّه بفضّة أو ذهب، و لیس جوهره منهما،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445:5</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المستند فی شرح العروة الوثقی، کتاب الصلاة </w:t>
      </w:r>
      <w:r>
        <w:rPr>
          <w:rFonts w:eastAsia="IRNazanin" w:cs="IRNazanin"/>
          <w:b w:val="false"/>
          <w:bCs w:val="false"/>
          <w:i w:val="false"/>
          <w:iCs w:val="false"/>
          <w:color w:val="333333"/>
          <w:sz w:val="20"/>
          <w:szCs w:val="20"/>
        </w:rPr>
        <w:t>304:12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تفصیل الشریعة، کتاب الصلاة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Pr>
        <w:t>344:10</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الخوئی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منهاج الصالحین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للمحقق الداماد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636:3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322:12</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322:12</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العروة </w:t>
      </w:r>
      <w:r>
        <w:rPr>
          <w:rFonts w:eastAsia="IRNazanin" w:cs="IRNazanin"/>
          <w:b w:val="false"/>
          <w:bCs w:val="false"/>
          <w:i w:val="false"/>
          <w:iCs w:val="false"/>
          <w:color w:val="333333"/>
          <w:sz w:val="20"/>
          <w:szCs w:val="20"/>
        </w:rPr>
        <w:t>171:13</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323:12</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للمحقّق الداماد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تغطّی به، و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یجعل فوق الشیء، فیواریه و یستره،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تغطّی به المرأة رأسها،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تغطّی به المرأة رأسها،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العظام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تفصیل الشریعة، کتاب الصلاة </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169:14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370:20</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الثمانیة،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647:1</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86:1</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305:8</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الصلاة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التعبیر بالإجزاء قرینة علی أنّ المراد من الصلاة هی الصلاة المفروضة، و علیه فتکون الصحیحة مختصّة بالبالغ و البالغة و أیضاً لا یبعد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التعبیر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صحیحة محمّد بن مسلم ظاهر فی الصلاة المفروضة أیضاً، و الحقّ أنّ التعبیر بالرجل و المرأة فی الروایات یدلّ علی البالغ منهما، فالحقّ أنّ الحکم یختصّ بالبالغین و لا یشمل الصبیّ و الصبیّة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1279:2</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یمکن الالتزام بأنّ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 قَوَّامون عَلَی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للصبیّ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 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 ط مؤسّسة آل البیت علیهم السلام، فوائد الاُصول للنائینی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تصرّف، مستمسک العروة الوثقی </w:t>
      </w:r>
      <w:r>
        <w:rPr>
          <w:rFonts w:eastAsia="IRNazanin" w:cs="IRNazanin"/>
          <w:b w:val="false"/>
          <w:bCs w:val="false"/>
          <w:i w:val="false"/>
          <w:iCs w:val="false"/>
          <w:color w:val="333333"/>
          <w:sz w:val="20"/>
          <w:szCs w:val="20"/>
        </w:rPr>
        <w:t>481:5</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المستند فی شرح العروة الوثقی، کتاب الصلاة </w:t>
      </w:r>
      <w:r>
        <w:rPr>
          <w:rFonts w:eastAsia="IRNazanin" w:cs="IRNazanin"/>
          <w:b w:val="false"/>
          <w:bCs w:val="false"/>
          <w:i w:val="false"/>
          <w:iCs w:val="false"/>
          <w:color w:val="333333"/>
          <w:sz w:val="20"/>
          <w:szCs w:val="20"/>
        </w:rPr>
        <w:t>121:13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329:8</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481:5</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المستند فی شرح العروة الوثقی، کتاب الصلاة </w:t>
      </w:r>
      <w:r>
        <w:rPr>
          <w:rFonts w:eastAsia="IRNazanin" w:cs="IRNazanin"/>
          <w:b w:val="false"/>
          <w:bCs w:val="false"/>
          <w:i w:val="false"/>
          <w:iCs w:val="false"/>
          <w:color w:val="333333"/>
          <w:sz w:val="20"/>
          <w:szCs w:val="20"/>
        </w:rPr>
        <w:t>121:13</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للمحقق النائینی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121:13</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583:5</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325:13</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قد مرّ أنّه لا ملازمة بین المشروعیّة و الإجزاء، و علیه فالدلیل منحصر بالنصوص الواردة فی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661:4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635:1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662:4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مستمسک العروة الوثقی </w:t>
      </w:r>
      <w:r>
        <w:rPr>
          <w:rFonts w:eastAsia="IRNazanin" w:cs="IRNazanin"/>
          <w:b w:val="false"/>
          <w:bCs w:val="false"/>
          <w:i w:val="false"/>
          <w:iCs w:val="false"/>
          <w:color w:val="333333"/>
          <w:sz w:val="20"/>
          <w:szCs w:val="20"/>
        </w:rPr>
        <w:t>585:5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سمع البالغ أذان غیره یجتزی به، و کذا الإمام یجتزی بأذان المنفرد لو سمعه، و یوجب سقوط استحبابه عن السامع، کما صرّح به غیر واحد من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مع أنّ موثّقة غیاث بن إبراهیم المتقدّمة تدلّ علی جواز إقامة الغلام للقوم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یؤمّ القوم و أن یؤذّن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فی الأذان للقوم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659:4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659:4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326:13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الأشباه و النظائر لابن نجیم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327:13</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الفقه للشیرازی، کتاب الصلاة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مدارک العروة </w:t>
      </w:r>
      <w:r>
        <w:rPr>
          <w:rFonts w:eastAsia="IRNazanin" w:cs="IRNazanin"/>
          <w:b w:val="false"/>
          <w:bCs w:val="false"/>
          <w:i w:val="false"/>
          <w:iCs w:val="false"/>
          <w:color w:val="333333"/>
          <w:sz w:val="20"/>
          <w:szCs w:val="20"/>
        </w:rPr>
        <w:t>237:14</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656:4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شمول الأذان للإقامة أمر و عدم خصوصیّة للأذان أمر آخر، و الأوّل ممنوع جدّاً، و الروایة المذکورة لا تدلّ علی شموله لها، بل یستفاد من التعبیر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الأمر بالنسبة إلی الإقامة هکذا، و الثانی أیضاً غیر معلوم و لا مجال لادّعاء الأولویّة فی المقام، کما هو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الصلاة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تحفة المحتاج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الطبعة الحدیثة </w:t>
      </w:r>
      <w:r>
        <w:rPr>
          <w:rFonts w:eastAsia="IRNazanin" w:cs="IRNazanin"/>
          <w:b w:val="false"/>
          <w:bCs w:val="false"/>
          <w:i w:val="false"/>
          <w:iCs w:val="false"/>
          <w:color w:val="333333"/>
          <w:sz w:val="20"/>
          <w:szCs w:val="20"/>
        </w:rPr>
        <w:t>966:2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صبیّ ممیّز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لکنّ الصواب ما أثبتناه</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966:2</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الفاضل اللنکرانی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غنائم الأیّام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380:5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مستند العروة الوثقی، کتاب الصلاة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احتمل أن یکون أخا عبد الله میمون، فیشمله قول الصادق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أنتم نور اللّه فی ظلمات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xml:space="preserve">، و انظر رجال الکشّی </w:t>
      </w:r>
      <w:r>
        <w:rPr>
          <w:rFonts w:eastAsia="IRNazanin" w:cs="IRNazanin"/>
          <w:b w:val="false"/>
          <w:bCs w:val="false"/>
          <w:i w:val="false"/>
          <w:iCs w:val="false"/>
          <w:color w:val="333333"/>
          <w:sz w:val="20"/>
          <w:szCs w:val="20"/>
        </w:rPr>
        <w:t>452:245</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علی منهج المقال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مجمع الرجال القهپائی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هذه الروایة إنّما هی فی مقام شرائط إمام الجماعة و لیست بصدد خصوصیة المأموم، و لأجل ذلک لا یستفاد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الرجل یجوز له الاقتداء بامرأة یثق بدینها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380:5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143:13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51:17</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 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الدرّیّة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السالک شرح أسهل المسالک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الشیخ الفاضل اللنکرانی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443:4</w:t>
      </w:r>
      <w:r>
        <w:rPr>
          <w:rFonts w:ascii="IRNazanin" w:hAnsi="IRNazanin" w:eastAsia="IRNazanin"/>
          <w:b w:val="false"/>
          <w:b w:val="false"/>
          <w:bCs w:val="false"/>
          <w:i w:val="false"/>
          <w:i w:val="false"/>
          <w:iCs w:val="false"/>
          <w:color w:val="333333"/>
          <w:sz w:val="20"/>
          <w:sz w:val="20"/>
          <w:szCs w:val="20"/>
          <w:rtl w:val="true"/>
        </w:rPr>
        <w:t xml:space="preserve">، کشف الغطاء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990:2</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266:13</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کتاب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شکّ أو نسی أو الأعمّ، 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 بالأمر و عیی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تعایا و استعیا و تعیا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یهتد لوجه مراده، أو عجز عنه و لم یطق أحکامه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الکافی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386:5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زاد بعد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منکم</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و صحیح مسلم </w:t>
      </w:r>
      <w:r>
        <w:rPr>
          <w:rFonts w:eastAsia="IRNazanin" w:cs="IRNazanin"/>
          <w:b w:val="false"/>
          <w:bCs w:val="false"/>
          <w:i w:val="false"/>
          <w:iCs w:val="false"/>
          <w:color w:val="333333"/>
          <w:sz w:val="20"/>
          <w:szCs w:val="20"/>
        </w:rPr>
        <w:t>1621:2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الروایة إنّما هی فی مقام بیان أصل فضیلة الصفّ الأوّل، و إلّا لصحّ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شاملة للنساء أیضاً مع أنّه مقطوع الفساد، فالروایة لیست شاملة للصبیّ حتّی توهم التعارض و 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روایة جابر و أمثالها فی مقام بیان مراتب الفضیلة فی الجماعة بالنسبة إلی المأمومین، و روایة الفقیه فی مقام بیان أفضلیّة الصفّ الأوّل علی سائر الصفوف، فلیس بینهما تعارض حتّی یلزم الجمع،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استحباب اختیار القرب،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266:13</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266:13</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سابقاً أنّه لا مجال للتمسّک بقاعدة التسامح فی أمثال المقام، فإنّه علی فرض وجود نصّ خاصّ علی الکراهة یکون فی قباله نصوص دلّت علی مجرّد مطلوبیّة کون الصبی فی الصفّ الثانی فقط، و نعلم خارجاً عدم وجود حکمین فی هذا المورد، بمعنی أنّه لا یصحّ أن یتوهّم أنّ کونه فی الصفّ الأوّل مکروه و کونه فی الصفّ الثانی مستحبّ 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إلی أنّه لم یفهم من عبارة الروض وجود نصّ خاصّ علی الکراهة، بل هو یقول علی نحو الضابطة الکلّیّة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الکراهة منوطة بنصّ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کان، استفادة الکراهة أشکل، و الحقّ ما ذهب إلیه صاحب الجواهر من عدم الدلیل علی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کتاب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الأحکام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الخرشی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المغنی و الشرح الکبیر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کنز العرفان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ریاض المسائل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628:1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628:1</w:t>
      </w:r>
      <w:r>
        <w:rPr>
          <w:rFonts w:ascii="IRNazanin" w:hAnsi="IRNazanin" w:eastAsia="IRNazanin"/>
          <w:b w:val="false"/>
          <w:b w:val="false"/>
          <w:bCs w:val="false"/>
          <w:i w:val="false"/>
          <w:i w:val="false"/>
          <w:iCs w:val="false"/>
          <w:color w:val="333333"/>
          <w:sz w:val="20"/>
          <w:sz w:val="20"/>
          <w:szCs w:val="20"/>
          <w:rtl w:val="true"/>
        </w:rPr>
        <w:t xml:space="preserve">، ذیل مسألة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278:11</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881:1</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602:1</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ردّ المحتار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553:1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یترک بعض أجزاء الصلاة أو بعض شرائطها</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553:1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397:5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عبّر عنها فی کلمات غیر واحد بالخبر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المشعر بالضعف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فی غیر محلّه، فإنّ غیاثاً و إن کان بتریّاً لکنّ النجاشی وثّقه صریحاً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376:3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397:5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الصلاة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833:2</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المنافاة واضحة، و العنوان مشیر إلی عدم بلوغه رأساً، و الإطلاق واضح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766:2</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الطبعة الحجریّة، کتاب الصوم </w:t>
      </w:r>
      <w:r>
        <w:rPr>
          <w:rFonts w:eastAsia="IRNazanin" w:cs="IRNazanin"/>
          <w:b w:val="false"/>
          <w:bCs w:val="false"/>
          <w:i w:val="false"/>
          <w:iCs w:val="false"/>
          <w:color w:val="333333"/>
          <w:sz w:val="20"/>
          <w:szCs w:val="20"/>
        </w:rPr>
        <w:t>584:2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325:13</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الصلاة،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الشیخ الفاضل اللنکرانی </w:t>
      </w:r>
      <w:r>
        <w:rPr>
          <w:rFonts w:eastAsia="IRNazanin" w:cs="IRNazanin"/>
          <w:b w:val="false"/>
          <w:bCs w:val="false"/>
          <w:i w:val="false"/>
          <w:iCs w:val="false"/>
          <w:color w:val="333333"/>
          <w:sz w:val="20"/>
          <w:szCs w:val="20"/>
        </w:rPr>
        <w:t>600:1</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 مفاتیح الشرائع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غنائم الأیّام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رسائل المحقّق الکرکی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المستند فی شرح العروة الوثقی، کتاب الصلاة </w:t>
      </w:r>
      <w:r>
        <w:rPr>
          <w:rFonts w:eastAsia="IRNazanin" w:cs="IRNazanin"/>
          <w:b w:val="false"/>
          <w:bCs w:val="false"/>
          <w:i w:val="false"/>
          <w:iCs w:val="false"/>
          <w:color w:val="333333"/>
          <w:sz w:val="20"/>
          <w:szCs w:val="20"/>
        </w:rPr>
        <w:t>337:17</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الصلاة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الروایات الّتی تدلّ علی أنّ الإمام ضامن لقراءة من خلفه، وسائل الشیعة </w:t>
      </w:r>
      <w:r>
        <w:rPr>
          <w:rFonts w:eastAsia="IRNazanin" w:cs="IRNazanin"/>
          <w:b w:val="false"/>
          <w:bCs w:val="false"/>
          <w:i w:val="false"/>
          <w:iCs w:val="false"/>
          <w:color w:val="333333"/>
          <w:sz w:val="20"/>
          <w:szCs w:val="20"/>
        </w:rPr>
        <w:t>421:5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یسیر</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الأوّل من هذا الباب</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الصلاة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کتاب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388:5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398:5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کتاب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مطبعة مؤسسة آل البیت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قلنا بأنّ الروایات المطلقة کموثّقة سماعة و غیرها قد أعرض عنها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قوله علیه السلام فی روایة إسحاق بن 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یؤمّ حتّی یحتلم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یحمل علی ما إذا لم یکن الصبیّ موثوقاً بدینه بقرینة قوله علیه السلام فی روایة ابن راشد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تصلّ إلّا خلف من تثق بدینه و أمانته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الروایة حاکمة علی روایة إسحاق أو مفسّرة لها و علیه فلا یبعد القول بصحّة الاقتداء بالصبیّ إذا کان موثوقاً بدینه، اللّهمّ إلّا أن یقال بأنّ الروایة الثانیة لیست مفسّرة لروایة إسحاق، بل الجمع العرفی بینهما أنّه لا یجوز الائتمام بمن لم یبلغ الحلم و لم یکن موثوقاً بدینه، أو یقال بأنّ الصبیّ غالباً لم یکن موثوقاً بدینه و أمانته، فهو خارج عن الروایة، و علیه فالأحوط ترک الاقتداء به من دون فرق بین الفریضة و النافلة، و أیضاً لا فرق بین إمامته للبالغ أو لمثله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339:17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تغییر</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کتاب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766:2</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296:11</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588:7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الإرادات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الحقائق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 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البحر الرائق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 حاشیة ردّ المحتار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و تلخیص</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553:1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967:2</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325:13</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الصلاة،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کتاب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الصلاة،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السالک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الإرادات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الصلاة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370:17</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الزبدة الفقهیّة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الأعظم، کتاب الصلاة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966:2</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327:13</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الفاضل اللنکرانی </w:t>
      </w:r>
      <w:r>
        <w:rPr>
          <w:rFonts w:eastAsia="IRNazanin" w:cs="IRNazanin"/>
          <w:b w:val="false"/>
          <w:bCs w:val="false"/>
          <w:i w:val="false"/>
          <w:iCs w:val="false"/>
          <w:color w:val="333333"/>
          <w:sz w:val="20"/>
          <w:szCs w:val="20"/>
        </w:rPr>
        <w:t>602:1</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497:2</w:t>
      </w:r>
      <w:r>
        <w:rPr>
          <w:rFonts w:ascii="IRNazanin" w:hAnsi="IRNazanin" w:eastAsia="IRNazanin"/>
          <w:b w:val="false"/>
          <w:b w:val="false"/>
          <w:bCs w:val="false"/>
          <w:i w:val="false"/>
          <w:i w:val="false"/>
          <w:iCs w:val="false"/>
          <w:color w:val="333333"/>
          <w:sz w:val="20"/>
          <w:sz w:val="20"/>
          <w:szCs w:val="20"/>
          <w:rtl w:val="true"/>
        </w:rPr>
        <w:t xml:space="preserve">، غایة المراد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 غنائم الأیّام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مبانی منهاج الصالحین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کتاب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منهاج الصالحین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السالک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شرح فتح القدیر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الإرادات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المسالک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مذهب الشافعی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کون اللزوم ردّ السلام من الواجبات التعبّدیّة، مع أنّه محلّ إشکال و یقوی فی النظر کونه من الواجبات التوصّلیّة، و علیه فلا شکّ فی السقوط،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للشیخ محمّد علیّ الکاظمی، تقریر بحث المحقّق النائینی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947:2</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الفاضل اللنکرانی </w:t>
      </w:r>
      <w:r>
        <w:rPr>
          <w:rFonts w:eastAsia="IRNazanin" w:cs="IRNazanin"/>
          <w:b w:val="false"/>
          <w:bCs w:val="false"/>
          <w:i w:val="false"/>
          <w:iCs w:val="false"/>
          <w:color w:val="333333"/>
          <w:sz w:val="20"/>
          <w:szCs w:val="20"/>
        </w:rPr>
        <w:t>551:1</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المستند فی شرح العروة الوثقی، کتاب الصلاة </w:t>
      </w:r>
      <w:r>
        <w:rPr>
          <w:rFonts w:eastAsia="IRNazanin" w:cs="IRNazanin"/>
          <w:b w:val="false"/>
          <w:bCs w:val="false"/>
          <w:i w:val="false"/>
          <w:iCs w:val="false"/>
          <w:color w:val="333333"/>
          <w:sz w:val="20"/>
          <w:szCs w:val="20"/>
        </w:rPr>
        <w:t>84:16</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الجمل علی شرح المنهج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الجواهر الثمینة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مسالک الإفهام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747:1</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269:5</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الفقهاء أنّ المراد بالولیّ فی هذا المقام أکبر الذکور من أولاد المیّت، کما صرّح به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الأذهان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و قال فی المسالک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المراد بالأکبر من لیس هناک ذکر أکبر منه، فلو لم یخلّف المیّت إلّا ذکراً واحداً تعلّق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مستند الشیعة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أنّ الولیّ الذی یجب علیه القضاء الرجال من الورثة دون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الأکبر من الأولاد دون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الجواهر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الولیّ هو أکبر أولاده الذکور لا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یکن هو إلّا واحداً، و حینئذ فلو کان الأکبر انثی لم یجب علیها القضاء؛ لأنّ المنساق من الولی هنا الولد الذکر خصوصاً مع ملاحظة الشهرة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المختلف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صدق الولیّ علی غیره، و یدلّ علیه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فَهَبْ لِی مِنْ لَدُنْکَ وَلِیًّا یَرِثُنِی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هکذا مکاتبة الصفّار،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إلی الأخیر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مات و علیه قضاء من شهر رمضان عشرة أیّام و له ولیّان، هل یجوز لهما أن یقضیا عنه جمیعاً، خمسة أیّام أحد الولیّین و خمسة أیّام الآخر؟ فوقّع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یقضی عنه أکبر ولیّیه عشرة أیّام ولاءً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هو المراد من صحیحة حفص بن البختری 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الرجل یموت و علیه صلاة أو صیام،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یقضی عنه أولی الناس بمیراثه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أولی الناس به امرأة؟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إلّا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علی أن الولد الأکبر هو الأولی من جمیع الناس بالمیراث باعتبار اختصاصه بالحبوة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مقابل المشهور قال ابن الجنید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أولی الناس بالقضاء عن المیّت أکبر أولاده الذکور أو أقرب أولیائه إلیه إن لم یکن له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 و قال علیّ بن بابویه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یکن له ولیّ من الرجال قضی عنه ولیّه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 هکذا قال ابن البرّاج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ولده الأکبر من الذکور أن یقضی عنه ما 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یکن له ذکر فالأولی به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و حاشیة الإرشاد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749:1</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تعرّض لحدیث الرفع بالنسبة إلی الغافل، و أمّا بالنسبة إلی الجاهل فموقوف علی شمول الحدیث للشبهات الموضوعیّة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388:13</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467:10</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301:14</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749:7</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307:10</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الطهارة </w:t>
      </w:r>
      <w:r>
        <w:rPr>
          <w:rFonts w:eastAsia="IRNazanin" w:cs="IRNazanin"/>
          <w:b w:val="false"/>
          <w:bCs w:val="false"/>
          <w:i w:val="false"/>
          <w:iCs w:val="false"/>
          <w:color w:val="333333"/>
          <w:sz w:val="20"/>
          <w:szCs w:val="20"/>
        </w:rPr>
        <w:t>280:16</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الفاضل اللنکرانی </w:t>
      </w:r>
      <w:r>
        <w:rPr>
          <w:rFonts w:eastAsia="IRNazanin" w:cs="IRNazanin"/>
          <w:b w:val="false"/>
          <w:bCs w:val="false"/>
          <w:i w:val="false"/>
          <w:iCs w:val="false"/>
          <w:color w:val="333333"/>
          <w:sz w:val="20"/>
          <w:szCs w:val="20"/>
        </w:rPr>
        <w:t>568:1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فی بیان المراد من الولیّ</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البطلان و الفساد من الأحکام الوضعیّة، و أمّا لزوم الإعادة أو القضاء فلیس منها بل من الأحکام التکلیفیّة، و من أجل ذلک ترفع عن الصبیّ إلی زمان البلوغ، فلو کان من باب الأسباب أو من الأحکام الوضعیّة لثبت علی الصبیّ حین صباوته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إطلاق الأدلّة یدلّ علی ثبوت هذا الحکم للصبیّ أیضاً و یجب علیه الإتیان بعد البلوغ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xml:space="preserve">، الباب من مات و علیه صوم، ح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467:10</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الطهارة </w:t>
      </w:r>
      <w:r>
        <w:rPr>
          <w:rFonts w:eastAsia="IRNazanin" w:cs="IRNazanin"/>
          <w:b w:val="false"/>
          <w:bCs w:val="false"/>
          <w:i w:val="false"/>
          <w:iCs w:val="false"/>
          <w:color w:val="333333"/>
          <w:sz w:val="20"/>
          <w:szCs w:val="20"/>
        </w:rPr>
        <w:t>280:16</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و ج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و ج </w:t>
      </w:r>
      <w:r>
        <w:rPr>
          <w:rFonts w:eastAsia="IRNazanin" w:cs="IRNazanin"/>
          <w:b w:val="false"/>
          <w:bCs w:val="false"/>
          <w:i w:val="false"/>
          <w:iCs w:val="false"/>
          <w:color w:val="333333"/>
          <w:sz w:val="20"/>
          <w:szCs w:val="20"/>
        </w:rPr>
        <w:t>439:17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الأبوین و الأولاد</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133:13</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الملاک المستفاد من الروایات کون الولد أولی الناس بالمیراث، و هذا الملاک موجود فیما إذا لم یکن الولد منفصلاً حال موت أبیه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133:13</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و الصلاة بنفسها عبادة؟ و لا فرق فی هذه الجهة بین أن یفعل الإنسان لنفسه أو لغیره، فالنیابة لا تخرجها عن العبادیّة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الظاهر أنّ الخلاف فی التمرینیّة و غیرها إنّما هو بالنسبة إلی أعمال نفسه، و أمّا الاعمال النیابیّة فلا فرق بین القولین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الطهارة </w:t>
      </w:r>
      <w:r>
        <w:rPr>
          <w:rFonts w:eastAsia="IRNazanin" w:cs="IRNazanin"/>
          <w:b w:val="false"/>
          <w:bCs w:val="false"/>
          <w:i w:val="false"/>
          <w:iCs w:val="false"/>
          <w:color w:val="333333"/>
          <w:sz w:val="20"/>
          <w:szCs w:val="20"/>
        </w:rPr>
        <w:t>236:16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237:16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العروة </w:t>
      </w:r>
      <w:r>
        <w:rPr>
          <w:rFonts w:eastAsia="IRNazanin" w:cs="IRNazanin"/>
          <w:b w:val="false"/>
          <w:bCs w:val="false"/>
          <w:i w:val="false"/>
          <w:iCs w:val="false"/>
          <w:color w:val="333333"/>
          <w:sz w:val="20"/>
          <w:szCs w:val="20"/>
        </w:rPr>
        <w:t>304:16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معه، فإنّ النیابة علی خلاف القاعدة، و مع عدم عموم فی أدلّة النیابة نشکّ فی الإجزاء فلا یکتفی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البجنوردی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الفاضل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البجنوردی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یسیر</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الفاضل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مذاهب الأربعة و مذهب أهل البیت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ما یلحق الرجل بعد موته،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ما یلحق الرجل بعد موته،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ما یلحق الرجل بعد موته،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474:3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251:20</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 مع تعلیقات الإمام الخمینی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الفاضل اللنکرانی </w:t>
      </w:r>
      <w:r>
        <w:rPr>
          <w:rFonts w:eastAsia="IRNazanin" w:cs="IRNazanin"/>
          <w:b w:val="false"/>
          <w:bCs w:val="false"/>
          <w:i w:val="false"/>
          <w:iCs w:val="false"/>
          <w:color w:val="333333"/>
          <w:sz w:val="20"/>
          <w:szCs w:val="20"/>
        </w:rPr>
        <w:t>708:1</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الوطن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الإنسان و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1950:3</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أوطن الرجل البلد و استوطنه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اتّخذه وطناً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العروة الوثقی، کتاب الصلاة </w:t>
      </w:r>
      <w:r>
        <w:rPr>
          <w:rFonts w:eastAsia="IRNazanin" w:cs="IRNazanin"/>
          <w:b w:val="false"/>
          <w:bCs w:val="false"/>
          <w:i w:val="false"/>
          <w:iCs w:val="false"/>
          <w:color w:val="333333"/>
          <w:sz w:val="20"/>
          <w:szCs w:val="20"/>
        </w:rPr>
        <w:t>251:20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الملاک هو التبعیّة و لا دخل للولایة فی ذلک، و التبعیة أمر عرفی، و العرف بعد إعراض الصبیّ الممیّز لا یراه تابعاً، فالحقّ أنّ إعراضه مؤثّر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208:14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252:20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474:3</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 النظائر لابن نجیم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و للسیوطی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لعلیّ أحمد الندوی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لعلیّ أحمد الندوی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1027:2</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471:10</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الفاضل اللنکرانی </w:t>
      </w:r>
      <w:r>
        <w:rPr>
          <w:rFonts w:eastAsia="IRNazanin" w:cs="IRNazanin"/>
          <w:b w:val="false"/>
          <w:bCs w:val="false"/>
          <w:i w:val="false"/>
          <w:iCs w:val="false"/>
          <w:color w:val="333333"/>
          <w:sz w:val="20"/>
          <w:szCs w:val="20"/>
        </w:rPr>
        <w:t>690:1</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157:9</w:t>
      </w:r>
      <w:r>
        <w:rPr>
          <w:rFonts w:ascii="IRNazanin" w:hAnsi="IRNazanin" w:eastAsia="IRNazanin"/>
          <w:b w:val="false"/>
          <w:b w:val="false"/>
          <w:bCs w:val="false"/>
          <w:i w:val="false"/>
          <w:i w:val="false"/>
          <w:iCs w:val="false"/>
          <w:color w:val="333333"/>
          <w:sz w:val="20"/>
          <w:sz w:val="20"/>
          <w:szCs w:val="20"/>
          <w:rtl w:val="true"/>
        </w:rPr>
        <w:t xml:space="preserve">، کتاب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مدارک العروة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503:5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503:5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السیرة النبویّة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المغازی للواقدی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العروة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554:5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ذیل الحدیث المتقدّم</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239:14</w:t>
      </w:r>
      <w:r>
        <w:rPr>
          <w:rFonts w:ascii="IRNazanin" w:hAnsi="IRNazanin" w:eastAsia="IRNazanin"/>
          <w:b w:val="false"/>
          <w:b w:val="false"/>
          <w:bCs w:val="false"/>
          <w:i w:val="false"/>
          <w:i w:val="false"/>
          <w:iCs w:val="false"/>
          <w:color w:val="333333"/>
          <w:sz w:val="20"/>
          <w:sz w:val="20"/>
          <w:szCs w:val="20"/>
          <w:rtl w:val="true"/>
        </w:rPr>
        <w:t xml:space="preserve">، موسوعة الإمام الخوئی، المستند فی شرح العروة الوثقی، کتاب الصلاة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الکویتیّة </w:t>
      </w:r>
      <w:r>
        <w:rPr>
          <w:rFonts w:eastAsia="IRNazanin" w:cs="IRNazanin"/>
          <w:b w:val="false"/>
          <w:bCs w:val="false"/>
          <w:i w:val="false"/>
          <w:iCs w:val="false"/>
          <w:color w:val="333333"/>
          <w:sz w:val="20"/>
          <w:szCs w:val="20"/>
        </w:rPr>
        <w:t>272:27</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الصغار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الفاضل اللنکرانی </w:t>
      </w:r>
      <w:r>
        <w:rPr>
          <w:rFonts w:eastAsia="IRNazanin" w:cs="IRNazanin"/>
          <w:b w:val="false"/>
          <w:bCs w:val="false"/>
          <w:i w:val="false"/>
          <w:iCs w:val="false"/>
          <w:color w:val="333333"/>
          <w:sz w:val="20"/>
          <w:szCs w:val="20"/>
        </w:rPr>
        <w:t>689:1</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39:20</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492:5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492:5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492:5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307:19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الأوّل من هذا الباب، ذیل البحث فی مشروعیّة عبادات الصبیّ</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486:3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الفاضل اللنکرانی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289:20</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العروة </w:t>
      </w:r>
      <w:r>
        <w:rPr>
          <w:rFonts w:eastAsia="IRNazanin" w:cs="IRNazanin"/>
          <w:b w:val="false"/>
          <w:bCs w:val="false"/>
          <w:i w:val="false"/>
          <w:iCs w:val="false"/>
          <w:color w:val="333333"/>
          <w:sz w:val="20"/>
          <w:szCs w:val="20"/>
        </w:rPr>
        <w:t>267:19</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الصغار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علی هذا القول للسیّد المرتضی فی کتبه الّتی بأیدینا</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ذکری الشیعة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410:11</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الفاضل اللنکرانی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Pr>
        <w:t>351:9</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1197:2</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1165:2</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مواقیت الصلاة، 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xml:space="preserve">، کتاب المساجد، باب من أدرک رکعة من الصلاة ح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کتاب الصلاة، باب فی وقت صلاة العصر، ح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 xml:space="preserve">، باب وقت الصلاة فی العذر و الضرورة، 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مواقیت الصلاة، 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xml:space="preserve">، کتاب المساجد، باب من أدرک رکعة من الصلاة ح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کتاب الصلاة، باب فی وقت صلاة العصر، ح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 xml:space="preserve">، باب وقت الصلاة فی العذر و الضرورة، 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للشیخ عبد الکریم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العروة الوثقی، کتاب الصلاة </w:t>
      </w:r>
      <w:r>
        <w:rPr>
          <w:rFonts w:eastAsia="IRNazanin" w:cs="IRNazanin"/>
          <w:b w:val="false"/>
          <w:bCs w:val="false"/>
          <w:i w:val="false"/>
          <w:iCs w:val="false"/>
          <w:color w:val="333333"/>
          <w:sz w:val="20"/>
          <w:szCs w:val="20"/>
        </w:rPr>
        <w:t>103:16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تلخیص</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الدرّیّة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أسهل المدارک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التفریع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ذیل مسألة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الصوم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المبحث الأوّل من مباحث مشروعیّة عبادات الصبیّ</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تلخیص</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الفاضل اللنکرانی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ذیلها</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410:11</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تلخیص</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العظام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الفاضل اللنکرانی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ذیلها</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171:5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المستند فی شرح العروة الوثقی، کتاب الصلاة </w:t>
      </w:r>
      <w:r>
        <w:rPr>
          <w:rFonts w:eastAsia="IRNazanin" w:cs="IRNazanin"/>
          <w:b w:val="false"/>
          <w:bCs w:val="false"/>
          <w:i w:val="false"/>
          <w:iCs w:val="false"/>
          <w:color w:val="333333"/>
          <w:sz w:val="20"/>
          <w:szCs w:val="20"/>
        </w:rPr>
        <w:t>410:11</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المنثور فی القواعد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 حاشیة ردّ المحتار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عقد الجواهر الثمینة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سراج السالک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فقه الشافعی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image" Target="media/image2.jpeg"/><Relationship Id="rId618" Type="http://schemas.openxmlformats.org/officeDocument/2006/relationships/image" Target="media/image2.jpeg"/><Relationship Id="rId619" Type="http://schemas.openxmlformats.org/officeDocument/2006/relationships/footer" Target="footer612.xml"/><Relationship Id="rId620" Type="http://schemas.openxmlformats.org/officeDocument/2006/relationships/footnotes" Target="footnotes.xml"/><Relationship Id="rId621" Type="http://schemas.openxmlformats.org/officeDocument/2006/relationships/numbering" Target="numbering.xml"/><Relationship Id="rId622" Type="http://schemas.openxmlformats.org/officeDocument/2006/relationships/fontTable" Target="fontTable.xml"/><Relationship Id="rId623" Type="http://schemas.openxmlformats.org/officeDocument/2006/relationships/settings" Target="settings.xml"/><Relationship Id="rId6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622</Pages>
  <Words>51864</Words>
  <Characters>214708</Characters>
  <CharactersWithSpaces>264251</CharactersWithSpaces>
  <Paragraphs>2322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2026-08-22T07:01:34Z</dcterms:created>
  <dc:creator>ghaemiyeh.com</dc:creator>
  <dc:description/>
  <dc:language>en-US</dc:language>
  <cp:lastModifiedBy/>
  <dcterms:modified xsi:type="dcterms:W3CDTF">2026-08-22T10:32:13Z</dcterms:modified>
  <cp:revision>1</cp:revision>
  <dc:subject/>
  <dc:title>موسوعه احکام الاطفال و ادلتها مقارنه تفصیلیه بین مذهب الامامیه و المذاهب الاخری جلد 4</dc:title>
</cp:coreProperties>
</file>

<file path=docProps/custom.xml><?xml version="1.0" encoding="utf-8"?>
<Properties xmlns="http://schemas.openxmlformats.org/officeDocument/2006/custom-properties" xmlns:vt="http://schemas.openxmlformats.org/officeDocument/2006/docPropsVTypes"/>
</file>