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320.xml" ContentType="application/vnd.openxmlformats-officedocument.wordprocessingml.footer+xml"/>
  <Override PartName="/word/footer513.xml" ContentType="application/vnd.openxmlformats-officedocument.wordprocessingml.footer+xml"/>
  <Override PartName="/word/footer321.xml" ContentType="application/vnd.openxmlformats-officedocument.wordprocessingml.footer+xml"/>
  <Override PartName="/word/footer51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515.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41.xml" ContentType="application/vnd.openxmlformats-officedocument.wordprocessingml.footer+xml"/>
  <Override PartName="/word/footer507.xml" ContentType="application/vnd.openxmlformats-officedocument.wordprocessingml.footer+xml"/>
  <Override PartName="/word/footer31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461.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5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35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512.xml" ContentType="application/vnd.openxmlformats-officedocument.wordprocessingml.footer+xml"/>
  <Override PartName="/word/footer496.xml" ContentType="application/vnd.openxmlformats-officedocument.wordprocessingml.footer+xml"/>
  <Override PartName="/word/footer511.xml" ContentType="application/vnd.openxmlformats-officedocument.wordprocessingml.footer+xml"/>
  <Override PartName="/word/footer495.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معتمد الاصول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145603_73709187">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5145605_73709187">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5145607_73709187">
            <w:r>
              <w:rPr>
                <w:webHidden/>
                <w:rStyle w:val="IndexLink"/>
                <w:rtl w:val="true"/>
              </w:rPr>
              <w:t>مقدّمة التحقیق</w:t>
            </w:r>
            <w:r>
              <w:rPr>
                <w:rStyle w:val="IndexLink"/>
                <w:rtl w:val="true"/>
              </w:rPr>
              <w:tab/>
            </w:r>
            <w:r>
              <w:rPr>
                <w:rStyle w:val="IndexLink"/>
              </w:rPr>
              <w:t>13</w:t>
            </w:r>
          </w:hyperlink>
        </w:p>
        <w:p>
          <w:pPr>
            <w:pStyle w:val="Contents2"/>
            <w:tabs>
              <w:tab w:val="clear" w:pos="8743"/>
              <w:tab w:val="right" w:pos="9026" w:leader="dot"/>
            </w:tabs>
            <w:rPr/>
          </w:pPr>
          <w:hyperlink w:anchor="__RefHeading___Toc5145609_73709187">
            <w:r>
              <w:rPr>
                <w:webHidden/>
                <w:rStyle w:val="IndexLink"/>
                <w:rtl w:val="true"/>
              </w:rPr>
              <w:t>المقصد الأوّل فی الأوامر</w:t>
            </w:r>
            <w:r>
              <w:rPr>
                <w:rStyle w:val="IndexLink"/>
                <w:rtl w:val="true"/>
              </w:rPr>
              <w:tab/>
            </w:r>
            <w:r>
              <w:rPr>
                <w:rStyle w:val="IndexLink"/>
              </w:rPr>
              <w:t>19</w:t>
            </w:r>
          </w:hyperlink>
        </w:p>
        <w:p>
          <w:pPr>
            <w:pStyle w:val="Contents3"/>
            <w:tabs>
              <w:tab w:val="clear" w:pos="8459"/>
              <w:tab w:val="right" w:pos="9026" w:leader="dot"/>
            </w:tabs>
            <w:rPr/>
          </w:pPr>
          <w:hyperlink w:anchor="__RefHeading___Toc5145611_73709187">
            <w:r>
              <w:rPr>
                <w:webHidden/>
                <w:rStyle w:val="IndexLink"/>
                <w:rtl w:val="true"/>
              </w:rPr>
              <w:t>اشارة</w:t>
            </w:r>
            <w:r>
              <w:rPr>
                <w:rStyle w:val="IndexLink"/>
                <w:rtl w:val="true"/>
              </w:rPr>
              <w:tab/>
            </w:r>
            <w:r>
              <w:rPr>
                <w:rStyle w:val="IndexLink"/>
              </w:rPr>
              <w:t>19</w:t>
            </w:r>
          </w:hyperlink>
        </w:p>
        <w:p>
          <w:pPr>
            <w:pStyle w:val="Contents3"/>
            <w:tabs>
              <w:tab w:val="clear" w:pos="8459"/>
              <w:tab w:val="right" w:pos="9026" w:leader="dot"/>
            </w:tabs>
            <w:rPr/>
          </w:pPr>
          <w:hyperlink w:anchor="__RefHeading___Toc5145613_73709187">
            <w:r>
              <w:rPr>
                <w:webHidden/>
                <w:rStyle w:val="IndexLink"/>
                <w:rtl w:val="true"/>
              </w:rPr>
              <w:t>الفصل الرابع فی مقدّمة الواجب</w:t>
            </w:r>
            <w:r>
              <w:rPr>
                <w:rStyle w:val="IndexLink"/>
                <w:rtl w:val="true"/>
              </w:rPr>
              <w:tab/>
            </w:r>
            <w:r>
              <w:rPr>
                <w:rStyle w:val="IndexLink"/>
              </w:rPr>
              <w:t>20</w:t>
            </w:r>
          </w:hyperlink>
        </w:p>
        <w:p>
          <w:pPr>
            <w:pStyle w:val="Contents4"/>
            <w:tabs>
              <w:tab w:val="clear" w:pos="8176"/>
              <w:tab w:val="right" w:pos="9026" w:leader="dot"/>
            </w:tabs>
            <w:rPr/>
          </w:pPr>
          <w:hyperlink w:anchor="__RefHeading___Toc5145615_73709187">
            <w:r>
              <w:rPr>
                <w:webHidden/>
                <w:rStyle w:val="IndexLink"/>
                <w:rtl w:val="true"/>
              </w:rPr>
              <w:t>اشارة</w:t>
            </w:r>
            <w:r>
              <w:rPr>
                <w:rStyle w:val="IndexLink"/>
                <w:rtl w:val="true"/>
              </w:rPr>
              <w:tab/>
            </w:r>
            <w:r>
              <w:rPr>
                <w:rStyle w:val="IndexLink"/>
              </w:rPr>
              <w:t>20</w:t>
            </w:r>
          </w:hyperlink>
        </w:p>
        <w:p>
          <w:pPr>
            <w:pStyle w:val="Contents4"/>
            <w:tabs>
              <w:tab w:val="clear" w:pos="8176"/>
              <w:tab w:val="right" w:pos="9026" w:leader="dot"/>
            </w:tabs>
            <w:rPr/>
          </w:pPr>
          <w:hyperlink w:anchor="__RefHeading___Toc5145617_73709187">
            <w:r>
              <w:rPr>
                <w:webHidden/>
                <w:rStyle w:val="IndexLink"/>
                <w:rtl w:val="true"/>
              </w:rPr>
              <w:t>الأمر الأوّل فی تحریر محل النزاع</w:t>
            </w:r>
            <w:r>
              <w:rPr>
                <w:rStyle w:val="IndexLink"/>
                <w:rtl w:val="true"/>
              </w:rPr>
              <w:tab/>
            </w:r>
            <w:r>
              <w:rPr>
                <w:rStyle w:val="IndexLink"/>
              </w:rPr>
              <w:t>20</w:t>
            </w:r>
          </w:hyperlink>
        </w:p>
        <w:p>
          <w:pPr>
            <w:pStyle w:val="Contents4"/>
            <w:tabs>
              <w:tab w:val="clear" w:pos="8176"/>
              <w:tab w:val="right" w:pos="9026" w:leader="dot"/>
            </w:tabs>
            <w:rPr/>
          </w:pPr>
          <w:hyperlink w:anchor="__RefHeading___Toc5145619_73709187">
            <w:r>
              <w:rPr>
                <w:webHidden/>
                <w:rStyle w:val="IndexLink"/>
                <w:rtl w:val="true"/>
              </w:rPr>
              <w:t>الأمر الثانی هل مسألة مقدّمة الواجب من المسائل الاُصولیّة؟</w:t>
            </w:r>
            <w:r>
              <w:rPr>
                <w:rStyle w:val="IndexLink"/>
                <w:rtl w:val="true"/>
              </w:rPr>
              <w:tab/>
            </w:r>
            <w:r>
              <w:rPr>
                <w:rStyle w:val="IndexLink"/>
              </w:rPr>
              <w:t>24</w:t>
            </w:r>
          </w:hyperlink>
        </w:p>
        <w:p>
          <w:pPr>
            <w:pStyle w:val="Contents5"/>
            <w:tabs>
              <w:tab w:val="clear" w:pos="7892"/>
              <w:tab w:val="right" w:pos="9026" w:leader="dot"/>
            </w:tabs>
            <w:rPr/>
          </w:pPr>
          <w:hyperlink w:anchor="__RefHeading___Toc5145621_73709187">
            <w:r>
              <w:rPr>
                <w:webHidden/>
                <w:rStyle w:val="IndexLink"/>
                <w:rtl w:val="true"/>
              </w:rPr>
              <w:t>اشارة</w:t>
            </w:r>
            <w:r>
              <w:rPr>
                <w:rStyle w:val="IndexLink"/>
                <w:rtl w:val="true"/>
              </w:rPr>
              <w:tab/>
            </w:r>
            <w:r>
              <w:rPr>
                <w:rStyle w:val="IndexLink"/>
              </w:rPr>
              <w:t>24</w:t>
            </w:r>
          </w:hyperlink>
        </w:p>
        <w:p>
          <w:pPr>
            <w:pStyle w:val="Contents5"/>
            <w:tabs>
              <w:tab w:val="clear" w:pos="7892"/>
              <w:tab w:val="right" w:pos="9026" w:leader="dot"/>
            </w:tabs>
            <w:rPr/>
          </w:pPr>
          <w:hyperlink w:anchor="__RefHeading___Toc5145623_73709187">
            <w:r>
              <w:rPr>
                <w:webHidden/>
                <w:rStyle w:val="IndexLink"/>
                <w:rtl w:val="true"/>
              </w:rPr>
              <w:t>هل المسألة عقلیة أو لفظیة؟</w:t>
            </w:r>
            <w:r>
              <w:rPr>
                <w:rStyle w:val="IndexLink"/>
                <w:rtl w:val="true"/>
              </w:rPr>
              <w:tab/>
            </w:r>
            <w:r>
              <w:rPr>
                <w:rStyle w:val="IndexLink"/>
              </w:rPr>
              <w:t>25</w:t>
            </w:r>
          </w:hyperlink>
        </w:p>
        <w:p>
          <w:pPr>
            <w:pStyle w:val="Contents4"/>
            <w:tabs>
              <w:tab w:val="clear" w:pos="8176"/>
              <w:tab w:val="right" w:pos="9026" w:leader="dot"/>
            </w:tabs>
            <w:rPr/>
          </w:pPr>
          <w:hyperlink w:anchor="__RefHeading___Toc5145625_73709187">
            <w:r>
              <w:rPr>
                <w:webHidden/>
                <w:rStyle w:val="IndexLink"/>
                <w:rtl w:val="true"/>
              </w:rPr>
              <w:t>الأمر الثالث فی تقسیمات المقدّمة</w:t>
            </w:r>
            <w:r>
              <w:rPr>
                <w:rStyle w:val="IndexLink"/>
                <w:rtl w:val="true"/>
              </w:rPr>
              <w:tab/>
            </w:r>
            <w:r>
              <w:rPr>
                <w:rStyle w:val="IndexLink"/>
              </w:rPr>
              <w:t>26</w:t>
            </w:r>
          </w:hyperlink>
        </w:p>
        <w:p>
          <w:pPr>
            <w:pStyle w:val="Contents5"/>
            <w:tabs>
              <w:tab w:val="clear" w:pos="7892"/>
              <w:tab w:val="right" w:pos="9026" w:leader="dot"/>
            </w:tabs>
            <w:rPr/>
          </w:pPr>
          <w:hyperlink w:anchor="__RefHeading___Toc5145627_73709187">
            <w:r>
              <w:rPr>
                <w:webHidden/>
                <w:rStyle w:val="IndexLink"/>
                <w:rtl w:val="true"/>
              </w:rPr>
              <w:t>اشارة</w:t>
            </w:r>
            <w:r>
              <w:rPr>
                <w:rStyle w:val="IndexLink"/>
                <w:rtl w:val="true"/>
              </w:rPr>
              <w:tab/>
            </w:r>
            <w:r>
              <w:rPr>
                <w:rStyle w:val="IndexLink"/>
              </w:rPr>
              <w:t>26</w:t>
            </w:r>
          </w:hyperlink>
        </w:p>
        <w:p>
          <w:pPr>
            <w:pStyle w:val="Contents5"/>
            <w:tabs>
              <w:tab w:val="clear" w:pos="7892"/>
              <w:tab w:val="right" w:pos="9026" w:leader="dot"/>
            </w:tabs>
            <w:rPr/>
          </w:pPr>
          <w:hyperlink w:anchor="__RefHeading___Toc5145629_73709187">
            <w:r>
              <w:rPr>
                <w:webHidden/>
                <w:rStyle w:val="IndexLink"/>
                <w:rtl w:val="true"/>
              </w:rPr>
              <w:t>تقسیم المقدّمة إلی الخارجیّة و الداخلیّة</w:t>
            </w:r>
            <w:r>
              <w:rPr>
                <w:rStyle w:val="IndexLink"/>
                <w:rtl w:val="true"/>
              </w:rPr>
              <w:tab/>
            </w:r>
            <w:r>
              <w:rPr>
                <w:rStyle w:val="IndexLink"/>
              </w:rPr>
              <w:t>26</w:t>
            </w:r>
          </w:hyperlink>
        </w:p>
        <w:p>
          <w:pPr>
            <w:pStyle w:val="Contents5"/>
            <w:tabs>
              <w:tab w:val="clear" w:pos="7892"/>
              <w:tab w:val="right" w:pos="9026" w:leader="dot"/>
            </w:tabs>
            <w:rPr/>
          </w:pPr>
          <w:hyperlink w:anchor="__RefHeading___Toc5145631_73709187">
            <w:r>
              <w:rPr>
                <w:webHidden/>
                <w:rStyle w:val="IndexLink"/>
                <w:rtl w:val="true"/>
              </w:rPr>
              <w:t>دفعُ وَهم</w:t>
            </w:r>
            <w:r>
              <w:rPr>
                <w:rStyle w:val="IndexLink"/>
                <w:rtl w:val="true"/>
              </w:rPr>
              <w:t xml:space="preserve">: </w:t>
            </w:r>
            <w:r>
              <w:rPr>
                <w:rStyle w:val="IndexLink"/>
                <w:rtl w:val="true"/>
              </w:rPr>
              <w:t>فی أنحاء الوحدة الاعتباریّة</w:t>
            </w:r>
            <w:r>
              <w:rPr>
                <w:rStyle w:val="IndexLink"/>
                <w:rtl w:val="true"/>
              </w:rPr>
              <w:tab/>
            </w:r>
            <w:r>
              <w:rPr>
                <w:rStyle w:val="IndexLink"/>
              </w:rPr>
              <w:t>29</w:t>
            </w:r>
          </w:hyperlink>
        </w:p>
        <w:p>
          <w:pPr>
            <w:pStyle w:val="Contents5"/>
            <w:tabs>
              <w:tab w:val="clear" w:pos="7892"/>
              <w:tab w:val="right" w:pos="9026" w:leader="dot"/>
            </w:tabs>
            <w:rPr/>
          </w:pPr>
          <w:hyperlink w:anchor="__RefHeading___Toc5145633_73709187">
            <w:r>
              <w:rPr>
                <w:webHidden/>
                <w:rStyle w:val="IndexLink"/>
                <w:rtl w:val="true"/>
              </w:rPr>
              <w:t>التفصیل بین العلّة التامّة و غیرها</w:t>
            </w:r>
            <w:r>
              <w:rPr>
                <w:rStyle w:val="IndexLink"/>
                <w:rtl w:val="true"/>
              </w:rPr>
              <w:tab/>
            </w:r>
            <w:r>
              <w:rPr>
                <w:rStyle w:val="IndexLink"/>
              </w:rPr>
              <w:t>31</w:t>
            </w:r>
          </w:hyperlink>
        </w:p>
        <w:p>
          <w:pPr>
            <w:pStyle w:val="Contents5"/>
            <w:tabs>
              <w:tab w:val="clear" w:pos="7892"/>
              <w:tab w:val="right" w:pos="9026" w:leader="dot"/>
            </w:tabs>
            <w:rPr/>
          </w:pPr>
          <w:hyperlink w:anchor="__RefHeading___Toc5145635_73709187">
            <w:r>
              <w:rPr>
                <w:webHidden/>
                <w:rStyle w:val="IndexLink"/>
                <w:rtl w:val="true"/>
              </w:rPr>
              <w:t>تقسیم المقدّمة إلی المتقدّمة و المقارنة و المتأخّرة</w:t>
            </w:r>
            <w:r>
              <w:rPr>
                <w:rStyle w:val="IndexLink"/>
                <w:rtl w:val="true"/>
              </w:rPr>
              <w:tab/>
            </w:r>
            <w:r>
              <w:rPr>
                <w:rStyle w:val="IndexLink"/>
              </w:rPr>
              <w:t>32</w:t>
            </w:r>
          </w:hyperlink>
        </w:p>
        <w:p>
          <w:pPr>
            <w:pStyle w:val="Contents5"/>
            <w:tabs>
              <w:tab w:val="clear" w:pos="7892"/>
              <w:tab w:val="right" w:pos="9026" w:leader="dot"/>
            </w:tabs>
            <w:rPr/>
          </w:pPr>
          <w:hyperlink w:anchor="__RefHeading___Toc5145637_73709187">
            <w:r>
              <w:rPr>
                <w:webHidden/>
                <w:rStyle w:val="IndexLink"/>
                <w:rtl w:val="true"/>
              </w:rPr>
              <w:t>ما أفاده المحقّق العراقی قدس سره فی المقام</w:t>
            </w:r>
            <w:r>
              <w:rPr>
                <w:rStyle w:val="IndexLink"/>
                <w:rtl w:val="true"/>
              </w:rPr>
              <w:tab/>
            </w:r>
            <w:r>
              <w:rPr>
                <w:rStyle w:val="IndexLink"/>
              </w:rPr>
              <w:t>33</w:t>
            </w:r>
          </w:hyperlink>
        </w:p>
        <w:p>
          <w:pPr>
            <w:pStyle w:val="Contents5"/>
            <w:tabs>
              <w:tab w:val="clear" w:pos="7892"/>
              <w:tab w:val="right" w:pos="9026" w:leader="dot"/>
            </w:tabs>
            <w:rPr/>
          </w:pPr>
          <w:hyperlink w:anchor="__RefHeading___Toc5145639_73709187">
            <w:r>
              <w:rPr>
                <w:webHidden/>
                <w:rStyle w:val="IndexLink"/>
                <w:rtl w:val="true"/>
              </w:rPr>
              <w:t>کلام المحقّق النائینی قدس سره فی تحریر محلّ النزاع</w:t>
            </w:r>
            <w:r>
              <w:rPr>
                <w:rStyle w:val="IndexLink"/>
                <w:rtl w:val="true"/>
              </w:rPr>
              <w:tab/>
            </w:r>
            <w:r>
              <w:rPr>
                <w:rStyle w:val="IndexLink"/>
              </w:rPr>
              <w:t>37</w:t>
            </w:r>
          </w:hyperlink>
        </w:p>
        <w:p>
          <w:pPr>
            <w:pStyle w:val="Contents5"/>
            <w:tabs>
              <w:tab w:val="clear" w:pos="7892"/>
              <w:tab w:val="right" w:pos="9026" w:leader="dot"/>
            </w:tabs>
            <w:rPr/>
          </w:pPr>
          <w:hyperlink w:anchor="__RefHeading___Toc5145641_73709187">
            <w:r>
              <w:rPr>
                <w:webHidden/>
                <w:rStyle w:val="IndexLink"/>
                <w:rtl w:val="true"/>
              </w:rPr>
              <w:t>الجواب عن مختار المحقّق النائینی قدس سره</w:t>
            </w:r>
            <w:r>
              <w:rPr>
                <w:rStyle w:val="IndexLink"/>
                <w:rtl w:val="true"/>
              </w:rPr>
              <w:tab/>
            </w:r>
            <w:r>
              <w:rPr>
                <w:rStyle w:val="IndexLink"/>
              </w:rPr>
              <w:t>40</w:t>
            </w:r>
          </w:hyperlink>
        </w:p>
        <w:p>
          <w:pPr>
            <w:pStyle w:val="Contents4"/>
            <w:tabs>
              <w:tab w:val="clear" w:pos="8176"/>
              <w:tab w:val="right" w:pos="9026" w:leader="dot"/>
            </w:tabs>
            <w:rPr/>
          </w:pPr>
          <w:hyperlink w:anchor="__RefHeading___Toc5145643_73709187">
            <w:r>
              <w:rPr>
                <w:webHidden/>
                <w:rStyle w:val="IndexLink"/>
                <w:rtl w:val="true"/>
              </w:rPr>
              <w:t>الأمر الرابع فی الواجب المطلق و المشروط‌</w:t>
            </w:r>
            <w:r>
              <w:rPr>
                <w:rStyle w:val="IndexLink"/>
                <w:rtl w:val="true"/>
              </w:rPr>
              <w:tab/>
            </w:r>
            <w:r>
              <w:rPr>
                <w:rStyle w:val="IndexLink"/>
              </w:rPr>
              <w:t>42</w:t>
            </w:r>
          </w:hyperlink>
        </w:p>
        <w:p>
          <w:pPr>
            <w:pStyle w:val="Contents5"/>
            <w:tabs>
              <w:tab w:val="clear" w:pos="7892"/>
              <w:tab w:val="right" w:pos="9026" w:leader="dot"/>
            </w:tabs>
            <w:rPr/>
          </w:pPr>
          <w:hyperlink w:anchor="__RefHeading___Toc5145645_73709187">
            <w:r>
              <w:rPr>
                <w:webHidden/>
                <w:rStyle w:val="IndexLink"/>
                <w:rtl w:val="true"/>
              </w:rPr>
              <w:t>اشارة</w:t>
            </w:r>
            <w:r>
              <w:rPr>
                <w:rStyle w:val="IndexLink"/>
                <w:rtl w:val="true"/>
              </w:rPr>
              <w:tab/>
            </w:r>
            <w:r>
              <w:rPr>
                <w:rStyle w:val="IndexLink"/>
              </w:rPr>
              <w:t>42</w:t>
            </w:r>
          </w:hyperlink>
        </w:p>
        <w:p>
          <w:pPr>
            <w:pStyle w:val="Contents5"/>
            <w:tabs>
              <w:tab w:val="clear" w:pos="7892"/>
              <w:tab w:val="right" w:pos="9026" w:leader="dot"/>
            </w:tabs>
            <w:rPr/>
          </w:pPr>
          <w:hyperlink w:anchor="__RefHeading___Toc5145647_73709187">
            <w:r>
              <w:rPr>
                <w:webHidden/>
                <w:rStyle w:val="IndexLink"/>
                <w:rtl w:val="true"/>
              </w:rPr>
              <w:t>فی مقام الثبوت و تصویر الواجب المشروط‌</w:t>
            </w:r>
            <w:r>
              <w:rPr>
                <w:rStyle w:val="IndexLink"/>
                <w:rtl w:val="true"/>
              </w:rPr>
              <w:tab/>
            </w:r>
            <w:r>
              <w:rPr>
                <w:rStyle w:val="IndexLink"/>
              </w:rPr>
              <w:t>42</w:t>
            </w:r>
          </w:hyperlink>
        </w:p>
        <w:p>
          <w:pPr>
            <w:pStyle w:val="Contents5"/>
            <w:tabs>
              <w:tab w:val="clear" w:pos="7892"/>
              <w:tab w:val="right" w:pos="9026" w:leader="dot"/>
            </w:tabs>
            <w:rPr/>
          </w:pPr>
          <w:hyperlink w:anchor="__RefHeading___Toc5145649_73709187">
            <w:r>
              <w:rPr>
                <w:webHidden/>
                <w:rStyle w:val="IndexLink"/>
                <w:rtl w:val="true"/>
              </w:rPr>
              <w:t>فی مقام الإثبات و إمکان رجوع القید إلی الهیئة</w:t>
            </w:r>
            <w:r>
              <w:rPr>
                <w:rStyle w:val="IndexLink"/>
                <w:rtl w:val="true"/>
              </w:rPr>
              <w:tab/>
            </w:r>
            <w:r>
              <w:rPr>
                <w:rStyle w:val="IndexLink"/>
              </w:rPr>
              <w:t>44</w:t>
            </w:r>
          </w:hyperlink>
        </w:p>
        <w:p>
          <w:pPr>
            <w:pStyle w:val="Contents5"/>
            <w:tabs>
              <w:tab w:val="clear" w:pos="7892"/>
              <w:tab w:val="right" w:pos="9026" w:leader="dot"/>
            </w:tabs>
            <w:rPr/>
          </w:pPr>
          <w:hyperlink w:anchor="__RefHeading___Toc5145651_73709187">
            <w:r>
              <w:rPr>
                <w:webHidden/>
                <w:rStyle w:val="IndexLink"/>
                <w:rtl w:val="true"/>
              </w:rPr>
              <w:t>نقل و تحصیل</w:t>
            </w:r>
            <w:r>
              <w:rPr>
                <w:rStyle w:val="IndexLink"/>
                <w:rtl w:val="true"/>
              </w:rPr>
              <w:t xml:space="preserve">: </w:t>
            </w:r>
            <w:r>
              <w:rPr>
                <w:rStyle w:val="IndexLink"/>
                <w:rtl w:val="true"/>
              </w:rPr>
              <w:t>فی ضابط قیود الهیئة و المادة</w:t>
            </w:r>
            <w:r>
              <w:rPr>
                <w:rStyle w:val="IndexLink"/>
                <w:rtl w:val="true"/>
              </w:rPr>
              <w:tab/>
            </w:r>
            <w:r>
              <w:rPr>
                <w:rStyle w:val="IndexLink"/>
              </w:rPr>
              <w:t>45</w:t>
            </w:r>
          </w:hyperlink>
        </w:p>
        <w:p>
          <w:pPr>
            <w:pStyle w:val="Contents5"/>
            <w:tabs>
              <w:tab w:val="clear" w:pos="7892"/>
              <w:tab w:val="right" w:pos="9026" w:leader="dot"/>
            </w:tabs>
            <w:rPr/>
          </w:pPr>
          <w:hyperlink w:anchor="__RefHeading___Toc5145653_73709187">
            <w:r>
              <w:rPr>
                <w:webHidden/>
                <w:rStyle w:val="IndexLink"/>
                <w:rtl w:val="true"/>
              </w:rPr>
              <w:t>فی توقّف فعلیّة الوجوب علی شرطه</w:t>
            </w:r>
            <w:r>
              <w:rPr>
                <w:rStyle w:val="IndexLink"/>
                <w:rtl w:val="true"/>
              </w:rPr>
              <w:tab/>
            </w:r>
            <w:r>
              <w:rPr>
                <w:rStyle w:val="IndexLink"/>
              </w:rPr>
              <w:t>47</w:t>
            </w:r>
          </w:hyperlink>
        </w:p>
        <w:p>
          <w:pPr>
            <w:pStyle w:val="Contents5"/>
            <w:tabs>
              <w:tab w:val="clear" w:pos="7892"/>
              <w:tab w:val="right" w:pos="9026" w:leader="dot"/>
            </w:tabs>
            <w:rPr/>
          </w:pPr>
          <w:hyperlink w:anchor="__RefHeading___Toc5145655_73709187">
            <w:r>
              <w:rPr>
                <w:webHidden/>
                <w:rStyle w:val="IndexLink"/>
                <w:rtl w:val="true"/>
              </w:rPr>
              <w:t>فی إشکالات الواجب المشروط علی مسلک المشهور</w:t>
            </w:r>
            <w:r>
              <w:rPr>
                <w:rStyle w:val="IndexLink"/>
                <w:rtl w:val="true"/>
              </w:rPr>
              <w:tab/>
            </w:r>
            <w:r>
              <w:rPr>
                <w:rStyle w:val="IndexLink"/>
              </w:rPr>
              <w:t>49</w:t>
            </w:r>
          </w:hyperlink>
        </w:p>
        <w:p>
          <w:pPr>
            <w:pStyle w:val="Contents5"/>
            <w:tabs>
              <w:tab w:val="clear" w:pos="7892"/>
              <w:tab w:val="right" w:pos="9026" w:leader="dot"/>
            </w:tabs>
            <w:rPr/>
          </w:pPr>
          <w:hyperlink w:anchor="__RefHeading___Toc5145657_73709187">
            <w:r>
              <w:rPr>
                <w:webHidden/>
                <w:rStyle w:val="IndexLink"/>
                <w:rtl w:val="true"/>
              </w:rPr>
              <w:t>و المتحصّل من جمیع ما ذکرنا فی الواجب المشروط امور</w:t>
            </w:r>
            <w:r>
              <w:rPr>
                <w:rStyle w:val="IndexLink"/>
                <w:rtl w:val="true"/>
              </w:rPr>
              <w:t>:</w:t>
              <w:tab/>
            </w:r>
            <w:r>
              <w:rPr>
                <w:rStyle w:val="IndexLink"/>
              </w:rPr>
              <w:t>52</w:t>
            </w:r>
          </w:hyperlink>
        </w:p>
        <w:p>
          <w:pPr>
            <w:pStyle w:val="Contents4"/>
            <w:tabs>
              <w:tab w:val="clear" w:pos="8176"/>
              <w:tab w:val="right" w:pos="9026" w:leader="dot"/>
            </w:tabs>
            <w:rPr/>
          </w:pPr>
          <w:hyperlink w:anchor="__RefHeading___Toc5145659_73709187">
            <w:r>
              <w:rPr>
                <w:webHidden/>
                <w:rStyle w:val="IndexLink"/>
                <w:rtl w:val="true"/>
              </w:rPr>
              <w:t>الأمر الخامس فی الواجب المعلّق و المنجز</w:t>
            </w:r>
            <w:r>
              <w:rPr>
                <w:rStyle w:val="IndexLink"/>
                <w:rtl w:val="true"/>
              </w:rPr>
              <w:tab/>
            </w:r>
            <w:r>
              <w:rPr>
                <w:rStyle w:val="IndexLink"/>
              </w:rPr>
              <w:t>53</w:t>
            </w:r>
          </w:hyperlink>
        </w:p>
        <w:p>
          <w:pPr>
            <w:pStyle w:val="Contents5"/>
            <w:tabs>
              <w:tab w:val="clear" w:pos="7892"/>
              <w:tab w:val="right" w:pos="9026" w:leader="dot"/>
            </w:tabs>
            <w:rPr/>
          </w:pPr>
          <w:hyperlink w:anchor="__RefHeading___Toc5145661_73709187">
            <w:r>
              <w:rPr>
                <w:webHidden/>
                <w:rStyle w:val="IndexLink"/>
                <w:rtl w:val="true"/>
              </w:rPr>
              <w:t>اشارة</w:t>
            </w:r>
            <w:r>
              <w:rPr>
                <w:rStyle w:val="IndexLink"/>
                <w:rtl w:val="true"/>
              </w:rPr>
              <w:tab/>
            </w:r>
            <w:r>
              <w:rPr>
                <w:rStyle w:val="IndexLink"/>
              </w:rPr>
              <w:t>53</w:t>
            </w:r>
          </w:hyperlink>
        </w:p>
        <w:p>
          <w:pPr>
            <w:pStyle w:val="Contents5"/>
            <w:tabs>
              <w:tab w:val="clear" w:pos="7892"/>
              <w:tab w:val="right" w:pos="9026" w:leader="dot"/>
            </w:tabs>
            <w:rPr/>
          </w:pPr>
          <w:hyperlink w:anchor="__RefHeading___Toc5145663_73709187">
            <w:r>
              <w:rPr>
                <w:webHidden/>
                <w:rStyle w:val="IndexLink"/>
                <w:rtl w:val="true"/>
              </w:rPr>
              <w:t>ما أفاده بعض الأعلام فی إنکار الواجب المعلّق</w:t>
            </w:r>
            <w:r>
              <w:rPr>
                <w:rStyle w:val="IndexLink"/>
                <w:rtl w:val="true"/>
              </w:rPr>
              <w:tab/>
            </w:r>
            <w:r>
              <w:rPr>
                <w:rStyle w:val="IndexLink"/>
              </w:rPr>
              <w:t>54</w:t>
            </w:r>
          </w:hyperlink>
        </w:p>
        <w:p>
          <w:pPr>
            <w:pStyle w:val="Contents5"/>
            <w:tabs>
              <w:tab w:val="clear" w:pos="7892"/>
              <w:tab w:val="right" w:pos="9026" w:leader="dot"/>
            </w:tabs>
            <w:rPr/>
          </w:pPr>
          <w:hyperlink w:anchor="__RefHeading___Toc5145665_73709187">
            <w:r>
              <w:rPr>
                <w:webHidden/>
                <w:rStyle w:val="IndexLink"/>
                <w:rtl w:val="true"/>
              </w:rPr>
              <w:t>حول ما تردّد القید بین رجوعه إلی المادّة أو الهیئة</w:t>
            </w:r>
            <w:r>
              <w:rPr>
                <w:rStyle w:val="IndexLink"/>
                <w:rtl w:val="true"/>
              </w:rPr>
              <w:tab/>
            </w:r>
            <w:r>
              <w:rPr>
                <w:rStyle w:val="IndexLink"/>
              </w:rPr>
              <w:t>61</w:t>
            </w:r>
          </w:hyperlink>
        </w:p>
        <w:p>
          <w:pPr>
            <w:pStyle w:val="Contents5"/>
            <w:tabs>
              <w:tab w:val="clear" w:pos="7892"/>
              <w:tab w:val="right" w:pos="9026" w:leader="dot"/>
            </w:tabs>
            <w:rPr/>
          </w:pPr>
          <w:hyperlink w:anchor="__RefHeading___Toc5145667_73709187">
            <w:r>
              <w:rPr>
                <w:webHidden/>
                <w:rStyle w:val="IndexLink"/>
                <w:rtl w:val="true"/>
              </w:rPr>
              <w:t>أقول</w:t>
            </w:r>
            <w:r>
              <w:rPr>
                <w:rStyle w:val="IndexLink"/>
                <w:rtl w:val="true"/>
              </w:rPr>
              <w:t xml:space="preserve">: </w:t>
            </w:r>
            <w:r>
              <w:rPr>
                <w:rStyle w:val="IndexLink"/>
                <w:rtl w:val="true"/>
              </w:rPr>
              <w:t>ینبغی أن نتکلّم فی مقامین</w:t>
            </w:r>
            <w:r>
              <w:rPr>
                <w:rStyle w:val="IndexLink"/>
                <w:rtl w:val="true"/>
              </w:rPr>
              <w:t>:</w:t>
              <w:tab/>
            </w:r>
            <w:r>
              <w:rPr>
                <w:rStyle w:val="IndexLink"/>
              </w:rPr>
              <w:t>61</w:t>
            </w:r>
          </w:hyperlink>
        </w:p>
        <w:p>
          <w:pPr>
            <w:pStyle w:val="Contents4"/>
            <w:tabs>
              <w:tab w:val="clear" w:pos="8176"/>
              <w:tab w:val="right" w:pos="9026" w:leader="dot"/>
            </w:tabs>
            <w:rPr/>
          </w:pPr>
          <w:hyperlink w:anchor="__RefHeading___Toc5145669_73709187">
            <w:r>
              <w:rPr>
                <w:webHidden/>
                <w:rStyle w:val="IndexLink"/>
                <w:rtl w:val="true"/>
              </w:rPr>
              <w:t>الأمر السادس فی الواجب النفسی و الغیری</w:t>
            </w:r>
            <w:r>
              <w:rPr>
                <w:rStyle w:val="IndexLink"/>
                <w:rtl w:val="true"/>
              </w:rPr>
              <w:tab/>
            </w:r>
            <w:r>
              <w:rPr>
                <w:rStyle w:val="IndexLink"/>
              </w:rPr>
              <w:t>64</w:t>
            </w:r>
          </w:hyperlink>
        </w:p>
        <w:p>
          <w:pPr>
            <w:pStyle w:val="Contents5"/>
            <w:tabs>
              <w:tab w:val="clear" w:pos="7892"/>
              <w:tab w:val="right" w:pos="9026" w:leader="dot"/>
            </w:tabs>
            <w:rPr/>
          </w:pPr>
          <w:hyperlink w:anchor="__RefHeading___Toc5145671_73709187">
            <w:r>
              <w:rPr>
                <w:webHidden/>
                <w:rStyle w:val="IndexLink"/>
                <w:rtl w:val="true"/>
              </w:rPr>
              <w:t>اشارة</w:t>
            </w:r>
            <w:r>
              <w:rPr>
                <w:rStyle w:val="IndexLink"/>
                <w:rtl w:val="true"/>
              </w:rPr>
              <w:tab/>
            </w:r>
            <w:r>
              <w:rPr>
                <w:rStyle w:val="IndexLink"/>
              </w:rPr>
              <w:t>64</w:t>
            </w:r>
          </w:hyperlink>
        </w:p>
        <w:p>
          <w:pPr>
            <w:pStyle w:val="Contents5"/>
            <w:tabs>
              <w:tab w:val="clear" w:pos="7892"/>
              <w:tab w:val="right" w:pos="9026" w:leader="dot"/>
            </w:tabs>
            <w:rPr/>
          </w:pPr>
          <w:hyperlink w:anchor="__RefHeading___Toc5145673_73709187">
            <w:r>
              <w:rPr>
                <w:webHidden/>
                <w:rStyle w:val="IndexLink"/>
                <w:rtl w:val="true"/>
              </w:rPr>
              <w:t>مقتضی الأصل اللفظی فی المقام</w:t>
            </w:r>
            <w:r>
              <w:rPr>
                <w:rStyle w:val="IndexLink"/>
                <w:rtl w:val="true"/>
              </w:rPr>
              <w:tab/>
            </w:r>
            <w:r>
              <w:rPr>
                <w:rStyle w:val="IndexLink"/>
              </w:rPr>
              <w:t>65</w:t>
            </w:r>
          </w:hyperlink>
        </w:p>
        <w:p>
          <w:pPr>
            <w:pStyle w:val="Contents6"/>
            <w:tabs>
              <w:tab w:val="clear" w:pos="7609"/>
              <w:tab w:val="right" w:pos="9026" w:leader="dot"/>
            </w:tabs>
            <w:rPr/>
          </w:pPr>
          <w:hyperlink w:anchor="__RefHeading___Toc5145675_73709187">
            <w:r>
              <w:rPr>
                <w:webHidden/>
                <w:rStyle w:val="IndexLink"/>
                <w:rtl w:val="true"/>
              </w:rPr>
              <w:t>اشارة</w:t>
            </w:r>
            <w:r>
              <w:rPr>
                <w:rStyle w:val="IndexLink"/>
                <w:rtl w:val="true"/>
              </w:rPr>
              <w:tab/>
            </w:r>
            <w:r>
              <w:rPr>
                <w:rStyle w:val="IndexLink"/>
              </w:rPr>
              <w:t>65</w:t>
            </w:r>
          </w:hyperlink>
        </w:p>
        <w:p>
          <w:pPr>
            <w:pStyle w:val="Contents6"/>
            <w:tabs>
              <w:tab w:val="clear" w:pos="7609"/>
              <w:tab w:val="right" w:pos="9026" w:leader="dot"/>
            </w:tabs>
            <w:rPr/>
          </w:pPr>
          <w:hyperlink w:anchor="__RefHeading___Toc5145677_73709187">
            <w:r>
              <w:rPr>
                <w:webHidden/>
                <w:rStyle w:val="IndexLink"/>
                <w:rtl w:val="true"/>
              </w:rPr>
              <w:t>و لکن هذا الکلام مخدوش من وجوه</w:t>
            </w:r>
            <w:r>
              <w:rPr>
                <w:rStyle w:val="IndexLink"/>
                <w:rtl w:val="true"/>
              </w:rPr>
              <w:t>:</w:t>
              <w:tab/>
            </w:r>
            <w:r>
              <w:rPr>
                <w:rStyle w:val="IndexLink"/>
              </w:rPr>
              <w:t>67</w:t>
            </w:r>
          </w:hyperlink>
        </w:p>
        <w:p>
          <w:pPr>
            <w:pStyle w:val="Contents5"/>
            <w:tabs>
              <w:tab w:val="clear" w:pos="7892"/>
              <w:tab w:val="right" w:pos="9026" w:leader="dot"/>
            </w:tabs>
            <w:rPr/>
          </w:pPr>
          <w:hyperlink w:anchor="__RefHeading___Toc5145679_73709187">
            <w:r>
              <w:rPr>
                <w:webHidden/>
                <w:rStyle w:val="IndexLink"/>
                <w:rtl w:val="true"/>
              </w:rPr>
              <w:t>مقتضی الأصل العملی فی المقام</w:t>
            </w:r>
            <w:r>
              <w:rPr>
                <w:rStyle w:val="IndexLink"/>
                <w:rtl w:val="true"/>
              </w:rPr>
              <w:tab/>
            </w:r>
            <w:r>
              <w:rPr>
                <w:rStyle w:val="IndexLink"/>
              </w:rPr>
              <w:t>68</w:t>
            </w:r>
          </w:hyperlink>
        </w:p>
        <w:p>
          <w:pPr>
            <w:pStyle w:val="Contents5"/>
            <w:tabs>
              <w:tab w:val="clear" w:pos="7892"/>
              <w:tab w:val="right" w:pos="9026" w:leader="dot"/>
            </w:tabs>
            <w:rPr/>
          </w:pPr>
          <w:hyperlink w:anchor="__RefHeading___Toc5145681_73709187">
            <w:r>
              <w:rPr>
                <w:webHidden/>
                <w:rStyle w:val="IndexLink"/>
                <w:rtl w:val="true"/>
              </w:rPr>
              <w:t>تنبیهات</w:t>
            </w:r>
            <w:r>
              <w:rPr>
                <w:rStyle w:val="IndexLink"/>
                <w:rtl w:val="true"/>
              </w:rPr>
              <w:tab/>
            </w:r>
            <w:r>
              <w:rPr>
                <w:rStyle w:val="IndexLink"/>
              </w:rPr>
              <w:t>72</w:t>
            </w:r>
          </w:hyperlink>
        </w:p>
        <w:p>
          <w:pPr>
            <w:pStyle w:val="Contents6"/>
            <w:tabs>
              <w:tab w:val="clear" w:pos="7609"/>
              <w:tab w:val="right" w:pos="9026" w:leader="dot"/>
            </w:tabs>
            <w:rPr/>
          </w:pPr>
          <w:hyperlink w:anchor="__RefHeading___Toc5145683_73709187">
            <w:r>
              <w:rPr>
                <w:webHidden/>
                <w:rStyle w:val="IndexLink"/>
                <w:rtl w:val="true"/>
              </w:rPr>
              <w:t>التنبیه الأوّل</w:t>
            </w:r>
            <w:r>
              <w:rPr>
                <w:rStyle w:val="IndexLink"/>
                <w:rtl w:val="true"/>
              </w:rPr>
              <w:t xml:space="preserve">: </w:t>
            </w:r>
            <w:r>
              <w:rPr>
                <w:rStyle w:val="IndexLink"/>
                <w:rtl w:val="true"/>
              </w:rPr>
              <w:t>فی کیفیّة الثواب و العقاب الاُخروی</w:t>
            </w:r>
            <w:r>
              <w:rPr>
                <w:rStyle w:val="IndexLink"/>
                <w:rtl w:val="true"/>
              </w:rPr>
              <w:tab/>
            </w:r>
            <w:r>
              <w:rPr>
                <w:rStyle w:val="IndexLink"/>
              </w:rPr>
              <w:t>72</w:t>
            </w:r>
          </w:hyperlink>
        </w:p>
        <w:p>
          <w:pPr>
            <w:pStyle w:val="Contents6"/>
            <w:tabs>
              <w:tab w:val="clear" w:pos="7609"/>
              <w:tab w:val="right" w:pos="9026" w:leader="dot"/>
            </w:tabs>
            <w:rPr/>
          </w:pPr>
          <w:hyperlink w:anchor="__RefHeading___Toc5145685_73709187">
            <w:r>
              <w:rPr>
                <w:webHidden/>
                <w:rStyle w:val="IndexLink"/>
                <w:rtl w:val="true"/>
              </w:rPr>
              <w:t>فی استحقاق الثواب علی الواجب الغیری</w:t>
            </w:r>
            <w:r>
              <w:rPr>
                <w:rStyle w:val="IndexLink"/>
                <w:rtl w:val="true"/>
              </w:rPr>
              <w:tab/>
            </w:r>
            <w:r>
              <w:rPr>
                <w:rStyle w:val="IndexLink"/>
              </w:rPr>
              <w:t>73</w:t>
            </w:r>
          </w:hyperlink>
        </w:p>
        <w:p>
          <w:pPr>
            <w:pStyle w:val="Contents6"/>
            <w:tabs>
              <w:tab w:val="clear" w:pos="7609"/>
              <w:tab w:val="right" w:pos="9026" w:leader="dot"/>
            </w:tabs>
            <w:rPr/>
          </w:pPr>
          <w:hyperlink w:anchor="__RefHeading___Toc5145687_73709187">
            <w:r>
              <w:rPr>
                <w:webHidden/>
                <w:rStyle w:val="IndexLink"/>
                <w:rtl w:val="true"/>
              </w:rPr>
              <w:t>التنبیه الثانی</w:t>
            </w:r>
            <w:r>
              <w:rPr>
                <w:rStyle w:val="IndexLink"/>
                <w:rtl w:val="true"/>
              </w:rPr>
              <w:t xml:space="preserve">: </w:t>
            </w:r>
            <w:r>
              <w:rPr>
                <w:rStyle w:val="IndexLink"/>
                <w:rtl w:val="true"/>
              </w:rPr>
              <w:t>الإشکال فی الطهارات الثلاث و دفعه</w:t>
            </w:r>
            <w:r>
              <w:rPr>
                <w:rStyle w:val="IndexLink"/>
                <w:rtl w:val="true"/>
              </w:rPr>
              <w:tab/>
            </w:r>
            <w:r>
              <w:rPr>
                <w:rStyle w:val="IndexLink"/>
              </w:rPr>
              <w:t>75</w:t>
            </w:r>
          </w:hyperlink>
        </w:p>
        <w:p>
          <w:pPr>
            <w:pStyle w:val="Contents6"/>
            <w:tabs>
              <w:tab w:val="clear" w:pos="7609"/>
              <w:tab w:val="right" w:pos="9026" w:leader="dot"/>
            </w:tabs>
            <w:rPr/>
          </w:pPr>
          <w:hyperlink w:anchor="__RefHeading___Toc5145689_73709187">
            <w:r>
              <w:rPr>
                <w:webHidden/>
                <w:rStyle w:val="IndexLink"/>
                <w:rtl w:val="true"/>
              </w:rPr>
              <w:t>التنبیه الثالث</w:t>
            </w:r>
            <w:r>
              <w:rPr>
                <w:rStyle w:val="IndexLink"/>
                <w:rtl w:val="true"/>
              </w:rPr>
              <w:t xml:space="preserve">: </w:t>
            </w:r>
            <w:r>
              <w:rPr>
                <w:rStyle w:val="IndexLink"/>
                <w:rtl w:val="true"/>
              </w:rPr>
              <w:t>فی منشأ عبادیّة الطهارات</w:t>
            </w:r>
            <w:r>
              <w:rPr>
                <w:rStyle w:val="IndexLink"/>
                <w:rtl w:val="true"/>
              </w:rPr>
              <w:tab/>
            </w:r>
            <w:r>
              <w:rPr>
                <w:rStyle w:val="IndexLink"/>
              </w:rPr>
              <w:t>78</w:t>
            </w:r>
          </w:hyperlink>
        </w:p>
        <w:p>
          <w:pPr>
            <w:pStyle w:val="Contents4"/>
            <w:tabs>
              <w:tab w:val="clear" w:pos="8176"/>
              <w:tab w:val="right" w:pos="9026" w:leader="dot"/>
            </w:tabs>
            <w:rPr/>
          </w:pPr>
          <w:hyperlink w:anchor="__RefHeading___Toc5145691_73709187">
            <w:r>
              <w:rPr>
                <w:webHidden/>
                <w:rStyle w:val="IndexLink"/>
                <w:rtl w:val="true"/>
              </w:rPr>
              <w:t>الأمر السابع ما هو الواجب فی باب المقدّمة؟</w:t>
            </w:r>
            <w:r>
              <w:rPr>
                <w:rStyle w:val="IndexLink"/>
                <w:rtl w:val="true"/>
              </w:rPr>
              <w:tab/>
            </w:r>
            <w:r>
              <w:rPr>
                <w:rStyle w:val="IndexLink"/>
              </w:rPr>
              <w:t>82</w:t>
            </w:r>
          </w:hyperlink>
        </w:p>
        <w:p>
          <w:pPr>
            <w:pStyle w:val="Contents5"/>
            <w:tabs>
              <w:tab w:val="clear" w:pos="7892"/>
              <w:tab w:val="right" w:pos="9026" w:leader="dot"/>
            </w:tabs>
            <w:rPr/>
          </w:pPr>
          <w:hyperlink w:anchor="__RefHeading___Toc5145693_73709187">
            <w:r>
              <w:rPr>
                <w:webHidden/>
                <w:rStyle w:val="IndexLink"/>
                <w:rtl w:val="true"/>
              </w:rPr>
              <w:t>اشارة</w:t>
            </w:r>
            <w:r>
              <w:rPr>
                <w:rStyle w:val="IndexLink"/>
                <w:rtl w:val="true"/>
              </w:rPr>
              <w:tab/>
            </w:r>
            <w:r>
              <w:rPr>
                <w:rStyle w:val="IndexLink"/>
              </w:rPr>
              <w:t>82</w:t>
            </w:r>
          </w:hyperlink>
        </w:p>
        <w:p>
          <w:pPr>
            <w:pStyle w:val="Contents5"/>
            <w:tabs>
              <w:tab w:val="clear" w:pos="7892"/>
              <w:tab w:val="right" w:pos="9026" w:leader="dot"/>
            </w:tabs>
            <w:rPr/>
          </w:pPr>
          <w:hyperlink w:anchor="__RefHeading___Toc5145695_73709187">
            <w:r>
              <w:rPr>
                <w:webHidden/>
                <w:rStyle w:val="IndexLink"/>
                <w:rtl w:val="true"/>
              </w:rPr>
              <w:t>حول ما نسب إلی صاحب المعالم</w:t>
            </w:r>
            <w:r>
              <w:rPr>
                <w:rStyle w:val="IndexLink"/>
                <w:rtl w:val="true"/>
              </w:rPr>
              <w:tab/>
            </w:r>
            <w:r>
              <w:rPr>
                <w:rStyle w:val="IndexLink"/>
              </w:rPr>
              <w:t>82</w:t>
            </w:r>
          </w:hyperlink>
        </w:p>
        <w:p>
          <w:pPr>
            <w:pStyle w:val="Contents5"/>
            <w:tabs>
              <w:tab w:val="clear" w:pos="7892"/>
              <w:tab w:val="right" w:pos="9026" w:leader="dot"/>
            </w:tabs>
            <w:rPr/>
          </w:pPr>
          <w:hyperlink w:anchor="__RefHeading___Toc5145697_73709187">
            <w:r>
              <w:rPr>
                <w:webHidden/>
                <w:rStyle w:val="IndexLink"/>
                <w:rtl w:val="true"/>
              </w:rPr>
              <w:t>تحقیق فیما نسب إلی الشیخ الأنصاری قدس سره</w:t>
            </w:r>
            <w:r>
              <w:rPr>
                <w:rStyle w:val="IndexLink"/>
                <w:rtl w:val="true"/>
              </w:rPr>
              <w:tab/>
            </w:r>
            <w:r>
              <w:rPr>
                <w:rStyle w:val="IndexLink"/>
              </w:rPr>
              <w:t>84</w:t>
            </w:r>
          </w:hyperlink>
        </w:p>
        <w:p>
          <w:pPr>
            <w:pStyle w:val="Contents5"/>
            <w:tabs>
              <w:tab w:val="clear" w:pos="7892"/>
              <w:tab w:val="right" w:pos="9026" w:leader="dot"/>
            </w:tabs>
            <w:rPr/>
          </w:pPr>
          <w:hyperlink w:anchor="__RefHeading___Toc5145699_73709187">
            <w:r>
              <w:rPr>
                <w:webHidden/>
                <w:rStyle w:val="IndexLink"/>
                <w:rtl w:val="true"/>
              </w:rPr>
              <w:t>فنقول</w:t>
            </w:r>
            <w:r>
              <w:rPr>
                <w:rStyle w:val="IndexLink"/>
                <w:rtl w:val="true"/>
              </w:rPr>
              <w:t xml:space="preserve">: </w:t>
            </w:r>
            <w:r>
              <w:rPr>
                <w:rStyle w:val="IndexLink"/>
                <w:rtl w:val="true"/>
              </w:rPr>
              <w:t>اعتبار قصد التوصّل فی المقدّمة یمکن علی وجوه</w:t>
            </w:r>
            <w:r>
              <w:rPr>
                <w:rStyle w:val="IndexLink"/>
                <w:rtl w:val="true"/>
              </w:rPr>
              <w:t>:</w:t>
              <w:tab/>
            </w:r>
            <w:r>
              <w:rPr>
                <w:rStyle w:val="IndexLink"/>
              </w:rPr>
              <w:t>85</w:t>
            </w:r>
          </w:hyperlink>
        </w:p>
        <w:p>
          <w:pPr>
            <w:pStyle w:val="Contents5"/>
            <w:tabs>
              <w:tab w:val="clear" w:pos="7892"/>
              <w:tab w:val="right" w:pos="9026" w:leader="dot"/>
            </w:tabs>
            <w:rPr/>
          </w:pPr>
          <w:hyperlink w:anchor="__RefHeading___Toc5145701_73709187">
            <w:r>
              <w:rPr>
                <w:webHidden/>
                <w:rStyle w:val="IndexLink"/>
                <w:rtl w:val="true"/>
              </w:rPr>
              <w:t>القول فی المقدّمة الموصلة</w:t>
            </w:r>
            <w:r>
              <w:rPr>
                <w:rStyle w:val="IndexLink"/>
                <w:rtl w:val="true"/>
              </w:rPr>
              <w:tab/>
            </w:r>
            <w:r>
              <w:rPr>
                <w:rStyle w:val="IndexLink"/>
              </w:rPr>
              <w:t>87</w:t>
            </w:r>
          </w:hyperlink>
        </w:p>
        <w:p>
          <w:pPr>
            <w:pStyle w:val="Contents5"/>
            <w:tabs>
              <w:tab w:val="clear" w:pos="7892"/>
              <w:tab w:val="right" w:pos="9026" w:leader="dot"/>
            </w:tabs>
            <w:rPr/>
          </w:pPr>
          <w:hyperlink w:anchor="__RefHeading___Toc5145703_73709187">
            <w:r>
              <w:rPr>
                <w:webHidden/>
                <w:rStyle w:val="IndexLink"/>
                <w:rtl w:val="true"/>
              </w:rPr>
              <w:t>حول ما نسب إلی صاحب الفصول</w:t>
            </w:r>
            <w:r>
              <w:rPr>
                <w:rStyle w:val="IndexLink"/>
                <w:rtl w:val="true"/>
              </w:rPr>
              <w:tab/>
            </w:r>
            <w:r>
              <w:rPr>
                <w:rStyle w:val="IndexLink"/>
              </w:rPr>
              <w:t>87</w:t>
            </w:r>
          </w:hyperlink>
        </w:p>
        <w:p>
          <w:pPr>
            <w:pStyle w:val="Contents5"/>
            <w:tabs>
              <w:tab w:val="clear" w:pos="7892"/>
              <w:tab w:val="right" w:pos="9026" w:leader="dot"/>
            </w:tabs>
            <w:rPr/>
          </w:pPr>
          <w:hyperlink w:anchor="__RefHeading___Toc5145705_73709187">
            <w:r>
              <w:rPr>
                <w:webHidden/>
                <w:rStyle w:val="IndexLink"/>
                <w:rtl w:val="true"/>
              </w:rPr>
              <w:t>و قد اورد علیه بوجوه من الإیراد</w:t>
            </w:r>
            <w:r>
              <w:rPr>
                <w:rStyle w:val="IndexLink"/>
                <w:rtl w:val="true"/>
              </w:rPr>
              <w:t>:</w:t>
              <w:tab/>
            </w:r>
            <w:r>
              <w:rPr>
                <w:rStyle w:val="IndexLink"/>
              </w:rPr>
              <w:t>88</w:t>
            </w:r>
          </w:hyperlink>
        </w:p>
        <w:p>
          <w:pPr>
            <w:pStyle w:val="Contents5"/>
            <w:tabs>
              <w:tab w:val="clear" w:pos="7892"/>
              <w:tab w:val="right" w:pos="9026" w:leader="dot"/>
            </w:tabs>
            <w:rPr/>
          </w:pPr>
          <w:hyperlink w:anchor="__RefHeading___Toc5145707_73709187">
            <w:r>
              <w:rPr>
                <w:webHidden/>
                <w:rStyle w:val="IndexLink"/>
                <w:rtl w:val="true"/>
              </w:rPr>
              <w:t>ما أفاده المحقّق الحائری و العراقی فی المقام</w:t>
            </w:r>
            <w:r>
              <w:rPr>
                <w:rStyle w:val="IndexLink"/>
                <w:rtl w:val="true"/>
              </w:rPr>
              <w:tab/>
            </w:r>
            <w:r>
              <w:rPr>
                <w:rStyle w:val="IndexLink"/>
              </w:rPr>
              <w:t>91</w:t>
            </w:r>
          </w:hyperlink>
        </w:p>
        <w:p>
          <w:pPr>
            <w:pStyle w:val="Contents5"/>
            <w:tabs>
              <w:tab w:val="clear" w:pos="7892"/>
              <w:tab w:val="right" w:pos="9026" w:leader="dot"/>
            </w:tabs>
            <w:rPr/>
          </w:pPr>
          <w:hyperlink w:anchor="__RefHeading___Toc5145709_73709187">
            <w:r>
              <w:rPr>
                <w:webHidden/>
                <w:rStyle w:val="IndexLink"/>
                <w:rtl w:val="true"/>
              </w:rPr>
              <w:t>فی الدلیل العقلی علی المقدّمة الموصلة</w:t>
            </w:r>
            <w:r>
              <w:rPr>
                <w:rStyle w:val="IndexLink"/>
                <w:rtl w:val="true"/>
              </w:rPr>
              <w:tab/>
            </w:r>
            <w:r>
              <w:rPr>
                <w:rStyle w:val="IndexLink"/>
              </w:rPr>
              <w:t>94</w:t>
            </w:r>
          </w:hyperlink>
        </w:p>
        <w:p>
          <w:pPr>
            <w:pStyle w:val="Contents5"/>
            <w:tabs>
              <w:tab w:val="clear" w:pos="7892"/>
              <w:tab w:val="right" w:pos="9026" w:leader="dot"/>
            </w:tabs>
            <w:rPr/>
          </w:pPr>
          <w:hyperlink w:anchor="__RefHeading___Toc5145711_73709187">
            <w:r>
              <w:rPr>
                <w:webHidden/>
                <w:rStyle w:val="IndexLink"/>
                <w:rtl w:val="true"/>
              </w:rPr>
              <w:t>فی ثمرة القول بالمقدّمة الموصلة</w:t>
            </w:r>
            <w:r>
              <w:rPr>
                <w:rStyle w:val="IndexLink"/>
                <w:rtl w:val="true"/>
              </w:rPr>
              <w:tab/>
            </w:r>
            <w:r>
              <w:rPr>
                <w:rStyle w:val="IndexLink"/>
              </w:rPr>
              <w:t>96</w:t>
            </w:r>
          </w:hyperlink>
        </w:p>
        <w:p>
          <w:pPr>
            <w:pStyle w:val="Contents5"/>
            <w:tabs>
              <w:tab w:val="clear" w:pos="7892"/>
              <w:tab w:val="right" w:pos="9026" w:leader="dot"/>
            </w:tabs>
            <w:rPr/>
          </w:pPr>
          <w:hyperlink w:anchor="__RefHeading___Toc5145713_73709187">
            <w:r>
              <w:rPr>
                <w:webHidden/>
                <w:rStyle w:val="IndexLink"/>
                <w:rtl w:val="true"/>
              </w:rPr>
              <w:t>مناقشة الشیخ الأنصاری فی الثمرة</w:t>
            </w:r>
            <w:r>
              <w:rPr>
                <w:rStyle w:val="IndexLink"/>
                <w:rtl w:val="true"/>
              </w:rPr>
              <w:tab/>
            </w:r>
            <w:r>
              <w:rPr>
                <w:rStyle w:val="IndexLink"/>
              </w:rPr>
              <w:t>97</w:t>
            </w:r>
          </w:hyperlink>
        </w:p>
        <w:p>
          <w:pPr>
            <w:pStyle w:val="Contents5"/>
            <w:tabs>
              <w:tab w:val="clear" w:pos="7892"/>
              <w:tab w:val="right" w:pos="9026" w:leader="dot"/>
            </w:tabs>
            <w:rPr/>
          </w:pPr>
          <w:hyperlink w:anchor="__RefHeading___Toc5145715_73709187">
            <w:r>
              <w:rPr>
                <w:webHidden/>
                <w:rStyle w:val="IndexLink"/>
                <w:rtl w:val="true"/>
              </w:rPr>
              <w:t>مناقشة العلمین</w:t>
            </w:r>
            <w:r>
              <w:rPr>
                <w:rStyle w:val="IndexLink"/>
                <w:rtl w:val="true"/>
              </w:rPr>
              <w:t xml:space="preserve">: </w:t>
            </w:r>
            <w:r>
              <w:rPr>
                <w:rStyle w:val="IndexLink"/>
                <w:rtl w:val="true"/>
              </w:rPr>
              <w:t>الأصفهانی و العراقی</w:t>
            </w:r>
            <w:r>
              <w:rPr>
                <w:rStyle w:val="IndexLink"/>
                <w:rtl w:val="true"/>
              </w:rPr>
              <w:tab/>
            </w:r>
            <w:r>
              <w:rPr>
                <w:rStyle w:val="IndexLink"/>
              </w:rPr>
              <w:t>99</w:t>
            </w:r>
          </w:hyperlink>
        </w:p>
        <w:p>
          <w:pPr>
            <w:pStyle w:val="Contents4"/>
            <w:tabs>
              <w:tab w:val="clear" w:pos="8176"/>
              <w:tab w:val="right" w:pos="9026" w:leader="dot"/>
            </w:tabs>
            <w:rPr/>
          </w:pPr>
          <w:hyperlink w:anchor="__RefHeading___Toc5145717_73709187">
            <w:r>
              <w:rPr>
                <w:webHidden/>
                <w:rStyle w:val="IndexLink"/>
                <w:rtl w:val="true"/>
              </w:rPr>
              <w:t>الأمر الثامن فی الواجب الأصلی و التبعی</w:t>
            </w:r>
            <w:r>
              <w:rPr>
                <w:rStyle w:val="IndexLink"/>
                <w:rtl w:val="true"/>
              </w:rPr>
              <w:tab/>
            </w:r>
            <w:r>
              <w:rPr>
                <w:rStyle w:val="IndexLink"/>
              </w:rPr>
              <w:t>102</w:t>
            </w:r>
          </w:hyperlink>
        </w:p>
        <w:p>
          <w:pPr>
            <w:pStyle w:val="Contents5"/>
            <w:tabs>
              <w:tab w:val="clear" w:pos="7892"/>
              <w:tab w:val="right" w:pos="9026" w:leader="dot"/>
            </w:tabs>
            <w:rPr/>
          </w:pPr>
          <w:hyperlink w:anchor="__RefHeading___Toc5145719_73709187">
            <w:r>
              <w:rPr>
                <w:webHidden/>
                <w:rStyle w:val="IndexLink"/>
                <w:rtl w:val="true"/>
              </w:rPr>
              <w:t>اشارة</w:t>
            </w:r>
            <w:r>
              <w:rPr>
                <w:rStyle w:val="IndexLink"/>
                <w:rtl w:val="true"/>
              </w:rPr>
              <w:tab/>
            </w:r>
            <w:r>
              <w:rPr>
                <w:rStyle w:val="IndexLink"/>
              </w:rPr>
              <w:t>102</w:t>
            </w:r>
          </w:hyperlink>
        </w:p>
        <w:p>
          <w:pPr>
            <w:pStyle w:val="Contents5"/>
            <w:tabs>
              <w:tab w:val="clear" w:pos="7892"/>
              <w:tab w:val="right" w:pos="9026" w:leader="dot"/>
            </w:tabs>
            <w:rPr/>
          </w:pPr>
          <w:hyperlink w:anchor="__RefHeading___Toc5145721_73709187">
            <w:r>
              <w:rPr>
                <w:webHidden/>
                <w:rStyle w:val="IndexLink"/>
                <w:rtl w:val="true"/>
              </w:rPr>
              <w:t>حول الأصل عند الشکّ فی الأصلیّة و التبعیّة</w:t>
            </w:r>
            <w:r>
              <w:rPr>
                <w:rStyle w:val="IndexLink"/>
                <w:rtl w:val="true"/>
              </w:rPr>
              <w:tab/>
            </w:r>
            <w:r>
              <w:rPr>
                <w:rStyle w:val="IndexLink"/>
              </w:rPr>
              <w:t>104</w:t>
            </w:r>
          </w:hyperlink>
        </w:p>
        <w:p>
          <w:pPr>
            <w:pStyle w:val="Contents4"/>
            <w:tabs>
              <w:tab w:val="clear" w:pos="8176"/>
              <w:tab w:val="right" w:pos="9026" w:leader="dot"/>
            </w:tabs>
            <w:rPr/>
          </w:pPr>
          <w:hyperlink w:anchor="__RefHeading___Toc5145723_73709187">
            <w:r>
              <w:rPr>
                <w:webHidden/>
                <w:rStyle w:val="IndexLink"/>
                <w:rtl w:val="true"/>
              </w:rPr>
              <w:t>الأمر التاسع ثمرة مسألة مقدّمة الواجب</w:t>
            </w:r>
            <w:r>
              <w:rPr>
                <w:rStyle w:val="IndexLink"/>
                <w:rtl w:val="true"/>
              </w:rPr>
              <w:tab/>
            </w:r>
            <w:r>
              <w:rPr>
                <w:rStyle w:val="IndexLink"/>
              </w:rPr>
              <w:t>106</w:t>
            </w:r>
          </w:hyperlink>
        </w:p>
        <w:p>
          <w:pPr>
            <w:pStyle w:val="Contents4"/>
            <w:tabs>
              <w:tab w:val="clear" w:pos="8176"/>
              <w:tab w:val="right" w:pos="9026" w:leader="dot"/>
            </w:tabs>
            <w:rPr/>
          </w:pPr>
          <w:hyperlink w:anchor="__RefHeading___Toc5145725_73709187">
            <w:r>
              <w:rPr>
                <w:webHidden/>
                <w:rStyle w:val="IndexLink"/>
                <w:rtl w:val="true"/>
              </w:rPr>
              <w:t>الأمر العاشر فی الأصل عند الشکّ فی الملازمة</w:t>
            </w:r>
            <w:r>
              <w:rPr>
                <w:rStyle w:val="IndexLink"/>
                <w:rtl w:val="true"/>
              </w:rPr>
              <w:tab/>
            </w:r>
            <w:r>
              <w:rPr>
                <w:rStyle w:val="IndexLink"/>
              </w:rPr>
              <w:t>107</w:t>
            </w:r>
          </w:hyperlink>
        </w:p>
        <w:p>
          <w:pPr>
            <w:pStyle w:val="Contents5"/>
            <w:tabs>
              <w:tab w:val="clear" w:pos="7892"/>
              <w:tab w:val="right" w:pos="9026" w:leader="dot"/>
            </w:tabs>
            <w:rPr/>
          </w:pPr>
          <w:hyperlink w:anchor="__RefHeading___Toc5145727_73709187">
            <w:r>
              <w:rPr>
                <w:webHidden/>
                <w:rStyle w:val="IndexLink"/>
                <w:rtl w:val="true"/>
              </w:rPr>
              <w:t>اشارة</w:t>
            </w:r>
            <w:r>
              <w:rPr>
                <w:rStyle w:val="IndexLink"/>
                <w:rtl w:val="true"/>
              </w:rPr>
              <w:tab/>
            </w:r>
            <w:r>
              <w:rPr>
                <w:rStyle w:val="IndexLink"/>
              </w:rPr>
              <w:t>107</w:t>
            </w:r>
          </w:hyperlink>
        </w:p>
        <w:p>
          <w:pPr>
            <w:pStyle w:val="Contents5"/>
            <w:tabs>
              <w:tab w:val="clear" w:pos="7892"/>
              <w:tab w:val="right" w:pos="9026" w:leader="dot"/>
            </w:tabs>
            <w:rPr/>
          </w:pPr>
          <w:hyperlink w:anchor="__RefHeading___Toc5145729_73709187">
            <w:r>
              <w:rPr>
                <w:webHidden/>
                <w:rStyle w:val="IndexLink"/>
                <w:rtl w:val="true"/>
              </w:rPr>
              <w:t>القول فی أدلّة القائلین بالملازمة</w:t>
            </w:r>
            <w:r>
              <w:rPr>
                <w:rStyle w:val="IndexLink"/>
                <w:rtl w:val="true"/>
              </w:rPr>
              <w:tab/>
            </w:r>
            <w:r>
              <w:rPr>
                <w:rStyle w:val="IndexLink"/>
              </w:rPr>
              <w:t>108</w:t>
            </w:r>
          </w:hyperlink>
        </w:p>
        <w:p>
          <w:pPr>
            <w:pStyle w:val="Contents5"/>
            <w:tabs>
              <w:tab w:val="clear" w:pos="7892"/>
              <w:tab w:val="right" w:pos="9026" w:leader="dot"/>
            </w:tabs>
            <w:rPr/>
          </w:pPr>
          <w:hyperlink w:anchor="__RefHeading___Toc5145731_73709187">
            <w:r>
              <w:rPr>
                <w:webHidden/>
                <w:rStyle w:val="IndexLink"/>
                <w:rtl w:val="true"/>
              </w:rPr>
              <w:t>تذنیب</w:t>
            </w:r>
            <w:r>
              <w:rPr>
                <w:rStyle w:val="IndexLink"/>
                <w:rtl w:val="true"/>
              </w:rPr>
              <w:t xml:space="preserve">: </w:t>
            </w:r>
            <w:r>
              <w:rPr>
                <w:rStyle w:val="IndexLink"/>
                <w:rtl w:val="true"/>
              </w:rPr>
              <w:t>حول التفصیل بین السبب و الشرط الشرعی و غیرهما</w:t>
            </w:r>
            <w:r>
              <w:rPr>
                <w:rStyle w:val="IndexLink"/>
                <w:rtl w:val="true"/>
              </w:rPr>
              <w:tab/>
            </w:r>
            <w:r>
              <w:rPr>
                <w:rStyle w:val="IndexLink"/>
              </w:rPr>
              <w:t>110</w:t>
            </w:r>
          </w:hyperlink>
        </w:p>
        <w:p>
          <w:pPr>
            <w:pStyle w:val="Contents5"/>
            <w:tabs>
              <w:tab w:val="clear" w:pos="7892"/>
              <w:tab w:val="right" w:pos="9026" w:leader="dot"/>
            </w:tabs>
            <w:rPr/>
          </w:pPr>
          <w:hyperlink w:anchor="__RefHeading___Toc5145733_73709187">
            <w:r>
              <w:rPr>
                <w:webHidden/>
                <w:rStyle w:val="IndexLink"/>
                <w:rtl w:val="true"/>
              </w:rPr>
              <w:t>تتمیم</w:t>
            </w:r>
            <w:r>
              <w:rPr>
                <w:rStyle w:val="IndexLink"/>
                <w:rtl w:val="true"/>
              </w:rPr>
              <w:t xml:space="preserve">: </w:t>
            </w:r>
            <w:r>
              <w:rPr>
                <w:rStyle w:val="IndexLink"/>
                <w:rtl w:val="true"/>
              </w:rPr>
              <w:t>فی مقدّمة المستحب و المکروه و الحرام</w:t>
            </w:r>
            <w:r>
              <w:rPr>
                <w:rStyle w:val="IndexLink"/>
                <w:rtl w:val="true"/>
              </w:rPr>
              <w:tab/>
            </w:r>
            <w:r>
              <w:rPr>
                <w:rStyle w:val="IndexLink"/>
              </w:rPr>
              <w:t>111</w:t>
            </w:r>
          </w:hyperlink>
        </w:p>
        <w:p>
          <w:pPr>
            <w:pStyle w:val="Contents5"/>
            <w:tabs>
              <w:tab w:val="clear" w:pos="7892"/>
              <w:tab w:val="right" w:pos="9026" w:leader="dot"/>
            </w:tabs>
            <w:rPr/>
          </w:pPr>
          <w:hyperlink w:anchor="__RefHeading___Toc5145735_73709187">
            <w:r>
              <w:rPr>
                <w:webHidden/>
                <w:rStyle w:val="IndexLink"/>
                <w:rtl w:val="true"/>
              </w:rPr>
              <w:t>ثمّ إنّه ذکر فی الدّرر أنّ العناوین المحرّمة علی ضربین</w:t>
            </w:r>
            <w:r>
              <w:rPr>
                <w:rStyle w:val="IndexLink"/>
                <w:rtl w:val="true"/>
              </w:rPr>
              <w:t>:</w:t>
              <w:tab/>
            </w:r>
            <w:r>
              <w:rPr>
                <w:rStyle w:val="IndexLink"/>
              </w:rPr>
              <w:t>113</w:t>
            </w:r>
          </w:hyperlink>
        </w:p>
        <w:p>
          <w:pPr>
            <w:pStyle w:val="Contents3"/>
            <w:tabs>
              <w:tab w:val="clear" w:pos="8459"/>
              <w:tab w:val="right" w:pos="9026" w:leader="dot"/>
            </w:tabs>
            <w:rPr/>
          </w:pPr>
          <w:hyperlink w:anchor="__RefHeading___Toc5145737_73709187">
            <w:r>
              <w:rPr>
                <w:webHidden/>
                <w:rStyle w:val="IndexLink"/>
                <w:rtl w:val="true"/>
              </w:rPr>
              <w:t>الفصل الخامس فی اقتضاء الأمر بالشیء للنهی عن ضدّه</w:t>
            </w:r>
            <w:r>
              <w:rPr>
                <w:rStyle w:val="IndexLink"/>
                <w:rtl w:val="true"/>
              </w:rPr>
              <w:tab/>
            </w:r>
            <w:r>
              <w:rPr>
                <w:rStyle w:val="IndexLink"/>
              </w:rPr>
              <w:t>115</w:t>
            </w:r>
          </w:hyperlink>
        </w:p>
        <w:p>
          <w:pPr>
            <w:pStyle w:val="Contents4"/>
            <w:tabs>
              <w:tab w:val="clear" w:pos="8176"/>
              <w:tab w:val="right" w:pos="9026" w:leader="dot"/>
            </w:tabs>
            <w:rPr/>
          </w:pPr>
          <w:hyperlink w:anchor="__RefHeading___Toc5145739_73709187">
            <w:r>
              <w:rPr>
                <w:webHidden/>
                <w:rStyle w:val="IndexLink"/>
                <w:rtl w:val="true"/>
              </w:rPr>
              <w:t>اشارة</w:t>
            </w:r>
            <w:r>
              <w:rPr>
                <w:rStyle w:val="IndexLink"/>
                <w:rtl w:val="true"/>
              </w:rPr>
              <w:tab/>
            </w:r>
            <w:r>
              <w:rPr>
                <w:rStyle w:val="IndexLink"/>
              </w:rPr>
              <w:t>115</w:t>
            </w:r>
          </w:hyperlink>
        </w:p>
        <w:p>
          <w:pPr>
            <w:pStyle w:val="Contents4"/>
            <w:tabs>
              <w:tab w:val="clear" w:pos="8176"/>
              <w:tab w:val="right" w:pos="9026" w:leader="dot"/>
            </w:tabs>
            <w:rPr/>
          </w:pPr>
          <w:hyperlink w:anchor="__RefHeading___Toc5145741_73709187">
            <w:r>
              <w:rPr>
                <w:webHidden/>
                <w:rStyle w:val="IndexLink"/>
                <w:rtl w:val="true"/>
              </w:rPr>
              <w:t>الأمر الأوّل</w:t>
            </w:r>
            <w:r>
              <w:rPr>
                <w:rStyle w:val="IndexLink"/>
                <w:rtl w:val="true"/>
              </w:rPr>
              <w:t xml:space="preserve">: </w:t>
            </w:r>
            <w:r>
              <w:rPr>
                <w:rStyle w:val="IndexLink"/>
                <w:rtl w:val="true"/>
              </w:rPr>
              <w:t>هل هذه المسألة اصولیّة أم لا؟</w:t>
            </w:r>
            <w:r>
              <w:rPr>
                <w:rStyle w:val="IndexLink"/>
                <w:rtl w:val="true"/>
              </w:rPr>
              <w:tab/>
            </w:r>
            <w:r>
              <w:rPr>
                <w:rStyle w:val="IndexLink"/>
              </w:rPr>
              <w:t>115</w:t>
            </w:r>
          </w:hyperlink>
        </w:p>
        <w:p>
          <w:pPr>
            <w:pStyle w:val="Contents4"/>
            <w:tabs>
              <w:tab w:val="clear" w:pos="8176"/>
              <w:tab w:val="right" w:pos="9026" w:leader="dot"/>
            </w:tabs>
            <w:rPr/>
          </w:pPr>
          <w:hyperlink w:anchor="__RefHeading___Toc5145743_73709187">
            <w:r>
              <w:rPr>
                <w:webHidden/>
                <w:rStyle w:val="IndexLink"/>
                <w:rtl w:val="true"/>
              </w:rPr>
              <w:t>الأمر الثانی</w:t>
            </w:r>
            <w:r>
              <w:rPr>
                <w:rStyle w:val="IndexLink"/>
                <w:rtl w:val="true"/>
              </w:rPr>
              <w:t xml:space="preserve">: </w:t>
            </w:r>
            <w:r>
              <w:rPr>
                <w:rStyle w:val="IndexLink"/>
                <w:rtl w:val="true"/>
              </w:rPr>
              <w:t>معنی الاقتضاء فی عنوان المسألة</w:t>
            </w:r>
            <w:r>
              <w:rPr>
                <w:rStyle w:val="IndexLink"/>
                <w:rtl w:val="true"/>
              </w:rPr>
              <w:tab/>
            </w:r>
            <w:r>
              <w:rPr>
                <w:rStyle w:val="IndexLink"/>
              </w:rPr>
              <w:t>116</w:t>
            </w:r>
          </w:hyperlink>
        </w:p>
        <w:p>
          <w:pPr>
            <w:pStyle w:val="Contents4"/>
            <w:tabs>
              <w:tab w:val="clear" w:pos="8176"/>
              <w:tab w:val="right" w:pos="9026" w:leader="dot"/>
            </w:tabs>
            <w:rPr/>
          </w:pPr>
          <w:hyperlink w:anchor="__RefHeading___Toc5145745_73709187">
            <w:r>
              <w:rPr>
                <w:webHidden/>
                <w:rStyle w:val="IndexLink"/>
                <w:rtl w:val="true"/>
              </w:rPr>
              <w:t>الأمر الثالث</w:t>
            </w:r>
            <w:r>
              <w:rPr>
                <w:rStyle w:val="IndexLink"/>
                <w:rtl w:val="true"/>
              </w:rPr>
              <w:t xml:space="preserve">: </w:t>
            </w:r>
            <w:r>
              <w:rPr>
                <w:rStyle w:val="IndexLink"/>
                <w:rtl w:val="true"/>
              </w:rPr>
              <w:t>المهمّ من الأقوال فی المسألة</w:t>
            </w:r>
            <w:r>
              <w:rPr>
                <w:rStyle w:val="IndexLink"/>
                <w:rtl w:val="true"/>
              </w:rPr>
              <w:tab/>
            </w:r>
            <w:r>
              <w:rPr>
                <w:rStyle w:val="IndexLink"/>
              </w:rPr>
              <w:t>117</w:t>
            </w:r>
          </w:hyperlink>
        </w:p>
        <w:p>
          <w:pPr>
            <w:pStyle w:val="Contents5"/>
            <w:tabs>
              <w:tab w:val="clear" w:pos="7892"/>
              <w:tab w:val="right" w:pos="9026" w:leader="dot"/>
            </w:tabs>
            <w:rPr/>
          </w:pPr>
          <w:hyperlink w:anchor="__RefHeading___Toc5145747_73709187">
            <w:r>
              <w:rPr>
                <w:webHidden/>
                <w:rStyle w:val="IndexLink"/>
                <w:rtl w:val="true"/>
              </w:rPr>
              <w:t>اشارة</w:t>
            </w:r>
            <w:r>
              <w:rPr>
                <w:rStyle w:val="IndexLink"/>
                <w:rtl w:val="true"/>
              </w:rPr>
              <w:tab/>
            </w:r>
            <w:r>
              <w:rPr>
                <w:rStyle w:val="IndexLink"/>
              </w:rPr>
              <w:t>117</w:t>
            </w:r>
          </w:hyperlink>
        </w:p>
        <w:p>
          <w:pPr>
            <w:pStyle w:val="Contents5"/>
            <w:tabs>
              <w:tab w:val="clear" w:pos="7892"/>
              <w:tab w:val="right" w:pos="9026" w:leader="dot"/>
            </w:tabs>
            <w:rPr/>
          </w:pPr>
          <w:hyperlink w:anchor="__RefHeading___Toc5145749_73709187">
            <w:r>
              <w:rPr>
                <w:webHidden/>
                <w:rStyle w:val="IndexLink"/>
                <w:rtl w:val="true"/>
              </w:rPr>
              <w:t>الاستدلال علی الاقتضاء فی الضدّ الخاصّ من طریق المقدّمیّة</w:t>
            </w:r>
            <w:r>
              <w:rPr>
                <w:rStyle w:val="IndexLink"/>
                <w:rtl w:val="true"/>
              </w:rPr>
              <w:tab/>
            </w:r>
            <w:r>
              <w:rPr>
                <w:rStyle w:val="IndexLink"/>
              </w:rPr>
              <w:t>117</w:t>
            </w:r>
          </w:hyperlink>
        </w:p>
        <w:p>
          <w:pPr>
            <w:pStyle w:val="Contents5"/>
            <w:tabs>
              <w:tab w:val="clear" w:pos="7892"/>
              <w:tab w:val="right" w:pos="9026" w:leader="dot"/>
            </w:tabs>
            <w:rPr/>
          </w:pPr>
          <w:hyperlink w:anchor="__RefHeading___Toc5145751_73709187">
            <w:r>
              <w:rPr>
                <w:webHidden/>
                <w:rStyle w:val="IndexLink"/>
                <w:rtl w:val="true"/>
              </w:rPr>
              <w:t>إنکار المحقّق الخراسانی المقدّمیّة مطلقاً</w:t>
            </w:r>
            <w:r>
              <w:rPr>
                <w:rStyle w:val="IndexLink"/>
                <w:rtl w:val="true"/>
              </w:rPr>
              <w:tab/>
            </w:r>
            <w:r>
              <w:rPr>
                <w:rStyle w:val="IndexLink"/>
              </w:rPr>
              <w:t>118</w:t>
            </w:r>
          </w:hyperlink>
        </w:p>
        <w:p>
          <w:pPr>
            <w:pStyle w:val="Contents5"/>
            <w:tabs>
              <w:tab w:val="clear" w:pos="7892"/>
              <w:tab w:val="right" w:pos="9026" w:leader="dot"/>
            </w:tabs>
            <w:rPr/>
          </w:pPr>
          <w:hyperlink w:anchor="__RefHeading___Toc5145753_73709187">
            <w:r>
              <w:rPr>
                <w:webHidden/>
                <w:rStyle w:val="IndexLink"/>
                <w:rtl w:val="true"/>
              </w:rPr>
              <w:t>ما أفاده المحقّق القوچانی فی المقام</w:t>
            </w:r>
            <w:r>
              <w:rPr>
                <w:rStyle w:val="IndexLink"/>
                <w:rtl w:val="true"/>
              </w:rPr>
              <w:tab/>
            </w:r>
            <w:r>
              <w:rPr>
                <w:rStyle w:val="IndexLink"/>
              </w:rPr>
              <w:t>120</w:t>
            </w:r>
          </w:hyperlink>
        </w:p>
        <w:p>
          <w:pPr>
            <w:pStyle w:val="Contents5"/>
            <w:tabs>
              <w:tab w:val="clear" w:pos="7892"/>
              <w:tab w:val="right" w:pos="9026" w:leader="dot"/>
            </w:tabs>
            <w:rPr/>
          </w:pPr>
          <w:hyperlink w:anchor="__RefHeading___Toc5145755_73709187">
            <w:r>
              <w:rPr>
                <w:webHidden/>
                <w:rStyle w:val="IndexLink"/>
                <w:rtl w:val="true"/>
              </w:rPr>
              <w:t>مقالة المحقّق الأصفهانی فی المقام</w:t>
            </w:r>
            <w:r>
              <w:rPr>
                <w:rStyle w:val="IndexLink"/>
                <w:rtl w:val="true"/>
              </w:rPr>
              <w:tab/>
            </w:r>
            <w:r>
              <w:rPr>
                <w:rStyle w:val="IndexLink"/>
              </w:rPr>
              <w:t>123</w:t>
            </w:r>
          </w:hyperlink>
        </w:p>
        <w:p>
          <w:pPr>
            <w:pStyle w:val="Contents5"/>
            <w:tabs>
              <w:tab w:val="clear" w:pos="7892"/>
              <w:tab w:val="right" w:pos="9026" w:leader="dot"/>
            </w:tabs>
            <w:rPr/>
          </w:pPr>
          <w:hyperlink w:anchor="__RefHeading___Toc5145757_73709187">
            <w:r>
              <w:rPr>
                <w:webHidden/>
                <w:rStyle w:val="IndexLink"/>
                <w:rtl w:val="true"/>
              </w:rPr>
              <w:t>الاستدلال علی الاقتضاء فی الضدّ الخاصّ من طریق التلازم</w:t>
            </w:r>
            <w:r>
              <w:rPr>
                <w:rStyle w:val="IndexLink"/>
                <w:rtl w:val="true"/>
              </w:rPr>
              <w:tab/>
            </w:r>
            <w:r>
              <w:rPr>
                <w:rStyle w:val="IndexLink"/>
              </w:rPr>
              <w:t>127</w:t>
            </w:r>
          </w:hyperlink>
        </w:p>
        <w:p>
          <w:pPr>
            <w:pStyle w:val="Contents4"/>
            <w:tabs>
              <w:tab w:val="clear" w:pos="8176"/>
              <w:tab w:val="right" w:pos="9026" w:leader="dot"/>
            </w:tabs>
            <w:rPr/>
          </w:pPr>
          <w:hyperlink w:anchor="__RefHeading___Toc5145759_73709187">
            <w:r>
              <w:rPr>
                <w:webHidden/>
                <w:rStyle w:val="IndexLink"/>
                <w:rtl w:val="true"/>
              </w:rPr>
              <w:t>الأمر الرابع</w:t>
            </w:r>
            <w:r>
              <w:rPr>
                <w:rStyle w:val="IndexLink"/>
                <w:rtl w:val="true"/>
              </w:rPr>
              <w:t xml:space="preserve">: </w:t>
            </w:r>
            <w:r>
              <w:rPr>
                <w:rStyle w:val="IndexLink"/>
                <w:rtl w:val="true"/>
              </w:rPr>
              <w:t>فی ثمرة المسألة</w:t>
            </w:r>
            <w:r>
              <w:rPr>
                <w:rStyle w:val="IndexLink"/>
                <w:rtl w:val="true"/>
              </w:rPr>
              <w:tab/>
            </w:r>
            <w:r>
              <w:rPr>
                <w:rStyle w:val="IndexLink"/>
              </w:rPr>
              <w:t>129</w:t>
            </w:r>
          </w:hyperlink>
        </w:p>
        <w:p>
          <w:pPr>
            <w:pStyle w:val="Contents5"/>
            <w:tabs>
              <w:tab w:val="clear" w:pos="7892"/>
              <w:tab w:val="right" w:pos="9026" w:leader="dot"/>
            </w:tabs>
            <w:rPr/>
          </w:pPr>
          <w:hyperlink w:anchor="__RefHeading___Toc5145761_73709187">
            <w:r>
              <w:rPr>
                <w:webHidden/>
                <w:rStyle w:val="IndexLink"/>
                <w:rtl w:val="true"/>
              </w:rPr>
              <w:t>اشارة</w:t>
            </w:r>
            <w:r>
              <w:rPr>
                <w:rStyle w:val="IndexLink"/>
                <w:rtl w:val="true"/>
              </w:rPr>
              <w:tab/>
            </w:r>
            <w:r>
              <w:rPr>
                <w:rStyle w:val="IndexLink"/>
              </w:rPr>
              <w:t>129</w:t>
            </w:r>
          </w:hyperlink>
        </w:p>
        <w:p>
          <w:pPr>
            <w:pStyle w:val="Contents5"/>
            <w:tabs>
              <w:tab w:val="clear" w:pos="7892"/>
              <w:tab w:val="right" w:pos="9026" w:leader="dot"/>
            </w:tabs>
            <w:rPr/>
          </w:pPr>
          <w:hyperlink w:anchor="__RefHeading___Toc5145763_73709187">
            <w:r>
              <w:rPr>
                <w:webHidden/>
                <w:rStyle w:val="IndexLink"/>
                <w:rtl w:val="true"/>
              </w:rPr>
              <w:t>و اجیب عنه بوجهین</w:t>
            </w:r>
            <w:r>
              <w:rPr>
                <w:rStyle w:val="IndexLink"/>
                <w:rtl w:val="true"/>
              </w:rPr>
              <w:t>:</w:t>
              <w:tab/>
            </w:r>
            <w:r>
              <w:rPr>
                <w:rStyle w:val="IndexLink"/>
              </w:rPr>
              <w:t>131</w:t>
            </w:r>
          </w:hyperlink>
        </w:p>
        <w:p>
          <w:pPr>
            <w:pStyle w:val="Contents5"/>
            <w:tabs>
              <w:tab w:val="clear" w:pos="7892"/>
              <w:tab w:val="right" w:pos="9026" w:leader="dot"/>
            </w:tabs>
            <w:rPr/>
          </w:pPr>
          <w:hyperlink w:anchor="__RefHeading___Toc5145765_73709187">
            <w:r>
              <w:rPr>
                <w:webHidden/>
                <w:rStyle w:val="IndexLink"/>
                <w:rtl w:val="true"/>
              </w:rPr>
              <w:t>جواب آخر علی مسلک الترتّب</w:t>
            </w:r>
            <w:r>
              <w:rPr>
                <w:rStyle w:val="IndexLink"/>
                <w:rtl w:val="true"/>
              </w:rPr>
              <w:tab/>
            </w:r>
            <w:r>
              <w:rPr>
                <w:rStyle w:val="IndexLink"/>
              </w:rPr>
              <w:t>131</w:t>
            </w:r>
          </w:hyperlink>
        </w:p>
        <w:p>
          <w:pPr>
            <w:pStyle w:val="Contents5"/>
            <w:tabs>
              <w:tab w:val="clear" w:pos="7892"/>
              <w:tab w:val="right" w:pos="9026" w:leader="dot"/>
            </w:tabs>
            <w:rPr/>
          </w:pPr>
          <w:hyperlink w:anchor="__RefHeading___Toc5145767_73709187">
            <w:r>
              <w:rPr>
                <w:webHidden/>
                <w:rStyle w:val="IndexLink"/>
                <w:rtl w:val="true"/>
              </w:rPr>
              <w:t>تحقیق فی الجواب علی مسلک الخطابات القانونیّة</w:t>
            </w:r>
            <w:r>
              <w:rPr>
                <w:rStyle w:val="IndexLink"/>
                <w:rtl w:val="true"/>
              </w:rPr>
              <w:tab/>
            </w:r>
            <w:r>
              <w:rPr>
                <w:rStyle w:val="IndexLink"/>
              </w:rPr>
              <w:t>133</w:t>
            </w:r>
          </w:hyperlink>
        </w:p>
        <w:p>
          <w:pPr>
            <w:pStyle w:val="Contents5"/>
            <w:tabs>
              <w:tab w:val="clear" w:pos="7892"/>
              <w:tab w:val="right" w:pos="9026" w:leader="dot"/>
            </w:tabs>
            <w:rPr/>
          </w:pPr>
          <w:hyperlink w:anchor="__RefHeading___Toc5145769_73709187">
            <w:r>
              <w:rPr>
                <w:webHidden/>
                <w:rStyle w:val="IndexLink"/>
                <w:rtl w:val="true"/>
              </w:rPr>
              <w:t>تحقیق فی الترتّب</w:t>
            </w:r>
            <w:r>
              <w:rPr>
                <w:rStyle w:val="IndexLink"/>
                <w:rtl w:val="true"/>
              </w:rPr>
              <w:tab/>
            </w:r>
            <w:r>
              <w:rPr>
                <w:rStyle w:val="IndexLink"/>
              </w:rPr>
              <w:t>139</w:t>
            </w:r>
          </w:hyperlink>
        </w:p>
        <w:p>
          <w:pPr>
            <w:pStyle w:val="Contents5"/>
            <w:tabs>
              <w:tab w:val="clear" w:pos="7892"/>
              <w:tab w:val="right" w:pos="9026" w:leader="dot"/>
            </w:tabs>
            <w:rPr/>
          </w:pPr>
          <w:hyperlink w:anchor="__RefHeading___Toc5145771_73709187">
            <w:r>
              <w:rPr>
                <w:webHidden/>
                <w:rStyle w:val="IndexLink"/>
                <w:rtl w:val="true"/>
              </w:rPr>
              <w:t>حول أمثلة الترتّب</w:t>
            </w:r>
            <w:r>
              <w:rPr>
                <w:rStyle w:val="IndexLink"/>
                <w:rtl w:val="true"/>
              </w:rPr>
              <w:tab/>
            </w:r>
            <w:r>
              <w:rPr>
                <w:rStyle w:val="IndexLink"/>
              </w:rPr>
              <w:t>145</w:t>
            </w:r>
          </w:hyperlink>
        </w:p>
        <w:p>
          <w:pPr>
            <w:pStyle w:val="Contents3"/>
            <w:tabs>
              <w:tab w:val="clear" w:pos="8459"/>
              <w:tab w:val="right" w:pos="9026" w:leader="dot"/>
            </w:tabs>
            <w:rPr/>
          </w:pPr>
          <w:hyperlink w:anchor="__RefHeading___Toc5145773_73709187">
            <w:r>
              <w:rPr>
                <w:webHidden/>
                <w:rStyle w:val="IndexLink"/>
                <w:rtl w:val="true"/>
              </w:rPr>
              <w:t>الفصل السادس فی جواز الأمر مع العلم بانتفاء شرطه</w:t>
            </w:r>
            <w:r>
              <w:rPr>
                <w:rStyle w:val="IndexLink"/>
                <w:rtl w:val="true"/>
              </w:rPr>
              <w:tab/>
            </w:r>
            <w:r>
              <w:rPr>
                <w:rStyle w:val="IndexLink"/>
              </w:rPr>
              <w:t>147</w:t>
            </w:r>
          </w:hyperlink>
        </w:p>
        <w:p>
          <w:pPr>
            <w:pStyle w:val="Contents3"/>
            <w:tabs>
              <w:tab w:val="clear" w:pos="8459"/>
              <w:tab w:val="right" w:pos="9026" w:leader="dot"/>
            </w:tabs>
            <w:rPr/>
          </w:pPr>
          <w:hyperlink w:anchor="__RefHeading___Toc5145775_73709187">
            <w:r>
              <w:rPr>
                <w:webHidden/>
                <w:rStyle w:val="IndexLink"/>
                <w:rtl w:val="true"/>
              </w:rPr>
              <w:t>الفصل السابع فی أنّ متعلّق الطلب هل هی الطبیعة أو الأفراد؟</w:t>
            </w:r>
            <w:r>
              <w:rPr>
                <w:rStyle w:val="IndexLink"/>
                <w:rtl w:val="true"/>
              </w:rPr>
              <w:tab/>
            </w:r>
            <w:r>
              <w:rPr>
                <w:rStyle w:val="IndexLink"/>
              </w:rPr>
              <w:t>150</w:t>
            </w:r>
          </w:hyperlink>
        </w:p>
        <w:p>
          <w:pPr>
            <w:pStyle w:val="Contents3"/>
            <w:tabs>
              <w:tab w:val="clear" w:pos="8459"/>
              <w:tab w:val="right" w:pos="9026" w:leader="dot"/>
            </w:tabs>
            <w:rPr/>
          </w:pPr>
          <w:hyperlink w:anchor="__RefHeading___Toc5145777_73709187">
            <w:r>
              <w:rPr>
                <w:webHidden/>
                <w:rStyle w:val="IndexLink"/>
                <w:rtl w:val="true"/>
              </w:rPr>
              <w:t>الفصل الثامن فی بقاء الجواز بعد نسخ الوجوب</w:t>
            </w:r>
            <w:r>
              <w:rPr>
                <w:rStyle w:val="IndexLink"/>
                <w:rtl w:val="true"/>
              </w:rPr>
              <w:tab/>
            </w:r>
            <w:r>
              <w:rPr>
                <w:rStyle w:val="IndexLink"/>
              </w:rPr>
              <w:t>154</w:t>
            </w:r>
          </w:hyperlink>
        </w:p>
        <w:p>
          <w:pPr>
            <w:pStyle w:val="Contents4"/>
            <w:tabs>
              <w:tab w:val="clear" w:pos="8176"/>
              <w:tab w:val="right" w:pos="9026" w:leader="dot"/>
            </w:tabs>
            <w:rPr/>
          </w:pPr>
          <w:hyperlink w:anchor="__RefHeading___Toc5145779_73709187">
            <w:r>
              <w:rPr>
                <w:webHidden/>
                <w:rStyle w:val="IndexLink"/>
                <w:rtl w:val="true"/>
              </w:rPr>
              <w:t>اشارة</w:t>
            </w:r>
            <w:r>
              <w:rPr>
                <w:rStyle w:val="IndexLink"/>
                <w:rtl w:val="true"/>
              </w:rPr>
              <w:tab/>
            </w:r>
            <w:r>
              <w:rPr>
                <w:rStyle w:val="IndexLink"/>
              </w:rPr>
              <w:t>154</w:t>
            </w:r>
          </w:hyperlink>
        </w:p>
        <w:p>
          <w:pPr>
            <w:pStyle w:val="Contents4"/>
            <w:tabs>
              <w:tab w:val="clear" w:pos="8176"/>
              <w:tab w:val="right" w:pos="9026" w:leader="dot"/>
            </w:tabs>
            <w:rPr/>
          </w:pPr>
          <w:hyperlink w:anchor="__RefHeading___Toc5145781_73709187">
            <w:r>
              <w:rPr>
                <w:webHidden/>
                <w:rStyle w:val="IndexLink"/>
                <w:rtl w:val="true"/>
              </w:rPr>
              <w:t>الأمر الأوّل</w:t>
            </w:r>
            <w:r>
              <w:rPr>
                <w:rStyle w:val="IndexLink"/>
                <w:rtl w:val="true"/>
              </w:rPr>
              <w:t xml:space="preserve">: </w:t>
            </w:r>
            <w:r>
              <w:rPr>
                <w:rStyle w:val="IndexLink"/>
                <w:rtl w:val="true"/>
              </w:rPr>
              <w:t>فی إمکان بقاء الجواز</w:t>
            </w:r>
            <w:r>
              <w:rPr>
                <w:rStyle w:val="IndexLink"/>
                <w:rtl w:val="true"/>
              </w:rPr>
              <w:tab/>
            </w:r>
            <w:r>
              <w:rPr>
                <w:rStyle w:val="IndexLink"/>
              </w:rPr>
              <w:t>154</w:t>
            </w:r>
          </w:hyperlink>
        </w:p>
        <w:p>
          <w:pPr>
            <w:pStyle w:val="Contents4"/>
            <w:tabs>
              <w:tab w:val="clear" w:pos="8176"/>
              <w:tab w:val="right" w:pos="9026" w:leader="dot"/>
            </w:tabs>
            <w:rPr/>
          </w:pPr>
          <w:hyperlink w:anchor="__RefHeading___Toc5145783_73709187">
            <w:r>
              <w:rPr>
                <w:webHidden/>
                <w:rStyle w:val="IndexLink"/>
                <w:rtl w:val="true"/>
              </w:rPr>
              <w:t>الأمر الثانی</w:t>
            </w:r>
            <w:r>
              <w:rPr>
                <w:rStyle w:val="IndexLink"/>
                <w:rtl w:val="true"/>
              </w:rPr>
              <w:t xml:space="preserve">: </w:t>
            </w:r>
            <w:r>
              <w:rPr>
                <w:rStyle w:val="IndexLink"/>
                <w:rtl w:val="true"/>
              </w:rPr>
              <w:t>فی مقتضی الأدلّة إثباتاً بعد فرض إمکانه</w:t>
            </w:r>
            <w:r>
              <w:rPr>
                <w:rStyle w:val="IndexLink"/>
                <w:rtl w:val="true"/>
              </w:rPr>
              <w:tab/>
            </w:r>
            <w:r>
              <w:rPr>
                <w:rStyle w:val="IndexLink"/>
              </w:rPr>
              <w:t>155</w:t>
            </w:r>
          </w:hyperlink>
        </w:p>
        <w:p>
          <w:pPr>
            <w:pStyle w:val="Contents4"/>
            <w:tabs>
              <w:tab w:val="clear" w:pos="8176"/>
              <w:tab w:val="right" w:pos="9026" w:leader="dot"/>
            </w:tabs>
            <w:rPr/>
          </w:pPr>
          <w:hyperlink w:anchor="__RefHeading___Toc5145785_73709187">
            <w:r>
              <w:rPr>
                <w:webHidden/>
                <w:rStyle w:val="IndexLink"/>
                <w:rtl w:val="true"/>
              </w:rPr>
              <w:t>الأمر الثالث</w:t>
            </w:r>
            <w:r>
              <w:rPr>
                <w:rStyle w:val="IndexLink"/>
                <w:rtl w:val="true"/>
              </w:rPr>
              <w:t xml:space="preserve">: </w:t>
            </w:r>
            <w:r>
              <w:rPr>
                <w:rStyle w:val="IndexLink"/>
                <w:rtl w:val="true"/>
              </w:rPr>
              <w:t>فی استصحاب الجواز عند الشکّ فی بقائه</w:t>
            </w:r>
            <w:r>
              <w:rPr>
                <w:rStyle w:val="IndexLink"/>
                <w:rtl w:val="true"/>
              </w:rPr>
              <w:tab/>
            </w:r>
            <w:r>
              <w:rPr>
                <w:rStyle w:val="IndexLink"/>
              </w:rPr>
              <w:t>156</w:t>
            </w:r>
          </w:hyperlink>
        </w:p>
        <w:p>
          <w:pPr>
            <w:pStyle w:val="Contents3"/>
            <w:tabs>
              <w:tab w:val="clear" w:pos="8459"/>
              <w:tab w:val="right" w:pos="9026" w:leader="dot"/>
            </w:tabs>
            <w:rPr/>
          </w:pPr>
          <w:hyperlink w:anchor="__RefHeading___Toc5145787_73709187">
            <w:r>
              <w:rPr>
                <w:webHidden/>
                <w:rStyle w:val="IndexLink"/>
                <w:rtl w:val="true"/>
              </w:rPr>
              <w:t>الفصل التاسع فی الواجب التعیینی و التخییری</w:t>
            </w:r>
            <w:r>
              <w:rPr>
                <w:rStyle w:val="IndexLink"/>
                <w:rtl w:val="true"/>
              </w:rPr>
              <w:tab/>
            </w:r>
            <w:r>
              <w:rPr>
                <w:rStyle w:val="IndexLink"/>
              </w:rPr>
              <w:t>158</w:t>
            </w:r>
          </w:hyperlink>
        </w:p>
        <w:p>
          <w:pPr>
            <w:pStyle w:val="Contents4"/>
            <w:tabs>
              <w:tab w:val="clear" w:pos="8176"/>
              <w:tab w:val="right" w:pos="9026" w:leader="dot"/>
            </w:tabs>
            <w:rPr/>
          </w:pPr>
          <w:hyperlink w:anchor="__RefHeading___Toc5145789_73709187">
            <w:r>
              <w:rPr>
                <w:webHidden/>
                <w:rStyle w:val="IndexLink"/>
                <w:rtl w:val="true"/>
              </w:rPr>
              <w:t>اشارة</w:t>
            </w:r>
            <w:r>
              <w:rPr>
                <w:rStyle w:val="IndexLink"/>
                <w:rtl w:val="true"/>
              </w:rPr>
              <w:tab/>
            </w:r>
            <w:r>
              <w:rPr>
                <w:rStyle w:val="IndexLink"/>
              </w:rPr>
              <w:t>158</w:t>
            </w:r>
          </w:hyperlink>
        </w:p>
        <w:p>
          <w:pPr>
            <w:pStyle w:val="Contents4"/>
            <w:tabs>
              <w:tab w:val="clear" w:pos="8176"/>
              <w:tab w:val="right" w:pos="9026" w:leader="dot"/>
            </w:tabs>
            <w:rPr/>
          </w:pPr>
          <w:hyperlink w:anchor="__RefHeading___Toc5145791_73709187">
            <w:r>
              <w:rPr>
                <w:webHidden/>
                <w:rStyle w:val="IndexLink"/>
                <w:rtl w:val="true"/>
              </w:rPr>
              <w:t>تذنیب</w:t>
            </w:r>
            <w:r>
              <w:rPr>
                <w:rStyle w:val="IndexLink"/>
                <w:rtl w:val="true"/>
              </w:rPr>
              <w:t xml:space="preserve">: </w:t>
            </w:r>
            <w:r>
              <w:rPr>
                <w:rStyle w:val="IndexLink"/>
                <w:rtl w:val="true"/>
              </w:rPr>
              <w:t>التخییر بین الأقلّ و الأکثر</w:t>
            </w:r>
            <w:r>
              <w:rPr>
                <w:rStyle w:val="IndexLink"/>
                <w:rtl w:val="true"/>
              </w:rPr>
              <w:tab/>
            </w:r>
            <w:r>
              <w:rPr>
                <w:rStyle w:val="IndexLink"/>
              </w:rPr>
              <w:t>161</w:t>
            </w:r>
          </w:hyperlink>
        </w:p>
        <w:p>
          <w:pPr>
            <w:pStyle w:val="Contents3"/>
            <w:tabs>
              <w:tab w:val="clear" w:pos="8459"/>
              <w:tab w:val="right" w:pos="9026" w:leader="dot"/>
            </w:tabs>
            <w:rPr/>
          </w:pPr>
          <w:hyperlink w:anchor="__RefHeading___Toc5145793_73709187">
            <w:r>
              <w:rPr>
                <w:webHidden/>
                <w:rStyle w:val="IndexLink"/>
                <w:rtl w:val="true"/>
              </w:rPr>
              <w:t>الفصل العاشر فی الواجب العینی و الکفائی</w:t>
            </w:r>
            <w:r>
              <w:rPr>
                <w:rStyle w:val="IndexLink"/>
                <w:rtl w:val="true"/>
              </w:rPr>
              <w:tab/>
            </w:r>
            <w:r>
              <w:rPr>
                <w:rStyle w:val="IndexLink"/>
              </w:rPr>
              <w:t>163</w:t>
            </w:r>
          </w:hyperlink>
        </w:p>
        <w:p>
          <w:pPr>
            <w:pStyle w:val="Contents4"/>
            <w:tabs>
              <w:tab w:val="clear" w:pos="8176"/>
              <w:tab w:val="right" w:pos="9026" w:leader="dot"/>
            </w:tabs>
            <w:rPr/>
          </w:pPr>
          <w:hyperlink w:anchor="__RefHeading___Toc5145795_73709187">
            <w:r>
              <w:rPr>
                <w:webHidden/>
                <w:rStyle w:val="IndexLink"/>
                <w:rtl w:val="true"/>
              </w:rPr>
              <w:t>اشارة</w:t>
            </w:r>
            <w:r>
              <w:rPr>
                <w:rStyle w:val="IndexLink"/>
                <w:rtl w:val="true"/>
              </w:rPr>
              <w:tab/>
            </w:r>
            <w:r>
              <w:rPr>
                <w:rStyle w:val="IndexLink"/>
              </w:rPr>
              <w:t>163</w:t>
            </w:r>
          </w:hyperlink>
        </w:p>
        <w:p>
          <w:pPr>
            <w:pStyle w:val="Contents4"/>
            <w:tabs>
              <w:tab w:val="clear" w:pos="8176"/>
              <w:tab w:val="right" w:pos="9026" w:leader="dot"/>
            </w:tabs>
            <w:rPr/>
          </w:pPr>
          <w:hyperlink w:anchor="__RefHeading___Toc5145797_73709187">
            <w:r>
              <w:rPr>
                <w:webHidden/>
                <w:rStyle w:val="IndexLink"/>
                <w:rtl w:val="true"/>
              </w:rPr>
              <w:t>أقسام الواجب الکفائی</w:t>
            </w:r>
            <w:r>
              <w:rPr>
                <w:rStyle w:val="IndexLink"/>
                <w:rtl w:val="true"/>
              </w:rPr>
              <w:tab/>
            </w:r>
            <w:r>
              <w:rPr>
                <w:rStyle w:val="IndexLink"/>
              </w:rPr>
              <w:t>165</w:t>
            </w:r>
          </w:hyperlink>
        </w:p>
        <w:p>
          <w:pPr>
            <w:pStyle w:val="Contents2"/>
            <w:tabs>
              <w:tab w:val="clear" w:pos="8743"/>
              <w:tab w:val="right" w:pos="9026" w:leader="dot"/>
            </w:tabs>
            <w:rPr/>
          </w:pPr>
          <w:hyperlink w:anchor="__RefHeading___Toc5145799_73709187">
            <w:r>
              <w:rPr>
                <w:webHidden/>
                <w:rStyle w:val="IndexLink"/>
                <w:rtl w:val="true"/>
              </w:rPr>
              <w:t>المقصد الثانی فی النواهی</w:t>
            </w:r>
            <w:r>
              <w:rPr>
                <w:rStyle w:val="IndexLink"/>
                <w:rtl w:val="true"/>
              </w:rPr>
              <w:tab/>
            </w:r>
            <w:r>
              <w:rPr>
                <w:rStyle w:val="IndexLink"/>
              </w:rPr>
              <w:t>167</w:t>
            </w:r>
          </w:hyperlink>
        </w:p>
        <w:p>
          <w:pPr>
            <w:pStyle w:val="Contents3"/>
            <w:tabs>
              <w:tab w:val="clear" w:pos="8459"/>
              <w:tab w:val="right" w:pos="9026" w:leader="dot"/>
            </w:tabs>
            <w:rPr/>
          </w:pPr>
          <w:hyperlink w:anchor="__RefHeading___Toc5145801_73709187">
            <w:r>
              <w:rPr>
                <w:webHidden/>
                <w:rStyle w:val="IndexLink"/>
                <w:rtl w:val="true"/>
              </w:rPr>
              <w:t>اشارة</w:t>
            </w:r>
            <w:r>
              <w:rPr>
                <w:rStyle w:val="IndexLink"/>
                <w:rtl w:val="true"/>
              </w:rPr>
              <w:tab/>
            </w:r>
            <w:r>
              <w:rPr>
                <w:rStyle w:val="IndexLink"/>
              </w:rPr>
              <w:t>167</w:t>
            </w:r>
          </w:hyperlink>
        </w:p>
        <w:p>
          <w:pPr>
            <w:pStyle w:val="Contents3"/>
            <w:tabs>
              <w:tab w:val="clear" w:pos="8459"/>
              <w:tab w:val="right" w:pos="9026" w:leader="dot"/>
            </w:tabs>
            <w:rPr/>
          </w:pPr>
          <w:hyperlink w:anchor="__RefHeading___Toc5145803_73709187">
            <w:r>
              <w:rPr>
                <w:webHidden/>
                <w:rStyle w:val="IndexLink"/>
                <w:rtl w:val="true"/>
              </w:rPr>
              <w:t>الفصل الأوّل فی صیغة النهی</w:t>
            </w:r>
            <w:r>
              <w:rPr>
                <w:rStyle w:val="IndexLink"/>
                <w:rtl w:val="true"/>
              </w:rPr>
              <w:tab/>
            </w:r>
            <w:r>
              <w:rPr>
                <w:rStyle w:val="IndexLink"/>
              </w:rPr>
              <w:t>168</w:t>
            </w:r>
          </w:hyperlink>
        </w:p>
        <w:p>
          <w:pPr>
            <w:pStyle w:val="Contents4"/>
            <w:tabs>
              <w:tab w:val="clear" w:pos="8176"/>
              <w:tab w:val="right" w:pos="9026" w:leader="dot"/>
            </w:tabs>
            <w:rPr/>
          </w:pPr>
          <w:hyperlink w:anchor="__RefHeading___Toc5145805_73709187">
            <w:r>
              <w:rPr>
                <w:webHidden/>
                <w:rStyle w:val="IndexLink"/>
                <w:rtl w:val="true"/>
              </w:rPr>
              <w:t>اشارة</w:t>
            </w:r>
            <w:r>
              <w:rPr>
                <w:rStyle w:val="IndexLink"/>
                <w:rtl w:val="true"/>
              </w:rPr>
              <w:tab/>
            </w:r>
            <w:r>
              <w:rPr>
                <w:rStyle w:val="IndexLink"/>
              </w:rPr>
              <w:t>168</w:t>
            </w:r>
          </w:hyperlink>
        </w:p>
        <w:p>
          <w:pPr>
            <w:pStyle w:val="Contents4"/>
            <w:tabs>
              <w:tab w:val="clear" w:pos="8176"/>
              <w:tab w:val="right" w:pos="9026" w:leader="dot"/>
            </w:tabs>
            <w:rPr/>
          </w:pPr>
          <w:hyperlink w:anchor="__RefHeading___Toc5145807_73709187">
            <w:r>
              <w:rPr>
                <w:webHidden/>
                <w:rStyle w:val="IndexLink"/>
                <w:rtl w:val="true"/>
              </w:rPr>
              <w:t>فی منشأ الفرق بین مُرادَی الأمر و النهی</w:t>
            </w:r>
            <w:r>
              <w:rPr>
                <w:rStyle w:val="IndexLink"/>
                <w:rtl w:val="true"/>
              </w:rPr>
              <w:tab/>
            </w:r>
            <w:r>
              <w:rPr>
                <w:rStyle w:val="IndexLink"/>
              </w:rPr>
              <w:t>169</w:t>
            </w:r>
          </w:hyperlink>
        </w:p>
        <w:p>
          <w:pPr>
            <w:pStyle w:val="Contents3"/>
            <w:tabs>
              <w:tab w:val="clear" w:pos="8459"/>
              <w:tab w:val="right" w:pos="9026" w:leader="dot"/>
            </w:tabs>
            <w:rPr/>
          </w:pPr>
          <w:hyperlink w:anchor="__RefHeading___Toc5145809_73709187">
            <w:r>
              <w:rPr>
                <w:webHidden/>
                <w:rStyle w:val="IndexLink"/>
                <w:rtl w:val="true"/>
              </w:rPr>
              <w:t>الفصل الثانی فی اجتماع الأمر و النهی</w:t>
            </w:r>
            <w:r>
              <w:rPr>
                <w:rStyle w:val="IndexLink"/>
                <w:rtl w:val="true"/>
              </w:rPr>
              <w:tab/>
            </w:r>
            <w:r>
              <w:rPr>
                <w:rStyle w:val="IndexLink"/>
              </w:rPr>
              <w:t>172</w:t>
            </w:r>
          </w:hyperlink>
        </w:p>
        <w:p>
          <w:pPr>
            <w:pStyle w:val="Contents4"/>
            <w:tabs>
              <w:tab w:val="clear" w:pos="8176"/>
              <w:tab w:val="right" w:pos="9026" w:leader="dot"/>
            </w:tabs>
            <w:rPr/>
          </w:pPr>
          <w:hyperlink w:anchor="__RefHeading___Toc5145811_73709187">
            <w:r>
              <w:rPr>
                <w:webHidden/>
                <w:rStyle w:val="IndexLink"/>
                <w:rtl w:val="true"/>
              </w:rPr>
              <w:t>و قبل الخوض فی ذکر أدلّة الطرفین و بیان أدلّة المختار لا بدّ من تقدیم امور</w:t>
            </w:r>
            <w:r>
              <w:rPr>
                <w:rStyle w:val="IndexLink"/>
                <w:rtl w:val="true"/>
              </w:rPr>
              <w:t>:</w:t>
              <w:tab/>
            </w:r>
            <w:r>
              <w:rPr>
                <w:rStyle w:val="IndexLink"/>
              </w:rPr>
              <w:t>172</w:t>
            </w:r>
          </w:hyperlink>
        </w:p>
        <w:p>
          <w:pPr>
            <w:pStyle w:val="Contents5"/>
            <w:tabs>
              <w:tab w:val="clear" w:pos="7892"/>
              <w:tab w:val="right" w:pos="9026" w:leader="dot"/>
            </w:tabs>
            <w:rPr/>
          </w:pPr>
          <w:hyperlink w:anchor="__RefHeading___Toc5145813_73709187">
            <w:r>
              <w:rPr>
                <w:webHidden/>
                <w:rStyle w:val="IndexLink"/>
                <w:rtl w:val="true"/>
              </w:rPr>
              <w:t>الأمر الأوّل</w:t>
            </w:r>
            <w:r>
              <w:rPr>
                <w:rStyle w:val="IndexLink"/>
                <w:rtl w:val="true"/>
              </w:rPr>
              <w:t xml:space="preserve">: </w:t>
            </w:r>
            <w:r>
              <w:rPr>
                <w:rStyle w:val="IndexLink"/>
                <w:rtl w:val="true"/>
              </w:rPr>
              <w:t>فی عنوان المسألة و تحریر مصبّ النزاع</w:t>
            </w:r>
            <w:r>
              <w:rPr>
                <w:rStyle w:val="IndexLink"/>
                <w:rtl w:val="true"/>
              </w:rPr>
              <w:tab/>
            </w:r>
            <w:r>
              <w:rPr>
                <w:rStyle w:val="IndexLink"/>
              </w:rPr>
              <w:t>172</w:t>
            </w:r>
          </w:hyperlink>
        </w:p>
        <w:p>
          <w:pPr>
            <w:pStyle w:val="Contents5"/>
            <w:tabs>
              <w:tab w:val="clear" w:pos="7892"/>
              <w:tab w:val="right" w:pos="9026" w:leader="dot"/>
            </w:tabs>
            <w:rPr/>
          </w:pPr>
          <w:hyperlink w:anchor="__RefHeading___Toc5145815_73709187">
            <w:r>
              <w:rPr>
                <w:webHidden/>
                <w:rStyle w:val="IndexLink"/>
                <w:rtl w:val="true"/>
              </w:rPr>
              <w:t>الأمر الثانی</w:t>
            </w:r>
            <w:r>
              <w:rPr>
                <w:rStyle w:val="IndexLink"/>
                <w:rtl w:val="true"/>
              </w:rPr>
              <w:t xml:space="preserve">: </w:t>
            </w:r>
            <w:r>
              <w:rPr>
                <w:rStyle w:val="IndexLink"/>
                <w:rtl w:val="true"/>
              </w:rPr>
              <w:t>فی الفرق بین هذه المسألة و مسألة النهی عن العبادة</w:t>
            </w:r>
            <w:r>
              <w:rPr>
                <w:rStyle w:val="IndexLink"/>
                <w:rtl w:val="true"/>
              </w:rPr>
              <w:tab/>
            </w:r>
            <w:r>
              <w:rPr>
                <w:rStyle w:val="IndexLink"/>
              </w:rPr>
              <w:t>173</w:t>
            </w:r>
          </w:hyperlink>
        </w:p>
        <w:p>
          <w:pPr>
            <w:pStyle w:val="Contents5"/>
            <w:tabs>
              <w:tab w:val="clear" w:pos="7892"/>
              <w:tab w:val="right" w:pos="9026" w:leader="dot"/>
            </w:tabs>
            <w:rPr/>
          </w:pPr>
          <w:hyperlink w:anchor="__RefHeading___Toc5145817_73709187">
            <w:r>
              <w:rPr>
                <w:webHidden/>
                <w:rStyle w:val="IndexLink"/>
                <w:rtl w:val="true"/>
              </w:rPr>
              <w:t>الأمر الثالث</w:t>
            </w:r>
            <w:r>
              <w:rPr>
                <w:rStyle w:val="IndexLink"/>
                <w:rtl w:val="true"/>
              </w:rPr>
              <w:t xml:space="preserve">: </w:t>
            </w:r>
            <w:r>
              <w:rPr>
                <w:rStyle w:val="IndexLink"/>
                <w:rtl w:val="true"/>
              </w:rPr>
              <w:t>عدم اعتبار قید المندوحة</w:t>
            </w:r>
            <w:r>
              <w:rPr>
                <w:rStyle w:val="IndexLink"/>
                <w:rtl w:val="true"/>
              </w:rPr>
              <w:tab/>
            </w:r>
            <w:r>
              <w:rPr>
                <w:rStyle w:val="IndexLink"/>
              </w:rPr>
              <w:t>174</w:t>
            </w:r>
          </w:hyperlink>
        </w:p>
        <w:p>
          <w:pPr>
            <w:pStyle w:val="Contents5"/>
            <w:tabs>
              <w:tab w:val="clear" w:pos="7892"/>
              <w:tab w:val="right" w:pos="9026" w:leader="dot"/>
            </w:tabs>
            <w:rPr/>
          </w:pPr>
          <w:hyperlink w:anchor="__RefHeading___Toc5145819_73709187">
            <w:r>
              <w:rPr>
                <w:webHidden/>
                <w:rStyle w:val="IndexLink"/>
                <w:rtl w:val="true"/>
              </w:rPr>
              <w:t>الأمر الرابع</w:t>
            </w:r>
            <w:r>
              <w:rPr>
                <w:rStyle w:val="IndexLink"/>
                <w:rtl w:val="true"/>
              </w:rPr>
              <w:t xml:space="preserve">: </w:t>
            </w:r>
            <w:r>
              <w:rPr>
                <w:rStyle w:val="IndexLink"/>
                <w:rtl w:val="true"/>
              </w:rPr>
              <w:t>جریان النزاع حتّی مع تعلّق الأوامر و النواهی بالأفراد</w:t>
            </w:r>
            <w:r>
              <w:rPr>
                <w:rStyle w:val="IndexLink"/>
                <w:rtl w:val="true"/>
              </w:rPr>
              <w:tab/>
            </w:r>
            <w:r>
              <w:rPr>
                <w:rStyle w:val="IndexLink"/>
              </w:rPr>
              <w:t>174</w:t>
            </w:r>
          </w:hyperlink>
        </w:p>
        <w:p>
          <w:pPr>
            <w:pStyle w:val="Contents5"/>
            <w:tabs>
              <w:tab w:val="clear" w:pos="7892"/>
              <w:tab w:val="right" w:pos="9026" w:leader="dot"/>
            </w:tabs>
            <w:rPr/>
          </w:pPr>
          <w:hyperlink w:anchor="__RefHeading___Toc5145821_73709187">
            <w:r>
              <w:rPr>
                <w:webHidden/>
                <w:rStyle w:val="IndexLink"/>
                <w:rtl w:val="true"/>
              </w:rPr>
              <w:t>الأمر الخامس</w:t>
            </w:r>
            <w:r>
              <w:rPr>
                <w:rStyle w:val="IndexLink"/>
                <w:rtl w:val="true"/>
              </w:rPr>
              <w:t xml:space="preserve">: </w:t>
            </w:r>
            <w:r>
              <w:rPr>
                <w:rStyle w:val="IndexLink"/>
                <w:rtl w:val="true"/>
              </w:rPr>
              <w:t>حول اعتبار وجود المناطین فی المجتمع</w:t>
            </w:r>
            <w:r>
              <w:rPr>
                <w:rStyle w:val="IndexLink"/>
                <w:rtl w:val="true"/>
              </w:rPr>
              <w:tab/>
            </w:r>
            <w:r>
              <w:rPr>
                <w:rStyle w:val="IndexLink"/>
              </w:rPr>
              <w:t>175</w:t>
            </w:r>
          </w:hyperlink>
        </w:p>
        <w:p>
          <w:pPr>
            <w:pStyle w:val="Contents5"/>
            <w:tabs>
              <w:tab w:val="clear" w:pos="7892"/>
              <w:tab w:val="right" w:pos="9026" w:leader="dot"/>
            </w:tabs>
            <w:rPr/>
          </w:pPr>
          <w:hyperlink w:anchor="__RefHeading___Toc5145823_73709187">
            <w:r>
              <w:rPr>
                <w:webHidden/>
                <w:rStyle w:val="IndexLink"/>
                <w:rtl w:val="true"/>
              </w:rPr>
              <w:t>الأمر السادس</w:t>
            </w:r>
            <w:r>
              <w:rPr>
                <w:rStyle w:val="IndexLink"/>
                <w:rtl w:val="true"/>
              </w:rPr>
              <w:t xml:space="preserve">: </w:t>
            </w:r>
            <w:r>
              <w:rPr>
                <w:rStyle w:val="IndexLink"/>
                <w:rtl w:val="true"/>
              </w:rPr>
              <w:t>فی ثمرة بحث الاجتماع</w:t>
            </w:r>
            <w:r>
              <w:rPr>
                <w:rStyle w:val="IndexLink"/>
                <w:rtl w:val="true"/>
              </w:rPr>
              <w:tab/>
            </w:r>
            <w:r>
              <w:rPr>
                <w:rStyle w:val="IndexLink"/>
              </w:rPr>
              <w:t>177</w:t>
            </w:r>
          </w:hyperlink>
        </w:p>
        <w:p>
          <w:pPr>
            <w:pStyle w:val="Contents6"/>
            <w:tabs>
              <w:tab w:val="clear" w:pos="7609"/>
              <w:tab w:val="right" w:pos="9026" w:leader="dot"/>
            </w:tabs>
            <w:rPr/>
          </w:pPr>
          <w:hyperlink w:anchor="__RefHeading___Toc5145825_73709187">
            <w:r>
              <w:rPr>
                <w:webHidden/>
                <w:rStyle w:val="IndexLink"/>
                <w:rtl w:val="true"/>
              </w:rPr>
              <w:t>اشارة</w:t>
            </w:r>
            <w:r>
              <w:rPr>
                <w:rStyle w:val="IndexLink"/>
                <w:rtl w:val="true"/>
              </w:rPr>
              <w:tab/>
            </w:r>
            <w:r>
              <w:rPr>
                <w:rStyle w:val="IndexLink"/>
              </w:rPr>
              <w:t>177</w:t>
            </w:r>
          </w:hyperlink>
        </w:p>
        <w:p>
          <w:pPr>
            <w:pStyle w:val="Contents6"/>
            <w:tabs>
              <w:tab w:val="clear" w:pos="7609"/>
              <w:tab w:val="right" w:pos="9026" w:leader="dot"/>
            </w:tabs>
            <w:rPr/>
          </w:pPr>
          <w:hyperlink w:anchor="__RefHeading___Toc5145827_73709187">
            <w:r>
              <w:rPr>
                <w:webHidden/>
                <w:rStyle w:val="IndexLink"/>
                <w:rtl w:val="true"/>
              </w:rPr>
              <w:t>الجهة الاُولی</w:t>
            </w:r>
            <w:r>
              <w:rPr>
                <w:rStyle w:val="IndexLink"/>
                <w:rtl w:val="true"/>
              </w:rPr>
              <w:t xml:space="preserve">: </w:t>
            </w:r>
            <w:r>
              <w:rPr>
                <w:rStyle w:val="IndexLink"/>
                <w:rtl w:val="true"/>
              </w:rPr>
              <w:t>ثمرة النزاع علی القول بجواز الاجتماع</w:t>
            </w:r>
            <w:r>
              <w:rPr>
                <w:rStyle w:val="IndexLink"/>
                <w:rtl w:val="true"/>
              </w:rPr>
              <w:tab/>
            </w:r>
            <w:r>
              <w:rPr>
                <w:rStyle w:val="IndexLink"/>
              </w:rPr>
              <w:t>177</w:t>
            </w:r>
          </w:hyperlink>
        </w:p>
        <w:p>
          <w:pPr>
            <w:pStyle w:val="Contents6"/>
            <w:tabs>
              <w:tab w:val="clear" w:pos="7609"/>
              <w:tab w:val="right" w:pos="9026" w:leader="dot"/>
            </w:tabs>
            <w:rPr/>
          </w:pPr>
          <w:hyperlink w:anchor="__RefHeading___Toc5145829_73709187">
            <w:r>
              <w:rPr>
                <w:webHidden/>
                <w:rStyle w:val="IndexLink"/>
                <w:rtl w:val="true"/>
              </w:rPr>
              <w:t>الجهة الثانیة</w:t>
            </w:r>
            <w:r>
              <w:rPr>
                <w:rStyle w:val="IndexLink"/>
                <w:rtl w:val="true"/>
              </w:rPr>
              <w:t xml:space="preserve">: </w:t>
            </w:r>
            <w:r>
              <w:rPr>
                <w:rStyle w:val="IndexLink"/>
                <w:rtl w:val="true"/>
              </w:rPr>
              <w:t>ثمرة النزاع علی القول بالامتناع و تقدیم جانب الأمر</w:t>
            </w:r>
            <w:r>
              <w:rPr>
                <w:rStyle w:val="IndexLink"/>
                <w:rtl w:val="true"/>
              </w:rPr>
              <w:tab/>
            </w:r>
            <w:r>
              <w:rPr>
                <w:rStyle w:val="IndexLink"/>
              </w:rPr>
              <w:t>182</w:t>
            </w:r>
          </w:hyperlink>
        </w:p>
        <w:p>
          <w:pPr>
            <w:pStyle w:val="Contents6"/>
            <w:tabs>
              <w:tab w:val="clear" w:pos="7609"/>
              <w:tab w:val="right" w:pos="9026" w:leader="dot"/>
            </w:tabs>
            <w:rPr/>
          </w:pPr>
          <w:hyperlink w:anchor="__RefHeading___Toc5145831_73709187">
            <w:r>
              <w:rPr>
                <w:webHidden/>
                <w:rStyle w:val="IndexLink"/>
                <w:rtl w:val="true"/>
              </w:rPr>
              <w:t>الجهة الثالثة</w:t>
            </w:r>
            <w:r>
              <w:rPr>
                <w:rStyle w:val="IndexLink"/>
                <w:rtl w:val="true"/>
              </w:rPr>
              <w:t xml:space="preserve">: </w:t>
            </w:r>
            <w:r>
              <w:rPr>
                <w:rStyle w:val="IndexLink"/>
                <w:rtl w:val="true"/>
              </w:rPr>
              <w:t>ثمرة النزاع علی القول بالامتناع و تقدیم جانب النهی</w:t>
            </w:r>
            <w:r>
              <w:rPr>
                <w:rStyle w:val="IndexLink"/>
                <w:rtl w:val="true"/>
              </w:rPr>
              <w:tab/>
            </w:r>
            <w:r>
              <w:rPr>
                <w:rStyle w:val="IndexLink"/>
              </w:rPr>
              <w:t>183</w:t>
            </w:r>
          </w:hyperlink>
        </w:p>
        <w:p>
          <w:pPr>
            <w:pStyle w:val="Contents6"/>
            <w:tabs>
              <w:tab w:val="clear" w:pos="7609"/>
              <w:tab w:val="right" w:pos="9026" w:leader="dot"/>
            </w:tabs>
            <w:rPr/>
          </w:pPr>
          <w:hyperlink w:anchor="__RefHeading___Toc5145833_73709187">
            <w:r>
              <w:rPr>
                <w:webHidden/>
                <w:rStyle w:val="IndexLink"/>
                <w:rtl w:val="true"/>
              </w:rPr>
              <w:t>حکم العبادة مع الجهل عن قصور</w:t>
            </w:r>
            <w:r>
              <w:rPr>
                <w:rStyle w:val="IndexLink"/>
                <w:rtl w:val="true"/>
              </w:rPr>
              <w:tab/>
            </w:r>
            <w:r>
              <w:rPr>
                <w:rStyle w:val="IndexLink"/>
              </w:rPr>
              <w:t>183</w:t>
            </w:r>
          </w:hyperlink>
        </w:p>
        <w:p>
          <w:pPr>
            <w:pStyle w:val="Contents5"/>
            <w:tabs>
              <w:tab w:val="clear" w:pos="7892"/>
              <w:tab w:val="right" w:pos="9026" w:leader="dot"/>
            </w:tabs>
            <w:rPr/>
          </w:pPr>
          <w:hyperlink w:anchor="__RefHeading___Toc5145835_73709187">
            <w:r>
              <w:rPr>
                <w:webHidden/>
                <w:rStyle w:val="IndexLink"/>
                <w:rtl w:val="true"/>
              </w:rPr>
              <w:t>الأمر السابع</w:t>
            </w:r>
            <w:r>
              <w:rPr>
                <w:rStyle w:val="IndexLink"/>
                <w:rtl w:val="true"/>
              </w:rPr>
              <w:t xml:space="preserve">: </w:t>
            </w:r>
            <w:r>
              <w:rPr>
                <w:rStyle w:val="IndexLink"/>
                <w:rtl w:val="true"/>
              </w:rPr>
              <w:t>شمول النزاع للعنوانین بینهما عموم و خصوص مطلقاً</w:t>
            </w:r>
            <w:r>
              <w:rPr>
                <w:rStyle w:val="IndexLink"/>
                <w:rtl w:val="true"/>
              </w:rPr>
              <w:tab/>
            </w:r>
            <w:r>
              <w:rPr>
                <w:rStyle w:val="IndexLink"/>
              </w:rPr>
              <w:t>187</w:t>
            </w:r>
          </w:hyperlink>
        </w:p>
        <w:p>
          <w:pPr>
            <w:pStyle w:val="Contents4"/>
            <w:tabs>
              <w:tab w:val="clear" w:pos="8176"/>
              <w:tab w:val="right" w:pos="9026" w:leader="dot"/>
            </w:tabs>
            <w:rPr/>
          </w:pPr>
          <w:hyperlink w:anchor="__RefHeading___Toc5145837_73709187">
            <w:r>
              <w:rPr>
                <w:webHidden/>
                <w:rStyle w:val="IndexLink"/>
                <w:rtl w:val="true"/>
              </w:rPr>
              <w:t>التحقیق فی جواز الاجتماع</w:t>
            </w:r>
            <w:r>
              <w:rPr>
                <w:rStyle w:val="IndexLink"/>
                <w:rtl w:val="true"/>
              </w:rPr>
              <w:tab/>
            </w:r>
            <w:r>
              <w:rPr>
                <w:rStyle w:val="IndexLink"/>
              </w:rPr>
              <w:t>190</w:t>
            </w:r>
          </w:hyperlink>
        </w:p>
        <w:p>
          <w:pPr>
            <w:pStyle w:val="Contents5"/>
            <w:tabs>
              <w:tab w:val="clear" w:pos="7892"/>
              <w:tab w:val="right" w:pos="9026" w:leader="dot"/>
            </w:tabs>
            <w:rPr/>
          </w:pPr>
          <w:hyperlink w:anchor="__RefHeading___Toc5145839_73709187">
            <w:r>
              <w:rPr>
                <w:webHidden/>
                <w:rStyle w:val="IndexLink"/>
                <w:rtl w:val="true"/>
              </w:rPr>
              <w:t>اشارة</w:t>
            </w:r>
            <w:r>
              <w:rPr>
                <w:rStyle w:val="IndexLink"/>
                <w:rtl w:val="true"/>
              </w:rPr>
              <w:tab/>
            </w:r>
            <w:r>
              <w:rPr>
                <w:rStyle w:val="IndexLink"/>
              </w:rPr>
              <w:t>190</w:t>
            </w:r>
          </w:hyperlink>
        </w:p>
        <w:p>
          <w:pPr>
            <w:pStyle w:val="Contents5"/>
            <w:tabs>
              <w:tab w:val="clear" w:pos="7892"/>
              <w:tab w:val="right" w:pos="9026" w:leader="dot"/>
            </w:tabs>
            <w:rPr/>
          </w:pPr>
          <w:hyperlink w:anchor="__RefHeading___Toc5145841_73709187">
            <w:r>
              <w:rPr>
                <w:webHidden/>
                <w:rStyle w:val="IndexLink"/>
                <w:rtl w:val="true"/>
              </w:rPr>
              <w:t>المقدّمة الاُولی</w:t>
            </w:r>
            <w:r>
              <w:rPr>
                <w:rStyle w:val="IndexLink"/>
                <w:rtl w:val="true"/>
              </w:rPr>
              <w:t>:</w:t>
              <w:tab/>
            </w:r>
            <w:r>
              <w:rPr>
                <w:rStyle w:val="IndexLink"/>
              </w:rPr>
              <w:t>190</w:t>
            </w:r>
          </w:hyperlink>
        </w:p>
        <w:p>
          <w:pPr>
            <w:pStyle w:val="Contents5"/>
            <w:tabs>
              <w:tab w:val="clear" w:pos="7892"/>
              <w:tab w:val="right" w:pos="9026" w:leader="dot"/>
            </w:tabs>
            <w:rPr/>
          </w:pPr>
          <w:hyperlink w:anchor="__RefHeading___Toc5145843_73709187">
            <w:r>
              <w:rPr>
                <w:webHidden/>
                <w:rStyle w:val="IndexLink"/>
                <w:rtl w:val="true"/>
              </w:rPr>
              <w:t>المقدّمة الثانیة</w:t>
            </w:r>
            <w:r>
              <w:rPr>
                <w:rStyle w:val="IndexLink"/>
                <w:rtl w:val="true"/>
              </w:rPr>
              <w:t>:</w:t>
              <w:tab/>
            </w:r>
            <w:r>
              <w:rPr>
                <w:rStyle w:val="IndexLink"/>
              </w:rPr>
              <w:t>191</w:t>
            </w:r>
          </w:hyperlink>
        </w:p>
        <w:p>
          <w:pPr>
            <w:pStyle w:val="Contents5"/>
            <w:tabs>
              <w:tab w:val="clear" w:pos="7892"/>
              <w:tab w:val="right" w:pos="9026" w:leader="dot"/>
            </w:tabs>
            <w:rPr/>
          </w:pPr>
          <w:hyperlink w:anchor="__RefHeading___Toc5145845_73709187">
            <w:r>
              <w:rPr>
                <w:webHidden/>
                <w:rStyle w:val="IndexLink"/>
                <w:rtl w:val="true"/>
              </w:rPr>
              <w:t xml:space="preserve">المقدّمة الثالثة </w:t>
            </w:r>
            <w:r>
              <w:rPr>
                <w:rStyle w:val="IndexLink"/>
                <w:rtl w:val="true"/>
              </w:rPr>
              <w:t xml:space="preserve">- </w:t>
            </w:r>
            <w:r>
              <w:rPr>
                <w:rStyle w:val="IndexLink"/>
                <w:rtl w:val="true"/>
              </w:rPr>
              <w:t xml:space="preserve">التی هی العمدة فی هذا الباب </w:t>
            </w:r>
            <w:r>
              <w:rPr>
                <w:rStyle w:val="IndexLink"/>
                <w:rtl w:val="true"/>
              </w:rPr>
              <w:t>-:</w:t>
              <w:tab/>
            </w:r>
            <w:r>
              <w:rPr>
                <w:rStyle w:val="IndexLink"/>
              </w:rPr>
              <w:t>192</w:t>
            </w:r>
          </w:hyperlink>
        </w:p>
        <w:p>
          <w:pPr>
            <w:pStyle w:val="Contents4"/>
            <w:tabs>
              <w:tab w:val="clear" w:pos="8176"/>
              <w:tab w:val="right" w:pos="9026" w:leader="dot"/>
            </w:tabs>
            <w:rPr/>
          </w:pPr>
          <w:hyperlink w:anchor="__RefHeading___Toc5145847_73709187">
            <w:r>
              <w:rPr>
                <w:webHidden/>
                <w:rStyle w:val="IndexLink"/>
                <w:rtl w:val="true"/>
              </w:rPr>
              <w:t>حول استدلال القائلین بالامتناع</w:t>
            </w:r>
            <w:r>
              <w:rPr>
                <w:rStyle w:val="IndexLink"/>
                <w:rtl w:val="true"/>
              </w:rPr>
              <w:tab/>
            </w:r>
            <w:r>
              <w:rPr>
                <w:rStyle w:val="IndexLink"/>
              </w:rPr>
              <w:t>197</w:t>
            </w:r>
          </w:hyperlink>
        </w:p>
        <w:p>
          <w:pPr>
            <w:pStyle w:val="Contents5"/>
            <w:tabs>
              <w:tab w:val="clear" w:pos="7892"/>
              <w:tab w:val="right" w:pos="9026" w:leader="dot"/>
            </w:tabs>
            <w:rPr/>
          </w:pPr>
          <w:hyperlink w:anchor="__RefHeading___Toc5145849_73709187">
            <w:r>
              <w:rPr>
                <w:webHidden/>
                <w:rStyle w:val="IndexLink"/>
                <w:rtl w:val="true"/>
              </w:rPr>
              <w:t>اشارة</w:t>
            </w:r>
            <w:r>
              <w:rPr>
                <w:rStyle w:val="IndexLink"/>
                <w:rtl w:val="true"/>
              </w:rPr>
              <w:tab/>
            </w:r>
            <w:r>
              <w:rPr>
                <w:rStyle w:val="IndexLink"/>
              </w:rPr>
              <w:t>197</w:t>
            </w:r>
          </w:hyperlink>
        </w:p>
        <w:p>
          <w:pPr>
            <w:pStyle w:val="Contents5"/>
            <w:tabs>
              <w:tab w:val="clear" w:pos="7892"/>
              <w:tab w:val="right" w:pos="9026" w:leader="dot"/>
            </w:tabs>
            <w:rPr/>
          </w:pPr>
          <w:hyperlink w:anchor="__RefHeading___Toc5145851_73709187">
            <w:r>
              <w:rPr>
                <w:webHidden/>
                <w:rStyle w:val="IndexLink"/>
                <w:rtl w:val="true"/>
              </w:rPr>
              <w:t>الأمر الأوّل</w:t>
            </w:r>
            <w:r>
              <w:rPr>
                <w:rStyle w:val="IndexLink"/>
                <w:rtl w:val="true"/>
              </w:rPr>
              <w:t xml:space="preserve">: </w:t>
            </w:r>
            <w:r>
              <w:rPr>
                <w:rStyle w:val="IndexLink"/>
                <w:rtl w:val="true"/>
              </w:rPr>
              <w:t>لزوم اجتماع الأمر و النهی</w:t>
            </w:r>
            <w:r>
              <w:rPr>
                <w:rStyle w:val="IndexLink"/>
                <w:rtl w:val="true"/>
              </w:rPr>
              <w:tab/>
            </w:r>
            <w:r>
              <w:rPr>
                <w:rStyle w:val="IndexLink"/>
              </w:rPr>
              <w:t>197</w:t>
            </w:r>
          </w:hyperlink>
        </w:p>
        <w:p>
          <w:pPr>
            <w:pStyle w:val="Contents5"/>
            <w:tabs>
              <w:tab w:val="clear" w:pos="7892"/>
              <w:tab w:val="right" w:pos="9026" w:leader="dot"/>
            </w:tabs>
            <w:rPr/>
          </w:pPr>
          <w:hyperlink w:anchor="__RefHeading___Toc5145853_73709187">
            <w:r>
              <w:rPr>
                <w:webHidden/>
                <w:rStyle w:val="IndexLink"/>
                <w:rtl w:val="true"/>
              </w:rPr>
              <w:t>الأمر الثانی</w:t>
            </w:r>
            <w:r>
              <w:rPr>
                <w:rStyle w:val="IndexLink"/>
                <w:rtl w:val="true"/>
              </w:rPr>
              <w:t xml:space="preserve">: </w:t>
            </w:r>
            <w:r>
              <w:rPr>
                <w:rStyle w:val="IndexLink"/>
                <w:rtl w:val="true"/>
              </w:rPr>
              <w:t>لزوم اجتماع الحبّ و البغض و غیرهما</w:t>
            </w:r>
            <w:r>
              <w:rPr>
                <w:rStyle w:val="IndexLink"/>
                <w:rtl w:val="true"/>
              </w:rPr>
              <w:tab/>
            </w:r>
            <w:r>
              <w:rPr>
                <w:rStyle w:val="IndexLink"/>
              </w:rPr>
              <w:t>197</w:t>
            </w:r>
          </w:hyperlink>
        </w:p>
        <w:p>
          <w:pPr>
            <w:pStyle w:val="Contents5"/>
            <w:tabs>
              <w:tab w:val="clear" w:pos="7892"/>
              <w:tab w:val="right" w:pos="9026" w:leader="dot"/>
            </w:tabs>
            <w:rPr/>
          </w:pPr>
          <w:hyperlink w:anchor="__RefHeading___Toc5145855_73709187">
            <w:r>
              <w:rPr>
                <w:webHidden/>
                <w:rStyle w:val="IndexLink"/>
                <w:rtl w:val="true"/>
              </w:rPr>
              <w:t>الأمر الثالث</w:t>
            </w:r>
            <w:r>
              <w:rPr>
                <w:rStyle w:val="IndexLink"/>
                <w:rtl w:val="true"/>
              </w:rPr>
              <w:t xml:space="preserve">: </w:t>
            </w:r>
            <w:r>
              <w:rPr>
                <w:rStyle w:val="IndexLink"/>
                <w:rtl w:val="true"/>
              </w:rPr>
              <w:t>لزوم اجتماع الصلاح و الفساد</w:t>
            </w:r>
            <w:r>
              <w:rPr>
                <w:rStyle w:val="IndexLink"/>
                <w:rtl w:val="true"/>
              </w:rPr>
              <w:tab/>
            </w:r>
            <w:r>
              <w:rPr>
                <w:rStyle w:val="IndexLink"/>
              </w:rPr>
              <w:t>199</w:t>
            </w:r>
          </w:hyperlink>
        </w:p>
        <w:p>
          <w:pPr>
            <w:pStyle w:val="Contents4"/>
            <w:tabs>
              <w:tab w:val="clear" w:pos="8176"/>
              <w:tab w:val="right" w:pos="9026" w:leader="dot"/>
            </w:tabs>
            <w:rPr/>
          </w:pPr>
          <w:hyperlink w:anchor="__RefHeading___Toc5145857_73709187">
            <w:r>
              <w:rPr>
                <w:webHidden/>
                <w:rStyle w:val="IndexLink"/>
                <w:rtl w:val="true"/>
              </w:rPr>
              <w:t>حول التضادّ بین الأحکام الخمسة</w:t>
            </w:r>
            <w:r>
              <w:rPr>
                <w:rStyle w:val="IndexLink"/>
                <w:rtl w:val="true"/>
              </w:rPr>
              <w:tab/>
            </w:r>
            <w:r>
              <w:rPr>
                <w:rStyle w:val="IndexLink"/>
              </w:rPr>
              <w:t>201</w:t>
            </w:r>
          </w:hyperlink>
        </w:p>
        <w:p>
          <w:pPr>
            <w:pStyle w:val="Contents4"/>
            <w:tabs>
              <w:tab w:val="clear" w:pos="8176"/>
              <w:tab w:val="right" w:pos="9026" w:leader="dot"/>
            </w:tabs>
            <w:rPr/>
          </w:pPr>
          <w:hyperlink w:anchor="__RefHeading___Toc5145859_73709187">
            <w:r>
              <w:rPr>
                <w:webHidden/>
                <w:rStyle w:val="IndexLink"/>
                <w:rtl w:val="true"/>
              </w:rPr>
              <w:t>تنبیهات</w:t>
            </w:r>
            <w:r>
              <w:rPr>
                <w:rStyle w:val="IndexLink"/>
                <w:rtl w:val="true"/>
              </w:rPr>
              <w:tab/>
            </w:r>
            <w:r>
              <w:rPr>
                <w:rStyle w:val="IndexLink"/>
              </w:rPr>
              <w:t>203</w:t>
            </w:r>
          </w:hyperlink>
        </w:p>
        <w:p>
          <w:pPr>
            <w:pStyle w:val="Contents5"/>
            <w:tabs>
              <w:tab w:val="clear" w:pos="7892"/>
              <w:tab w:val="right" w:pos="9026" w:leader="dot"/>
            </w:tabs>
            <w:rPr/>
          </w:pPr>
          <w:hyperlink w:anchor="__RefHeading___Toc5145861_73709187">
            <w:r>
              <w:rPr>
                <w:webHidden/>
                <w:rStyle w:val="IndexLink"/>
                <w:rtl w:val="true"/>
              </w:rPr>
              <w:t>التنبیه الأوّل</w:t>
            </w:r>
            <w:r>
              <w:rPr>
                <w:rStyle w:val="IndexLink"/>
                <w:rtl w:val="true"/>
              </w:rPr>
              <w:t xml:space="preserve">: </w:t>
            </w:r>
            <w:r>
              <w:rPr>
                <w:rStyle w:val="IndexLink"/>
                <w:rtl w:val="true"/>
              </w:rPr>
              <w:t>بعض أدلّة المجوّزین</w:t>
            </w:r>
            <w:r>
              <w:rPr>
                <w:rStyle w:val="IndexLink"/>
                <w:rtl w:val="true"/>
              </w:rPr>
              <w:tab/>
            </w:r>
            <w:r>
              <w:rPr>
                <w:rStyle w:val="IndexLink"/>
              </w:rPr>
              <w:t>203</w:t>
            </w:r>
          </w:hyperlink>
        </w:p>
        <w:p>
          <w:pPr>
            <w:pStyle w:val="Contents5"/>
            <w:tabs>
              <w:tab w:val="clear" w:pos="7892"/>
              <w:tab w:val="right" w:pos="9026" w:leader="dot"/>
            </w:tabs>
            <w:rPr/>
          </w:pPr>
          <w:hyperlink w:anchor="__RefHeading___Toc5145863_73709187">
            <w:r>
              <w:rPr>
                <w:webHidden/>
                <w:rStyle w:val="IndexLink"/>
                <w:rtl w:val="true"/>
              </w:rPr>
              <w:t>التنبیه الثانی</w:t>
            </w:r>
            <w:r>
              <w:rPr>
                <w:rStyle w:val="IndexLink"/>
                <w:rtl w:val="true"/>
              </w:rPr>
              <w:t xml:space="preserve">: </w:t>
            </w:r>
            <w:r>
              <w:rPr>
                <w:rStyle w:val="IndexLink"/>
                <w:rtl w:val="true"/>
              </w:rPr>
              <w:t>حکم توسّط الأرض المغصوبة</w:t>
            </w:r>
            <w:r>
              <w:rPr>
                <w:rStyle w:val="IndexLink"/>
                <w:rtl w:val="true"/>
              </w:rPr>
              <w:tab/>
            </w:r>
            <w:r>
              <w:rPr>
                <w:rStyle w:val="IndexLink"/>
              </w:rPr>
              <w:t>206</w:t>
            </w:r>
          </w:hyperlink>
        </w:p>
        <w:p>
          <w:pPr>
            <w:pStyle w:val="Contents6"/>
            <w:tabs>
              <w:tab w:val="clear" w:pos="7609"/>
              <w:tab w:val="right" w:pos="9026" w:leader="dot"/>
            </w:tabs>
            <w:rPr/>
          </w:pPr>
          <w:hyperlink w:anchor="__RefHeading___Toc5145865_73709187">
            <w:r>
              <w:rPr>
                <w:webHidden/>
                <w:rStyle w:val="IndexLink"/>
                <w:rtl w:val="true"/>
              </w:rPr>
              <w:t>اشارة</w:t>
            </w:r>
            <w:r>
              <w:rPr>
                <w:rStyle w:val="IndexLink"/>
                <w:rtl w:val="true"/>
              </w:rPr>
              <w:tab/>
            </w:r>
            <w:r>
              <w:rPr>
                <w:rStyle w:val="IndexLink"/>
              </w:rPr>
              <w:t>206</w:t>
            </w:r>
          </w:hyperlink>
        </w:p>
        <w:p>
          <w:pPr>
            <w:pStyle w:val="Contents6"/>
            <w:tabs>
              <w:tab w:val="clear" w:pos="7609"/>
              <w:tab w:val="right" w:pos="9026" w:leader="dot"/>
            </w:tabs>
            <w:rPr/>
          </w:pPr>
          <w:hyperlink w:anchor="__RefHeading___Toc5145867_73709187">
            <w:r>
              <w:rPr>
                <w:webHidden/>
                <w:rStyle w:val="IndexLink"/>
                <w:rtl w:val="true"/>
              </w:rPr>
              <w:t>عدم انحلال الخطابات الشرعیّة</w:t>
            </w:r>
            <w:r>
              <w:rPr>
                <w:rStyle w:val="IndexLink"/>
                <w:rtl w:val="true"/>
              </w:rPr>
              <w:tab/>
            </w:r>
            <w:r>
              <w:rPr>
                <w:rStyle w:val="IndexLink"/>
              </w:rPr>
              <w:t>207</w:t>
            </w:r>
          </w:hyperlink>
        </w:p>
        <w:p>
          <w:pPr>
            <w:pStyle w:val="Contents5"/>
            <w:tabs>
              <w:tab w:val="clear" w:pos="7892"/>
              <w:tab w:val="right" w:pos="9026" w:leader="dot"/>
            </w:tabs>
            <w:rPr/>
          </w:pPr>
          <w:hyperlink w:anchor="__RefHeading___Toc5145869_73709187">
            <w:r>
              <w:rPr>
                <w:webHidden/>
                <w:rStyle w:val="IndexLink"/>
                <w:rtl w:val="true"/>
              </w:rPr>
              <w:t>التنبیه الثالث</w:t>
            </w:r>
            <w:r>
              <w:rPr>
                <w:rStyle w:val="IndexLink"/>
                <w:rtl w:val="true"/>
              </w:rPr>
              <w:t xml:space="preserve">: </w:t>
            </w:r>
            <w:r>
              <w:rPr>
                <w:rStyle w:val="IndexLink"/>
                <w:rtl w:val="true"/>
              </w:rPr>
              <w:t>حکم الصلاة فی الدار المغصوبة</w:t>
            </w:r>
            <w:r>
              <w:rPr>
                <w:rStyle w:val="IndexLink"/>
                <w:rtl w:val="true"/>
              </w:rPr>
              <w:tab/>
            </w:r>
            <w:r>
              <w:rPr>
                <w:rStyle w:val="IndexLink"/>
              </w:rPr>
              <w:t>210</w:t>
            </w:r>
          </w:hyperlink>
        </w:p>
        <w:p>
          <w:pPr>
            <w:pStyle w:val="Contents3"/>
            <w:tabs>
              <w:tab w:val="clear" w:pos="8459"/>
              <w:tab w:val="right" w:pos="9026" w:leader="dot"/>
            </w:tabs>
            <w:rPr/>
          </w:pPr>
          <w:hyperlink w:anchor="__RefHeading___Toc5145871_73709187">
            <w:r>
              <w:rPr>
                <w:webHidden/>
                <w:rStyle w:val="IndexLink"/>
                <w:rtl w:val="true"/>
              </w:rPr>
              <w:t>الفصل الثالث فی اقتضاء النهی عن الشیء فساده و عدمه</w:t>
            </w:r>
            <w:r>
              <w:rPr>
                <w:rStyle w:val="IndexLink"/>
                <w:rtl w:val="true"/>
              </w:rPr>
              <w:tab/>
            </w:r>
            <w:r>
              <w:rPr>
                <w:rStyle w:val="IndexLink"/>
              </w:rPr>
              <w:t>211</w:t>
            </w:r>
          </w:hyperlink>
        </w:p>
        <w:p>
          <w:pPr>
            <w:pStyle w:val="Contents4"/>
            <w:tabs>
              <w:tab w:val="clear" w:pos="8176"/>
              <w:tab w:val="right" w:pos="9026" w:leader="dot"/>
            </w:tabs>
            <w:rPr/>
          </w:pPr>
          <w:hyperlink w:anchor="__RefHeading___Toc5145873_73709187">
            <w:r>
              <w:rPr>
                <w:webHidden/>
                <w:rStyle w:val="IndexLink"/>
                <w:rtl w:val="true"/>
              </w:rPr>
              <w:t>و لا بدّ من تقدیم امور</w:t>
            </w:r>
            <w:r>
              <w:rPr>
                <w:rStyle w:val="IndexLink"/>
                <w:rtl w:val="true"/>
              </w:rPr>
              <w:t>:</w:t>
              <w:tab/>
            </w:r>
            <w:r>
              <w:rPr>
                <w:rStyle w:val="IndexLink"/>
              </w:rPr>
              <w:t>211</w:t>
            </w:r>
          </w:hyperlink>
        </w:p>
        <w:p>
          <w:pPr>
            <w:pStyle w:val="Contents5"/>
            <w:tabs>
              <w:tab w:val="clear" w:pos="7892"/>
              <w:tab w:val="right" w:pos="9026" w:leader="dot"/>
            </w:tabs>
            <w:rPr/>
          </w:pPr>
          <w:hyperlink w:anchor="__RefHeading___Toc5145875_73709187">
            <w:r>
              <w:rPr>
                <w:webHidden/>
                <w:rStyle w:val="IndexLink"/>
                <w:rtl w:val="true"/>
              </w:rPr>
              <w:t>الأمر الأوّل</w:t>
            </w:r>
            <w:r>
              <w:rPr>
                <w:rStyle w:val="IndexLink"/>
                <w:rtl w:val="true"/>
              </w:rPr>
              <w:t xml:space="preserve">: </w:t>
            </w:r>
            <w:r>
              <w:rPr>
                <w:rStyle w:val="IndexLink"/>
                <w:rtl w:val="true"/>
              </w:rPr>
              <w:t>حول عنوان المسألة</w:t>
            </w:r>
            <w:r>
              <w:rPr>
                <w:rStyle w:val="IndexLink"/>
                <w:rtl w:val="true"/>
              </w:rPr>
              <w:tab/>
            </w:r>
            <w:r>
              <w:rPr>
                <w:rStyle w:val="IndexLink"/>
              </w:rPr>
              <w:t>211</w:t>
            </w:r>
          </w:hyperlink>
        </w:p>
        <w:p>
          <w:pPr>
            <w:pStyle w:val="Contents5"/>
            <w:tabs>
              <w:tab w:val="clear" w:pos="7892"/>
              <w:tab w:val="right" w:pos="9026" w:leader="dot"/>
            </w:tabs>
            <w:rPr/>
          </w:pPr>
          <w:hyperlink w:anchor="__RefHeading___Toc5145877_73709187">
            <w:r>
              <w:rPr>
                <w:webHidden/>
                <w:rStyle w:val="IndexLink"/>
                <w:rtl w:val="true"/>
              </w:rPr>
              <w:t>الأمر الثانی</w:t>
            </w:r>
            <w:r>
              <w:rPr>
                <w:rStyle w:val="IndexLink"/>
                <w:rtl w:val="true"/>
              </w:rPr>
              <w:t xml:space="preserve">: </w:t>
            </w:r>
            <w:r>
              <w:rPr>
                <w:rStyle w:val="IndexLink"/>
                <w:rtl w:val="true"/>
              </w:rPr>
              <w:t>فی اصولیّة هذه المسألة</w:t>
            </w:r>
            <w:r>
              <w:rPr>
                <w:rStyle w:val="IndexLink"/>
                <w:rtl w:val="true"/>
              </w:rPr>
              <w:tab/>
            </w:r>
            <w:r>
              <w:rPr>
                <w:rStyle w:val="IndexLink"/>
              </w:rPr>
              <w:t>211</w:t>
            </w:r>
          </w:hyperlink>
        </w:p>
        <w:p>
          <w:pPr>
            <w:pStyle w:val="Contents6"/>
            <w:tabs>
              <w:tab w:val="clear" w:pos="7609"/>
              <w:tab w:val="right" w:pos="9026" w:leader="dot"/>
            </w:tabs>
            <w:rPr/>
          </w:pPr>
          <w:hyperlink w:anchor="__RefHeading___Toc5145879_73709187">
            <w:r>
              <w:rPr>
                <w:webHidden/>
                <w:rStyle w:val="IndexLink"/>
                <w:rtl w:val="true"/>
              </w:rPr>
              <w:t>اشارة</w:t>
            </w:r>
            <w:r>
              <w:rPr>
                <w:rStyle w:val="IndexLink"/>
                <w:rtl w:val="true"/>
              </w:rPr>
              <w:tab/>
            </w:r>
            <w:r>
              <w:rPr>
                <w:rStyle w:val="IndexLink"/>
              </w:rPr>
              <w:t>211</w:t>
            </w:r>
          </w:hyperlink>
        </w:p>
        <w:p>
          <w:pPr>
            <w:pStyle w:val="Contents6"/>
            <w:tabs>
              <w:tab w:val="clear" w:pos="7609"/>
              <w:tab w:val="right" w:pos="9026" w:leader="dot"/>
            </w:tabs>
            <w:rPr/>
          </w:pPr>
          <w:hyperlink w:anchor="__RefHeading___Toc5145881_73709187">
            <w:r>
              <w:rPr>
                <w:webHidden/>
                <w:rStyle w:val="IndexLink"/>
                <w:rtl w:val="true"/>
              </w:rPr>
              <w:t>هل المسألة عقلیّة أو لفظیّة؟</w:t>
            </w:r>
            <w:r>
              <w:rPr>
                <w:rStyle w:val="IndexLink"/>
                <w:rtl w:val="true"/>
              </w:rPr>
              <w:tab/>
            </w:r>
            <w:r>
              <w:rPr>
                <w:rStyle w:val="IndexLink"/>
              </w:rPr>
              <w:t>212</w:t>
            </w:r>
          </w:hyperlink>
        </w:p>
        <w:p>
          <w:pPr>
            <w:pStyle w:val="Contents5"/>
            <w:tabs>
              <w:tab w:val="clear" w:pos="7892"/>
              <w:tab w:val="right" w:pos="9026" w:leader="dot"/>
            </w:tabs>
            <w:rPr/>
          </w:pPr>
          <w:hyperlink w:anchor="__RefHeading___Toc5145883_73709187">
            <w:r>
              <w:rPr>
                <w:webHidden/>
                <w:rStyle w:val="IndexLink"/>
                <w:rtl w:val="true"/>
              </w:rPr>
              <w:t>الأمر الثالث</w:t>
            </w:r>
            <w:r>
              <w:rPr>
                <w:rStyle w:val="IndexLink"/>
                <w:rtl w:val="true"/>
              </w:rPr>
              <w:t xml:space="preserve">: </w:t>
            </w:r>
            <w:r>
              <w:rPr>
                <w:rStyle w:val="IndexLink"/>
                <w:rtl w:val="true"/>
              </w:rPr>
              <w:t>تفسیر وصفی الصحّة و الفساد</w:t>
            </w:r>
            <w:r>
              <w:rPr>
                <w:rStyle w:val="IndexLink"/>
                <w:rtl w:val="true"/>
              </w:rPr>
              <w:tab/>
            </w:r>
            <w:r>
              <w:rPr>
                <w:rStyle w:val="IndexLink"/>
              </w:rPr>
              <w:t>212</w:t>
            </w:r>
          </w:hyperlink>
        </w:p>
        <w:p>
          <w:pPr>
            <w:pStyle w:val="Contents6"/>
            <w:tabs>
              <w:tab w:val="clear" w:pos="7609"/>
              <w:tab w:val="right" w:pos="9026" w:leader="dot"/>
            </w:tabs>
            <w:rPr/>
          </w:pPr>
          <w:hyperlink w:anchor="__RefHeading___Toc5145885_73709187">
            <w:r>
              <w:rPr>
                <w:webHidden/>
                <w:rStyle w:val="IndexLink"/>
                <w:rtl w:val="true"/>
              </w:rPr>
              <w:t>اشارة</w:t>
            </w:r>
            <w:r>
              <w:rPr>
                <w:rStyle w:val="IndexLink"/>
                <w:rtl w:val="true"/>
              </w:rPr>
              <w:tab/>
            </w:r>
            <w:r>
              <w:rPr>
                <w:rStyle w:val="IndexLink"/>
              </w:rPr>
              <w:t>212</w:t>
            </w:r>
          </w:hyperlink>
        </w:p>
        <w:p>
          <w:pPr>
            <w:pStyle w:val="Contents6"/>
            <w:tabs>
              <w:tab w:val="clear" w:pos="7609"/>
              <w:tab w:val="right" w:pos="9026" w:leader="dot"/>
            </w:tabs>
            <w:rPr/>
          </w:pPr>
          <w:hyperlink w:anchor="__RefHeading___Toc5145887_73709187">
            <w:r>
              <w:rPr>
                <w:webHidden/>
                <w:rStyle w:val="IndexLink"/>
                <w:rtl w:val="true"/>
              </w:rPr>
              <w:t>تنبیه</w:t>
            </w:r>
            <w:r>
              <w:rPr>
                <w:rStyle w:val="IndexLink"/>
                <w:rtl w:val="true"/>
              </w:rPr>
              <w:t xml:space="preserve">: </w:t>
            </w:r>
            <w:r>
              <w:rPr>
                <w:rStyle w:val="IndexLink"/>
                <w:rtl w:val="true"/>
              </w:rPr>
              <w:t>فی جعل الصحّة و الفساد</w:t>
            </w:r>
            <w:r>
              <w:rPr>
                <w:rStyle w:val="IndexLink"/>
                <w:rtl w:val="true"/>
              </w:rPr>
              <w:tab/>
            </w:r>
            <w:r>
              <w:rPr>
                <w:rStyle w:val="IndexLink"/>
              </w:rPr>
              <w:t>215</w:t>
            </w:r>
          </w:hyperlink>
        </w:p>
        <w:p>
          <w:pPr>
            <w:pStyle w:val="Contents5"/>
            <w:tabs>
              <w:tab w:val="clear" w:pos="7892"/>
              <w:tab w:val="right" w:pos="9026" w:leader="dot"/>
            </w:tabs>
            <w:rPr/>
          </w:pPr>
          <w:hyperlink w:anchor="__RefHeading___Toc5145889_73709187">
            <w:r>
              <w:rPr>
                <w:webHidden/>
                <w:rStyle w:val="IndexLink"/>
                <w:rtl w:val="true"/>
              </w:rPr>
              <w:t>الأمر الرابع</w:t>
            </w:r>
            <w:r>
              <w:rPr>
                <w:rStyle w:val="IndexLink"/>
                <w:rtl w:val="true"/>
              </w:rPr>
              <w:t xml:space="preserve">: </w:t>
            </w:r>
            <w:r>
              <w:rPr>
                <w:rStyle w:val="IndexLink"/>
                <w:rtl w:val="true"/>
              </w:rPr>
              <w:t>شمول ملاک البحث للنهی التنزیهی و الغیری و التبعی</w:t>
            </w:r>
            <w:r>
              <w:rPr>
                <w:rStyle w:val="IndexLink"/>
                <w:rtl w:val="true"/>
              </w:rPr>
              <w:tab/>
            </w:r>
            <w:r>
              <w:rPr>
                <w:rStyle w:val="IndexLink"/>
              </w:rPr>
              <w:t>217</w:t>
            </w:r>
          </w:hyperlink>
        </w:p>
        <w:p>
          <w:pPr>
            <w:pStyle w:val="Contents5"/>
            <w:tabs>
              <w:tab w:val="clear" w:pos="7892"/>
              <w:tab w:val="right" w:pos="9026" w:leader="dot"/>
            </w:tabs>
            <w:rPr/>
          </w:pPr>
          <w:hyperlink w:anchor="__RefHeading___Toc5145891_73709187">
            <w:r>
              <w:rPr>
                <w:webHidden/>
                <w:rStyle w:val="IndexLink"/>
                <w:rtl w:val="true"/>
              </w:rPr>
              <w:t>الأمر الخامس</w:t>
            </w:r>
            <w:r>
              <w:rPr>
                <w:rStyle w:val="IndexLink"/>
                <w:rtl w:val="true"/>
              </w:rPr>
              <w:t xml:space="preserve">: </w:t>
            </w:r>
            <w:r>
              <w:rPr>
                <w:rStyle w:val="IndexLink"/>
                <w:rtl w:val="true"/>
              </w:rPr>
              <w:t>فی تحقیق الأصل فی المسألة</w:t>
            </w:r>
            <w:r>
              <w:rPr>
                <w:rStyle w:val="IndexLink"/>
                <w:rtl w:val="true"/>
              </w:rPr>
              <w:tab/>
            </w:r>
            <w:r>
              <w:rPr>
                <w:rStyle w:val="IndexLink"/>
              </w:rPr>
              <w:t>217</w:t>
            </w:r>
          </w:hyperlink>
        </w:p>
        <w:p>
          <w:pPr>
            <w:pStyle w:val="Contents4"/>
            <w:tabs>
              <w:tab w:val="clear" w:pos="8176"/>
              <w:tab w:val="right" w:pos="9026" w:leader="dot"/>
            </w:tabs>
            <w:rPr/>
          </w:pPr>
          <w:hyperlink w:anchor="__RefHeading___Toc5145893_73709187">
            <w:r>
              <w:rPr>
                <w:webHidden/>
                <w:rStyle w:val="IndexLink"/>
                <w:rtl w:val="true"/>
              </w:rPr>
              <w:t>إذا عرفت هذه الاُمور، فاعلم أنّ الکلام یقع فی مقامین</w:t>
            </w:r>
            <w:r>
              <w:rPr>
                <w:rStyle w:val="IndexLink"/>
                <w:rtl w:val="true"/>
              </w:rPr>
              <w:t>:</w:t>
              <w:tab/>
            </w:r>
            <w:r>
              <w:rPr>
                <w:rStyle w:val="IndexLink"/>
              </w:rPr>
              <w:t>219</w:t>
            </w:r>
          </w:hyperlink>
        </w:p>
        <w:p>
          <w:pPr>
            <w:pStyle w:val="Contents5"/>
            <w:tabs>
              <w:tab w:val="clear" w:pos="7892"/>
              <w:tab w:val="right" w:pos="9026" w:leader="dot"/>
            </w:tabs>
            <w:rPr/>
          </w:pPr>
          <w:hyperlink w:anchor="__RefHeading___Toc5145895_73709187">
            <w:r>
              <w:rPr>
                <w:webHidden/>
                <w:rStyle w:val="IndexLink"/>
                <w:rtl w:val="true"/>
              </w:rPr>
              <w:t>المقام الأوّل فی دلالة النهی علی الفساد فی العبادات</w:t>
            </w:r>
            <w:r>
              <w:rPr>
                <w:rStyle w:val="IndexLink"/>
                <w:rtl w:val="true"/>
              </w:rPr>
              <w:tab/>
            </w:r>
            <w:r>
              <w:rPr>
                <w:rStyle w:val="IndexLink"/>
              </w:rPr>
              <w:t>219</w:t>
            </w:r>
          </w:hyperlink>
        </w:p>
        <w:p>
          <w:pPr>
            <w:pStyle w:val="Contents5"/>
            <w:tabs>
              <w:tab w:val="clear" w:pos="7892"/>
              <w:tab w:val="right" w:pos="9026" w:leader="dot"/>
            </w:tabs>
            <w:rPr/>
          </w:pPr>
          <w:hyperlink w:anchor="__RefHeading___Toc5145897_73709187">
            <w:r>
              <w:rPr>
                <w:webHidden/>
                <w:rStyle w:val="IndexLink"/>
                <w:rtl w:val="true"/>
              </w:rPr>
              <w:t>المقام الثانی فی اقتضاء النهی للفساد فی المعاملات و عدمه</w:t>
            </w:r>
            <w:r>
              <w:rPr>
                <w:rStyle w:val="IndexLink"/>
                <w:rtl w:val="true"/>
              </w:rPr>
              <w:tab/>
            </w:r>
            <w:r>
              <w:rPr>
                <w:rStyle w:val="IndexLink"/>
              </w:rPr>
              <w:t>221</w:t>
            </w:r>
          </w:hyperlink>
        </w:p>
        <w:p>
          <w:pPr>
            <w:pStyle w:val="Contents6"/>
            <w:tabs>
              <w:tab w:val="clear" w:pos="7609"/>
              <w:tab w:val="right" w:pos="9026" w:leader="dot"/>
            </w:tabs>
            <w:rPr/>
          </w:pPr>
          <w:hyperlink w:anchor="__RefHeading___Toc5145899_73709187">
            <w:r>
              <w:rPr>
                <w:webHidden/>
                <w:rStyle w:val="IndexLink"/>
                <w:rtl w:val="true"/>
              </w:rPr>
              <w:t>اشارة</w:t>
            </w:r>
            <w:r>
              <w:rPr>
                <w:rStyle w:val="IndexLink"/>
                <w:rtl w:val="true"/>
              </w:rPr>
              <w:tab/>
            </w:r>
            <w:r>
              <w:rPr>
                <w:rStyle w:val="IndexLink"/>
              </w:rPr>
              <w:t>221</w:t>
            </w:r>
          </w:hyperlink>
        </w:p>
        <w:p>
          <w:pPr>
            <w:pStyle w:val="Contents6"/>
            <w:tabs>
              <w:tab w:val="clear" w:pos="7609"/>
              <w:tab w:val="right" w:pos="9026" w:leader="dot"/>
            </w:tabs>
            <w:rPr/>
          </w:pPr>
          <w:hyperlink w:anchor="__RefHeading___Toc5145901_73709187">
            <w:r>
              <w:rPr>
                <w:webHidden/>
                <w:rStyle w:val="IndexLink"/>
                <w:rtl w:val="true"/>
              </w:rPr>
              <w:t>حول الروایات التی استدلّ بها لدلالة النهی علی الفساد</w:t>
            </w:r>
            <w:r>
              <w:rPr>
                <w:rStyle w:val="IndexLink"/>
                <w:rtl w:val="true"/>
              </w:rPr>
              <w:tab/>
            </w:r>
            <w:r>
              <w:rPr>
                <w:rStyle w:val="IndexLink"/>
              </w:rPr>
              <w:t>224</w:t>
            </w:r>
          </w:hyperlink>
        </w:p>
        <w:p>
          <w:pPr>
            <w:pStyle w:val="Contents6"/>
            <w:tabs>
              <w:tab w:val="clear" w:pos="7609"/>
              <w:tab w:val="right" w:pos="9026" w:leader="dot"/>
            </w:tabs>
            <w:rPr/>
          </w:pPr>
          <w:hyperlink w:anchor="__RefHeading___Toc5145903_73709187">
            <w:r>
              <w:rPr>
                <w:webHidden/>
                <w:rStyle w:val="IndexLink"/>
                <w:rtl w:val="true"/>
              </w:rPr>
              <w:t>تذنیب</w:t>
            </w:r>
            <w:r>
              <w:rPr>
                <w:rStyle w:val="IndexLink"/>
                <w:rtl w:val="true"/>
              </w:rPr>
              <w:t xml:space="preserve">: </w:t>
            </w:r>
            <w:r>
              <w:rPr>
                <w:rStyle w:val="IndexLink"/>
                <w:rtl w:val="true"/>
              </w:rPr>
              <w:t>فی دعوی دلالة النهی علی الصحة</w:t>
            </w:r>
            <w:r>
              <w:rPr>
                <w:rStyle w:val="IndexLink"/>
                <w:rtl w:val="true"/>
              </w:rPr>
              <w:tab/>
            </w:r>
            <w:r>
              <w:rPr>
                <w:rStyle w:val="IndexLink"/>
              </w:rPr>
              <w:t>228</w:t>
            </w:r>
          </w:hyperlink>
        </w:p>
        <w:p>
          <w:pPr>
            <w:pStyle w:val="Contents6"/>
            <w:tabs>
              <w:tab w:val="clear" w:pos="7609"/>
              <w:tab w:val="right" w:pos="9026" w:leader="dot"/>
            </w:tabs>
            <w:rPr/>
          </w:pPr>
          <w:hyperlink w:anchor="__RefHeading___Toc5145905_73709187">
            <w:r>
              <w:rPr>
                <w:webHidden/>
                <w:rStyle w:val="IndexLink"/>
                <w:rtl w:val="true"/>
              </w:rPr>
              <w:t>تنبیه</w:t>
            </w:r>
            <w:r>
              <w:rPr>
                <w:rStyle w:val="IndexLink"/>
                <w:rtl w:val="true"/>
              </w:rPr>
              <w:t xml:space="preserve">: </w:t>
            </w:r>
            <w:r>
              <w:rPr>
                <w:rStyle w:val="IndexLink"/>
                <w:rtl w:val="true"/>
              </w:rPr>
              <w:t>حول استتباع النهی عن الجزء أو الشرط أو الوصف للفساد</w:t>
            </w:r>
            <w:r>
              <w:rPr>
                <w:rStyle w:val="IndexLink"/>
                <w:rtl w:val="true"/>
              </w:rPr>
              <w:tab/>
            </w:r>
            <w:r>
              <w:rPr>
                <w:rStyle w:val="IndexLink"/>
              </w:rPr>
              <w:t>231</w:t>
            </w:r>
          </w:hyperlink>
        </w:p>
        <w:p>
          <w:pPr>
            <w:pStyle w:val="Contents2"/>
            <w:tabs>
              <w:tab w:val="clear" w:pos="8743"/>
              <w:tab w:val="right" w:pos="9026" w:leader="dot"/>
            </w:tabs>
            <w:rPr/>
          </w:pPr>
          <w:hyperlink w:anchor="__RefHeading___Toc5145907_73709187">
            <w:r>
              <w:rPr>
                <w:webHidden/>
                <w:rStyle w:val="IndexLink"/>
                <w:rtl w:val="true"/>
              </w:rPr>
              <w:t>المقصد الثالث فی المفاهیم</w:t>
            </w:r>
            <w:r>
              <w:rPr>
                <w:rStyle w:val="IndexLink"/>
                <w:rtl w:val="true"/>
              </w:rPr>
              <w:tab/>
            </w:r>
            <w:r>
              <w:rPr>
                <w:rStyle w:val="IndexLink"/>
              </w:rPr>
              <w:t>234</w:t>
            </w:r>
          </w:hyperlink>
        </w:p>
        <w:p>
          <w:pPr>
            <w:pStyle w:val="Contents3"/>
            <w:tabs>
              <w:tab w:val="clear" w:pos="8459"/>
              <w:tab w:val="right" w:pos="9026" w:leader="dot"/>
            </w:tabs>
            <w:rPr/>
          </w:pPr>
          <w:hyperlink w:anchor="__RefHeading___Toc5145909_73709187">
            <w:r>
              <w:rPr>
                <w:webHidden/>
                <w:rStyle w:val="IndexLink"/>
                <w:rtl w:val="true"/>
              </w:rPr>
              <w:t>اشارة</w:t>
            </w:r>
            <w:r>
              <w:rPr>
                <w:rStyle w:val="IndexLink"/>
                <w:rtl w:val="true"/>
              </w:rPr>
              <w:tab/>
            </w:r>
            <w:r>
              <w:rPr>
                <w:rStyle w:val="IndexLink"/>
              </w:rPr>
              <w:t>234</w:t>
            </w:r>
          </w:hyperlink>
        </w:p>
        <w:p>
          <w:pPr>
            <w:pStyle w:val="Contents3"/>
            <w:tabs>
              <w:tab w:val="clear" w:pos="8459"/>
              <w:tab w:val="right" w:pos="9026" w:leader="dot"/>
            </w:tabs>
            <w:rPr/>
          </w:pPr>
          <w:hyperlink w:anchor="__RefHeading___Toc5145911_73709187">
            <w:r>
              <w:rPr>
                <w:webHidden/>
                <w:rStyle w:val="IndexLink"/>
                <w:rtl w:val="true"/>
              </w:rPr>
              <w:t>مقدّمة فی تعریف المفهوم</w:t>
            </w:r>
            <w:r>
              <w:rPr>
                <w:rStyle w:val="IndexLink"/>
                <w:rtl w:val="true"/>
              </w:rPr>
              <w:tab/>
            </w:r>
            <w:r>
              <w:rPr>
                <w:rStyle w:val="IndexLink"/>
              </w:rPr>
              <w:t>235</w:t>
            </w:r>
          </w:hyperlink>
        </w:p>
        <w:p>
          <w:pPr>
            <w:pStyle w:val="Contents3"/>
            <w:tabs>
              <w:tab w:val="clear" w:pos="8459"/>
              <w:tab w:val="right" w:pos="9026" w:leader="dot"/>
            </w:tabs>
            <w:rPr/>
          </w:pPr>
          <w:hyperlink w:anchor="__RefHeading___Toc5145913_73709187">
            <w:r>
              <w:rPr>
                <w:webHidden/>
                <w:rStyle w:val="IndexLink"/>
                <w:rtl w:val="true"/>
              </w:rPr>
              <w:t>المقام الأوّل فی دلالة القضیة الشرطیة علی المفهوم و عدمها</w:t>
            </w:r>
            <w:r>
              <w:rPr>
                <w:rStyle w:val="IndexLink"/>
                <w:rtl w:val="true"/>
              </w:rPr>
              <w:tab/>
            </w:r>
            <w:r>
              <w:rPr>
                <w:rStyle w:val="IndexLink"/>
              </w:rPr>
              <w:t>238</w:t>
            </w:r>
          </w:hyperlink>
        </w:p>
        <w:p>
          <w:pPr>
            <w:pStyle w:val="Contents4"/>
            <w:tabs>
              <w:tab w:val="clear" w:pos="8176"/>
              <w:tab w:val="right" w:pos="9026" w:leader="dot"/>
            </w:tabs>
            <w:rPr/>
          </w:pPr>
          <w:hyperlink w:anchor="__RefHeading___Toc5145915_73709187">
            <w:r>
              <w:rPr>
                <w:webHidden/>
                <w:rStyle w:val="IndexLink"/>
                <w:rtl w:val="true"/>
              </w:rPr>
              <w:t>اشارة</w:t>
            </w:r>
            <w:r>
              <w:rPr>
                <w:rStyle w:val="IndexLink"/>
                <w:rtl w:val="true"/>
              </w:rPr>
              <w:tab/>
            </w:r>
            <w:r>
              <w:rPr>
                <w:rStyle w:val="IndexLink"/>
              </w:rPr>
              <w:t>238</w:t>
            </w:r>
          </w:hyperlink>
        </w:p>
        <w:p>
          <w:pPr>
            <w:pStyle w:val="Contents4"/>
            <w:tabs>
              <w:tab w:val="clear" w:pos="8176"/>
              <w:tab w:val="right" w:pos="9026" w:leader="dot"/>
            </w:tabs>
            <w:rPr/>
          </w:pPr>
          <w:hyperlink w:anchor="__RefHeading___Toc5145917_73709187">
            <w:r>
              <w:rPr>
                <w:webHidden/>
                <w:rStyle w:val="IndexLink"/>
                <w:rtl w:val="true"/>
              </w:rPr>
              <w:t>الوجه الأوّل</w:t>
            </w:r>
            <w:r>
              <w:rPr>
                <w:rStyle w:val="IndexLink"/>
                <w:rtl w:val="true"/>
              </w:rPr>
              <w:t xml:space="preserve">: </w:t>
            </w:r>
            <w:r>
              <w:rPr>
                <w:rStyle w:val="IndexLink"/>
                <w:rtl w:val="true"/>
              </w:rPr>
              <w:t>ما هو المنسوب إلی القدماء</w:t>
            </w:r>
            <w:r>
              <w:rPr>
                <w:rStyle w:val="IndexLink"/>
                <w:rtl w:val="true"/>
              </w:rPr>
              <w:tab/>
            </w:r>
            <w:r>
              <w:rPr>
                <w:rStyle w:val="IndexLink"/>
              </w:rPr>
              <w:t>238</w:t>
            </w:r>
          </w:hyperlink>
        </w:p>
        <w:p>
          <w:pPr>
            <w:pStyle w:val="Contents4"/>
            <w:tabs>
              <w:tab w:val="clear" w:pos="8176"/>
              <w:tab w:val="right" w:pos="9026" w:leader="dot"/>
            </w:tabs>
            <w:rPr/>
          </w:pPr>
          <w:hyperlink w:anchor="__RefHeading___Toc5145919_73709187">
            <w:r>
              <w:rPr>
                <w:webHidden/>
                <w:rStyle w:val="IndexLink"/>
                <w:rtl w:val="true"/>
              </w:rPr>
              <w:t>الوجه الثانی</w:t>
            </w:r>
            <w:r>
              <w:rPr>
                <w:rStyle w:val="IndexLink"/>
                <w:rtl w:val="true"/>
              </w:rPr>
              <w:t xml:space="preserve">: </w:t>
            </w:r>
            <w:r>
              <w:rPr>
                <w:rStyle w:val="IndexLink"/>
                <w:rtl w:val="true"/>
              </w:rPr>
              <w:t>ما هو المعروف بین المتأخّرین</w:t>
            </w:r>
            <w:r>
              <w:rPr>
                <w:rStyle w:val="IndexLink"/>
                <w:rtl w:val="true"/>
              </w:rPr>
              <w:tab/>
            </w:r>
            <w:r>
              <w:rPr>
                <w:rStyle w:val="IndexLink"/>
              </w:rPr>
              <w:t>240</w:t>
            </w:r>
          </w:hyperlink>
        </w:p>
        <w:p>
          <w:pPr>
            <w:pStyle w:val="Contents5"/>
            <w:tabs>
              <w:tab w:val="clear" w:pos="7892"/>
              <w:tab w:val="right" w:pos="9026" w:leader="dot"/>
            </w:tabs>
            <w:rPr/>
          </w:pPr>
          <w:hyperlink w:anchor="__RefHeading___Toc5145921_73709187">
            <w:r>
              <w:rPr>
                <w:webHidden/>
                <w:rStyle w:val="IndexLink"/>
                <w:rtl w:val="true"/>
              </w:rPr>
              <w:t>اشارة</w:t>
            </w:r>
            <w:r>
              <w:rPr>
                <w:rStyle w:val="IndexLink"/>
                <w:rtl w:val="true"/>
              </w:rPr>
              <w:tab/>
            </w:r>
            <w:r>
              <w:rPr>
                <w:rStyle w:val="IndexLink"/>
              </w:rPr>
              <w:t>240</w:t>
            </w:r>
          </w:hyperlink>
        </w:p>
        <w:p>
          <w:pPr>
            <w:pStyle w:val="Contents5"/>
            <w:tabs>
              <w:tab w:val="clear" w:pos="7892"/>
              <w:tab w:val="right" w:pos="9026" w:leader="dot"/>
            </w:tabs>
            <w:rPr/>
          </w:pPr>
          <w:hyperlink w:anchor="__RefHeading___Toc5145923_73709187">
            <w:r>
              <w:rPr>
                <w:webHidden/>
                <w:rStyle w:val="IndexLink"/>
                <w:rtl w:val="true"/>
              </w:rPr>
              <w:t>الأمر الأوّل</w:t>
            </w:r>
            <w:r>
              <w:rPr>
                <w:rStyle w:val="IndexLink"/>
                <w:rtl w:val="true"/>
              </w:rPr>
              <w:t xml:space="preserve">: </w:t>
            </w:r>
            <w:r>
              <w:rPr>
                <w:rStyle w:val="IndexLink"/>
                <w:rtl w:val="true"/>
              </w:rPr>
              <w:t>فی حقیقة المفهوم</w:t>
            </w:r>
            <w:r>
              <w:rPr>
                <w:rStyle w:val="IndexLink"/>
                <w:rtl w:val="true"/>
              </w:rPr>
              <w:tab/>
            </w:r>
            <w:r>
              <w:rPr>
                <w:rStyle w:val="IndexLink"/>
              </w:rPr>
              <w:t>242</w:t>
            </w:r>
          </w:hyperlink>
        </w:p>
        <w:p>
          <w:pPr>
            <w:pStyle w:val="Contents5"/>
            <w:tabs>
              <w:tab w:val="clear" w:pos="7892"/>
              <w:tab w:val="right" w:pos="9026" w:leader="dot"/>
            </w:tabs>
            <w:rPr/>
          </w:pPr>
          <w:hyperlink w:anchor="__RefHeading___Toc5145925_73709187">
            <w:r>
              <w:rPr>
                <w:webHidden/>
                <w:rStyle w:val="IndexLink"/>
                <w:rtl w:val="true"/>
              </w:rPr>
              <w:t>الأمر الثانی</w:t>
            </w:r>
            <w:r>
              <w:rPr>
                <w:rStyle w:val="IndexLink"/>
                <w:rtl w:val="true"/>
              </w:rPr>
              <w:t xml:space="preserve">: </w:t>
            </w:r>
            <w:r>
              <w:rPr>
                <w:rStyle w:val="IndexLink"/>
                <w:rtl w:val="true"/>
              </w:rPr>
              <w:t>فی تعدّد الشرط و اتحاد الجزاء</w:t>
            </w:r>
            <w:r>
              <w:rPr>
                <w:rStyle w:val="IndexLink"/>
                <w:rtl w:val="true"/>
              </w:rPr>
              <w:tab/>
            </w:r>
            <w:r>
              <w:rPr>
                <w:rStyle w:val="IndexLink"/>
              </w:rPr>
              <w:t>244</w:t>
            </w:r>
          </w:hyperlink>
        </w:p>
        <w:p>
          <w:pPr>
            <w:pStyle w:val="Contents5"/>
            <w:tabs>
              <w:tab w:val="clear" w:pos="7892"/>
              <w:tab w:val="right" w:pos="9026" w:leader="dot"/>
            </w:tabs>
            <w:rPr/>
          </w:pPr>
          <w:hyperlink w:anchor="__RefHeading___Toc5145927_73709187">
            <w:r>
              <w:rPr>
                <w:webHidden/>
                <w:rStyle w:val="IndexLink"/>
                <w:rtl w:val="true"/>
              </w:rPr>
              <w:t>الأمر الثالث</w:t>
            </w:r>
            <w:r>
              <w:rPr>
                <w:rStyle w:val="IndexLink"/>
                <w:rtl w:val="true"/>
              </w:rPr>
              <w:t xml:space="preserve">: </w:t>
            </w:r>
            <w:r>
              <w:rPr>
                <w:rStyle w:val="IndexLink"/>
                <w:rtl w:val="true"/>
              </w:rPr>
              <w:t>فی تداخل الأسباب و المسبّبات</w:t>
            </w:r>
            <w:r>
              <w:rPr>
                <w:rStyle w:val="IndexLink"/>
                <w:rtl w:val="true"/>
              </w:rPr>
              <w:tab/>
            </w:r>
            <w:r>
              <w:rPr>
                <w:rStyle w:val="IndexLink"/>
              </w:rPr>
              <w:t>246</w:t>
            </w:r>
          </w:hyperlink>
        </w:p>
        <w:p>
          <w:pPr>
            <w:pStyle w:val="Contents6"/>
            <w:tabs>
              <w:tab w:val="clear" w:pos="7609"/>
              <w:tab w:val="right" w:pos="9026" w:leader="dot"/>
            </w:tabs>
            <w:rPr/>
          </w:pPr>
          <w:hyperlink w:anchor="__RefHeading___Toc5145929_73709187">
            <w:r>
              <w:rPr>
                <w:webHidden/>
                <w:rStyle w:val="IndexLink"/>
                <w:rtl w:val="true"/>
              </w:rPr>
              <w:t>اشارة</w:t>
            </w:r>
            <w:r>
              <w:rPr>
                <w:rStyle w:val="IndexLink"/>
                <w:rtl w:val="true"/>
              </w:rPr>
              <w:tab/>
            </w:r>
            <w:r>
              <w:rPr>
                <w:rStyle w:val="IndexLink"/>
              </w:rPr>
              <w:t>246</w:t>
            </w:r>
          </w:hyperlink>
        </w:p>
        <w:p>
          <w:pPr>
            <w:pStyle w:val="Contents6"/>
            <w:tabs>
              <w:tab w:val="clear" w:pos="7609"/>
              <w:tab w:val="right" w:pos="9026" w:leader="dot"/>
            </w:tabs>
            <w:rPr/>
          </w:pPr>
          <w:hyperlink w:anchor="__RefHeading___Toc5145931_73709187">
            <w:r>
              <w:rPr>
                <w:webHidden/>
                <w:rStyle w:val="IndexLink"/>
                <w:rtl w:val="true"/>
              </w:rPr>
              <w:t>حول مقتضی القواعد اللفظیّة</w:t>
            </w:r>
            <w:r>
              <w:rPr>
                <w:rStyle w:val="IndexLink"/>
                <w:rtl w:val="true"/>
              </w:rPr>
              <w:tab/>
            </w:r>
            <w:r>
              <w:rPr>
                <w:rStyle w:val="IndexLink"/>
              </w:rPr>
              <w:t>249</w:t>
            </w:r>
          </w:hyperlink>
        </w:p>
        <w:p>
          <w:pPr>
            <w:pStyle w:val="Contents6"/>
            <w:tabs>
              <w:tab w:val="clear" w:pos="7609"/>
              <w:tab w:val="right" w:pos="9026" w:leader="dot"/>
            </w:tabs>
            <w:rPr/>
          </w:pPr>
          <w:hyperlink w:anchor="__RefHeading___Toc5145933_73709187">
            <w:r>
              <w:rPr>
                <w:webHidden/>
                <w:rStyle w:val="IndexLink"/>
                <w:rtl w:val="true"/>
              </w:rPr>
              <w:t>فیما أفاده الشیخ الأعظم فی هذا المقام</w:t>
            </w:r>
            <w:r>
              <w:rPr>
                <w:rStyle w:val="IndexLink"/>
                <w:rtl w:val="true"/>
              </w:rPr>
              <w:tab/>
            </w:r>
            <w:r>
              <w:rPr>
                <w:rStyle w:val="IndexLink"/>
              </w:rPr>
              <w:t>249</w:t>
            </w:r>
          </w:hyperlink>
        </w:p>
        <w:p>
          <w:pPr>
            <w:pStyle w:val="Contents5"/>
            <w:tabs>
              <w:tab w:val="clear" w:pos="7892"/>
              <w:tab w:val="right" w:pos="9026" w:leader="dot"/>
            </w:tabs>
            <w:rPr/>
          </w:pPr>
          <w:hyperlink w:anchor="__RefHeading___Toc5145935_73709187">
            <w:r>
              <w:rPr>
                <w:webHidden/>
                <w:rStyle w:val="IndexLink"/>
                <w:rtl w:val="true"/>
              </w:rPr>
              <w:t>الأمر الرابع</w:t>
            </w:r>
            <w:r>
              <w:rPr>
                <w:rStyle w:val="IndexLink"/>
                <w:rtl w:val="true"/>
              </w:rPr>
              <w:t xml:space="preserve">: </w:t>
            </w:r>
            <w:r>
              <w:rPr>
                <w:rStyle w:val="IndexLink"/>
                <w:rtl w:val="true"/>
              </w:rPr>
              <w:t>فی اعتبار وحدة المنطوق و المفهوم إلاّ فی الحکم</w:t>
            </w:r>
            <w:r>
              <w:rPr>
                <w:rStyle w:val="IndexLink"/>
                <w:rtl w:val="true"/>
              </w:rPr>
              <w:tab/>
            </w:r>
            <w:r>
              <w:rPr>
                <w:rStyle w:val="IndexLink"/>
              </w:rPr>
              <w:t>257</w:t>
            </w:r>
          </w:hyperlink>
        </w:p>
        <w:p>
          <w:pPr>
            <w:pStyle w:val="Contents3"/>
            <w:tabs>
              <w:tab w:val="clear" w:pos="8459"/>
              <w:tab w:val="right" w:pos="9026" w:leader="dot"/>
            </w:tabs>
            <w:rPr/>
          </w:pPr>
          <w:hyperlink w:anchor="__RefHeading___Toc5145937_73709187">
            <w:r>
              <w:rPr>
                <w:webHidden/>
                <w:rStyle w:val="IndexLink"/>
                <w:rtl w:val="true"/>
              </w:rPr>
              <w:t>المقام الثانی فی مفهوم الغایة</w:t>
            </w:r>
            <w:r>
              <w:rPr>
                <w:rStyle w:val="IndexLink"/>
                <w:rtl w:val="true"/>
              </w:rPr>
              <w:tab/>
            </w:r>
            <w:r>
              <w:rPr>
                <w:rStyle w:val="IndexLink"/>
              </w:rPr>
              <w:t>259</w:t>
            </w:r>
          </w:hyperlink>
        </w:p>
        <w:p>
          <w:pPr>
            <w:pStyle w:val="Contents2"/>
            <w:tabs>
              <w:tab w:val="clear" w:pos="8743"/>
              <w:tab w:val="right" w:pos="9026" w:leader="dot"/>
            </w:tabs>
            <w:rPr/>
          </w:pPr>
          <w:hyperlink w:anchor="__RefHeading___Toc5145939_73709187">
            <w:r>
              <w:rPr>
                <w:webHidden/>
                <w:rStyle w:val="IndexLink"/>
                <w:rtl w:val="true"/>
              </w:rPr>
              <w:t>المقصد الرابع فی العامّ و الخاصّ</w:t>
            </w:r>
            <w:r>
              <w:rPr>
                <w:rStyle w:val="IndexLink"/>
                <w:rtl w:val="true"/>
              </w:rPr>
              <w:tab/>
            </w:r>
            <w:r>
              <w:rPr>
                <w:rStyle w:val="IndexLink"/>
              </w:rPr>
              <w:t>262</w:t>
            </w:r>
          </w:hyperlink>
        </w:p>
        <w:p>
          <w:pPr>
            <w:pStyle w:val="Contents3"/>
            <w:tabs>
              <w:tab w:val="clear" w:pos="8459"/>
              <w:tab w:val="right" w:pos="9026" w:leader="dot"/>
            </w:tabs>
            <w:rPr/>
          </w:pPr>
          <w:hyperlink w:anchor="__RefHeading___Toc5145941_73709187">
            <w:r>
              <w:rPr>
                <w:webHidden/>
                <w:rStyle w:val="IndexLink"/>
                <w:rtl w:val="true"/>
              </w:rPr>
              <w:t>اشارة</w:t>
            </w:r>
            <w:r>
              <w:rPr>
                <w:rStyle w:val="IndexLink"/>
                <w:rtl w:val="true"/>
              </w:rPr>
              <w:tab/>
            </w:r>
            <w:r>
              <w:rPr>
                <w:rStyle w:val="IndexLink"/>
              </w:rPr>
              <w:t>262</w:t>
            </w:r>
          </w:hyperlink>
        </w:p>
        <w:p>
          <w:pPr>
            <w:pStyle w:val="Contents3"/>
            <w:tabs>
              <w:tab w:val="clear" w:pos="8459"/>
              <w:tab w:val="right" w:pos="9026" w:leader="dot"/>
            </w:tabs>
            <w:rPr/>
          </w:pPr>
          <w:hyperlink w:anchor="__RefHeading___Toc5145943_73709187">
            <w:r>
              <w:rPr>
                <w:webHidden/>
                <w:rStyle w:val="IndexLink"/>
                <w:rtl w:val="true"/>
              </w:rPr>
              <w:t>مقدّمة</w:t>
            </w:r>
            <w:r>
              <w:rPr>
                <w:rStyle w:val="IndexLink"/>
                <w:rtl w:val="true"/>
              </w:rPr>
              <w:tab/>
            </w:r>
            <w:r>
              <w:rPr>
                <w:rStyle w:val="IndexLink"/>
              </w:rPr>
              <w:t>263</w:t>
            </w:r>
          </w:hyperlink>
        </w:p>
        <w:p>
          <w:pPr>
            <w:pStyle w:val="Contents4"/>
            <w:tabs>
              <w:tab w:val="clear" w:pos="8176"/>
              <w:tab w:val="right" w:pos="9026" w:leader="dot"/>
            </w:tabs>
            <w:rPr/>
          </w:pPr>
          <w:hyperlink w:anchor="__RefHeading___Toc5145945_73709187">
            <w:r>
              <w:rPr>
                <w:webHidden/>
                <w:rStyle w:val="IndexLink"/>
                <w:rtl w:val="true"/>
              </w:rPr>
              <w:t>اشارة</w:t>
            </w:r>
            <w:r>
              <w:rPr>
                <w:rStyle w:val="IndexLink"/>
                <w:rtl w:val="true"/>
              </w:rPr>
              <w:tab/>
            </w:r>
            <w:r>
              <w:rPr>
                <w:rStyle w:val="IndexLink"/>
              </w:rPr>
              <w:t>263</w:t>
            </w:r>
          </w:hyperlink>
        </w:p>
        <w:p>
          <w:pPr>
            <w:pStyle w:val="Contents4"/>
            <w:tabs>
              <w:tab w:val="clear" w:pos="8176"/>
              <w:tab w:val="right" w:pos="9026" w:leader="dot"/>
            </w:tabs>
            <w:rPr/>
          </w:pPr>
          <w:hyperlink w:anchor="__RefHeading___Toc5145947_73709187">
            <w:r>
              <w:rPr>
                <w:webHidden/>
                <w:rStyle w:val="IndexLink"/>
                <w:rtl w:val="true"/>
              </w:rPr>
              <w:t>الأمر الأوّل</w:t>
            </w:r>
            <w:r>
              <w:rPr>
                <w:rStyle w:val="IndexLink"/>
                <w:rtl w:val="true"/>
              </w:rPr>
              <w:t xml:space="preserve">: </w:t>
            </w:r>
            <w:r>
              <w:rPr>
                <w:rStyle w:val="IndexLink"/>
                <w:rtl w:val="true"/>
              </w:rPr>
              <w:t>فیما تحکی عنه أسماء الطبائع</w:t>
            </w:r>
            <w:r>
              <w:rPr>
                <w:rStyle w:val="IndexLink"/>
                <w:rtl w:val="true"/>
              </w:rPr>
              <w:tab/>
            </w:r>
            <w:r>
              <w:rPr>
                <w:rStyle w:val="IndexLink"/>
              </w:rPr>
              <w:t>263</w:t>
            </w:r>
          </w:hyperlink>
        </w:p>
        <w:p>
          <w:pPr>
            <w:pStyle w:val="Contents4"/>
            <w:tabs>
              <w:tab w:val="clear" w:pos="8176"/>
              <w:tab w:val="right" w:pos="9026" w:leader="dot"/>
            </w:tabs>
            <w:rPr/>
          </w:pPr>
          <w:hyperlink w:anchor="__RefHeading___Toc5145949_73709187">
            <w:r>
              <w:rPr>
                <w:webHidden/>
                <w:rStyle w:val="IndexLink"/>
                <w:rtl w:val="true"/>
              </w:rPr>
              <w:t>الأمر الثانی</w:t>
            </w:r>
            <w:r>
              <w:rPr>
                <w:rStyle w:val="IndexLink"/>
                <w:rtl w:val="true"/>
              </w:rPr>
              <w:t xml:space="preserve">: </w:t>
            </w:r>
            <w:r>
              <w:rPr>
                <w:rStyle w:val="IndexLink"/>
                <w:rtl w:val="true"/>
              </w:rPr>
              <w:t>فی الفرق بین العامّ و المطلق</w:t>
            </w:r>
            <w:r>
              <w:rPr>
                <w:rStyle w:val="IndexLink"/>
                <w:rtl w:val="true"/>
              </w:rPr>
              <w:tab/>
            </w:r>
            <w:r>
              <w:rPr>
                <w:rStyle w:val="IndexLink"/>
              </w:rPr>
              <w:t>264</w:t>
            </w:r>
          </w:hyperlink>
        </w:p>
        <w:p>
          <w:pPr>
            <w:pStyle w:val="Contents4"/>
            <w:tabs>
              <w:tab w:val="clear" w:pos="8176"/>
              <w:tab w:val="right" w:pos="9026" w:leader="dot"/>
            </w:tabs>
            <w:rPr/>
          </w:pPr>
          <w:hyperlink w:anchor="__RefHeading___Toc5145951_73709187">
            <w:r>
              <w:rPr>
                <w:webHidden/>
                <w:rStyle w:val="IndexLink"/>
                <w:rtl w:val="true"/>
              </w:rPr>
              <w:t>الأمر الثالث</w:t>
            </w:r>
            <w:r>
              <w:rPr>
                <w:rStyle w:val="IndexLink"/>
                <w:rtl w:val="true"/>
              </w:rPr>
              <w:t xml:space="preserve">: </w:t>
            </w:r>
            <w:r>
              <w:rPr>
                <w:rStyle w:val="IndexLink"/>
                <w:rtl w:val="true"/>
              </w:rPr>
              <w:t>فی استغناء العامّ عن مقدّمات الحکمة</w:t>
            </w:r>
            <w:r>
              <w:rPr>
                <w:rStyle w:val="IndexLink"/>
                <w:rtl w:val="true"/>
              </w:rPr>
              <w:tab/>
            </w:r>
            <w:r>
              <w:rPr>
                <w:rStyle w:val="IndexLink"/>
              </w:rPr>
              <w:t>265</w:t>
            </w:r>
          </w:hyperlink>
        </w:p>
        <w:p>
          <w:pPr>
            <w:pStyle w:val="Contents4"/>
            <w:tabs>
              <w:tab w:val="clear" w:pos="8176"/>
              <w:tab w:val="right" w:pos="9026" w:leader="dot"/>
            </w:tabs>
            <w:rPr/>
          </w:pPr>
          <w:hyperlink w:anchor="__RefHeading___Toc5145953_73709187">
            <w:r>
              <w:rPr>
                <w:webHidden/>
                <w:rStyle w:val="IndexLink"/>
                <w:rtl w:val="true"/>
              </w:rPr>
              <w:t>الأمر الرابع</w:t>
            </w:r>
            <w:r>
              <w:rPr>
                <w:rStyle w:val="IndexLink"/>
                <w:rtl w:val="true"/>
              </w:rPr>
              <w:t xml:space="preserve">: </w:t>
            </w:r>
            <w:r>
              <w:rPr>
                <w:rStyle w:val="IndexLink"/>
                <w:rtl w:val="true"/>
              </w:rPr>
              <w:t>فی أقسام العموم</w:t>
            </w:r>
            <w:r>
              <w:rPr>
                <w:rStyle w:val="IndexLink"/>
                <w:rtl w:val="true"/>
              </w:rPr>
              <w:tab/>
            </w:r>
            <w:r>
              <w:rPr>
                <w:rStyle w:val="IndexLink"/>
              </w:rPr>
              <w:t>266</w:t>
            </w:r>
          </w:hyperlink>
        </w:p>
        <w:p>
          <w:pPr>
            <w:pStyle w:val="Contents4"/>
            <w:tabs>
              <w:tab w:val="clear" w:pos="8176"/>
              <w:tab w:val="right" w:pos="9026" w:leader="dot"/>
            </w:tabs>
            <w:rPr/>
          </w:pPr>
          <w:hyperlink w:anchor="__RefHeading___Toc5145955_73709187">
            <w:r>
              <w:rPr>
                <w:webHidden/>
                <w:rStyle w:val="IndexLink"/>
                <w:rtl w:val="true"/>
              </w:rPr>
              <w:t>الأمر الخامس</w:t>
            </w:r>
            <w:r>
              <w:rPr>
                <w:rStyle w:val="IndexLink"/>
                <w:rtl w:val="true"/>
              </w:rPr>
              <w:t xml:space="preserve">: </w:t>
            </w:r>
            <w:r>
              <w:rPr>
                <w:rStyle w:val="IndexLink"/>
                <w:rtl w:val="true"/>
              </w:rPr>
              <w:t>فیما عدّ من الألفاظ الدالّة علی العموم</w:t>
            </w:r>
            <w:r>
              <w:rPr>
                <w:rStyle w:val="IndexLink"/>
                <w:rtl w:val="true"/>
              </w:rPr>
              <w:tab/>
            </w:r>
            <w:r>
              <w:rPr>
                <w:rStyle w:val="IndexLink"/>
              </w:rPr>
              <w:t>268</w:t>
            </w:r>
          </w:hyperlink>
        </w:p>
        <w:p>
          <w:pPr>
            <w:pStyle w:val="Contents3"/>
            <w:tabs>
              <w:tab w:val="clear" w:pos="8459"/>
              <w:tab w:val="right" w:pos="9026" w:leader="dot"/>
            </w:tabs>
            <w:rPr/>
          </w:pPr>
          <w:hyperlink w:anchor="__RefHeading___Toc5145957_73709187">
            <w:r>
              <w:rPr>
                <w:webHidden/>
                <w:rStyle w:val="IndexLink"/>
                <w:rtl w:val="true"/>
              </w:rPr>
              <w:t>الفصل الأوّل فی حجّیة العامّ المخصّص فی الباقی</w:t>
            </w:r>
            <w:r>
              <w:rPr>
                <w:rStyle w:val="IndexLink"/>
                <w:rtl w:val="true"/>
              </w:rPr>
              <w:tab/>
            </w:r>
            <w:r>
              <w:rPr>
                <w:rStyle w:val="IndexLink"/>
              </w:rPr>
              <w:t>270</w:t>
            </w:r>
          </w:hyperlink>
        </w:p>
        <w:p>
          <w:pPr>
            <w:pStyle w:val="Contents4"/>
            <w:tabs>
              <w:tab w:val="clear" w:pos="8176"/>
              <w:tab w:val="right" w:pos="9026" w:leader="dot"/>
            </w:tabs>
            <w:rPr/>
          </w:pPr>
          <w:hyperlink w:anchor="__RefHeading___Toc5145959_73709187">
            <w:r>
              <w:rPr>
                <w:webHidden/>
                <w:rStyle w:val="IndexLink"/>
                <w:rtl w:val="true"/>
              </w:rPr>
              <w:t>اشارة</w:t>
            </w:r>
            <w:r>
              <w:rPr>
                <w:rStyle w:val="IndexLink"/>
                <w:rtl w:val="true"/>
              </w:rPr>
              <w:tab/>
            </w:r>
            <w:r>
              <w:rPr>
                <w:rStyle w:val="IndexLink"/>
              </w:rPr>
              <w:t>270</w:t>
            </w:r>
          </w:hyperlink>
        </w:p>
        <w:p>
          <w:pPr>
            <w:pStyle w:val="Contents4"/>
            <w:tabs>
              <w:tab w:val="clear" w:pos="8176"/>
              <w:tab w:val="right" w:pos="9026" w:leader="dot"/>
            </w:tabs>
            <w:rPr/>
          </w:pPr>
          <w:hyperlink w:anchor="__RefHeading___Toc5145961_73709187">
            <w:r>
              <w:rPr>
                <w:webHidden/>
                <w:rStyle w:val="IndexLink"/>
                <w:rtl w:val="true"/>
              </w:rPr>
              <w:t>حول مجازیّة العامّ المخصّص و عدمها</w:t>
            </w:r>
            <w:r>
              <w:rPr>
                <w:rStyle w:val="IndexLink"/>
                <w:rtl w:val="true"/>
              </w:rPr>
              <w:tab/>
            </w:r>
            <w:r>
              <w:rPr>
                <w:rStyle w:val="IndexLink"/>
              </w:rPr>
              <w:t>270</w:t>
            </w:r>
          </w:hyperlink>
        </w:p>
        <w:p>
          <w:pPr>
            <w:pStyle w:val="Contents3"/>
            <w:tabs>
              <w:tab w:val="clear" w:pos="8459"/>
              <w:tab w:val="right" w:pos="9026" w:leader="dot"/>
            </w:tabs>
            <w:rPr/>
          </w:pPr>
          <w:hyperlink w:anchor="__RefHeading___Toc5145963_73709187">
            <w:r>
              <w:rPr>
                <w:webHidden/>
                <w:rStyle w:val="IndexLink"/>
                <w:rtl w:val="true"/>
              </w:rPr>
              <w:t>الفصل الثانی فی تخصیص العامّ بالمجمل</w:t>
            </w:r>
            <w:r>
              <w:rPr>
                <w:rStyle w:val="IndexLink"/>
                <w:rtl w:val="true"/>
              </w:rPr>
              <w:tab/>
            </w:r>
            <w:r>
              <w:rPr>
                <w:rStyle w:val="IndexLink"/>
              </w:rPr>
              <w:t>276</w:t>
            </w:r>
          </w:hyperlink>
        </w:p>
        <w:p>
          <w:pPr>
            <w:pStyle w:val="Contents4"/>
            <w:tabs>
              <w:tab w:val="clear" w:pos="8176"/>
              <w:tab w:val="right" w:pos="9026" w:leader="dot"/>
            </w:tabs>
            <w:rPr/>
          </w:pPr>
          <w:hyperlink w:anchor="__RefHeading___Toc5145965_73709187">
            <w:r>
              <w:rPr>
                <w:webHidden/>
                <w:rStyle w:val="IndexLink"/>
                <w:rtl w:val="true"/>
              </w:rPr>
              <w:t>اشارة</w:t>
            </w:r>
            <w:r>
              <w:rPr>
                <w:rStyle w:val="IndexLink"/>
                <w:rtl w:val="true"/>
              </w:rPr>
              <w:tab/>
            </w:r>
            <w:r>
              <w:rPr>
                <w:rStyle w:val="IndexLink"/>
              </w:rPr>
              <w:t>276</w:t>
            </w:r>
          </w:hyperlink>
        </w:p>
        <w:p>
          <w:pPr>
            <w:pStyle w:val="Contents4"/>
            <w:tabs>
              <w:tab w:val="clear" w:pos="8176"/>
              <w:tab w:val="right" w:pos="9026" w:leader="dot"/>
            </w:tabs>
            <w:rPr/>
          </w:pPr>
          <w:hyperlink w:anchor="__RefHeading___Toc5145967_73709187">
            <w:r>
              <w:rPr>
                <w:webHidden/>
                <w:rStyle w:val="IndexLink"/>
                <w:rtl w:val="true"/>
              </w:rPr>
              <w:t>الجهة الاُولی</w:t>
            </w:r>
            <w:r>
              <w:rPr>
                <w:rStyle w:val="IndexLink"/>
                <w:rtl w:val="true"/>
              </w:rPr>
              <w:t xml:space="preserve">: </w:t>
            </w:r>
            <w:r>
              <w:rPr>
                <w:rStyle w:val="IndexLink"/>
                <w:rtl w:val="true"/>
              </w:rPr>
              <w:t>المخصّص اللفظی المجمل مفهوماً</w:t>
            </w:r>
            <w:r>
              <w:rPr>
                <w:rStyle w:val="IndexLink"/>
                <w:rtl w:val="true"/>
              </w:rPr>
              <w:tab/>
            </w:r>
            <w:r>
              <w:rPr>
                <w:rStyle w:val="IndexLink"/>
              </w:rPr>
              <w:t>276</w:t>
            </w:r>
          </w:hyperlink>
        </w:p>
        <w:p>
          <w:pPr>
            <w:pStyle w:val="Contents4"/>
            <w:tabs>
              <w:tab w:val="clear" w:pos="8176"/>
              <w:tab w:val="right" w:pos="9026" w:leader="dot"/>
            </w:tabs>
            <w:rPr/>
          </w:pPr>
          <w:hyperlink w:anchor="__RefHeading___Toc5145969_73709187">
            <w:r>
              <w:rPr>
                <w:webHidden/>
                <w:rStyle w:val="IndexLink"/>
                <w:rtl w:val="true"/>
              </w:rPr>
              <w:t>الجهة الثانیة</w:t>
            </w:r>
            <w:r>
              <w:rPr>
                <w:rStyle w:val="IndexLink"/>
                <w:rtl w:val="true"/>
              </w:rPr>
              <w:t xml:space="preserve">: </w:t>
            </w:r>
            <w:r>
              <w:rPr>
                <w:rStyle w:val="IndexLink"/>
                <w:rtl w:val="true"/>
              </w:rPr>
              <w:t>المخصّص اللفظی المجمل مصداقاً</w:t>
            </w:r>
            <w:r>
              <w:rPr>
                <w:rStyle w:val="IndexLink"/>
                <w:rtl w:val="true"/>
              </w:rPr>
              <w:tab/>
            </w:r>
            <w:r>
              <w:rPr>
                <w:rStyle w:val="IndexLink"/>
              </w:rPr>
              <w:t>279</w:t>
            </w:r>
          </w:hyperlink>
        </w:p>
        <w:p>
          <w:pPr>
            <w:pStyle w:val="Contents5"/>
            <w:tabs>
              <w:tab w:val="clear" w:pos="7892"/>
              <w:tab w:val="right" w:pos="9026" w:leader="dot"/>
            </w:tabs>
            <w:rPr/>
          </w:pPr>
          <w:hyperlink w:anchor="__RefHeading___Toc5145971_73709187">
            <w:r>
              <w:rPr>
                <w:webHidden/>
                <w:rStyle w:val="IndexLink"/>
                <w:rtl w:val="true"/>
              </w:rPr>
              <w:t>اشارة</w:t>
            </w:r>
            <w:r>
              <w:rPr>
                <w:rStyle w:val="IndexLink"/>
                <w:rtl w:val="true"/>
              </w:rPr>
              <w:tab/>
            </w:r>
            <w:r>
              <w:rPr>
                <w:rStyle w:val="IndexLink"/>
              </w:rPr>
              <w:t>279</w:t>
            </w:r>
          </w:hyperlink>
        </w:p>
        <w:p>
          <w:pPr>
            <w:pStyle w:val="Contents5"/>
            <w:tabs>
              <w:tab w:val="clear" w:pos="7892"/>
              <w:tab w:val="right" w:pos="9026" w:leader="dot"/>
            </w:tabs>
            <w:rPr/>
          </w:pPr>
          <w:hyperlink w:anchor="__RefHeading___Toc5145973_73709187">
            <w:r>
              <w:rPr>
                <w:webHidden/>
                <w:rStyle w:val="IndexLink"/>
                <w:rtl w:val="true"/>
              </w:rPr>
              <w:t>حول جواز التمسّک بالعامّ فی الشبهة المصداقیّة</w:t>
            </w:r>
            <w:r>
              <w:rPr>
                <w:rStyle w:val="IndexLink"/>
                <w:rtl w:val="true"/>
              </w:rPr>
              <w:tab/>
            </w:r>
            <w:r>
              <w:rPr>
                <w:rStyle w:val="IndexLink"/>
              </w:rPr>
              <w:t>280</w:t>
            </w:r>
          </w:hyperlink>
        </w:p>
        <w:p>
          <w:pPr>
            <w:pStyle w:val="Contents5"/>
            <w:tabs>
              <w:tab w:val="clear" w:pos="7892"/>
              <w:tab w:val="right" w:pos="9026" w:leader="dot"/>
            </w:tabs>
            <w:rPr/>
          </w:pPr>
          <w:hyperlink w:anchor="__RefHeading___Toc5145975_73709187">
            <w:r>
              <w:rPr>
                <w:webHidden/>
                <w:rStyle w:val="IndexLink"/>
                <w:rtl w:val="true"/>
              </w:rPr>
              <w:t>وجه آخر لعدم جواز التمسّک بالعامّ فی الشبهة المصداقیّة</w:t>
            </w:r>
            <w:r>
              <w:rPr>
                <w:rStyle w:val="IndexLink"/>
                <w:rtl w:val="true"/>
              </w:rPr>
              <w:tab/>
            </w:r>
            <w:r>
              <w:rPr>
                <w:rStyle w:val="IndexLink"/>
              </w:rPr>
              <w:t>282</w:t>
            </w:r>
          </w:hyperlink>
        </w:p>
        <w:p>
          <w:pPr>
            <w:pStyle w:val="Contents5"/>
            <w:tabs>
              <w:tab w:val="clear" w:pos="7892"/>
              <w:tab w:val="right" w:pos="9026" w:leader="dot"/>
            </w:tabs>
            <w:rPr/>
          </w:pPr>
          <w:hyperlink w:anchor="__RefHeading___Toc5145977_73709187">
            <w:r>
              <w:rPr>
                <w:webHidden/>
                <w:rStyle w:val="IndexLink"/>
                <w:rtl w:val="true"/>
              </w:rPr>
              <w:t>تفصیل المحقّق النائینی فی المخصّص اللبّی</w:t>
            </w:r>
            <w:r>
              <w:rPr>
                <w:rStyle w:val="IndexLink"/>
                <w:rtl w:val="true"/>
              </w:rPr>
              <w:tab/>
            </w:r>
            <w:r>
              <w:rPr>
                <w:rStyle w:val="IndexLink"/>
              </w:rPr>
              <w:t>284</w:t>
            </w:r>
          </w:hyperlink>
        </w:p>
        <w:p>
          <w:pPr>
            <w:pStyle w:val="Contents5"/>
            <w:tabs>
              <w:tab w:val="clear" w:pos="7892"/>
              <w:tab w:val="right" w:pos="9026" w:leader="dot"/>
            </w:tabs>
            <w:rPr/>
          </w:pPr>
          <w:hyperlink w:anchor="__RefHeading___Toc5145979_73709187">
            <w:r>
              <w:rPr>
                <w:webHidden/>
                <w:rStyle w:val="IndexLink"/>
                <w:rtl w:val="true"/>
              </w:rPr>
              <w:t>و ینبغی التنبیه علی امور</w:t>
            </w:r>
            <w:r>
              <w:rPr>
                <w:rStyle w:val="IndexLink"/>
                <w:rtl w:val="true"/>
              </w:rPr>
              <w:t>:</w:t>
              <w:tab/>
            </w:r>
            <w:r>
              <w:rPr>
                <w:rStyle w:val="IndexLink"/>
              </w:rPr>
              <w:t>287</w:t>
            </w:r>
          </w:hyperlink>
        </w:p>
        <w:p>
          <w:pPr>
            <w:pStyle w:val="Contents6"/>
            <w:tabs>
              <w:tab w:val="clear" w:pos="7609"/>
              <w:tab w:val="right" w:pos="9026" w:leader="dot"/>
            </w:tabs>
            <w:rPr/>
          </w:pPr>
          <w:hyperlink w:anchor="__RefHeading___Toc5145981_73709187">
            <w:r>
              <w:rPr>
                <w:webHidden/>
                <w:rStyle w:val="IndexLink"/>
                <w:rtl w:val="true"/>
              </w:rPr>
              <w:t>الأمر الأوّل</w:t>
            </w:r>
            <w:r>
              <w:rPr>
                <w:rStyle w:val="IndexLink"/>
                <w:rtl w:val="true"/>
              </w:rPr>
              <w:t xml:space="preserve">: </w:t>
            </w:r>
            <w:r>
              <w:rPr>
                <w:rStyle w:val="IndexLink"/>
                <w:rtl w:val="true"/>
              </w:rPr>
              <w:t>التمسّک بالعامّ مع کون الخاص معلّلاً</w:t>
            </w:r>
            <w:r>
              <w:rPr>
                <w:rStyle w:val="IndexLink"/>
                <w:rtl w:val="true"/>
              </w:rPr>
              <w:tab/>
            </w:r>
            <w:r>
              <w:rPr>
                <w:rStyle w:val="IndexLink"/>
              </w:rPr>
              <w:t>287</w:t>
            </w:r>
          </w:hyperlink>
        </w:p>
        <w:p>
          <w:pPr>
            <w:pStyle w:val="Contents6"/>
            <w:tabs>
              <w:tab w:val="clear" w:pos="7609"/>
              <w:tab w:val="right" w:pos="9026" w:leader="dot"/>
            </w:tabs>
            <w:rPr/>
          </w:pPr>
          <w:hyperlink w:anchor="__RefHeading___Toc5145983_73709187">
            <w:r>
              <w:rPr>
                <w:webHidden/>
                <w:rStyle w:val="IndexLink"/>
                <w:rtl w:val="true"/>
              </w:rPr>
              <w:t>الأمر الثانی</w:t>
            </w:r>
            <w:r>
              <w:rPr>
                <w:rStyle w:val="IndexLink"/>
                <w:rtl w:val="true"/>
              </w:rPr>
              <w:t xml:space="preserve">: </w:t>
            </w:r>
            <w:r>
              <w:rPr>
                <w:rStyle w:val="IndexLink"/>
                <w:rtl w:val="true"/>
              </w:rPr>
              <w:t>العامّین من وجه المتنافیی الحکم</w:t>
            </w:r>
            <w:r>
              <w:rPr>
                <w:rStyle w:val="IndexLink"/>
                <w:rtl w:val="true"/>
              </w:rPr>
              <w:tab/>
            </w:r>
            <w:r>
              <w:rPr>
                <w:rStyle w:val="IndexLink"/>
              </w:rPr>
              <w:t>287</w:t>
            </w:r>
          </w:hyperlink>
        </w:p>
        <w:p>
          <w:pPr>
            <w:pStyle w:val="Contents6"/>
            <w:tabs>
              <w:tab w:val="clear" w:pos="7609"/>
              <w:tab w:val="right" w:pos="9026" w:leader="dot"/>
            </w:tabs>
            <w:rPr/>
          </w:pPr>
          <w:hyperlink w:anchor="__RefHeading___Toc5145985_73709187">
            <w:r>
              <w:rPr>
                <w:webHidden/>
                <w:rStyle w:val="IndexLink"/>
                <w:rtl w:val="true"/>
              </w:rPr>
              <w:t>الأمر الثالث</w:t>
            </w:r>
            <w:r>
              <w:rPr>
                <w:rStyle w:val="IndexLink"/>
                <w:rtl w:val="true"/>
              </w:rPr>
              <w:t xml:space="preserve">: </w:t>
            </w:r>
            <w:r>
              <w:rPr>
                <w:rStyle w:val="IndexLink"/>
                <w:rtl w:val="true"/>
              </w:rPr>
              <w:t>إحراز المصداق بالأصل فی الشبهة المصداقیة</w:t>
            </w:r>
            <w:r>
              <w:rPr>
                <w:rStyle w:val="IndexLink"/>
                <w:rtl w:val="true"/>
              </w:rPr>
              <w:tab/>
            </w:r>
            <w:r>
              <w:rPr>
                <w:rStyle w:val="IndexLink"/>
              </w:rPr>
              <w:t>289</w:t>
            </w:r>
          </w:hyperlink>
        </w:p>
        <w:p>
          <w:pPr>
            <w:pStyle w:val="Contents6"/>
            <w:tabs>
              <w:tab w:val="clear" w:pos="7609"/>
              <w:tab w:val="right" w:pos="9026" w:leader="dot"/>
            </w:tabs>
            <w:rPr/>
          </w:pPr>
          <w:hyperlink w:anchor="__RefHeading___Toc5145987_73709187">
            <w:r>
              <w:rPr>
                <w:webHidden/>
                <w:rStyle w:val="IndexLink"/>
                <w:rtl w:val="true"/>
              </w:rPr>
              <w:t>تحقیق فی المقام</w:t>
            </w:r>
            <w:r>
              <w:rPr>
                <w:rStyle w:val="IndexLink"/>
                <w:rtl w:val="true"/>
              </w:rPr>
              <w:tab/>
            </w:r>
            <w:r>
              <w:rPr>
                <w:rStyle w:val="IndexLink"/>
              </w:rPr>
              <w:t>291</w:t>
            </w:r>
          </w:hyperlink>
        </w:p>
        <w:p>
          <w:pPr>
            <w:pStyle w:val="Contents6"/>
            <w:tabs>
              <w:tab w:val="clear" w:pos="7609"/>
              <w:tab w:val="right" w:pos="9026" w:leader="dot"/>
            </w:tabs>
            <w:rPr/>
          </w:pPr>
          <w:hyperlink w:anchor="__RefHeading___Toc5145989_73709187">
            <w:r>
              <w:rPr>
                <w:webHidden/>
                <w:rStyle w:val="IndexLink"/>
                <w:rtl w:val="true"/>
              </w:rPr>
              <w:t>الاُولی</w:t>
            </w:r>
            <w:r>
              <w:rPr>
                <w:rStyle w:val="IndexLink"/>
                <w:rtl w:val="true"/>
              </w:rPr>
              <w:t xml:space="preserve">: </w:t>
            </w:r>
            <w:r>
              <w:rPr>
                <w:rStyle w:val="IndexLink"/>
                <w:rtl w:val="true"/>
              </w:rPr>
              <w:t>أقسام القضایا بلحاظ النسبة</w:t>
            </w:r>
            <w:r>
              <w:rPr>
                <w:rStyle w:val="IndexLink"/>
                <w:rtl w:val="true"/>
              </w:rPr>
              <w:tab/>
            </w:r>
            <w:r>
              <w:rPr>
                <w:rStyle w:val="IndexLink"/>
              </w:rPr>
              <w:t>291</w:t>
            </w:r>
          </w:hyperlink>
        </w:p>
        <w:p>
          <w:pPr>
            <w:pStyle w:val="Contents6"/>
            <w:tabs>
              <w:tab w:val="clear" w:pos="7609"/>
              <w:tab w:val="right" w:pos="9026" w:leader="dot"/>
            </w:tabs>
            <w:rPr/>
          </w:pPr>
          <w:hyperlink w:anchor="__RefHeading___Toc5145991_73709187">
            <w:r>
              <w:rPr>
                <w:webHidden/>
                <w:rStyle w:val="IndexLink"/>
                <w:rtl w:val="true"/>
              </w:rPr>
              <w:t>الثانیة</w:t>
            </w:r>
            <w:r>
              <w:rPr>
                <w:rStyle w:val="IndexLink"/>
                <w:rtl w:val="true"/>
              </w:rPr>
              <w:t xml:space="preserve">: </w:t>
            </w:r>
            <w:r>
              <w:rPr>
                <w:rStyle w:val="IndexLink"/>
                <w:rtl w:val="true"/>
              </w:rPr>
              <w:t>مناط الصدق و الکذب فی القضایا</w:t>
            </w:r>
            <w:r>
              <w:rPr>
                <w:rStyle w:val="IndexLink"/>
                <w:rtl w:val="true"/>
              </w:rPr>
              <w:tab/>
            </w:r>
            <w:r>
              <w:rPr>
                <w:rStyle w:val="IndexLink"/>
              </w:rPr>
              <w:t>293</w:t>
            </w:r>
          </w:hyperlink>
        </w:p>
        <w:p>
          <w:pPr>
            <w:pStyle w:val="Contents6"/>
            <w:tabs>
              <w:tab w:val="clear" w:pos="7609"/>
              <w:tab w:val="right" w:pos="9026" w:leader="dot"/>
            </w:tabs>
            <w:rPr/>
          </w:pPr>
          <w:hyperlink w:anchor="__RefHeading___Toc5145993_73709187">
            <w:r>
              <w:rPr>
                <w:webHidden/>
                <w:rStyle w:val="IndexLink"/>
                <w:rtl w:val="true"/>
              </w:rPr>
              <w:t>الثالثة</w:t>
            </w:r>
            <w:r>
              <w:rPr>
                <w:rStyle w:val="IndexLink"/>
                <w:rtl w:val="true"/>
              </w:rPr>
              <w:t xml:space="preserve">: </w:t>
            </w:r>
            <w:r>
              <w:rPr>
                <w:rStyle w:val="IndexLink"/>
                <w:rtl w:val="true"/>
              </w:rPr>
              <w:t>فی القضایا المفتقرة إلی وجود الموضوع</w:t>
            </w:r>
            <w:r>
              <w:rPr>
                <w:rStyle w:val="IndexLink"/>
                <w:rtl w:val="true"/>
              </w:rPr>
              <w:tab/>
            </w:r>
            <w:r>
              <w:rPr>
                <w:rStyle w:val="IndexLink"/>
              </w:rPr>
              <w:t>294</w:t>
            </w:r>
          </w:hyperlink>
        </w:p>
        <w:p>
          <w:pPr>
            <w:pStyle w:val="Contents6"/>
            <w:tabs>
              <w:tab w:val="clear" w:pos="7609"/>
              <w:tab w:val="right" w:pos="9026" w:leader="dot"/>
            </w:tabs>
            <w:rPr/>
          </w:pPr>
          <w:hyperlink w:anchor="__RefHeading___Toc5145995_73709187">
            <w:r>
              <w:rPr>
                <w:webHidden/>
                <w:rStyle w:val="IndexLink"/>
                <w:rtl w:val="true"/>
              </w:rPr>
              <w:t>الرابعة</w:t>
            </w:r>
            <w:r>
              <w:rPr>
                <w:rStyle w:val="IndexLink"/>
                <w:rtl w:val="true"/>
              </w:rPr>
              <w:t xml:space="preserve">: </w:t>
            </w:r>
            <w:r>
              <w:rPr>
                <w:rStyle w:val="IndexLink"/>
                <w:rtl w:val="true"/>
              </w:rPr>
              <w:t>اعتبارات موضوع العامّ المخصّص</w:t>
            </w:r>
            <w:r>
              <w:rPr>
                <w:rStyle w:val="IndexLink"/>
                <w:rtl w:val="true"/>
              </w:rPr>
              <w:tab/>
            </w:r>
            <w:r>
              <w:rPr>
                <w:rStyle w:val="IndexLink"/>
              </w:rPr>
              <w:t>295</w:t>
            </w:r>
          </w:hyperlink>
        </w:p>
        <w:p>
          <w:pPr>
            <w:pStyle w:val="Contents6"/>
            <w:tabs>
              <w:tab w:val="clear" w:pos="7609"/>
              <w:tab w:val="right" w:pos="9026" w:leader="dot"/>
            </w:tabs>
            <w:rPr/>
          </w:pPr>
          <w:hyperlink w:anchor="__RefHeading___Toc5145997_73709187">
            <w:r>
              <w:rPr>
                <w:webHidden/>
                <w:rStyle w:val="IndexLink"/>
                <w:rtl w:val="true"/>
              </w:rPr>
              <w:t>الأمر الرابع</w:t>
            </w:r>
            <w:r>
              <w:rPr>
                <w:rStyle w:val="IndexLink"/>
                <w:rtl w:val="true"/>
              </w:rPr>
              <w:t xml:space="preserve">: </w:t>
            </w:r>
            <w:r>
              <w:rPr>
                <w:rStyle w:val="IndexLink"/>
                <w:rtl w:val="true"/>
              </w:rPr>
              <w:t>التمسّک بالعامّ إذا شکّ فی فرد من غیر جهة التخصیص</w:t>
            </w:r>
            <w:r>
              <w:rPr>
                <w:rStyle w:val="IndexLink"/>
                <w:rtl w:val="true"/>
              </w:rPr>
              <w:tab/>
            </w:r>
            <w:r>
              <w:rPr>
                <w:rStyle w:val="IndexLink"/>
              </w:rPr>
              <w:t>298</w:t>
            </w:r>
          </w:hyperlink>
        </w:p>
        <w:p>
          <w:pPr>
            <w:pStyle w:val="Contents6"/>
            <w:tabs>
              <w:tab w:val="clear" w:pos="7609"/>
              <w:tab w:val="right" w:pos="9026" w:leader="dot"/>
            </w:tabs>
            <w:rPr/>
          </w:pPr>
          <w:hyperlink w:anchor="__RefHeading___Toc5145999_73709187">
            <w:r>
              <w:rPr>
                <w:webHidden/>
                <w:rStyle w:val="IndexLink"/>
                <w:rtl w:val="true"/>
              </w:rPr>
              <w:t>الأمر الخامس</w:t>
            </w:r>
            <w:r>
              <w:rPr>
                <w:rStyle w:val="IndexLink"/>
                <w:rtl w:val="true"/>
              </w:rPr>
              <w:t xml:space="preserve">: </w:t>
            </w:r>
            <w:r>
              <w:rPr>
                <w:rStyle w:val="IndexLink"/>
                <w:rtl w:val="true"/>
              </w:rPr>
              <w:t>التمسّک بالعامّ عند الشکّ بین التخصیص و التخصّص</w:t>
            </w:r>
            <w:r>
              <w:rPr>
                <w:rStyle w:val="IndexLink"/>
                <w:rtl w:val="true"/>
              </w:rPr>
              <w:tab/>
            </w:r>
            <w:r>
              <w:rPr>
                <w:rStyle w:val="IndexLink"/>
              </w:rPr>
              <w:t>299</w:t>
            </w:r>
          </w:hyperlink>
        </w:p>
        <w:p>
          <w:pPr>
            <w:pStyle w:val="Contents3"/>
            <w:tabs>
              <w:tab w:val="clear" w:pos="8459"/>
              <w:tab w:val="right" w:pos="9026" w:leader="dot"/>
            </w:tabs>
            <w:rPr/>
          </w:pPr>
          <w:hyperlink w:anchor="__RefHeading___Toc5146001_73709187">
            <w:r>
              <w:rPr>
                <w:webHidden/>
                <w:rStyle w:val="IndexLink"/>
                <w:rtl w:val="true"/>
              </w:rPr>
              <w:t>الفصل الثالث فی وجوب الفحص عن المخصّص</w:t>
            </w:r>
            <w:r>
              <w:rPr>
                <w:rStyle w:val="IndexLink"/>
                <w:rtl w:val="true"/>
              </w:rPr>
              <w:tab/>
            </w:r>
            <w:r>
              <w:rPr>
                <w:rStyle w:val="IndexLink"/>
              </w:rPr>
              <w:t>302</w:t>
            </w:r>
          </w:hyperlink>
        </w:p>
        <w:p>
          <w:pPr>
            <w:pStyle w:val="Contents4"/>
            <w:tabs>
              <w:tab w:val="clear" w:pos="8176"/>
              <w:tab w:val="right" w:pos="9026" w:leader="dot"/>
            </w:tabs>
            <w:rPr/>
          </w:pPr>
          <w:hyperlink w:anchor="__RefHeading___Toc5146003_73709187">
            <w:r>
              <w:rPr>
                <w:webHidden/>
                <w:rStyle w:val="IndexLink"/>
                <w:rtl w:val="true"/>
              </w:rPr>
              <w:t>اشارة</w:t>
            </w:r>
            <w:r>
              <w:rPr>
                <w:rStyle w:val="IndexLink"/>
                <w:rtl w:val="true"/>
              </w:rPr>
              <w:tab/>
            </w:r>
            <w:r>
              <w:rPr>
                <w:rStyle w:val="IndexLink"/>
              </w:rPr>
              <w:t>302</w:t>
            </w:r>
          </w:hyperlink>
        </w:p>
        <w:p>
          <w:pPr>
            <w:pStyle w:val="Contents4"/>
            <w:tabs>
              <w:tab w:val="clear" w:pos="8176"/>
              <w:tab w:val="right" w:pos="9026" w:leader="dot"/>
            </w:tabs>
            <w:rPr/>
          </w:pPr>
          <w:hyperlink w:anchor="__RefHeading___Toc5146005_73709187">
            <w:r>
              <w:rPr>
                <w:webHidden/>
                <w:rStyle w:val="IndexLink"/>
                <w:rtl w:val="true"/>
              </w:rPr>
              <w:t>تقریر محطّ البحث و محلّ النزاع</w:t>
            </w:r>
            <w:r>
              <w:rPr>
                <w:rStyle w:val="IndexLink"/>
                <w:rtl w:val="true"/>
              </w:rPr>
              <w:tab/>
            </w:r>
            <w:r>
              <w:rPr>
                <w:rStyle w:val="IndexLink"/>
              </w:rPr>
              <w:t>302</w:t>
            </w:r>
          </w:hyperlink>
        </w:p>
        <w:p>
          <w:pPr>
            <w:pStyle w:val="Contents4"/>
            <w:tabs>
              <w:tab w:val="clear" w:pos="8176"/>
              <w:tab w:val="right" w:pos="9026" w:leader="dot"/>
            </w:tabs>
            <w:rPr/>
          </w:pPr>
          <w:hyperlink w:anchor="__RefHeading___Toc5146007_73709187">
            <w:r>
              <w:rPr>
                <w:webHidden/>
                <w:rStyle w:val="IndexLink"/>
                <w:rtl w:val="true"/>
              </w:rPr>
              <w:t>الاستدلال علی لزوم الفحص بالعلم الإجمالی</w:t>
            </w:r>
            <w:r>
              <w:rPr>
                <w:rStyle w:val="IndexLink"/>
                <w:rtl w:val="true"/>
              </w:rPr>
              <w:tab/>
            </w:r>
            <w:r>
              <w:rPr>
                <w:rStyle w:val="IndexLink"/>
              </w:rPr>
              <w:t>304</w:t>
            </w:r>
          </w:hyperlink>
        </w:p>
        <w:p>
          <w:pPr>
            <w:pStyle w:val="Contents4"/>
            <w:tabs>
              <w:tab w:val="clear" w:pos="8176"/>
              <w:tab w:val="right" w:pos="9026" w:leader="dot"/>
            </w:tabs>
            <w:rPr/>
          </w:pPr>
          <w:hyperlink w:anchor="__RefHeading___Toc5146009_73709187">
            <w:r>
              <w:rPr>
                <w:webHidden/>
                <w:rStyle w:val="IndexLink"/>
                <w:rtl w:val="true"/>
              </w:rPr>
              <w:t>الإشکال فی الاستدلال بانحلال العلم الإجمالی</w:t>
            </w:r>
            <w:r>
              <w:rPr>
                <w:rStyle w:val="IndexLink"/>
                <w:rtl w:val="true"/>
              </w:rPr>
              <w:tab/>
            </w:r>
            <w:r>
              <w:rPr>
                <w:rStyle w:val="IndexLink"/>
              </w:rPr>
              <w:t>305</w:t>
            </w:r>
          </w:hyperlink>
        </w:p>
        <w:p>
          <w:pPr>
            <w:pStyle w:val="Contents4"/>
            <w:tabs>
              <w:tab w:val="clear" w:pos="8176"/>
              <w:tab w:val="right" w:pos="9026" w:leader="dot"/>
            </w:tabs>
            <w:rPr/>
          </w:pPr>
          <w:hyperlink w:anchor="__RefHeading___Toc5146011_73709187">
            <w:r>
              <w:rPr>
                <w:webHidden/>
                <w:rStyle w:val="IndexLink"/>
                <w:rtl w:val="true"/>
              </w:rPr>
              <w:t>جواب المحقّق النائینی عن انحلال العلم الإجمالی</w:t>
            </w:r>
            <w:r>
              <w:rPr>
                <w:rStyle w:val="IndexLink"/>
                <w:rtl w:val="true"/>
              </w:rPr>
              <w:tab/>
            </w:r>
            <w:r>
              <w:rPr>
                <w:rStyle w:val="IndexLink"/>
              </w:rPr>
              <w:t>305</w:t>
            </w:r>
          </w:hyperlink>
        </w:p>
        <w:p>
          <w:pPr>
            <w:pStyle w:val="Contents4"/>
            <w:tabs>
              <w:tab w:val="clear" w:pos="8176"/>
              <w:tab w:val="right" w:pos="9026" w:leader="dot"/>
            </w:tabs>
            <w:rPr/>
          </w:pPr>
          <w:hyperlink w:anchor="__RefHeading___Toc5146013_73709187">
            <w:r>
              <w:rPr>
                <w:webHidden/>
                <w:rStyle w:val="IndexLink"/>
                <w:rtl w:val="true"/>
              </w:rPr>
              <w:t>أقول</w:t>
            </w:r>
            <w:r>
              <w:rPr>
                <w:rStyle w:val="IndexLink"/>
                <w:rtl w:val="true"/>
              </w:rPr>
              <w:t xml:space="preserve">: </w:t>
            </w:r>
            <w:r>
              <w:rPr>
                <w:rStyle w:val="IndexLink"/>
                <w:rtl w:val="true"/>
              </w:rPr>
              <w:t>الظاهر عدم تمامیّة هذا الکلام، فإنّه یرد علیه</w:t>
            </w:r>
            <w:r>
              <w:rPr>
                <w:rStyle w:val="IndexLink"/>
                <w:rtl w:val="true"/>
              </w:rPr>
              <w:t>:</w:t>
              <w:tab/>
            </w:r>
            <w:r>
              <w:rPr>
                <w:rStyle w:val="IndexLink"/>
              </w:rPr>
              <w:t>307</w:t>
            </w:r>
          </w:hyperlink>
        </w:p>
        <w:p>
          <w:pPr>
            <w:pStyle w:val="Contents4"/>
            <w:tabs>
              <w:tab w:val="clear" w:pos="8176"/>
              <w:tab w:val="right" w:pos="9026" w:leader="dot"/>
            </w:tabs>
            <w:rPr/>
          </w:pPr>
          <w:hyperlink w:anchor="__RefHeading___Toc5146015_73709187">
            <w:r>
              <w:rPr>
                <w:webHidden/>
                <w:rStyle w:val="IndexLink"/>
                <w:rtl w:val="true"/>
              </w:rPr>
              <w:t>جواب آخر عن انحلال العلم الإجمالی</w:t>
            </w:r>
            <w:r>
              <w:rPr>
                <w:rStyle w:val="IndexLink"/>
                <w:rtl w:val="true"/>
              </w:rPr>
              <w:tab/>
            </w:r>
            <w:r>
              <w:rPr>
                <w:rStyle w:val="IndexLink"/>
              </w:rPr>
              <w:t>309</w:t>
            </w:r>
          </w:hyperlink>
        </w:p>
        <w:p>
          <w:pPr>
            <w:pStyle w:val="Contents3"/>
            <w:tabs>
              <w:tab w:val="clear" w:pos="8459"/>
              <w:tab w:val="right" w:pos="9026" w:leader="dot"/>
            </w:tabs>
            <w:rPr/>
          </w:pPr>
          <w:hyperlink w:anchor="__RefHeading___Toc5146017_73709187">
            <w:r>
              <w:rPr>
                <w:webHidden/>
                <w:rStyle w:val="IndexLink"/>
                <w:rtl w:val="true"/>
              </w:rPr>
              <w:t>الفصل الرابع فی عموم الخطابات الشفاهیّة لغیر الحاضرین</w:t>
            </w:r>
            <w:r>
              <w:rPr>
                <w:rStyle w:val="IndexLink"/>
                <w:rtl w:val="true"/>
              </w:rPr>
              <w:tab/>
            </w:r>
            <w:r>
              <w:rPr>
                <w:rStyle w:val="IndexLink"/>
              </w:rPr>
              <w:t>312</w:t>
            </w:r>
          </w:hyperlink>
        </w:p>
        <w:p>
          <w:pPr>
            <w:pStyle w:val="Contents4"/>
            <w:tabs>
              <w:tab w:val="clear" w:pos="8176"/>
              <w:tab w:val="right" w:pos="9026" w:leader="dot"/>
            </w:tabs>
            <w:rPr/>
          </w:pPr>
          <w:hyperlink w:anchor="__RefHeading___Toc5146019_73709187">
            <w:r>
              <w:rPr>
                <w:webHidden/>
                <w:rStyle w:val="IndexLink"/>
                <w:rtl w:val="true"/>
              </w:rPr>
              <w:t>اشارة</w:t>
            </w:r>
            <w:r>
              <w:rPr>
                <w:rStyle w:val="IndexLink"/>
                <w:rtl w:val="true"/>
              </w:rPr>
              <w:tab/>
            </w:r>
            <w:r>
              <w:rPr>
                <w:rStyle w:val="IndexLink"/>
              </w:rPr>
              <w:t>312</w:t>
            </w:r>
          </w:hyperlink>
        </w:p>
        <w:p>
          <w:pPr>
            <w:pStyle w:val="Contents4"/>
            <w:tabs>
              <w:tab w:val="clear" w:pos="8176"/>
              <w:tab w:val="right" w:pos="9026" w:leader="dot"/>
            </w:tabs>
            <w:rPr/>
          </w:pPr>
          <w:hyperlink w:anchor="__RefHeading___Toc5146021_73709187">
            <w:r>
              <w:rPr>
                <w:webHidden/>
                <w:rStyle w:val="IndexLink"/>
                <w:rtl w:val="true"/>
              </w:rPr>
              <w:t>تقریر محلّ النزاع</w:t>
            </w:r>
            <w:r>
              <w:rPr>
                <w:rStyle w:val="IndexLink"/>
                <w:rtl w:val="true"/>
              </w:rPr>
              <w:tab/>
            </w:r>
            <w:r>
              <w:rPr>
                <w:rStyle w:val="IndexLink"/>
              </w:rPr>
              <w:t>312</w:t>
            </w:r>
          </w:hyperlink>
        </w:p>
        <w:p>
          <w:pPr>
            <w:pStyle w:val="Contents5"/>
            <w:tabs>
              <w:tab w:val="clear" w:pos="7892"/>
              <w:tab w:val="right" w:pos="9026" w:leader="dot"/>
            </w:tabs>
            <w:rPr/>
          </w:pPr>
          <w:hyperlink w:anchor="__RefHeading___Toc5146023_73709187">
            <w:r>
              <w:rPr>
                <w:webHidden/>
                <w:rStyle w:val="IndexLink"/>
                <w:rtl w:val="true"/>
              </w:rPr>
              <w:t>اشارة</w:t>
            </w:r>
            <w:r>
              <w:rPr>
                <w:rStyle w:val="IndexLink"/>
                <w:rtl w:val="true"/>
              </w:rPr>
              <w:tab/>
            </w:r>
            <w:r>
              <w:rPr>
                <w:rStyle w:val="IndexLink"/>
              </w:rPr>
              <w:t>312</w:t>
            </w:r>
          </w:hyperlink>
        </w:p>
        <w:p>
          <w:pPr>
            <w:pStyle w:val="Contents5"/>
            <w:tabs>
              <w:tab w:val="clear" w:pos="7892"/>
              <w:tab w:val="right" w:pos="9026" w:leader="dot"/>
            </w:tabs>
            <w:rPr/>
          </w:pPr>
          <w:hyperlink w:anchor="__RefHeading___Toc5146025_73709187">
            <w:r>
              <w:rPr>
                <w:webHidden/>
                <w:rStyle w:val="IndexLink"/>
                <w:rtl w:val="true"/>
              </w:rPr>
              <w:t>تحقیق</w:t>
            </w:r>
            <w:r>
              <w:rPr>
                <w:rStyle w:val="IndexLink"/>
                <w:rtl w:val="true"/>
              </w:rPr>
              <w:t xml:space="preserve">: </w:t>
            </w:r>
            <w:r>
              <w:rPr>
                <w:rStyle w:val="IndexLink"/>
                <w:rtl w:val="true"/>
              </w:rPr>
              <w:t>فی القضایا الحقیقیّة</w:t>
            </w:r>
            <w:r>
              <w:rPr>
                <w:rStyle w:val="IndexLink"/>
                <w:rtl w:val="true"/>
              </w:rPr>
              <w:tab/>
            </w:r>
            <w:r>
              <w:rPr>
                <w:rStyle w:val="IndexLink"/>
              </w:rPr>
              <w:t>314</w:t>
            </w:r>
          </w:hyperlink>
        </w:p>
        <w:p>
          <w:pPr>
            <w:pStyle w:val="Contents4"/>
            <w:tabs>
              <w:tab w:val="clear" w:pos="8176"/>
              <w:tab w:val="right" w:pos="9026" w:leader="dot"/>
            </w:tabs>
            <w:rPr/>
          </w:pPr>
          <w:hyperlink w:anchor="__RefHeading___Toc5146027_73709187">
            <w:r>
              <w:rPr>
                <w:webHidden/>
                <w:rStyle w:val="IndexLink"/>
                <w:rtl w:val="true"/>
              </w:rPr>
              <w:t>تنبیه</w:t>
            </w:r>
            <w:r>
              <w:rPr>
                <w:rStyle w:val="IndexLink"/>
                <w:rtl w:val="true"/>
              </w:rPr>
              <w:t xml:space="preserve">: </w:t>
            </w:r>
            <w:r>
              <w:rPr>
                <w:rStyle w:val="IndexLink"/>
                <w:rtl w:val="true"/>
              </w:rPr>
              <w:t>فی کیفیة القوانین الواردة فی الشریعة</w:t>
            </w:r>
            <w:r>
              <w:rPr>
                <w:rStyle w:val="IndexLink"/>
                <w:rtl w:val="true"/>
              </w:rPr>
              <w:tab/>
            </w:r>
            <w:r>
              <w:rPr>
                <w:rStyle w:val="IndexLink"/>
              </w:rPr>
              <w:t>316</w:t>
            </w:r>
          </w:hyperlink>
        </w:p>
        <w:p>
          <w:pPr>
            <w:pStyle w:val="Contents4"/>
            <w:tabs>
              <w:tab w:val="clear" w:pos="8176"/>
              <w:tab w:val="right" w:pos="9026" w:leader="dot"/>
            </w:tabs>
            <w:rPr/>
          </w:pPr>
          <w:hyperlink w:anchor="__RefHeading___Toc5146029_73709187">
            <w:r>
              <w:rPr>
                <w:webHidden/>
                <w:rStyle w:val="IndexLink"/>
                <w:rtl w:val="true"/>
              </w:rPr>
              <w:t>خاتمة</w:t>
            </w:r>
            <w:r>
              <w:rPr>
                <w:rStyle w:val="IndexLink"/>
                <w:rtl w:val="true"/>
              </w:rPr>
              <w:t xml:space="preserve">: </w:t>
            </w:r>
            <w:r>
              <w:rPr>
                <w:rStyle w:val="IndexLink"/>
                <w:rtl w:val="true"/>
              </w:rPr>
              <w:t>فی الثمرة بین القولین</w:t>
            </w:r>
            <w:r>
              <w:rPr>
                <w:rStyle w:val="IndexLink"/>
                <w:rtl w:val="true"/>
              </w:rPr>
              <w:tab/>
            </w:r>
            <w:r>
              <w:rPr>
                <w:rStyle w:val="IndexLink"/>
              </w:rPr>
              <w:t>318</w:t>
            </w:r>
          </w:hyperlink>
        </w:p>
        <w:p>
          <w:pPr>
            <w:pStyle w:val="Contents3"/>
            <w:tabs>
              <w:tab w:val="clear" w:pos="8459"/>
              <w:tab w:val="right" w:pos="9026" w:leader="dot"/>
            </w:tabs>
            <w:rPr/>
          </w:pPr>
          <w:hyperlink w:anchor="__RefHeading___Toc5146031_73709187">
            <w:r>
              <w:rPr>
                <w:webHidden/>
                <w:rStyle w:val="IndexLink"/>
                <w:rtl w:val="true"/>
              </w:rPr>
              <w:t>الفصل الخامس فی تعقّب العامّ بضمیر یرجع إلی بعض أفراده</w:t>
            </w:r>
            <w:r>
              <w:rPr>
                <w:rStyle w:val="IndexLink"/>
                <w:rtl w:val="true"/>
              </w:rPr>
              <w:tab/>
            </w:r>
            <w:r>
              <w:rPr>
                <w:rStyle w:val="IndexLink"/>
              </w:rPr>
              <w:t>320</w:t>
            </w:r>
          </w:hyperlink>
        </w:p>
        <w:p>
          <w:pPr>
            <w:pStyle w:val="Contents3"/>
            <w:tabs>
              <w:tab w:val="clear" w:pos="8459"/>
              <w:tab w:val="right" w:pos="9026" w:leader="dot"/>
            </w:tabs>
            <w:rPr/>
          </w:pPr>
          <w:hyperlink w:anchor="__RefHeading___Toc5146033_73709187">
            <w:r>
              <w:rPr>
                <w:webHidden/>
                <w:rStyle w:val="IndexLink"/>
                <w:rtl w:val="true"/>
              </w:rPr>
              <w:t>الفصل السادس فی جواز تخصیص العامّ بالمفهوم</w:t>
            </w:r>
            <w:r>
              <w:rPr>
                <w:rStyle w:val="IndexLink"/>
                <w:rtl w:val="true"/>
              </w:rPr>
              <w:tab/>
            </w:r>
            <w:r>
              <w:rPr>
                <w:rStyle w:val="IndexLink"/>
              </w:rPr>
              <w:t>323</w:t>
            </w:r>
          </w:hyperlink>
        </w:p>
        <w:p>
          <w:pPr>
            <w:pStyle w:val="Contents4"/>
            <w:tabs>
              <w:tab w:val="clear" w:pos="8176"/>
              <w:tab w:val="right" w:pos="9026" w:leader="dot"/>
            </w:tabs>
            <w:rPr/>
          </w:pPr>
          <w:hyperlink w:anchor="__RefHeading___Toc5146035_73709187">
            <w:r>
              <w:rPr>
                <w:webHidden/>
                <w:rStyle w:val="IndexLink"/>
                <w:rtl w:val="true"/>
              </w:rPr>
              <w:t>اشارة</w:t>
            </w:r>
            <w:r>
              <w:rPr>
                <w:rStyle w:val="IndexLink"/>
                <w:rtl w:val="true"/>
              </w:rPr>
              <w:tab/>
            </w:r>
            <w:r>
              <w:rPr>
                <w:rStyle w:val="IndexLink"/>
              </w:rPr>
              <w:t>323</w:t>
            </w:r>
          </w:hyperlink>
        </w:p>
        <w:p>
          <w:pPr>
            <w:pStyle w:val="Contents4"/>
            <w:tabs>
              <w:tab w:val="clear" w:pos="8176"/>
              <w:tab w:val="right" w:pos="9026" w:leader="dot"/>
            </w:tabs>
            <w:rPr/>
          </w:pPr>
          <w:hyperlink w:anchor="__RefHeading___Toc5146037_73709187">
            <w:r>
              <w:rPr>
                <w:webHidden/>
                <w:rStyle w:val="IndexLink"/>
                <w:rtl w:val="true"/>
              </w:rPr>
              <w:t>المقام الأوّل</w:t>
            </w:r>
            <w:r>
              <w:rPr>
                <w:rStyle w:val="IndexLink"/>
                <w:rtl w:val="true"/>
              </w:rPr>
              <w:t xml:space="preserve">: </w:t>
            </w:r>
            <w:r>
              <w:rPr>
                <w:rStyle w:val="IndexLink"/>
                <w:rtl w:val="true"/>
              </w:rPr>
              <w:t>فی تخصیص العامّ بالمفهوم الموافق</w:t>
            </w:r>
            <w:r>
              <w:rPr>
                <w:rStyle w:val="IndexLink"/>
                <w:rtl w:val="true"/>
              </w:rPr>
              <w:tab/>
            </w:r>
            <w:r>
              <w:rPr>
                <w:rStyle w:val="IndexLink"/>
              </w:rPr>
              <w:t>323</w:t>
            </w:r>
          </w:hyperlink>
        </w:p>
        <w:p>
          <w:pPr>
            <w:pStyle w:val="Contents4"/>
            <w:tabs>
              <w:tab w:val="clear" w:pos="8176"/>
              <w:tab w:val="right" w:pos="9026" w:leader="dot"/>
            </w:tabs>
            <w:rPr/>
          </w:pPr>
          <w:hyperlink w:anchor="__RefHeading___Toc5146039_73709187">
            <w:r>
              <w:rPr>
                <w:webHidden/>
                <w:rStyle w:val="IndexLink"/>
                <w:rtl w:val="true"/>
              </w:rPr>
              <w:t>المقام الثانی</w:t>
            </w:r>
            <w:r>
              <w:rPr>
                <w:rStyle w:val="IndexLink"/>
                <w:rtl w:val="true"/>
              </w:rPr>
              <w:t xml:space="preserve">: </w:t>
            </w:r>
            <w:r>
              <w:rPr>
                <w:rStyle w:val="IndexLink"/>
                <w:rtl w:val="true"/>
              </w:rPr>
              <w:t>فی تخصیص العامّ بالمفهوم المخالف</w:t>
            </w:r>
            <w:r>
              <w:rPr>
                <w:rStyle w:val="IndexLink"/>
                <w:rtl w:val="true"/>
              </w:rPr>
              <w:tab/>
            </w:r>
            <w:r>
              <w:rPr>
                <w:rStyle w:val="IndexLink"/>
              </w:rPr>
              <w:t>327</w:t>
            </w:r>
          </w:hyperlink>
        </w:p>
        <w:p>
          <w:pPr>
            <w:pStyle w:val="Contents3"/>
            <w:tabs>
              <w:tab w:val="clear" w:pos="8459"/>
              <w:tab w:val="right" w:pos="9026" w:leader="dot"/>
            </w:tabs>
            <w:rPr/>
          </w:pPr>
          <w:hyperlink w:anchor="__RefHeading___Toc5146041_73709187">
            <w:r>
              <w:rPr>
                <w:webHidden/>
                <w:rStyle w:val="IndexLink"/>
                <w:rtl w:val="true"/>
              </w:rPr>
              <w:t>الفصل السابع تخصیص الکتاب بالخبر الواحد</w:t>
            </w:r>
            <w:r>
              <w:rPr>
                <w:rStyle w:val="IndexLink"/>
                <w:rtl w:val="true"/>
              </w:rPr>
              <w:tab/>
            </w:r>
            <w:r>
              <w:rPr>
                <w:rStyle w:val="IndexLink"/>
              </w:rPr>
              <w:t>329</w:t>
            </w:r>
          </w:hyperlink>
        </w:p>
        <w:p>
          <w:pPr>
            <w:pStyle w:val="Contents3"/>
            <w:tabs>
              <w:tab w:val="clear" w:pos="8459"/>
              <w:tab w:val="right" w:pos="9026" w:leader="dot"/>
            </w:tabs>
            <w:rPr/>
          </w:pPr>
          <w:hyperlink w:anchor="__RefHeading___Toc5146043_73709187">
            <w:r>
              <w:rPr>
                <w:webHidden/>
                <w:rStyle w:val="IndexLink"/>
                <w:rtl w:val="true"/>
              </w:rPr>
              <w:t>الفصل الثامن فی استثناء المتعقّب لجمل متعدّدة</w:t>
            </w:r>
            <w:r>
              <w:rPr>
                <w:rStyle w:val="IndexLink"/>
                <w:rtl w:val="true"/>
              </w:rPr>
              <w:tab/>
            </w:r>
            <w:r>
              <w:rPr>
                <w:rStyle w:val="IndexLink"/>
              </w:rPr>
              <w:t>331</w:t>
            </w:r>
          </w:hyperlink>
        </w:p>
        <w:p>
          <w:pPr>
            <w:pStyle w:val="Contents4"/>
            <w:tabs>
              <w:tab w:val="clear" w:pos="8176"/>
              <w:tab w:val="right" w:pos="9026" w:leader="dot"/>
            </w:tabs>
            <w:rPr/>
          </w:pPr>
          <w:hyperlink w:anchor="__RefHeading___Toc5146045_73709187">
            <w:r>
              <w:rPr>
                <w:webHidden/>
                <w:rStyle w:val="IndexLink"/>
                <w:rtl w:val="true"/>
              </w:rPr>
              <w:t>اشارة</w:t>
            </w:r>
            <w:r>
              <w:rPr>
                <w:rStyle w:val="IndexLink"/>
                <w:rtl w:val="true"/>
              </w:rPr>
              <w:tab/>
            </w:r>
            <w:r>
              <w:rPr>
                <w:rStyle w:val="IndexLink"/>
              </w:rPr>
              <w:t>331</w:t>
            </w:r>
          </w:hyperlink>
        </w:p>
        <w:p>
          <w:pPr>
            <w:pStyle w:val="Contents4"/>
            <w:tabs>
              <w:tab w:val="clear" w:pos="8176"/>
              <w:tab w:val="right" w:pos="9026" w:leader="dot"/>
            </w:tabs>
            <w:rPr/>
          </w:pPr>
          <w:hyperlink w:anchor="__RefHeading___Toc5146047_73709187">
            <w:r>
              <w:rPr>
                <w:webHidden/>
                <w:rStyle w:val="IndexLink"/>
                <w:rtl w:val="true"/>
              </w:rPr>
              <w:t>المقام الأوّل</w:t>
            </w:r>
            <w:r>
              <w:rPr>
                <w:rStyle w:val="IndexLink"/>
                <w:rtl w:val="true"/>
              </w:rPr>
              <w:t xml:space="preserve">: </w:t>
            </w:r>
            <w:r>
              <w:rPr>
                <w:rStyle w:val="IndexLink"/>
                <w:rtl w:val="true"/>
              </w:rPr>
              <w:t>إمکان الرجوع إلی الجمیع</w:t>
            </w:r>
            <w:r>
              <w:rPr>
                <w:rStyle w:val="IndexLink"/>
                <w:rtl w:val="true"/>
              </w:rPr>
              <w:tab/>
            </w:r>
            <w:r>
              <w:rPr>
                <w:rStyle w:val="IndexLink"/>
              </w:rPr>
              <w:t>331</w:t>
            </w:r>
          </w:hyperlink>
        </w:p>
        <w:p>
          <w:pPr>
            <w:pStyle w:val="Contents4"/>
            <w:tabs>
              <w:tab w:val="clear" w:pos="8176"/>
              <w:tab w:val="right" w:pos="9026" w:leader="dot"/>
            </w:tabs>
            <w:rPr/>
          </w:pPr>
          <w:hyperlink w:anchor="__RefHeading___Toc5146049_73709187">
            <w:r>
              <w:rPr>
                <w:webHidden/>
                <w:rStyle w:val="IndexLink"/>
                <w:rtl w:val="true"/>
              </w:rPr>
              <w:t>المقام الثانی</w:t>
            </w:r>
            <w:r>
              <w:rPr>
                <w:rStyle w:val="IndexLink"/>
                <w:rtl w:val="true"/>
              </w:rPr>
              <w:t xml:space="preserve">: </w:t>
            </w:r>
            <w:r>
              <w:rPr>
                <w:rStyle w:val="IndexLink"/>
                <w:rtl w:val="true"/>
              </w:rPr>
              <w:t>فی مقام الإثبات</w:t>
            </w:r>
            <w:r>
              <w:rPr>
                <w:rStyle w:val="IndexLink"/>
                <w:rtl w:val="true"/>
              </w:rPr>
              <w:tab/>
            </w:r>
            <w:r>
              <w:rPr>
                <w:rStyle w:val="IndexLink"/>
              </w:rPr>
              <w:t>333</w:t>
            </w:r>
          </w:hyperlink>
        </w:p>
        <w:p>
          <w:pPr>
            <w:pStyle w:val="Contents2"/>
            <w:tabs>
              <w:tab w:val="clear" w:pos="8743"/>
              <w:tab w:val="right" w:pos="9026" w:leader="dot"/>
            </w:tabs>
            <w:rPr/>
          </w:pPr>
          <w:hyperlink w:anchor="__RefHeading___Toc5146051_73709187">
            <w:r>
              <w:rPr>
                <w:webHidden/>
                <w:rStyle w:val="IndexLink"/>
                <w:rtl w:val="true"/>
              </w:rPr>
              <w:t>المقصد الخامس فی المطلق و المقیّد</w:t>
            </w:r>
            <w:r>
              <w:rPr>
                <w:rStyle w:val="IndexLink"/>
                <w:rtl w:val="true"/>
              </w:rPr>
              <w:tab/>
            </w:r>
            <w:r>
              <w:rPr>
                <w:rStyle w:val="IndexLink"/>
              </w:rPr>
              <w:t>337</w:t>
            </w:r>
          </w:hyperlink>
        </w:p>
        <w:p>
          <w:pPr>
            <w:pStyle w:val="Contents3"/>
            <w:tabs>
              <w:tab w:val="clear" w:pos="8459"/>
              <w:tab w:val="right" w:pos="9026" w:leader="dot"/>
            </w:tabs>
            <w:rPr/>
          </w:pPr>
          <w:hyperlink w:anchor="__RefHeading___Toc5146053_73709187">
            <w:r>
              <w:rPr>
                <w:webHidden/>
                <w:rStyle w:val="IndexLink"/>
                <w:rtl w:val="true"/>
              </w:rPr>
              <w:t>اشارة</w:t>
            </w:r>
            <w:r>
              <w:rPr>
                <w:rStyle w:val="IndexLink"/>
                <w:rtl w:val="true"/>
              </w:rPr>
              <w:tab/>
            </w:r>
            <w:r>
              <w:rPr>
                <w:rStyle w:val="IndexLink"/>
              </w:rPr>
              <w:t>337</w:t>
            </w:r>
          </w:hyperlink>
        </w:p>
        <w:p>
          <w:pPr>
            <w:pStyle w:val="Contents3"/>
            <w:tabs>
              <w:tab w:val="clear" w:pos="8459"/>
              <w:tab w:val="right" w:pos="9026" w:leader="dot"/>
            </w:tabs>
            <w:rPr/>
          </w:pPr>
          <w:hyperlink w:anchor="__RefHeading___Toc5146055_73709187">
            <w:r>
              <w:rPr>
                <w:webHidden/>
                <w:rStyle w:val="IndexLink"/>
                <w:rtl w:val="true"/>
              </w:rPr>
              <w:t>الفصل الأوّل فی تعریف المطلق</w:t>
            </w:r>
            <w:r>
              <w:rPr>
                <w:rStyle w:val="IndexLink"/>
                <w:rtl w:val="true"/>
              </w:rPr>
              <w:tab/>
            </w:r>
            <w:r>
              <w:rPr>
                <w:rStyle w:val="IndexLink"/>
              </w:rPr>
              <w:t>338</w:t>
            </w:r>
          </w:hyperlink>
        </w:p>
        <w:p>
          <w:pPr>
            <w:pStyle w:val="Contents3"/>
            <w:tabs>
              <w:tab w:val="clear" w:pos="8459"/>
              <w:tab w:val="right" w:pos="9026" w:leader="dot"/>
            </w:tabs>
            <w:rPr/>
          </w:pPr>
          <w:hyperlink w:anchor="__RefHeading___Toc5146057_73709187">
            <w:r>
              <w:rPr>
                <w:webHidden/>
                <w:rStyle w:val="IndexLink"/>
                <w:rtl w:val="true"/>
              </w:rPr>
              <w:t>الفصل الثانی حول الألفاظ التی یطلق علیها المطلق</w:t>
            </w:r>
            <w:r>
              <w:rPr>
                <w:rStyle w:val="IndexLink"/>
                <w:rtl w:val="true"/>
              </w:rPr>
              <w:tab/>
            </w:r>
            <w:r>
              <w:rPr>
                <w:rStyle w:val="IndexLink"/>
              </w:rPr>
              <w:t>341</w:t>
            </w:r>
          </w:hyperlink>
        </w:p>
        <w:p>
          <w:pPr>
            <w:pStyle w:val="Contents4"/>
            <w:tabs>
              <w:tab w:val="clear" w:pos="8176"/>
              <w:tab w:val="right" w:pos="9026" w:leader="dot"/>
            </w:tabs>
            <w:rPr/>
          </w:pPr>
          <w:hyperlink w:anchor="__RefHeading___Toc5146059_73709187">
            <w:r>
              <w:rPr>
                <w:webHidden/>
                <w:rStyle w:val="IndexLink"/>
                <w:rtl w:val="true"/>
              </w:rPr>
              <w:t>اشارة</w:t>
            </w:r>
            <w:r>
              <w:rPr>
                <w:rStyle w:val="IndexLink"/>
                <w:rtl w:val="true"/>
              </w:rPr>
              <w:tab/>
            </w:r>
            <w:r>
              <w:rPr>
                <w:rStyle w:val="IndexLink"/>
              </w:rPr>
              <w:t>341</w:t>
            </w:r>
          </w:hyperlink>
        </w:p>
        <w:p>
          <w:pPr>
            <w:pStyle w:val="Contents4"/>
            <w:tabs>
              <w:tab w:val="clear" w:pos="8176"/>
              <w:tab w:val="right" w:pos="9026" w:leader="dot"/>
            </w:tabs>
            <w:rPr/>
          </w:pPr>
          <w:hyperlink w:anchor="__RefHeading___Toc5146061_73709187">
            <w:r>
              <w:rPr>
                <w:webHidden/>
                <w:rStyle w:val="IndexLink"/>
                <w:rtl w:val="true"/>
              </w:rPr>
              <w:t>منها</w:t>
            </w:r>
            <w:r>
              <w:rPr>
                <w:rStyle w:val="IndexLink"/>
                <w:rtl w:val="true"/>
              </w:rPr>
              <w:t xml:space="preserve">: </w:t>
            </w:r>
            <w:r>
              <w:rPr>
                <w:rStyle w:val="IndexLink"/>
                <w:rtl w:val="true"/>
              </w:rPr>
              <w:t>اسم الجنس</w:t>
            </w:r>
            <w:r>
              <w:rPr>
                <w:rStyle w:val="IndexLink"/>
                <w:rtl w:val="true"/>
              </w:rPr>
              <w:tab/>
            </w:r>
            <w:r>
              <w:rPr>
                <w:rStyle w:val="IndexLink"/>
              </w:rPr>
              <w:t>341</w:t>
            </w:r>
          </w:hyperlink>
        </w:p>
        <w:p>
          <w:pPr>
            <w:pStyle w:val="Contents5"/>
            <w:tabs>
              <w:tab w:val="clear" w:pos="7892"/>
              <w:tab w:val="right" w:pos="9026" w:leader="dot"/>
            </w:tabs>
            <w:rPr/>
          </w:pPr>
          <w:hyperlink w:anchor="__RefHeading___Toc5146063_73709187">
            <w:r>
              <w:rPr>
                <w:webHidden/>
                <w:rStyle w:val="IndexLink"/>
                <w:rtl w:val="true"/>
              </w:rPr>
              <w:t>اشارة</w:t>
            </w:r>
            <w:r>
              <w:rPr>
                <w:rStyle w:val="IndexLink"/>
                <w:rtl w:val="true"/>
              </w:rPr>
              <w:tab/>
            </w:r>
            <w:r>
              <w:rPr>
                <w:rStyle w:val="IndexLink"/>
              </w:rPr>
              <w:t>341</w:t>
            </w:r>
          </w:hyperlink>
        </w:p>
        <w:p>
          <w:pPr>
            <w:pStyle w:val="Contents5"/>
            <w:tabs>
              <w:tab w:val="clear" w:pos="7892"/>
              <w:tab w:val="right" w:pos="9026" w:leader="dot"/>
            </w:tabs>
            <w:rPr/>
          </w:pPr>
          <w:hyperlink w:anchor="__RefHeading___Toc5146065_73709187">
            <w:r>
              <w:rPr>
                <w:webHidden/>
                <w:rStyle w:val="IndexLink"/>
                <w:rtl w:val="true"/>
              </w:rPr>
              <w:t>أقسام الماهیّة</w:t>
            </w:r>
            <w:r>
              <w:rPr>
                <w:rStyle w:val="IndexLink"/>
                <w:rtl w:val="true"/>
              </w:rPr>
              <w:tab/>
            </w:r>
            <w:r>
              <w:rPr>
                <w:rStyle w:val="IndexLink"/>
              </w:rPr>
              <w:t>342</w:t>
            </w:r>
          </w:hyperlink>
        </w:p>
        <w:p>
          <w:pPr>
            <w:pStyle w:val="Contents4"/>
            <w:tabs>
              <w:tab w:val="clear" w:pos="8176"/>
              <w:tab w:val="right" w:pos="9026" w:leader="dot"/>
            </w:tabs>
            <w:rPr/>
          </w:pPr>
          <w:hyperlink w:anchor="__RefHeading___Toc5146067_73709187">
            <w:r>
              <w:rPr>
                <w:webHidden/>
                <w:rStyle w:val="IndexLink"/>
                <w:rtl w:val="true"/>
              </w:rPr>
              <w:t>منها</w:t>
            </w:r>
            <w:r>
              <w:rPr>
                <w:rStyle w:val="IndexLink"/>
                <w:rtl w:val="true"/>
              </w:rPr>
              <w:t xml:space="preserve">: </w:t>
            </w:r>
            <w:r>
              <w:rPr>
                <w:rStyle w:val="IndexLink"/>
                <w:rtl w:val="true"/>
              </w:rPr>
              <w:t>علم الجنس</w:t>
            </w:r>
            <w:r>
              <w:rPr>
                <w:rStyle w:val="IndexLink"/>
                <w:rtl w:val="true"/>
              </w:rPr>
              <w:tab/>
            </w:r>
            <w:r>
              <w:rPr>
                <w:rStyle w:val="IndexLink"/>
              </w:rPr>
              <w:t>345</w:t>
            </w:r>
          </w:hyperlink>
        </w:p>
        <w:p>
          <w:pPr>
            <w:pStyle w:val="Contents4"/>
            <w:tabs>
              <w:tab w:val="clear" w:pos="8176"/>
              <w:tab w:val="right" w:pos="9026" w:leader="dot"/>
            </w:tabs>
            <w:rPr/>
          </w:pPr>
          <w:hyperlink w:anchor="__RefHeading___Toc5146069_73709187">
            <w:r>
              <w:rPr>
                <w:webHidden/>
                <w:rStyle w:val="IndexLink"/>
                <w:rtl w:val="true"/>
              </w:rPr>
              <w:t>منها</w:t>
            </w:r>
            <w:r>
              <w:rPr>
                <w:rStyle w:val="IndexLink"/>
                <w:rtl w:val="true"/>
              </w:rPr>
              <w:t xml:space="preserve">: </w:t>
            </w:r>
            <w:r>
              <w:rPr>
                <w:rStyle w:val="IndexLink"/>
                <w:rtl w:val="true"/>
              </w:rPr>
              <w:t>المفرد المعرّف باللاّم</w:t>
            </w:r>
            <w:r>
              <w:rPr>
                <w:rStyle w:val="IndexLink"/>
                <w:rtl w:val="true"/>
              </w:rPr>
              <w:tab/>
            </w:r>
            <w:r>
              <w:rPr>
                <w:rStyle w:val="IndexLink"/>
              </w:rPr>
              <w:t>347</w:t>
            </w:r>
          </w:hyperlink>
        </w:p>
        <w:p>
          <w:pPr>
            <w:pStyle w:val="Contents4"/>
            <w:tabs>
              <w:tab w:val="clear" w:pos="8176"/>
              <w:tab w:val="right" w:pos="9026" w:leader="dot"/>
            </w:tabs>
            <w:rPr/>
          </w:pPr>
          <w:hyperlink w:anchor="__RefHeading___Toc5146071_73709187">
            <w:r>
              <w:rPr>
                <w:webHidden/>
                <w:rStyle w:val="IndexLink"/>
                <w:rtl w:val="true"/>
              </w:rPr>
              <w:t>منها</w:t>
            </w:r>
            <w:r>
              <w:rPr>
                <w:rStyle w:val="IndexLink"/>
                <w:rtl w:val="true"/>
              </w:rPr>
              <w:t xml:space="preserve">: </w:t>
            </w:r>
            <w:r>
              <w:rPr>
                <w:rStyle w:val="IndexLink"/>
                <w:rtl w:val="true"/>
              </w:rPr>
              <w:t>النکرة</w:t>
            </w:r>
            <w:r>
              <w:rPr>
                <w:rStyle w:val="IndexLink"/>
                <w:rtl w:val="true"/>
              </w:rPr>
              <w:tab/>
            </w:r>
            <w:r>
              <w:rPr>
                <w:rStyle w:val="IndexLink"/>
              </w:rPr>
              <w:t>347</w:t>
            </w:r>
          </w:hyperlink>
        </w:p>
        <w:p>
          <w:pPr>
            <w:pStyle w:val="Contents3"/>
            <w:tabs>
              <w:tab w:val="clear" w:pos="8459"/>
              <w:tab w:val="right" w:pos="9026" w:leader="dot"/>
            </w:tabs>
            <w:rPr/>
          </w:pPr>
          <w:hyperlink w:anchor="__RefHeading___Toc5146073_73709187">
            <w:r>
              <w:rPr>
                <w:webHidden/>
                <w:rStyle w:val="IndexLink"/>
                <w:rtl w:val="true"/>
              </w:rPr>
              <w:t>الفصل الثالث فی مقدّمات الحکمة</w:t>
            </w:r>
            <w:r>
              <w:rPr>
                <w:rStyle w:val="IndexLink"/>
                <w:rtl w:val="true"/>
              </w:rPr>
              <w:tab/>
            </w:r>
            <w:r>
              <w:rPr>
                <w:rStyle w:val="IndexLink"/>
              </w:rPr>
              <w:t>349</w:t>
            </w:r>
          </w:hyperlink>
        </w:p>
        <w:p>
          <w:pPr>
            <w:pStyle w:val="Contents4"/>
            <w:tabs>
              <w:tab w:val="clear" w:pos="8176"/>
              <w:tab w:val="right" w:pos="9026" w:leader="dot"/>
            </w:tabs>
            <w:rPr/>
          </w:pPr>
          <w:hyperlink w:anchor="__RefHeading___Toc5146075_73709187">
            <w:r>
              <w:rPr>
                <w:webHidden/>
                <w:rStyle w:val="IndexLink"/>
                <w:rtl w:val="true"/>
              </w:rPr>
              <w:t>اشارة</w:t>
            </w:r>
            <w:r>
              <w:rPr>
                <w:rStyle w:val="IndexLink"/>
                <w:rtl w:val="true"/>
              </w:rPr>
              <w:tab/>
            </w:r>
            <w:r>
              <w:rPr>
                <w:rStyle w:val="IndexLink"/>
              </w:rPr>
              <w:t>349</w:t>
            </w:r>
          </w:hyperlink>
        </w:p>
        <w:p>
          <w:pPr>
            <w:pStyle w:val="Contents4"/>
            <w:tabs>
              <w:tab w:val="clear" w:pos="8176"/>
              <w:tab w:val="right" w:pos="9026" w:leader="dot"/>
            </w:tabs>
            <w:rPr/>
          </w:pPr>
          <w:hyperlink w:anchor="__RefHeading___Toc5146077_73709187">
            <w:r>
              <w:rPr>
                <w:webHidden/>
                <w:rStyle w:val="IndexLink"/>
                <w:rtl w:val="true"/>
              </w:rPr>
              <w:t>المراد من کون المتکلّم فی مقام البیان</w:t>
            </w:r>
            <w:r>
              <w:rPr>
                <w:rStyle w:val="IndexLink"/>
                <w:rtl w:val="true"/>
              </w:rPr>
              <w:tab/>
            </w:r>
            <w:r>
              <w:rPr>
                <w:rStyle w:val="IndexLink"/>
              </w:rPr>
              <w:t>352</w:t>
            </w:r>
          </w:hyperlink>
        </w:p>
        <w:p>
          <w:pPr>
            <w:pStyle w:val="Contents4"/>
            <w:tabs>
              <w:tab w:val="clear" w:pos="8176"/>
              <w:tab w:val="right" w:pos="9026" w:leader="dot"/>
            </w:tabs>
            <w:rPr/>
          </w:pPr>
          <w:hyperlink w:anchor="__RefHeading___Toc5146079_73709187">
            <w:r>
              <w:rPr>
                <w:webHidden/>
                <w:rStyle w:val="IndexLink"/>
                <w:rtl w:val="true"/>
              </w:rPr>
              <w:t>تتمّة</w:t>
            </w:r>
            <w:r>
              <w:rPr>
                <w:rStyle w:val="IndexLink"/>
                <w:rtl w:val="true"/>
              </w:rPr>
              <w:t xml:space="preserve">: </w:t>
            </w:r>
            <w:r>
              <w:rPr>
                <w:rStyle w:val="IndexLink"/>
                <w:rtl w:val="true"/>
              </w:rPr>
              <w:t>الأصل عند الشکّ فی مقام البیان</w:t>
            </w:r>
            <w:r>
              <w:rPr>
                <w:rStyle w:val="IndexLink"/>
                <w:rtl w:val="true"/>
              </w:rPr>
              <w:tab/>
            </w:r>
            <w:r>
              <w:rPr>
                <w:rStyle w:val="IndexLink"/>
              </w:rPr>
              <w:t>353</w:t>
            </w:r>
          </w:hyperlink>
        </w:p>
        <w:p>
          <w:pPr>
            <w:pStyle w:val="Contents3"/>
            <w:tabs>
              <w:tab w:val="clear" w:pos="8459"/>
              <w:tab w:val="right" w:pos="9026" w:leader="dot"/>
            </w:tabs>
            <w:rPr/>
          </w:pPr>
          <w:hyperlink w:anchor="__RefHeading___Toc5146081_73709187">
            <w:r>
              <w:rPr>
                <w:webHidden/>
                <w:rStyle w:val="IndexLink"/>
                <w:rtl w:val="true"/>
              </w:rPr>
              <w:t>الفصل الرابع فی أقسام المطلق و المقیّد و کیفیّة الجمع بینهما</w:t>
            </w:r>
            <w:r>
              <w:rPr>
                <w:rStyle w:val="IndexLink"/>
                <w:rtl w:val="true"/>
              </w:rPr>
              <w:tab/>
            </w:r>
            <w:r>
              <w:rPr>
                <w:rStyle w:val="IndexLink"/>
              </w:rPr>
              <w:t>355</w:t>
            </w:r>
          </w:hyperlink>
        </w:p>
        <w:p>
          <w:pPr>
            <w:pStyle w:val="Contents4"/>
            <w:tabs>
              <w:tab w:val="clear" w:pos="8176"/>
              <w:tab w:val="right" w:pos="9026" w:leader="dot"/>
            </w:tabs>
            <w:rPr/>
          </w:pPr>
          <w:hyperlink w:anchor="__RefHeading___Toc5146083_73709187">
            <w:r>
              <w:rPr>
                <w:webHidden/>
                <w:rStyle w:val="IndexLink"/>
                <w:rtl w:val="true"/>
              </w:rPr>
              <w:t>اشارة</w:t>
            </w:r>
            <w:r>
              <w:rPr>
                <w:rStyle w:val="IndexLink"/>
                <w:rtl w:val="true"/>
              </w:rPr>
              <w:tab/>
            </w:r>
            <w:r>
              <w:rPr>
                <w:rStyle w:val="IndexLink"/>
              </w:rPr>
              <w:t>355</w:t>
            </w:r>
          </w:hyperlink>
        </w:p>
        <w:p>
          <w:pPr>
            <w:pStyle w:val="Contents4"/>
            <w:tabs>
              <w:tab w:val="clear" w:pos="8176"/>
              <w:tab w:val="right" w:pos="9026" w:leader="dot"/>
            </w:tabs>
            <w:rPr/>
          </w:pPr>
          <w:hyperlink w:anchor="__RefHeading___Toc5146085_73709187">
            <w:r>
              <w:rPr>
                <w:webHidden/>
                <w:rStyle w:val="IndexLink"/>
                <w:rtl w:val="true"/>
              </w:rPr>
              <w:t>المقام الأوّل</w:t>
            </w:r>
            <w:r>
              <w:rPr>
                <w:rStyle w:val="IndexLink"/>
                <w:rtl w:val="true"/>
              </w:rPr>
              <w:t xml:space="preserve">: </w:t>
            </w:r>
            <w:r>
              <w:rPr>
                <w:rStyle w:val="IndexLink"/>
                <w:rtl w:val="true"/>
              </w:rPr>
              <w:t>إذا ورد مطلق و مقیّد بدون ذکر السبب</w:t>
            </w:r>
            <w:r>
              <w:rPr>
                <w:rStyle w:val="IndexLink"/>
                <w:rtl w:val="true"/>
              </w:rPr>
              <w:tab/>
            </w:r>
            <w:r>
              <w:rPr>
                <w:rStyle w:val="IndexLink"/>
              </w:rPr>
              <w:t>355</w:t>
            </w:r>
          </w:hyperlink>
        </w:p>
        <w:p>
          <w:pPr>
            <w:pStyle w:val="Contents5"/>
            <w:tabs>
              <w:tab w:val="clear" w:pos="7892"/>
              <w:tab w:val="right" w:pos="9026" w:leader="dot"/>
            </w:tabs>
            <w:rPr/>
          </w:pPr>
          <w:hyperlink w:anchor="__RefHeading___Toc5146087_73709187">
            <w:r>
              <w:rPr>
                <w:webHidden/>
                <w:rStyle w:val="IndexLink"/>
                <w:rtl w:val="true"/>
              </w:rPr>
              <w:t>اشارة</w:t>
            </w:r>
            <w:r>
              <w:rPr>
                <w:rStyle w:val="IndexLink"/>
                <w:rtl w:val="true"/>
              </w:rPr>
              <w:tab/>
            </w:r>
            <w:r>
              <w:rPr>
                <w:rStyle w:val="IndexLink"/>
              </w:rPr>
              <w:t>355</w:t>
            </w:r>
          </w:hyperlink>
        </w:p>
        <w:p>
          <w:pPr>
            <w:pStyle w:val="Contents5"/>
            <w:tabs>
              <w:tab w:val="clear" w:pos="7892"/>
              <w:tab w:val="right" w:pos="9026" w:leader="dot"/>
            </w:tabs>
            <w:rPr/>
          </w:pPr>
          <w:hyperlink w:anchor="__RefHeading___Toc5146089_73709187">
            <w:r>
              <w:rPr>
                <w:webHidden/>
                <w:rStyle w:val="IndexLink"/>
                <w:rtl w:val="true"/>
              </w:rPr>
              <w:t>أقول</w:t>
            </w:r>
            <w:r>
              <w:rPr>
                <w:rStyle w:val="IndexLink"/>
                <w:rtl w:val="true"/>
              </w:rPr>
              <w:t xml:space="preserve">: </w:t>
            </w:r>
            <w:r>
              <w:rPr>
                <w:rStyle w:val="IndexLink"/>
                <w:rtl w:val="true"/>
              </w:rPr>
              <w:t>إنّ فی کلامه وجوهاً من النظر</w:t>
            </w:r>
            <w:r>
              <w:rPr>
                <w:rStyle w:val="IndexLink"/>
                <w:rtl w:val="true"/>
              </w:rPr>
              <w:t>:</w:t>
              <w:tab/>
            </w:r>
            <w:r>
              <w:rPr>
                <w:rStyle w:val="IndexLink"/>
              </w:rPr>
              <w:t>360</w:t>
            </w:r>
          </w:hyperlink>
        </w:p>
        <w:p>
          <w:pPr>
            <w:pStyle w:val="Contents4"/>
            <w:tabs>
              <w:tab w:val="clear" w:pos="8176"/>
              <w:tab w:val="right" w:pos="9026" w:leader="dot"/>
            </w:tabs>
            <w:rPr/>
          </w:pPr>
          <w:hyperlink w:anchor="__RefHeading___Toc5146091_73709187">
            <w:r>
              <w:rPr>
                <w:webHidden/>
                <w:rStyle w:val="IndexLink"/>
                <w:rtl w:val="true"/>
              </w:rPr>
              <w:t>المقام الثانی</w:t>
            </w:r>
            <w:r>
              <w:rPr>
                <w:rStyle w:val="IndexLink"/>
                <w:rtl w:val="true"/>
              </w:rPr>
              <w:t xml:space="preserve">: </w:t>
            </w:r>
            <w:r>
              <w:rPr>
                <w:rStyle w:val="IndexLink"/>
                <w:rtl w:val="true"/>
              </w:rPr>
              <w:t>إذا ورد مطلق و مقیّد مع ذکر السبب</w:t>
            </w:r>
            <w:r>
              <w:rPr>
                <w:rStyle w:val="IndexLink"/>
                <w:rtl w:val="true"/>
              </w:rPr>
              <w:tab/>
            </w:r>
            <w:r>
              <w:rPr>
                <w:rStyle w:val="IndexLink"/>
              </w:rPr>
              <w:t>363</w:t>
            </w:r>
          </w:hyperlink>
        </w:p>
        <w:p>
          <w:pPr>
            <w:pStyle w:val="Contents5"/>
            <w:tabs>
              <w:tab w:val="clear" w:pos="7892"/>
              <w:tab w:val="right" w:pos="9026" w:leader="dot"/>
            </w:tabs>
            <w:rPr/>
          </w:pPr>
          <w:hyperlink w:anchor="__RefHeading___Toc5146093_73709187">
            <w:r>
              <w:rPr>
                <w:webHidden/>
                <w:rStyle w:val="IndexLink"/>
                <w:rtl w:val="true"/>
              </w:rPr>
              <w:t>اشارة</w:t>
            </w:r>
            <w:r>
              <w:rPr>
                <w:rStyle w:val="IndexLink"/>
                <w:rtl w:val="true"/>
              </w:rPr>
              <w:tab/>
            </w:r>
            <w:r>
              <w:rPr>
                <w:rStyle w:val="IndexLink"/>
              </w:rPr>
              <w:t>363</w:t>
            </w:r>
          </w:hyperlink>
        </w:p>
        <w:p>
          <w:pPr>
            <w:pStyle w:val="Contents5"/>
            <w:tabs>
              <w:tab w:val="clear" w:pos="7892"/>
              <w:tab w:val="right" w:pos="9026" w:leader="dot"/>
            </w:tabs>
            <w:rPr/>
          </w:pPr>
          <w:hyperlink w:anchor="__RefHeading___Toc5146095_73709187">
            <w:r>
              <w:rPr>
                <w:webHidden/>
                <w:rStyle w:val="IndexLink"/>
                <w:rtl w:val="true"/>
              </w:rPr>
              <w:t>تنبیه</w:t>
            </w:r>
            <w:r>
              <w:rPr>
                <w:rStyle w:val="IndexLink"/>
                <w:rtl w:val="true"/>
              </w:rPr>
              <w:t xml:space="preserve">: </w:t>
            </w:r>
            <w:r>
              <w:rPr>
                <w:rStyle w:val="IndexLink"/>
                <w:rtl w:val="true"/>
              </w:rPr>
              <w:t>لا فرق بین الأحکام الوضعیّة و التکلیفیّة فی حمل المطلق</w:t>
            </w:r>
            <w:r>
              <w:rPr>
                <w:rStyle w:val="IndexLink"/>
                <w:rtl w:val="true"/>
              </w:rPr>
              <w:tab/>
            </w:r>
            <w:r>
              <w:rPr>
                <w:rStyle w:val="IndexLink"/>
              </w:rPr>
              <w:t>365</w:t>
            </w:r>
          </w:hyperlink>
        </w:p>
        <w:p>
          <w:pPr>
            <w:pStyle w:val="Contents2"/>
            <w:tabs>
              <w:tab w:val="clear" w:pos="8743"/>
              <w:tab w:val="right" w:pos="9026" w:leader="dot"/>
            </w:tabs>
            <w:rPr/>
          </w:pPr>
          <w:hyperlink w:anchor="__RefHeading___Toc5146097_73709187">
            <w:r>
              <w:rPr>
                <w:webHidden/>
                <w:rStyle w:val="IndexLink"/>
                <w:rtl w:val="true"/>
              </w:rPr>
              <w:t>المقصد السادس فی أحکام القطع</w:t>
            </w:r>
            <w:r>
              <w:rPr>
                <w:rStyle w:val="IndexLink"/>
                <w:rtl w:val="true"/>
              </w:rPr>
              <w:tab/>
            </w:r>
            <w:r>
              <w:rPr>
                <w:rStyle w:val="IndexLink"/>
              </w:rPr>
              <w:t>366</w:t>
            </w:r>
          </w:hyperlink>
        </w:p>
        <w:p>
          <w:pPr>
            <w:pStyle w:val="Contents3"/>
            <w:tabs>
              <w:tab w:val="clear" w:pos="8459"/>
              <w:tab w:val="right" w:pos="9026" w:leader="dot"/>
            </w:tabs>
            <w:rPr/>
          </w:pPr>
          <w:hyperlink w:anchor="__RefHeading___Toc5146099_73709187">
            <w:r>
              <w:rPr>
                <w:webHidden/>
                <w:rStyle w:val="IndexLink"/>
                <w:rtl w:val="true"/>
              </w:rPr>
              <w:t>اشارة</w:t>
            </w:r>
            <w:r>
              <w:rPr>
                <w:rStyle w:val="IndexLink"/>
                <w:rtl w:val="true"/>
              </w:rPr>
              <w:tab/>
            </w:r>
            <w:r>
              <w:rPr>
                <w:rStyle w:val="IndexLink"/>
              </w:rPr>
              <w:t>366</w:t>
            </w:r>
          </w:hyperlink>
        </w:p>
        <w:p>
          <w:pPr>
            <w:pStyle w:val="Contents3"/>
            <w:tabs>
              <w:tab w:val="clear" w:pos="8459"/>
              <w:tab w:val="right" w:pos="9026" w:leader="dot"/>
            </w:tabs>
            <w:rPr/>
          </w:pPr>
          <w:hyperlink w:anchor="__RefHeading___Toc5146101_73709187">
            <w:r>
              <w:rPr>
                <w:webHidden/>
                <w:rStyle w:val="IndexLink"/>
                <w:rtl w:val="true"/>
              </w:rPr>
              <w:t>مقدّمة</w:t>
            </w:r>
            <w:r>
              <w:rPr>
                <w:rStyle w:val="IndexLink"/>
                <w:rtl w:val="true"/>
              </w:rPr>
              <w:tab/>
            </w:r>
            <w:r>
              <w:rPr>
                <w:rStyle w:val="IndexLink"/>
              </w:rPr>
              <w:t>367</w:t>
            </w:r>
          </w:hyperlink>
        </w:p>
        <w:p>
          <w:pPr>
            <w:pStyle w:val="Contents3"/>
            <w:tabs>
              <w:tab w:val="clear" w:pos="8459"/>
              <w:tab w:val="right" w:pos="9026" w:leader="dot"/>
            </w:tabs>
            <w:rPr/>
          </w:pPr>
          <w:hyperlink w:anchor="__RefHeading___Toc5146103_73709187">
            <w:r>
              <w:rPr>
                <w:webHidden/>
                <w:rStyle w:val="IndexLink"/>
                <w:rtl w:val="true"/>
              </w:rPr>
              <w:t>الأمر الأوّل وجوب متابعة القطع و حجّیته</w:t>
            </w:r>
            <w:r>
              <w:rPr>
                <w:rStyle w:val="IndexLink"/>
                <w:rtl w:val="true"/>
              </w:rPr>
              <w:tab/>
            </w:r>
            <w:r>
              <w:rPr>
                <w:rStyle w:val="IndexLink"/>
              </w:rPr>
              <w:t>371</w:t>
            </w:r>
          </w:hyperlink>
        </w:p>
        <w:p>
          <w:pPr>
            <w:pStyle w:val="Contents3"/>
            <w:tabs>
              <w:tab w:val="clear" w:pos="8459"/>
              <w:tab w:val="right" w:pos="9026" w:leader="dot"/>
            </w:tabs>
            <w:rPr/>
          </w:pPr>
          <w:hyperlink w:anchor="__RefHeading___Toc5146105_73709187">
            <w:r>
              <w:rPr>
                <w:webHidden/>
                <w:rStyle w:val="IndexLink"/>
                <w:rtl w:val="true"/>
              </w:rPr>
              <w:t>الأمر الثانی مبحث التجرّی</w:t>
            </w:r>
            <w:r>
              <w:rPr>
                <w:rStyle w:val="IndexLink"/>
                <w:rtl w:val="true"/>
              </w:rPr>
              <w:tab/>
            </w:r>
            <w:r>
              <w:rPr>
                <w:rStyle w:val="IndexLink"/>
              </w:rPr>
              <w:t>374</w:t>
            </w:r>
          </w:hyperlink>
        </w:p>
        <w:p>
          <w:pPr>
            <w:pStyle w:val="Contents4"/>
            <w:tabs>
              <w:tab w:val="clear" w:pos="8176"/>
              <w:tab w:val="right" w:pos="9026" w:leader="dot"/>
            </w:tabs>
            <w:rPr/>
          </w:pPr>
          <w:hyperlink w:anchor="__RefHeading___Toc5146107_73709187">
            <w:r>
              <w:rPr>
                <w:webHidden/>
                <w:rStyle w:val="IndexLink"/>
                <w:rtl w:val="true"/>
              </w:rPr>
              <w:t>هل البحث عن التجرّی من المباحث الاُصولیّة أم لا؟</w:t>
            </w:r>
            <w:r>
              <w:rPr>
                <w:rStyle w:val="IndexLink"/>
                <w:rtl w:val="true"/>
              </w:rPr>
              <w:tab/>
            </w:r>
            <w:r>
              <w:rPr>
                <w:rStyle w:val="IndexLink"/>
              </w:rPr>
              <w:t>374</w:t>
            </w:r>
          </w:hyperlink>
        </w:p>
        <w:p>
          <w:pPr>
            <w:pStyle w:val="Contents4"/>
            <w:tabs>
              <w:tab w:val="clear" w:pos="8176"/>
              <w:tab w:val="right" w:pos="9026" w:leader="dot"/>
            </w:tabs>
            <w:rPr/>
          </w:pPr>
          <w:hyperlink w:anchor="__RefHeading___Toc5146109_73709187">
            <w:r>
              <w:rPr>
                <w:webHidden/>
                <w:rStyle w:val="IndexLink"/>
                <w:rtl w:val="true"/>
              </w:rPr>
              <w:t>هل یمکن عدّ مسألة التجرّی من المسائل الفقهیة؟</w:t>
            </w:r>
            <w:r>
              <w:rPr>
                <w:rStyle w:val="IndexLink"/>
                <w:rtl w:val="true"/>
              </w:rPr>
              <w:tab/>
            </w:r>
            <w:r>
              <w:rPr>
                <w:rStyle w:val="IndexLink"/>
              </w:rPr>
              <w:t>376</w:t>
            </w:r>
          </w:hyperlink>
        </w:p>
        <w:p>
          <w:pPr>
            <w:pStyle w:val="Contents4"/>
            <w:tabs>
              <w:tab w:val="clear" w:pos="8176"/>
              <w:tab w:val="right" w:pos="9026" w:leader="dot"/>
            </w:tabs>
            <w:rPr/>
          </w:pPr>
          <w:hyperlink w:anchor="__RefHeading___Toc5146111_73709187">
            <w:r>
              <w:rPr>
                <w:webHidden/>
                <w:rStyle w:val="IndexLink"/>
                <w:rtl w:val="true"/>
              </w:rPr>
              <w:t>المناط فی استحقاق العقوبة</w:t>
            </w:r>
            <w:r>
              <w:rPr>
                <w:rStyle w:val="IndexLink"/>
                <w:rtl w:val="true"/>
              </w:rPr>
              <w:tab/>
            </w:r>
            <w:r>
              <w:rPr>
                <w:rStyle w:val="IndexLink"/>
              </w:rPr>
              <w:t>379</w:t>
            </w:r>
          </w:hyperlink>
        </w:p>
        <w:p>
          <w:pPr>
            <w:pStyle w:val="Contents4"/>
            <w:tabs>
              <w:tab w:val="clear" w:pos="8176"/>
              <w:tab w:val="right" w:pos="9026" w:leader="dot"/>
            </w:tabs>
            <w:rPr/>
          </w:pPr>
          <w:hyperlink w:anchor="__RefHeading___Toc5146113_73709187">
            <w:r>
              <w:rPr>
                <w:webHidden/>
                <w:rStyle w:val="IndexLink"/>
                <w:rtl w:val="true"/>
              </w:rPr>
              <w:t>نقد کلام صاحب الکفایة</w:t>
            </w:r>
            <w:r>
              <w:rPr>
                <w:rStyle w:val="IndexLink"/>
                <w:rtl w:val="true"/>
              </w:rPr>
              <w:tab/>
            </w:r>
            <w:r>
              <w:rPr>
                <w:rStyle w:val="IndexLink"/>
              </w:rPr>
              <w:t>381</w:t>
            </w:r>
          </w:hyperlink>
        </w:p>
        <w:p>
          <w:pPr>
            <w:pStyle w:val="Contents4"/>
            <w:tabs>
              <w:tab w:val="clear" w:pos="8176"/>
              <w:tab w:val="right" w:pos="9026" w:leader="dot"/>
            </w:tabs>
            <w:rPr/>
          </w:pPr>
          <w:hyperlink w:anchor="__RefHeading___Toc5146115_73709187">
            <w:r>
              <w:rPr>
                <w:webHidden/>
                <w:rStyle w:val="IndexLink"/>
                <w:rtl w:val="true"/>
              </w:rPr>
              <w:t>و فیه وجوه من الخلل</w:t>
            </w:r>
            <w:r>
              <w:rPr>
                <w:rStyle w:val="IndexLink"/>
                <w:rtl w:val="true"/>
              </w:rPr>
              <w:t>:</w:t>
              <w:tab/>
            </w:r>
            <w:r>
              <w:rPr>
                <w:rStyle w:val="IndexLink"/>
              </w:rPr>
              <w:t>382</w:t>
            </w:r>
          </w:hyperlink>
        </w:p>
        <w:p>
          <w:pPr>
            <w:pStyle w:val="Contents3"/>
            <w:tabs>
              <w:tab w:val="clear" w:pos="8459"/>
              <w:tab w:val="right" w:pos="9026" w:leader="dot"/>
            </w:tabs>
            <w:rPr/>
          </w:pPr>
          <w:hyperlink w:anchor="__RefHeading___Toc5146117_73709187">
            <w:r>
              <w:rPr>
                <w:webHidden/>
                <w:rStyle w:val="IndexLink"/>
                <w:rtl w:val="true"/>
              </w:rPr>
              <w:t>الأمر الثالث أقسام القطع و أحکامه</w:t>
            </w:r>
            <w:r>
              <w:rPr>
                <w:rStyle w:val="IndexLink"/>
                <w:rtl w:val="true"/>
              </w:rPr>
              <w:tab/>
            </w:r>
            <w:r>
              <w:rPr>
                <w:rStyle w:val="IndexLink"/>
              </w:rPr>
              <w:t>387</w:t>
            </w:r>
          </w:hyperlink>
        </w:p>
        <w:p>
          <w:pPr>
            <w:pStyle w:val="Contents4"/>
            <w:tabs>
              <w:tab w:val="clear" w:pos="8176"/>
              <w:tab w:val="right" w:pos="9026" w:leader="dot"/>
            </w:tabs>
            <w:rPr/>
          </w:pPr>
          <w:hyperlink w:anchor="__RefHeading___Toc5146119_73709187">
            <w:r>
              <w:rPr>
                <w:webHidden/>
                <w:rStyle w:val="IndexLink"/>
                <w:rtl w:val="true"/>
              </w:rPr>
              <w:t>اشارة</w:t>
            </w:r>
            <w:r>
              <w:rPr>
                <w:rStyle w:val="IndexLink"/>
                <w:rtl w:val="true"/>
              </w:rPr>
              <w:tab/>
            </w:r>
            <w:r>
              <w:rPr>
                <w:rStyle w:val="IndexLink"/>
              </w:rPr>
              <w:t>387</w:t>
            </w:r>
          </w:hyperlink>
        </w:p>
        <w:p>
          <w:pPr>
            <w:pStyle w:val="Contents4"/>
            <w:tabs>
              <w:tab w:val="clear" w:pos="8176"/>
              <w:tab w:val="right" w:pos="9026" w:leader="dot"/>
            </w:tabs>
            <w:rPr/>
          </w:pPr>
          <w:hyperlink w:anchor="__RefHeading___Toc5146121_73709187">
            <w:r>
              <w:rPr>
                <w:webHidden/>
                <w:rStyle w:val="IndexLink"/>
                <w:rtl w:val="true"/>
              </w:rPr>
              <w:t>تقریر إشکال أخذ القطع تمام الموضوع علی وجه الطریقیة</w:t>
            </w:r>
            <w:r>
              <w:rPr>
                <w:rStyle w:val="IndexLink"/>
                <w:rtl w:val="true"/>
              </w:rPr>
              <w:tab/>
            </w:r>
            <w:r>
              <w:rPr>
                <w:rStyle w:val="IndexLink"/>
              </w:rPr>
              <w:t>388</w:t>
            </w:r>
          </w:hyperlink>
        </w:p>
        <w:p>
          <w:pPr>
            <w:pStyle w:val="Contents4"/>
            <w:tabs>
              <w:tab w:val="clear" w:pos="8176"/>
              <w:tab w:val="right" w:pos="9026" w:leader="dot"/>
            </w:tabs>
            <w:rPr/>
          </w:pPr>
          <w:hyperlink w:anchor="__RefHeading___Toc5146123_73709187">
            <w:r>
              <w:rPr>
                <w:webHidden/>
                <w:rStyle w:val="IndexLink"/>
                <w:rtl w:val="true"/>
              </w:rPr>
              <w:t>أخذ القطع بحکمٍ موضوعاً لمثل ذلک الحکم</w:t>
            </w:r>
            <w:r>
              <w:rPr>
                <w:rStyle w:val="IndexLink"/>
                <w:rtl w:val="true"/>
              </w:rPr>
              <w:tab/>
            </w:r>
            <w:r>
              <w:rPr>
                <w:rStyle w:val="IndexLink"/>
              </w:rPr>
              <w:t>389</w:t>
            </w:r>
          </w:hyperlink>
        </w:p>
        <w:p>
          <w:pPr>
            <w:pStyle w:val="Contents4"/>
            <w:tabs>
              <w:tab w:val="clear" w:pos="8176"/>
              <w:tab w:val="right" w:pos="9026" w:leader="dot"/>
            </w:tabs>
            <w:rPr/>
          </w:pPr>
          <w:hyperlink w:anchor="__RefHeading___Toc5146125_73709187">
            <w:r>
              <w:rPr>
                <w:webHidden/>
                <w:rStyle w:val="IndexLink"/>
                <w:rtl w:val="true"/>
              </w:rPr>
              <w:t>أخذ القطع بحکمٍ موضوعاً لنفس ذلک الحکم</w:t>
            </w:r>
            <w:r>
              <w:rPr>
                <w:rStyle w:val="IndexLink"/>
                <w:rtl w:val="true"/>
              </w:rPr>
              <w:tab/>
            </w:r>
            <w:r>
              <w:rPr>
                <w:rStyle w:val="IndexLink"/>
              </w:rPr>
              <w:t>390</w:t>
            </w:r>
          </w:hyperlink>
        </w:p>
        <w:p>
          <w:pPr>
            <w:pStyle w:val="Contents4"/>
            <w:tabs>
              <w:tab w:val="clear" w:pos="8176"/>
              <w:tab w:val="right" w:pos="9026" w:leader="dot"/>
            </w:tabs>
            <w:rPr/>
          </w:pPr>
          <w:hyperlink w:anchor="__RefHeading___Toc5146127_73709187">
            <w:r>
              <w:rPr>
                <w:webHidden/>
                <w:rStyle w:val="IndexLink"/>
                <w:rtl w:val="true"/>
              </w:rPr>
              <w:t>حول قیام الأمارات و الاُصول مقام القطع</w:t>
            </w:r>
            <w:r>
              <w:rPr>
                <w:rStyle w:val="IndexLink"/>
                <w:rtl w:val="true"/>
              </w:rPr>
              <w:tab/>
            </w:r>
            <w:r>
              <w:rPr>
                <w:rStyle w:val="IndexLink"/>
              </w:rPr>
              <w:t>394</w:t>
            </w:r>
          </w:hyperlink>
        </w:p>
        <w:p>
          <w:pPr>
            <w:pStyle w:val="Contents5"/>
            <w:tabs>
              <w:tab w:val="clear" w:pos="7892"/>
              <w:tab w:val="right" w:pos="9026" w:leader="dot"/>
            </w:tabs>
            <w:rPr/>
          </w:pPr>
          <w:hyperlink w:anchor="__RefHeading___Toc5146129_73709187">
            <w:r>
              <w:rPr>
                <w:webHidden/>
                <w:rStyle w:val="IndexLink"/>
                <w:rtl w:val="true"/>
              </w:rPr>
              <w:t>اشارة</w:t>
            </w:r>
            <w:r>
              <w:rPr>
                <w:rStyle w:val="IndexLink"/>
                <w:rtl w:val="true"/>
              </w:rPr>
              <w:tab/>
            </w:r>
            <w:r>
              <w:rPr>
                <w:rStyle w:val="IndexLink"/>
              </w:rPr>
              <w:t>394</w:t>
            </w:r>
          </w:hyperlink>
        </w:p>
        <w:p>
          <w:pPr>
            <w:pStyle w:val="Contents5"/>
            <w:tabs>
              <w:tab w:val="clear" w:pos="7892"/>
              <w:tab w:val="right" w:pos="9026" w:leader="dot"/>
            </w:tabs>
            <w:rPr/>
          </w:pPr>
          <w:hyperlink w:anchor="__RefHeading___Toc5146131_73709187">
            <w:r>
              <w:rPr>
                <w:webHidden/>
                <w:rStyle w:val="IndexLink"/>
                <w:rtl w:val="true"/>
              </w:rPr>
              <w:t>قیام الأمارات و الاُصول مقام القطع ثبوتاً</w:t>
            </w:r>
            <w:r>
              <w:rPr>
                <w:rStyle w:val="IndexLink"/>
                <w:rtl w:val="true"/>
              </w:rPr>
              <w:tab/>
            </w:r>
            <w:r>
              <w:rPr>
                <w:rStyle w:val="IndexLink"/>
              </w:rPr>
              <w:t>395</w:t>
            </w:r>
          </w:hyperlink>
        </w:p>
        <w:p>
          <w:pPr>
            <w:pStyle w:val="Contents5"/>
            <w:tabs>
              <w:tab w:val="clear" w:pos="7892"/>
              <w:tab w:val="right" w:pos="9026" w:leader="dot"/>
            </w:tabs>
            <w:rPr/>
          </w:pPr>
          <w:hyperlink w:anchor="__RefHeading___Toc5146133_73709187">
            <w:r>
              <w:rPr>
                <w:webHidden/>
                <w:rStyle w:val="IndexLink"/>
                <w:rtl w:val="true"/>
              </w:rPr>
              <w:t>قیام الأمارات و الاُصول مقام القطع إثباتاً</w:t>
            </w:r>
            <w:r>
              <w:rPr>
                <w:rStyle w:val="IndexLink"/>
                <w:rtl w:val="true"/>
              </w:rPr>
              <w:tab/>
            </w:r>
            <w:r>
              <w:rPr>
                <w:rStyle w:val="IndexLink"/>
              </w:rPr>
              <w:t>396</w:t>
            </w:r>
          </w:hyperlink>
        </w:p>
        <w:p>
          <w:pPr>
            <w:pStyle w:val="Contents3"/>
            <w:tabs>
              <w:tab w:val="clear" w:pos="8459"/>
              <w:tab w:val="right" w:pos="9026" w:leader="dot"/>
            </w:tabs>
            <w:rPr/>
          </w:pPr>
          <w:hyperlink w:anchor="__RefHeading___Toc5146135_73709187">
            <w:r>
              <w:rPr>
                <w:webHidden/>
                <w:rStyle w:val="IndexLink"/>
                <w:rtl w:val="true"/>
              </w:rPr>
              <w:t>الأمر الرابع حکم الظنّ فی المقام</w:t>
            </w:r>
            <w:r>
              <w:rPr>
                <w:rStyle w:val="IndexLink"/>
                <w:rtl w:val="true"/>
              </w:rPr>
              <w:tab/>
            </w:r>
            <w:r>
              <w:rPr>
                <w:rStyle w:val="IndexLink"/>
              </w:rPr>
              <w:t>400</w:t>
            </w:r>
          </w:hyperlink>
        </w:p>
        <w:p>
          <w:pPr>
            <w:pStyle w:val="Contents3"/>
            <w:tabs>
              <w:tab w:val="clear" w:pos="8459"/>
              <w:tab w:val="right" w:pos="9026" w:leader="dot"/>
            </w:tabs>
            <w:rPr/>
          </w:pPr>
          <w:hyperlink w:anchor="__RefHeading___Toc5146137_73709187">
            <w:r>
              <w:rPr>
                <w:webHidden/>
                <w:rStyle w:val="IndexLink"/>
                <w:rtl w:val="true"/>
              </w:rPr>
              <w:t>الأمر الخامس الموافقة الالتزامیة</w:t>
            </w:r>
            <w:r>
              <w:rPr>
                <w:rStyle w:val="IndexLink"/>
                <w:rtl w:val="true"/>
              </w:rPr>
              <w:tab/>
            </w:r>
            <w:r>
              <w:rPr>
                <w:rStyle w:val="IndexLink"/>
              </w:rPr>
              <w:t>401</w:t>
            </w:r>
          </w:hyperlink>
        </w:p>
        <w:p>
          <w:pPr>
            <w:pStyle w:val="Contents3"/>
            <w:tabs>
              <w:tab w:val="clear" w:pos="8459"/>
              <w:tab w:val="right" w:pos="9026" w:leader="dot"/>
            </w:tabs>
            <w:rPr/>
          </w:pPr>
          <w:hyperlink w:anchor="__RefHeading___Toc5146139_73709187">
            <w:r>
              <w:rPr>
                <w:webHidden/>
                <w:rStyle w:val="IndexLink"/>
                <w:rtl w:val="true"/>
              </w:rPr>
              <w:t>الأمر السادس أحکام العلم الإجمالی</w:t>
            </w:r>
            <w:r>
              <w:rPr>
                <w:rStyle w:val="IndexLink"/>
                <w:rtl w:val="true"/>
              </w:rPr>
              <w:tab/>
            </w:r>
            <w:r>
              <w:rPr>
                <w:rStyle w:val="IndexLink"/>
              </w:rPr>
              <w:t>404</w:t>
            </w:r>
          </w:hyperlink>
        </w:p>
        <w:p>
          <w:pPr>
            <w:pStyle w:val="Contents4"/>
            <w:tabs>
              <w:tab w:val="clear" w:pos="8176"/>
              <w:tab w:val="right" w:pos="9026" w:leader="dot"/>
            </w:tabs>
            <w:rPr/>
          </w:pPr>
          <w:hyperlink w:anchor="__RefHeading___Toc5146141_73709187">
            <w:r>
              <w:rPr>
                <w:webHidden/>
                <w:rStyle w:val="IndexLink"/>
                <w:rtl w:val="true"/>
              </w:rPr>
              <w:t>اشارة</w:t>
            </w:r>
            <w:r>
              <w:rPr>
                <w:rStyle w:val="IndexLink"/>
                <w:rtl w:val="true"/>
              </w:rPr>
              <w:tab/>
            </w:r>
            <w:r>
              <w:rPr>
                <w:rStyle w:val="IndexLink"/>
              </w:rPr>
              <w:t>404</w:t>
            </w:r>
          </w:hyperlink>
        </w:p>
        <w:p>
          <w:pPr>
            <w:pStyle w:val="Contents4"/>
            <w:tabs>
              <w:tab w:val="clear" w:pos="8176"/>
              <w:tab w:val="right" w:pos="9026" w:leader="dot"/>
            </w:tabs>
            <w:rPr/>
          </w:pPr>
          <w:hyperlink w:anchor="__RefHeading___Toc5146143_73709187">
            <w:r>
              <w:rPr>
                <w:webHidden/>
                <w:rStyle w:val="IndexLink"/>
                <w:rtl w:val="true"/>
              </w:rPr>
              <w:t>المقام الأوّل</w:t>
            </w:r>
            <w:r>
              <w:rPr>
                <w:rStyle w:val="IndexLink"/>
                <w:rtl w:val="true"/>
              </w:rPr>
              <w:t xml:space="preserve">: </w:t>
            </w:r>
            <w:r>
              <w:rPr>
                <w:rStyle w:val="IndexLink"/>
                <w:rtl w:val="true"/>
              </w:rPr>
              <w:t>فی تنجّز التکلیف بالعلم الإجمالی</w:t>
            </w:r>
            <w:r>
              <w:rPr>
                <w:rStyle w:val="IndexLink"/>
                <w:rtl w:val="true"/>
              </w:rPr>
              <w:tab/>
            </w:r>
            <w:r>
              <w:rPr>
                <w:rStyle w:val="IndexLink"/>
              </w:rPr>
              <w:t>404</w:t>
            </w:r>
          </w:hyperlink>
        </w:p>
        <w:p>
          <w:pPr>
            <w:pStyle w:val="Contents4"/>
            <w:tabs>
              <w:tab w:val="clear" w:pos="8176"/>
              <w:tab w:val="right" w:pos="9026" w:leader="dot"/>
            </w:tabs>
            <w:rPr/>
          </w:pPr>
          <w:hyperlink w:anchor="__RefHeading___Toc5146145_73709187">
            <w:r>
              <w:rPr>
                <w:webHidden/>
                <w:rStyle w:val="IndexLink"/>
                <w:rtl w:val="true"/>
              </w:rPr>
              <w:t>المقام الثانی</w:t>
            </w:r>
            <w:r>
              <w:rPr>
                <w:rStyle w:val="IndexLink"/>
                <w:rtl w:val="true"/>
              </w:rPr>
              <w:t xml:space="preserve">: </w:t>
            </w:r>
            <w:r>
              <w:rPr>
                <w:rStyle w:val="IndexLink"/>
                <w:rtl w:val="true"/>
              </w:rPr>
              <w:t>فی سقوط التکلیف بالامتثال الإجمالی</w:t>
            </w:r>
            <w:r>
              <w:rPr>
                <w:rStyle w:val="IndexLink"/>
                <w:rtl w:val="true"/>
              </w:rPr>
              <w:tab/>
            </w:r>
            <w:r>
              <w:rPr>
                <w:rStyle w:val="IndexLink"/>
              </w:rPr>
              <w:t>406</w:t>
            </w:r>
          </w:hyperlink>
        </w:p>
        <w:p>
          <w:pPr>
            <w:pStyle w:val="Contents2"/>
            <w:tabs>
              <w:tab w:val="clear" w:pos="8743"/>
              <w:tab w:val="right" w:pos="9026" w:leader="dot"/>
            </w:tabs>
            <w:rPr/>
          </w:pPr>
          <w:hyperlink w:anchor="__RefHeading___Toc5146147_73709187">
            <w:r>
              <w:rPr>
                <w:webHidden/>
                <w:rStyle w:val="IndexLink"/>
                <w:rtl w:val="true"/>
              </w:rPr>
              <w:t>المقصد السابع فی أحکام الظنّ</w:t>
            </w:r>
            <w:r>
              <w:rPr>
                <w:rStyle w:val="IndexLink"/>
                <w:rtl w:val="true"/>
              </w:rPr>
              <w:tab/>
            </w:r>
            <w:r>
              <w:rPr>
                <w:rStyle w:val="IndexLink"/>
              </w:rPr>
              <w:t>409</w:t>
            </w:r>
          </w:hyperlink>
        </w:p>
        <w:p>
          <w:pPr>
            <w:pStyle w:val="Contents3"/>
            <w:tabs>
              <w:tab w:val="clear" w:pos="8459"/>
              <w:tab w:val="right" w:pos="9026" w:leader="dot"/>
            </w:tabs>
            <w:rPr/>
          </w:pPr>
          <w:hyperlink w:anchor="__RefHeading___Toc5146149_73709187">
            <w:r>
              <w:rPr>
                <w:webHidden/>
                <w:rStyle w:val="IndexLink"/>
                <w:rtl w:val="true"/>
              </w:rPr>
              <w:t>اشارة</w:t>
            </w:r>
            <w:r>
              <w:rPr>
                <w:rStyle w:val="IndexLink"/>
                <w:rtl w:val="true"/>
              </w:rPr>
              <w:tab/>
            </w:r>
            <w:r>
              <w:rPr>
                <w:rStyle w:val="IndexLink"/>
              </w:rPr>
              <w:t>409</w:t>
            </w:r>
          </w:hyperlink>
        </w:p>
        <w:p>
          <w:pPr>
            <w:pStyle w:val="Contents3"/>
            <w:tabs>
              <w:tab w:val="clear" w:pos="8459"/>
              <w:tab w:val="right" w:pos="9026" w:leader="dot"/>
            </w:tabs>
            <w:rPr/>
          </w:pPr>
          <w:hyperlink w:anchor="__RefHeading___Toc5146151_73709187">
            <w:r>
              <w:rPr>
                <w:webHidden/>
                <w:rStyle w:val="IndexLink"/>
                <w:rtl w:val="true"/>
              </w:rPr>
              <w:t>المقام الأوّل فی إمکان التعبّد بالظنّ</w:t>
            </w:r>
            <w:r>
              <w:rPr>
                <w:rStyle w:val="IndexLink"/>
                <w:rtl w:val="true"/>
              </w:rPr>
              <w:tab/>
            </w:r>
            <w:r>
              <w:rPr>
                <w:rStyle w:val="IndexLink"/>
              </w:rPr>
              <w:t>410</w:t>
            </w:r>
          </w:hyperlink>
        </w:p>
        <w:p>
          <w:pPr>
            <w:pStyle w:val="Contents4"/>
            <w:tabs>
              <w:tab w:val="clear" w:pos="8176"/>
              <w:tab w:val="right" w:pos="9026" w:leader="dot"/>
            </w:tabs>
            <w:rPr/>
          </w:pPr>
          <w:hyperlink w:anchor="__RefHeading___Toc5146153_73709187">
            <w:r>
              <w:rPr>
                <w:webHidden/>
                <w:rStyle w:val="IndexLink"/>
                <w:rtl w:val="true"/>
              </w:rPr>
              <w:t>اشارة</w:t>
            </w:r>
            <w:r>
              <w:rPr>
                <w:rStyle w:val="IndexLink"/>
                <w:rtl w:val="true"/>
              </w:rPr>
              <w:tab/>
            </w:r>
            <w:r>
              <w:rPr>
                <w:rStyle w:val="IndexLink"/>
              </w:rPr>
              <w:t>410</w:t>
            </w:r>
          </w:hyperlink>
        </w:p>
        <w:p>
          <w:pPr>
            <w:pStyle w:val="Contents4"/>
            <w:tabs>
              <w:tab w:val="clear" w:pos="8176"/>
              <w:tab w:val="right" w:pos="9026" w:leader="dot"/>
            </w:tabs>
            <w:rPr/>
          </w:pPr>
          <w:hyperlink w:anchor="__RefHeading___Toc5146155_73709187">
            <w:r>
              <w:rPr>
                <w:webHidden/>
                <w:rStyle w:val="IndexLink"/>
                <w:rtl w:val="true"/>
              </w:rPr>
              <w:t xml:space="preserve">المراد من </w:t>
            </w:r>
            <w:r>
              <w:rPr>
                <w:rStyle w:val="IndexLink"/>
                <w:rtl w:val="true"/>
              </w:rPr>
              <w:t>«</w:t>
            </w:r>
            <w:r>
              <w:rPr>
                <w:rStyle w:val="IndexLink"/>
                <w:rtl w:val="true"/>
              </w:rPr>
              <w:t>الإمکان</w:t>
            </w:r>
            <w:r>
              <w:rPr>
                <w:rStyle w:val="IndexLink"/>
                <w:rtl w:val="true"/>
              </w:rPr>
              <w:t xml:space="preserve">» </w:t>
            </w:r>
            <w:r>
              <w:rPr>
                <w:rStyle w:val="IndexLink"/>
                <w:rtl w:val="true"/>
              </w:rPr>
              <w:t>المزبور</w:t>
            </w:r>
            <w:r>
              <w:rPr>
                <w:rStyle w:val="IndexLink"/>
                <w:rtl w:val="true"/>
              </w:rPr>
              <w:tab/>
            </w:r>
            <w:r>
              <w:rPr>
                <w:rStyle w:val="IndexLink"/>
              </w:rPr>
              <w:t>410</w:t>
            </w:r>
          </w:hyperlink>
        </w:p>
        <w:p>
          <w:pPr>
            <w:pStyle w:val="Contents4"/>
            <w:tabs>
              <w:tab w:val="clear" w:pos="8176"/>
              <w:tab w:val="right" w:pos="9026" w:leader="dot"/>
            </w:tabs>
            <w:rPr/>
          </w:pPr>
          <w:hyperlink w:anchor="__RefHeading___Toc5146157_73709187">
            <w:r>
              <w:rPr>
                <w:webHidden/>
                <w:rStyle w:val="IndexLink"/>
                <w:rtl w:val="true"/>
              </w:rPr>
              <w:t xml:space="preserve">حول استدلال </w:t>
            </w:r>
            <w:r>
              <w:rPr>
                <w:rStyle w:val="IndexLink"/>
                <w:rtl w:val="true"/>
              </w:rPr>
              <w:t>«</w:t>
            </w:r>
            <w:r>
              <w:rPr>
                <w:rStyle w:val="IndexLink"/>
                <w:rtl w:val="true"/>
              </w:rPr>
              <w:t>ابن قبة</w:t>
            </w:r>
            <w:r>
              <w:rPr>
                <w:rStyle w:val="IndexLink"/>
                <w:rtl w:val="true"/>
              </w:rPr>
              <w:t xml:space="preserve">» </w:t>
            </w:r>
            <w:r>
              <w:rPr>
                <w:rStyle w:val="IndexLink"/>
                <w:rtl w:val="true"/>
              </w:rPr>
              <w:t>علی عدم إمکان التعبّد</w:t>
            </w:r>
            <w:r>
              <w:rPr>
                <w:rStyle w:val="IndexLink"/>
                <w:rtl w:val="true"/>
              </w:rPr>
              <w:tab/>
            </w:r>
            <w:r>
              <w:rPr>
                <w:rStyle w:val="IndexLink"/>
              </w:rPr>
              <w:t>412</w:t>
            </w:r>
          </w:hyperlink>
        </w:p>
        <w:p>
          <w:pPr>
            <w:pStyle w:val="Contents4"/>
            <w:tabs>
              <w:tab w:val="clear" w:pos="8176"/>
              <w:tab w:val="right" w:pos="9026" w:leader="dot"/>
            </w:tabs>
            <w:rPr/>
          </w:pPr>
          <w:hyperlink w:anchor="__RefHeading___Toc5146159_73709187">
            <w:r>
              <w:rPr>
                <w:webHidden/>
                <w:rStyle w:val="IndexLink"/>
                <w:rtl w:val="true"/>
              </w:rPr>
              <w:t>الجواب عن محذور تفویت المصلحة</w:t>
            </w:r>
            <w:r>
              <w:rPr>
                <w:rStyle w:val="IndexLink"/>
                <w:rtl w:val="true"/>
              </w:rPr>
              <w:tab/>
            </w:r>
            <w:r>
              <w:rPr>
                <w:rStyle w:val="IndexLink"/>
              </w:rPr>
              <w:t>414</w:t>
            </w:r>
          </w:hyperlink>
        </w:p>
        <w:p>
          <w:pPr>
            <w:pStyle w:val="Contents4"/>
            <w:tabs>
              <w:tab w:val="clear" w:pos="8176"/>
              <w:tab w:val="right" w:pos="9026" w:leader="dot"/>
            </w:tabs>
            <w:rPr/>
          </w:pPr>
          <w:hyperlink w:anchor="__RefHeading___Toc5146161_73709187">
            <w:r>
              <w:rPr>
                <w:webHidden/>
                <w:rStyle w:val="IndexLink"/>
                <w:rtl w:val="true"/>
              </w:rPr>
              <w:t>دفع المحذور بناءً علی المصلحة السلوکیّة</w:t>
            </w:r>
            <w:r>
              <w:rPr>
                <w:rStyle w:val="IndexLink"/>
                <w:rtl w:val="true"/>
              </w:rPr>
              <w:tab/>
            </w:r>
            <w:r>
              <w:rPr>
                <w:rStyle w:val="IndexLink"/>
              </w:rPr>
              <w:t>416</w:t>
            </w:r>
          </w:hyperlink>
        </w:p>
        <w:p>
          <w:pPr>
            <w:pStyle w:val="Contents4"/>
            <w:tabs>
              <w:tab w:val="clear" w:pos="8176"/>
              <w:tab w:val="right" w:pos="9026" w:leader="dot"/>
            </w:tabs>
            <w:rPr/>
          </w:pPr>
          <w:hyperlink w:anchor="__RefHeading___Toc5146163_73709187">
            <w:r>
              <w:rPr>
                <w:webHidden/>
                <w:rStyle w:val="IndexLink"/>
                <w:rtl w:val="true"/>
              </w:rPr>
              <w:t>الجواب عن محذور اجتماع المثلین أو الضدّین</w:t>
            </w:r>
            <w:r>
              <w:rPr>
                <w:rStyle w:val="IndexLink"/>
                <w:rtl w:val="true"/>
              </w:rPr>
              <w:tab/>
            </w:r>
            <w:r>
              <w:rPr>
                <w:rStyle w:val="IndexLink"/>
              </w:rPr>
              <w:t>417</w:t>
            </w:r>
          </w:hyperlink>
        </w:p>
        <w:p>
          <w:pPr>
            <w:pStyle w:val="Contents4"/>
            <w:tabs>
              <w:tab w:val="clear" w:pos="8176"/>
              <w:tab w:val="right" w:pos="9026" w:leader="dot"/>
            </w:tabs>
            <w:rPr/>
          </w:pPr>
          <w:hyperlink w:anchor="__RefHeading___Toc5146165_73709187">
            <w:r>
              <w:rPr>
                <w:webHidden/>
                <w:rStyle w:val="IndexLink"/>
                <w:rtl w:val="true"/>
              </w:rPr>
              <w:t>أجوبة الأعلام عن المشکلة و نقدها</w:t>
            </w:r>
            <w:r>
              <w:rPr>
                <w:rStyle w:val="IndexLink"/>
                <w:rtl w:val="true"/>
              </w:rPr>
              <w:tab/>
            </w:r>
            <w:r>
              <w:rPr>
                <w:rStyle w:val="IndexLink"/>
              </w:rPr>
              <w:t>421</w:t>
            </w:r>
          </w:hyperlink>
        </w:p>
        <w:p>
          <w:pPr>
            <w:pStyle w:val="Contents3"/>
            <w:tabs>
              <w:tab w:val="clear" w:pos="8459"/>
              <w:tab w:val="right" w:pos="9026" w:leader="dot"/>
            </w:tabs>
            <w:rPr/>
          </w:pPr>
          <w:hyperlink w:anchor="__RefHeading___Toc5146167_73709187">
            <w:r>
              <w:rPr>
                <w:webHidden/>
                <w:rStyle w:val="IndexLink"/>
                <w:rtl w:val="true"/>
              </w:rPr>
              <w:t>المقام الثانی فی تأسیس الأصل</w:t>
            </w:r>
            <w:r>
              <w:rPr>
                <w:rStyle w:val="IndexLink"/>
                <w:rtl w:val="true"/>
              </w:rPr>
              <w:tab/>
            </w:r>
            <w:r>
              <w:rPr>
                <w:rStyle w:val="IndexLink"/>
              </w:rPr>
              <w:t>431</w:t>
            </w:r>
          </w:hyperlink>
        </w:p>
        <w:p>
          <w:pPr>
            <w:pStyle w:val="Contents3"/>
            <w:tabs>
              <w:tab w:val="clear" w:pos="8459"/>
              <w:tab w:val="right" w:pos="9026" w:leader="dot"/>
            </w:tabs>
            <w:rPr/>
          </w:pPr>
          <w:hyperlink w:anchor="__RefHeading___Toc5146169_73709187">
            <w:r>
              <w:rPr>
                <w:webHidden/>
                <w:rStyle w:val="IndexLink"/>
                <w:rtl w:val="true"/>
              </w:rPr>
              <w:t>المقام الثالث فیما قیل أو یمکن أن یقال بخروجه عن الأصل</w:t>
            </w:r>
            <w:r>
              <w:rPr>
                <w:rStyle w:val="IndexLink"/>
                <w:rtl w:val="true"/>
              </w:rPr>
              <w:tab/>
            </w:r>
            <w:r>
              <w:rPr>
                <w:rStyle w:val="IndexLink"/>
              </w:rPr>
              <w:t>440</w:t>
            </w:r>
          </w:hyperlink>
        </w:p>
        <w:p>
          <w:pPr>
            <w:pStyle w:val="Contents4"/>
            <w:tabs>
              <w:tab w:val="clear" w:pos="8176"/>
              <w:tab w:val="right" w:pos="9026" w:leader="dot"/>
            </w:tabs>
            <w:rPr/>
          </w:pPr>
          <w:hyperlink w:anchor="__RefHeading___Toc5146171_73709187">
            <w:r>
              <w:rPr>
                <w:webHidden/>
                <w:rStyle w:val="IndexLink"/>
                <w:rtl w:val="true"/>
              </w:rPr>
              <w:t>اشارة</w:t>
            </w:r>
            <w:r>
              <w:rPr>
                <w:rStyle w:val="IndexLink"/>
                <w:rtl w:val="true"/>
              </w:rPr>
              <w:tab/>
            </w:r>
            <w:r>
              <w:rPr>
                <w:rStyle w:val="IndexLink"/>
              </w:rPr>
              <w:t>440</w:t>
            </w:r>
          </w:hyperlink>
        </w:p>
        <w:p>
          <w:pPr>
            <w:pStyle w:val="Contents4"/>
            <w:tabs>
              <w:tab w:val="clear" w:pos="8176"/>
              <w:tab w:val="right" w:pos="9026" w:leader="dot"/>
            </w:tabs>
            <w:rPr/>
          </w:pPr>
          <w:hyperlink w:anchor="__RefHeading___Toc5146173_73709187">
            <w:r>
              <w:rPr>
                <w:webHidden/>
                <w:rStyle w:val="IndexLink"/>
                <w:rtl w:val="true"/>
              </w:rPr>
              <w:t>الأمر الأوّل ظواهر کلمات الشارع</w:t>
            </w:r>
            <w:r>
              <w:rPr>
                <w:rStyle w:val="IndexLink"/>
                <w:rtl w:val="true"/>
              </w:rPr>
              <w:tab/>
            </w:r>
            <w:r>
              <w:rPr>
                <w:rStyle w:val="IndexLink"/>
              </w:rPr>
              <w:t>441</w:t>
            </w:r>
          </w:hyperlink>
        </w:p>
        <w:p>
          <w:pPr>
            <w:pStyle w:val="Contents4"/>
            <w:tabs>
              <w:tab w:val="clear" w:pos="8176"/>
              <w:tab w:val="right" w:pos="9026" w:leader="dot"/>
            </w:tabs>
            <w:rPr/>
          </w:pPr>
          <w:hyperlink w:anchor="__RefHeading___Toc5146175_73709187">
            <w:r>
              <w:rPr>
                <w:webHidden/>
                <w:rStyle w:val="IndexLink"/>
                <w:rtl w:val="true"/>
              </w:rPr>
              <w:t>الأمر الثانی قول اللّغوی</w:t>
            </w:r>
            <w:r>
              <w:rPr>
                <w:rStyle w:val="IndexLink"/>
                <w:rtl w:val="true"/>
              </w:rPr>
              <w:tab/>
            </w:r>
            <w:r>
              <w:rPr>
                <w:rStyle w:val="IndexLink"/>
              </w:rPr>
              <w:t>445</w:t>
            </w:r>
          </w:hyperlink>
        </w:p>
        <w:p>
          <w:pPr>
            <w:pStyle w:val="Contents4"/>
            <w:tabs>
              <w:tab w:val="clear" w:pos="8176"/>
              <w:tab w:val="right" w:pos="9026" w:leader="dot"/>
            </w:tabs>
            <w:rPr/>
          </w:pPr>
          <w:hyperlink w:anchor="__RefHeading___Toc5146177_73709187">
            <w:r>
              <w:rPr>
                <w:webHidden/>
                <w:rStyle w:val="IndexLink"/>
                <w:rtl w:val="true"/>
              </w:rPr>
              <w:t>الأمر الثالث لإجماع المنقول</w:t>
            </w:r>
            <w:r>
              <w:rPr>
                <w:rStyle w:val="IndexLink"/>
                <w:rtl w:val="true"/>
              </w:rPr>
              <w:tab/>
            </w:r>
            <w:r>
              <w:rPr>
                <w:rStyle w:val="IndexLink"/>
              </w:rPr>
              <w:t>447</w:t>
            </w:r>
          </w:hyperlink>
        </w:p>
        <w:p>
          <w:pPr>
            <w:pStyle w:val="Contents5"/>
            <w:tabs>
              <w:tab w:val="clear" w:pos="7892"/>
              <w:tab w:val="right" w:pos="9026" w:leader="dot"/>
            </w:tabs>
            <w:rPr/>
          </w:pPr>
          <w:hyperlink w:anchor="__RefHeading___Toc5146179_73709187">
            <w:r>
              <w:rPr>
                <w:webHidden/>
                <w:rStyle w:val="IndexLink"/>
                <w:rtl w:val="true"/>
              </w:rPr>
              <w:t>اشارة</w:t>
            </w:r>
            <w:r>
              <w:rPr>
                <w:rStyle w:val="IndexLink"/>
                <w:rtl w:val="true"/>
              </w:rPr>
              <w:tab/>
            </w:r>
            <w:r>
              <w:rPr>
                <w:rStyle w:val="IndexLink"/>
              </w:rPr>
              <w:t>447</w:t>
            </w:r>
          </w:hyperlink>
        </w:p>
        <w:p>
          <w:pPr>
            <w:pStyle w:val="Contents5"/>
            <w:tabs>
              <w:tab w:val="clear" w:pos="7892"/>
              <w:tab w:val="right" w:pos="9026" w:leader="dot"/>
            </w:tabs>
            <w:rPr/>
          </w:pPr>
          <w:hyperlink w:anchor="__RefHeading___Toc5146181_73709187">
            <w:r>
              <w:rPr>
                <w:webHidden/>
                <w:rStyle w:val="IndexLink"/>
                <w:rtl w:val="true"/>
              </w:rPr>
              <w:t>الجهة الأولی</w:t>
            </w:r>
            <w:r>
              <w:rPr>
                <w:rStyle w:val="IndexLink"/>
                <w:rtl w:val="true"/>
              </w:rPr>
              <w:t xml:space="preserve">: </w:t>
            </w:r>
            <w:r>
              <w:rPr>
                <w:rStyle w:val="IndexLink"/>
                <w:rtl w:val="true"/>
              </w:rPr>
              <w:t>فی تعریف الإجماع</w:t>
            </w:r>
            <w:r>
              <w:rPr>
                <w:rStyle w:val="IndexLink"/>
                <w:rtl w:val="true"/>
              </w:rPr>
              <w:tab/>
            </w:r>
            <w:r>
              <w:rPr>
                <w:rStyle w:val="IndexLink"/>
              </w:rPr>
              <w:t>447</w:t>
            </w:r>
          </w:hyperlink>
        </w:p>
        <w:p>
          <w:pPr>
            <w:pStyle w:val="Contents5"/>
            <w:tabs>
              <w:tab w:val="clear" w:pos="7892"/>
              <w:tab w:val="right" w:pos="9026" w:leader="dot"/>
            </w:tabs>
            <w:rPr/>
          </w:pPr>
          <w:hyperlink w:anchor="__RefHeading___Toc5146183_73709187">
            <w:r>
              <w:rPr>
                <w:webHidden/>
                <w:rStyle w:val="IndexLink"/>
                <w:rtl w:val="true"/>
              </w:rPr>
              <w:t>الجهة الثانیة</w:t>
            </w:r>
            <w:r>
              <w:rPr>
                <w:rStyle w:val="IndexLink"/>
                <w:rtl w:val="true"/>
              </w:rPr>
              <w:t xml:space="preserve">: </w:t>
            </w:r>
            <w:r>
              <w:rPr>
                <w:rStyle w:val="IndexLink"/>
                <w:rtl w:val="true"/>
              </w:rPr>
              <w:t>فی عدم شمول أدلّة حجّیة الخبر للإجماع</w:t>
            </w:r>
            <w:r>
              <w:rPr>
                <w:rStyle w:val="IndexLink"/>
                <w:rtl w:val="true"/>
              </w:rPr>
              <w:tab/>
            </w:r>
            <w:r>
              <w:rPr>
                <w:rStyle w:val="IndexLink"/>
              </w:rPr>
              <w:t>448</w:t>
            </w:r>
          </w:hyperlink>
        </w:p>
        <w:p>
          <w:pPr>
            <w:pStyle w:val="Contents5"/>
            <w:tabs>
              <w:tab w:val="clear" w:pos="7892"/>
              <w:tab w:val="right" w:pos="9026" w:leader="dot"/>
            </w:tabs>
            <w:rPr/>
          </w:pPr>
          <w:hyperlink w:anchor="__RefHeading___Toc5146185_73709187">
            <w:r>
              <w:rPr>
                <w:webHidden/>
                <w:rStyle w:val="IndexLink"/>
                <w:rtl w:val="true"/>
              </w:rPr>
              <w:t>الجهة الثالثة</w:t>
            </w:r>
            <w:r>
              <w:rPr>
                <w:rStyle w:val="IndexLink"/>
                <w:rtl w:val="true"/>
              </w:rPr>
              <w:t xml:space="preserve">: </w:t>
            </w:r>
            <w:r>
              <w:rPr>
                <w:rStyle w:val="IndexLink"/>
                <w:rtl w:val="true"/>
              </w:rPr>
              <w:t>فی وجه حجّیة الإجماع</w:t>
            </w:r>
            <w:r>
              <w:rPr>
                <w:rStyle w:val="IndexLink"/>
                <w:rtl w:val="true"/>
              </w:rPr>
              <w:tab/>
            </w:r>
            <w:r>
              <w:rPr>
                <w:rStyle w:val="IndexLink"/>
              </w:rPr>
              <w:t>449</w:t>
            </w:r>
          </w:hyperlink>
        </w:p>
        <w:p>
          <w:pPr>
            <w:pStyle w:val="Contents4"/>
            <w:tabs>
              <w:tab w:val="clear" w:pos="8176"/>
              <w:tab w:val="right" w:pos="9026" w:leader="dot"/>
            </w:tabs>
            <w:rPr/>
          </w:pPr>
          <w:hyperlink w:anchor="__RefHeading___Toc5146187_73709187">
            <w:r>
              <w:rPr>
                <w:webHidden/>
                <w:rStyle w:val="IndexLink"/>
                <w:rtl w:val="true"/>
              </w:rPr>
              <w:t>الأمر الرابع الشهرة فی الفتوی</w:t>
            </w:r>
            <w:r>
              <w:rPr>
                <w:rStyle w:val="IndexLink"/>
                <w:rtl w:val="true"/>
              </w:rPr>
              <w:tab/>
            </w:r>
            <w:r>
              <w:rPr>
                <w:rStyle w:val="IndexLink"/>
              </w:rPr>
              <w:t>452</w:t>
            </w:r>
          </w:hyperlink>
        </w:p>
        <w:p>
          <w:pPr>
            <w:pStyle w:val="Contents4"/>
            <w:tabs>
              <w:tab w:val="clear" w:pos="8176"/>
              <w:tab w:val="right" w:pos="9026" w:leader="dot"/>
            </w:tabs>
            <w:rPr/>
          </w:pPr>
          <w:hyperlink w:anchor="__RefHeading___Toc5146189_73709187">
            <w:r>
              <w:rPr>
                <w:webHidden/>
                <w:rStyle w:val="IndexLink"/>
                <w:rtl w:val="true"/>
              </w:rPr>
              <w:t>الأمر الخامس خبر الواحد</w:t>
            </w:r>
            <w:r>
              <w:rPr>
                <w:rStyle w:val="IndexLink"/>
                <w:rtl w:val="true"/>
              </w:rPr>
              <w:tab/>
            </w:r>
            <w:r>
              <w:rPr>
                <w:rStyle w:val="IndexLink"/>
              </w:rPr>
              <w:t>456</w:t>
            </w:r>
          </w:hyperlink>
        </w:p>
        <w:p>
          <w:pPr>
            <w:pStyle w:val="Contents5"/>
            <w:tabs>
              <w:tab w:val="clear" w:pos="7892"/>
              <w:tab w:val="right" w:pos="9026" w:leader="dot"/>
            </w:tabs>
            <w:rPr/>
          </w:pPr>
          <w:hyperlink w:anchor="__RefHeading___Toc5146191_73709187">
            <w:r>
              <w:rPr>
                <w:webHidden/>
                <w:rStyle w:val="IndexLink"/>
                <w:rtl w:val="true"/>
              </w:rPr>
              <w:t>اشارة</w:t>
            </w:r>
            <w:r>
              <w:rPr>
                <w:rStyle w:val="IndexLink"/>
                <w:rtl w:val="true"/>
              </w:rPr>
              <w:tab/>
            </w:r>
            <w:r>
              <w:rPr>
                <w:rStyle w:val="IndexLink"/>
              </w:rPr>
              <w:t>456</w:t>
            </w:r>
          </w:hyperlink>
        </w:p>
        <w:p>
          <w:pPr>
            <w:pStyle w:val="Contents5"/>
            <w:tabs>
              <w:tab w:val="clear" w:pos="7892"/>
              <w:tab w:val="right" w:pos="9026" w:leader="dot"/>
            </w:tabs>
            <w:rPr/>
          </w:pPr>
          <w:hyperlink w:anchor="__RefHeading___Toc5146193_73709187">
            <w:r>
              <w:rPr>
                <w:webHidden/>
                <w:rStyle w:val="IndexLink"/>
                <w:rtl w:val="true"/>
              </w:rPr>
              <w:t>أدلّة عدم حجّیة خبر الواحد</w:t>
            </w:r>
            <w:r>
              <w:rPr>
                <w:rStyle w:val="IndexLink"/>
                <w:rtl w:val="true"/>
              </w:rPr>
              <w:tab/>
            </w:r>
            <w:r>
              <w:rPr>
                <w:rStyle w:val="IndexLink"/>
              </w:rPr>
              <w:t>456</w:t>
            </w:r>
          </w:hyperlink>
        </w:p>
        <w:p>
          <w:pPr>
            <w:pStyle w:val="Contents5"/>
            <w:tabs>
              <w:tab w:val="clear" w:pos="7892"/>
              <w:tab w:val="right" w:pos="9026" w:leader="dot"/>
            </w:tabs>
            <w:rPr/>
          </w:pPr>
          <w:hyperlink w:anchor="__RefHeading___Toc5146195_73709187">
            <w:r>
              <w:rPr>
                <w:webHidden/>
                <w:rStyle w:val="IndexLink"/>
                <w:rtl w:val="true"/>
              </w:rPr>
              <w:t>أدلّة حجّیة خبر الواحد</w:t>
            </w:r>
            <w:r>
              <w:rPr>
                <w:rStyle w:val="IndexLink"/>
                <w:rtl w:val="true"/>
              </w:rPr>
              <w:tab/>
            </w:r>
            <w:r>
              <w:rPr>
                <w:rStyle w:val="IndexLink"/>
              </w:rPr>
              <w:t>461</w:t>
            </w:r>
          </w:hyperlink>
        </w:p>
        <w:p>
          <w:pPr>
            <w:pStyle w:val="Contents6"/>
            <w:tabs>
              <w:tab w:val="clear" w:pos="7609"/>
              <w:tab w:val="right" w:pos="9026" w:leader="dot"/>
            </w:tabs>
            <w:rPr/>
          </w:pPr>
          <w:hyperlink w:anchor="__RefHeading___Toc5146197_73709187">
            <w:r>
              <w:rPr>
                <w:webHidden/>
                <w:rStyle w:val="IndexLink"/>
                <w:rtl w:val="true"/>
              </w:rPr>
              <w:t>اشارة</w:t>
            </w:r>
            <w:r>
              <w:rPr>
                <w:rStyle w:val="IndexLink"/>
                <w:rtl w:val="true"/>
              </w:rPr>
              <w:tab/>
            </w:r>
            <w:r>
              <w:rPr>
                <w:rStyle w:val="IndexLink"/>
              </w:rPr>
              <w:t>461</w:t>
            </w:r>
          </w:hyperlink>
        </w:p>
        <w:p>
          <w:pPr>
            <w:pStyle w:val="Contents6"/>
            <w:tabs>
              <w:tab w:val="clear" w:pos="7609"/>
              <w:tab w:val="right" w:pos="9026" w:leader="dot"/>
            </w:tabs>
            <w:rPr/>
          </w:pPr>
          <w:hyperlink w:anchor="__RefHeading___Toc5146199_73709187">
            <w:r>
              <w:rPr>
                <w:webHidden/>
                <w:rStyle w:val="IndexLink"/>
                <w:rtl w:val="true"/>
              </w:rPr>
              <w:t>الدلیل الأوّل</w:t>
            </w:r>
            <w:r>
              <w:rPr>
                <w:rStyle w:val="IndexLink"/>
                <w:rtl w:val="true"/>
              </w:rPr>
              <w:t xml:space="preserve">: </w:t>
            </w:r>
            <w:r>
              <w:rPr>
                <w:rStyle w:val="IndexLink"/>
                <w:rtl w:val="true"/>
              </w:rPr>
              <w:t>الآیات</w:t>
            </w:r>
            <w:r>
              <w:rPr>
                <w:rStyle w:val="IndexLink"/>
                <w:rtl w:val="true"/>
              </w:rPr>
              <w:tab/>
            </w:r>
            <w:r>
              <w:rPr>
                <w:rStyle w:val="IndexLink"/>
              </w:rPr>
              <w:t>461</w:t>
            </w:r>
          </w:hyperlink>
        </w:p>
        <w:p>
          <w:pPr>
            <w:pStyle w:val="Contents6"/>
            <w:tabs>
              <w:tab w:val="clear" w:pos="7609"/>
              <w:tab w:val="right" w:pos="9026" w:leader="dot"/>
            </w:tabs>
            <w:rPr/>
          </w:pPr>
          <w:hyperlink w:anchor="__RefHeading___Toc5146201_73709187">
            <w:r>
              <w:rPr>
                <w:webHidden/>
                <w:rStyle w:val="IndexLink"/>
                <w:rtl w:val="true"/>
              </w:rPr>
              <w:t>منها</w:t>
            </w:r>
            <w:r>
              <w:rPr>
                <w:rStyle w:val="IndexLink"/>
                <w:rtl w:val="true"/>
              </w:rPr>
              <w:t xml:space="preserve">: </w:t>
            </w:r>
            <w:r>
              <w:rPr>
                <w:rStyle w:val="IndexLink"/>
                <w:rtl w:val="true"/>
              </w:rPr>
              <w:t>آیة النبأ</w:t>
            </w:r>
            <w:r>
              <w:rPr>
                <w:rStyle w:val="IndexLink"/>
                <w:rtl w:val="true"/>
              </w:rPr>
              <w:tab/>
            </w:r>
            <w:r>
              <w:rPr>
                <w:rStyle w:val="IndexLink"/>
              </w:rPr>
              <w:t>461</w:t>
            </w:r>
          </w:hyperlink>
        </w:p>
        <w:p>
          <w:pPr>
            <w:pStyle w:val="Contents6"/>
            <w:tabs>
              <w:tab w:val="clear" w:pos="7609"/>
              <w:tab w:val="right" w:pos="9026" w:leader="dot"/>
            </w:tabs>
            <w:rPr/>
          </w:pPr>
          <w:hyperlink w:anchor="__RefHeading___Toc5146203_73709187">
            <w:r>
              <w:rPr>
                <w:webHidden/>
                <w:rStyle w:val="IndexLink"/>
                <w:rtl w:val="true"/>
              </w:rPr>
              <w:t>و هنا تقریبات لبیان ثبوت المفهوم للآیة</w:t>
            </w:r>
            <w:r>
              <w:rPr>
                <w:rStyle w:val="IndexLink"/>
                <w:rtl w:val="true"/>
              </w:rPr>
              <w:t>:</w:t>
              <w:tab/>
            </w:r>
            <w:r>
              <w:rPr>
                <w:rStyle w:val="IndexLink"/>
              </w:rPr>
              <w:t>463</w:t>
            </w:r>
          </w:hyperlink>
        </w:p>
        <w:p>
          <w:pPr>
            <w:pStyle w:val="Contents6"/>
            <w:tabs>
              <w:tab w:val="clear" w:pos="7609"/>
              <w:tab w:val="right" w:pos="9026" w:leader="dot"/>
            </w:tabs>
            <w:rPr/>
          </w:pPr>
          <w:hyperlink w:anchor="__RefHeading___Toc5146205_73709187">
            <w:r>
              <w:rPr>
                <w:webHidden/>
                <w:rStyle w:val="IndexLink"/>
                <w:rtl w:val="true"/>
              </w:rPr>
              <w:t>تذییل</w:t>
            </w:r>
            <w:r>
              <w:rPr>
                <w:rStyle w:val="IndexLink"/>
                <w:rtl w:val="true"/>
              </w:rPr>
              <w:t xml:space="preserve">: </w:t>
            </w:r>
            <w:r>
              <w:rPr>
                <w:rStyle w:val="IndexLink"/>
                <w:rtl w:val="true"/>
              </w:rPr>
              <w:t>فیما اورد علی التمسّک بالآیة</w:t>
            </w:r>
            <w:r>
              <w:rPr>
                <w:rStyle w:val="IndexLink"/>
                <w:rtl w:val="true"/>
              </w:rPr>
              <w:tab/>
            </w:r>
            <w:r>
              <w:rPr>
                <w:rStyle w:val="IndexLink"/>
              </w:rPr>
              <w:t>466</w:t>
            </w:r>
          </w:hyperlink>
        </w:p>
        <w:p>
          <w:pPr>
            <w:pStyle w:val="Contents6"/>
            <w:tabs>
              <w:tab w:val="clear" w:pos="7609"/>
              <w:tab w:val="right" w:pos="9026" w:leader="dot"/>
            </w:tabs>
            <w:rPr/>
          </w:pPr>
          <w:hyperlink w:anchor="__RefHeading___Toc5146207_73709187">
            <w:r>
              <w:rPr>
                <w:webHidden/>
                <w:rStyle w:val="IndexLink"/>
                <w:rtl w:val="true"/>
              </w:rPr>
              <w:t>أمّا الإشکالات المختصّة بالآیة</w:t>
            </w:r>
            <w:r>
              <w:rPr>
                <w:rStyle w:val="IndexLink"/>
                <w:rtl w:val="true"/>
              </w:rPr>
              <w:tab/>
            </w:r>
            <w:r>
              <w:rPr>
                <w:rStyle w:val="IndexLink"/>
              </w:rPr>
              <w:t>466</w:t>
            </w:r>
          </w:hyperlink>
        </w:p>
        <w:p>
          <w:pPr>
            <w:pStyle w:val="Contents6"/>
            <w:tabs>
              <w:tab w:val="clear" w:pos="7609"/>
              <w:tab w:val="right" w:pos="9026" w:leader="dot"/>
            </w:tabs>
            <w:rPr/>
          </w:pPr>
          <w:hyperlink w:anchor="__RefHeading___Toc5146209_73709187">
            <w:r>
              <w:rPr>
                <w:webHidden/>
                <w:rStyle w:val="IndexLink"/>
                <w:rtl w:val="true"/>
              </w:rPr>
              <w:t>و أمّا الإشکالات العامّة</w:t>
            </w:r>
            <w:r>
              <w:rPr>
                <w:rStyle w:val="IndexLink"/>
                <w:rtl w:val="true"/>
              </w:rPr>
              <w:tab/>
            </w:r>
            <w:r>
              <w:rPr>
                <w:rStyle w:val="IndexLink"/>
              </w:rPr>
              <w:t>469</w:t>
            </w:r>
          </w:hyperlink>
        </w:p>
        <w:p>
          <w:pPr>
            <w:pStyle w:val="Contents6"/>
            <w:tabs>
              <w:tab w:val="clear" w:pos="7609"/>
              <w:tab w:val="right" w:pos="9026" w:leader="dot"/>
            </w:tabs>
            <w:rPr/>
          </w:pPr>
          <w:hyperlink w:anchor="__RefHeading___Toc5146211_73709187">
            <w:r>
              <w:rPr>
                <w:webHidden/>
                <w:rStyle w:val="IndexLink"/>
                <w:rtl w:val="true"/>
              </w:rPr>
              <w:t>و اجیب عنه بوجوه اخر</w:t>
            </w:r>
            <w:r>
              <w:rPr>
                <w:rStyle w:val="IndexLink"/>
                <w:rtl w:val="true"/>
              </w:rPr>
              <w:t>:</w:t>
              <w:tab/>
            </w:r>
            <w:r>
              <w:rPr>
                <w:rStyle w:val="IndexLink"/>
              </w:rPr>
              <w:t>469</w:t>
            </w:r>
          </w:hyperlink>
        </w:p>
        <w:p>
          <w:pPr>
            <w:pStyle w:val="Contents6"/>
            <w:tabs>
              <w:tab w:val="clear" w:pos="7609"/>
              <w:tab w:val="right" w:pos="9026" w:leader="dot"/>
            </w:tabs>
            <w:rPr/>
          </w:pPr>
          <w:hyperlink w:anchor="__RefHeading___Toc5146213_73709187">
            <w:r>
              <w:rPr>
                <w:webHidden/>
                <w:rStyle w:val="IndexLink"/>
                <w:rtl w:val="true"/>
              </w:rPr>
              <w:t>منها</w:t>
            </w:r>
            <w:r>
              <w:rPr>
                <w:rStyle w:val="IndexLink"/>
                <w:rtl w:val="true"/>
              </w:rPr>
              <w:t xml:space="preserve">: </w:t>
            </w:r>
            <w:r>
              <w:rPr>
                <w:rStyle w:val="IndexLink"/>
                <w:rtl w:val="true"/>
              </w:rPr>
              <w:t>آیة النفر</w:t>
            </w:r>
            <w:r>
              <w:rPr>
                <w:rStyle w:val="IndexLink"/>
                <w:rtl w:val="true"/>
              </w:rPr>
              <w:tab/>
            </w:r>
            <w:r>
              <w:rPr>
                <w:rStyle w:val="IndexLink"/>
              </w:rPr>
              <w:t>477</w:t>
            </w:r>
          </w:hyperlink>
        </w:p>
        <w:p>
          <w:pPr>
            <w:pStyle w:val="Contents6"/>
            <w:tabs>
              <w:tab w:val="clear" w:pos="7609"/>
              <w:tab w:val="right" w:pos="9026" w:leader="dot"/>
            </w:tabs>
            <w:rPr/>
          </w:pPr>
          <w:hyperlink w:anchor="__RefHeading___Toc5146215_73709187">
            <w:r>
              <w:rPr>
                <w:webHidden/>
                <w:rStyle w:val="IndexLink"/>
                <w:rtl w:val="true"/>
              </w:rPr>
              <w:t>الدلیل الثانی</w:t>
            </w:r>
            <w:r>
              <w:rPr>
                <w:rStyle w:val="IndexLink"/>
                <w:rtl w:val="true"/>
              </w:rPr>
              <w:t xml:space="preserve">: </w:t>
            </w:r>
            <w:r>
              <w:rPr>
                <w:rStyle w:val="IndexLink"/>
                <w:rtl w:val="true"/>
              </w:rPr>
              <w:t>الأخبار</w:t>
            </w:r>
            <w:r>
              <w:rPr>
                <w:rStyle w:val="IndexLink"/>
                <w:rtl w:val="true"/>
              </w:rPr>
              <w:tab/>
            </w:r>
            <w:r>
              <w:rPr>
                <w:rStyle w:val="IndexLink"/>
              </w:rPr>
              <w:t>479</w:t>
            </w:r>
          </w:hyperlink>
        </w:p>
        <w:p>
          <w:pPr>
            <w:pStyle w:val="Contents6"/>
            <w:tabs>
              <w:tab w:val="clear" w:pos="7609"/>
              <w:tab w:val="right" w:pos="9026" w:leader="dot"/>
            </w:tabs>
            <w:rPr/>
          </w:pPr>
          <w:hyperlink w:anchor="__RefHeading___Toc5146217_73709187">
            <w:r>
              <w:rPr>
                <w:webHidden/>
                <w:rStyle w:val="IndexLink"/>
                <w:rtl w:val="true"/>
              </w:rPr>
              <w:t>الدلیل الثالث و الرابع</w:t>
            </w:r>
            <w:r>
              <w:rPr>
                <w:rStyle w:val="IndexLink"/>
                <w:rtl w:val="true"/>
              </w:rPr>
              <w:t xml:space="preserve">: </w:t>
            </w:r>
            <w:r>
              <w:rPr>
                <w:rStyle w:val="IndexLink"/>
                <w:rtl w:val="true"/>
              </w:rPr>
              <w:t>الإجماع و سیرة العقلاء</w:t>
            </w:r>
            <w:r>
              <w:rPr>
                <w:rStyle w:val="IndexLink"/>
                <w:rtl w:val="true"/>
              </w:rPr>
              <w:tab/>
            </w:r>
            <w:r>
              <w:rPr>
                <w:rStyle w:val="IndexLink"/>
              </w:rPr>
              <w:t>481</w:t>
            </w:r>
          </w:hyperlink>
        </w:p>
        <w:p>
          <w:pPr>
            <w:pStyle w:val="Contents2"/>
            <w:tabs>
              <w:tab w:val="clear" w:pos="8743"/>
              <w:tab w:val="right" w:pos="9026" w:leader="dot"/>
            </w:tabs>
            <w:rPr/>
          </w:pPr>
          <w:hyperlink w:anchor="__RefHeading___Toc5146219_73709187">
            <w:r>
              <w:rPr>
                <w:webHidden/>
                <w:rStyle w:val="IndexLink"/>
                <w:rtl w:val="true"/>
              </w:rPr>
              <w:t>المقصد الثامن مبحث البراءة</w:t>
            </w:r>
            <w:r>
              <w:rPr>
                <w:rStyle w:val="IndexLink"/>
                <w:rtl w:val="true"/>
              </w:rPr>
              <w:tab/>
            </w:r>
            <w:r>
              <w:rPr>
                <w:rStyle w:val="IndexLink"/>
              </w:rPr>
              <w:t>483</w:t>
            </w:r>
          </w:hyperlink>
        </w:p>
        <w:p>
          <w:pPr>
            <w:pStyle w:val="Contents3"/>
            <w:tabs>
              <w:tab w:val="clear" w:pos="8459"/>
              <w:tab w:val="right" w:pos="9026" w:leader="dot"/>
            </w:tabs>
            <w:rPr/>
          </w:pPr>
          <w:hyperlink w:anchor="__RefHeading___Toc5146221_73709187">
            <w:r>
              <w:rPr>
                <w:webHidden/>
                <w:rStyle w:val="IndexLink"/>
                <w:rtl w:val="true"/>
              </w:rPr>
              <w:t>اشارة</w:t>
            </w:r>
            <w:r>
              <w:rPr>
                <w:rStyle w:val="IndexLink"/>
                <w:rtl w:val="true"/>
              </w:rPr>
              <w:tab/>
            </w:r>
            <w:r>
              <w:rPr>
                <w:rStyle w:val="IndexLink"/>
              </w:rPr>
              <w:t>483</w:t>
            </w:r>
          </w:hyperlink>
        </w:p>
        <w:p>
          <w:pPr>
            <w:pStyle w:val="Contents3"/>
            <w:tabs>
              <w:tab w:val="clear" w:pos="8459"/>
              <w:tab w:val="right" w:pos="9026" w:leader="dot"/>
            </w:tabs>
            <w:rPr/>
          </w:pPr>
          <w:hyperlink w:anchor="__RefHeading___Toc5146223_73709187">
            <w:r>
              <w:rPr>
                <w:webHidden/>
                <w:rStyle w:val="IndexLink"/>
                <w:rtl w:val="true"/>
              </w:rPr>
              <w:t>تمهید تقسیم أحوال المکلّف و ذکر مجاری الاُصول</w:t>
            </w:r>
            <w:r>
              <w:rPr>
                <w:rStyle w:val="IndexLink"/>
                <w:rtl w:val="true"/>
              </w:rPr>
              <w:tab/>
            </w:r>
            <w:r>
              <w:rPr>
                <w:rStyle w:val="IndexLink"/>
              </w:rPr>
              <w:t>484</w:t>
            </w:r>
          </w:hyperlink>
        </w:p>
        <w:p>
          <w:pPr>
            <w:pStyle w:val="Contents3"/>
            <w:tabs>
              <w:tab w:val="clear" w:pos="8459"/>
              <w:tab w:val="right" w:pos="9026" w:leader="dot"/>
            </w:tabs>
            <w:rPr/>
          </w:pPr>
          <w:hyperlink w:anchor="__RefHeading___Toc5146225_73709187">
            <w:r>
              <w:rPr>
                <w:webHidden/>
                <w:rStyle w:val="IndexLink"/>
                <w:rtl w:val="true"/>
              </w:rPr>
              <w:t>حول أدلّة الأُصولیّین علی البراءة</w:t>
            </w:r>
            <w:r>
              <w:rPr>
                <w:rStyle w:val="IndexLink"/>
                <w:rtl w:val="true"/>
              </w:rPr>
              <w:tab/>
            </w:r>
            <w:r>
              <w:rPr>
                <w:rStyle w:val="IndexLink"/>
              </w:rPr>
              <w:t>490</w:t>
            </w:r>
          </w:hyperlink>
        </w:p>
        <w:p>
          <w:pPr>
            <w:pStyle w:val="Contents4"/>
            <w:tabs>
              <w:tab w:val="clear" w:pos="8176"/>
              <w:tab w:val="right" w:pos="9026" w:leader="dot"/>
            </w:tabs>
            <w:rPr/>
          </w:pPr>
          <w:hyperlink w:anchor="__RefHeading___Toc5146227_73709187">
            <w:r>
              <w:rPr>
                <w:webHidden/>
                <w:rStyle w:val="IndexLink"/>
                <w:rtl w:val="true"/>
              </w:rPr>
              <w:t>اشارة</w:t>
            </w:r>
            <w:r>
              <w:rPr>
                <w:rStyle w:val="IndexLink"/>
                <w:rtl w:val="true"/>
              </w:rPr>
              <w:tab/>
            </w:r>
            <w:r>
              <w:rPr>
                <w:rStyle w:val="IndexLink"/>
              </w:rPr>
              <w:t>490</w:t>
            </w:r>
          </w:hyperlink>
        </w:p>
        <w:p>
          <w:pPr>
            <w:pStyle w:val="Contents4"/>
            <w:tabs>
              <w:tab w:val="clear" w:pos="8176"/>
              <w:tab w:val="right" w:pos="9026" w:leader="dot"/>
            </w:tabs>
            <w:rPr/>
          </w:pPr>
          <w:hyperlink w:anchor="__RefHeading___Toc5146229_73709187">
            <w:r>
              <w:rPr>
                <w:webHidden/>
                <w:rStyle w:val="IndexLink"/>
                <w:rtl w:val="true"/>
              </w:rPr>
              <w:t>الدلیل الأوّل</w:t>
            </w:r>
            <w:r>
              <w:rPr>
                <w:rStyle w:val="IndexLink"/>
                <w:rtl w:val="true"/>
              </w:rPr>
              <w:t xml:space="preserve">: </w:t>
            </w:r>
            <w:r>
              <w:rPr>
                <w:rStyle w:val="IndexLink"/>
                <w:rtl w:val="true"/>
              </w:rPr>
              <w:t>الآیات</w:t>
            </w:r>
            <w:r>
              <w:rPr>
                <w:rStyle w:val="IndexLink"/>
                <w:rtl w:val="true"/>
              </w:rPr>
              <w:tab/>
            </w:r>
            <w:r>
              <w:rPr>
                <w:rStyle w:val="IndexLink"/>
              </w:rPr>
              <w:t>490</w:t>
            </w:r>
          </w:hyperlink>
        </w:p>
        <w:p>
          <w:pPr>
            <w:pStyle w:val="Contents5"/>
            <w:tabs>
              <w:tab w:val="clear" w:pos="7892"/>
              <w:tab w:val="right" w:pos="9026" w:leader="dot"/>
            </w:tabs>
            <w:rPr/>
          </w:pPr>
          <w:hyperlink w:anchor="__RefHeading___Toc5146231_73709187">
            <w:r>
              <w:rPr>
                <w:webHidden/>
                <w:rStyle w:val="IndexLink"/>
                <w:rtl w:val="true"/>
              </w:rPr>
              <w:t>اشارة</w:t>
            </w:r>
            <w:r>
              <w:rPr>
                <w:rStyle w:val="IndexLink"/>
                <w:rtl w:val="true"/>
              </w:rPr>
              <w:tab/>
            </w:r>
            <w:r>
              <w:rPr>
                <w:rStyle w:val="IndexLink"/>
              </w:rPr>
              <w:t>490</w:t>
            </w:r>
          </w:hyperlink>
        </w:p>
        <w:p>
          <w:pPr>
            <w:pStyle w:val="Contents5"/>
            <w:tabs>
              <w:tab w:val="clear" w:pos="7892"/>
              <w:tab w:val="right" w:pos="9026" w:leader="dot"/>
            </w:tabs>
            <w:rPr/>
          </w:pPr>
          <w:hyperlink w:anchor="__RefHeading___Toc5146233_73709187">
            <w:r>
              <w:rPr>
                <w:webHidden/>
                <w:rStyle w:val="IndexLink"/>
                <w:rtl w:val="true"/>
              </w:rPr>
              <w:t>هذا، و اجیب عن ذلک بوجوه</w:t>
            </w:r>
            <w:r>
              <w:rPr>
                <w:rStyle w:val="IndexLink"/>
                <w:rtl w:val="true"/>
              </w:rPr>
              <w:t>:</w:t>
              <w:tab/>
            </w:r>
            <w:r>
              <w:rPr>
                <w:rStyle w:val="IndexLink"/>
              </w:rPr>
              <w:t>493</w:t>
            </w:r>
          </w:hyperlink>
        </w:p>
        <w:p>
          <w:pPr>
            <w:pStyle w:val="Contents4"/>
            <w:tabs>
              <w:tab w:val="clear" w:pos="8176"/>
              <w:tab w:val="right" w:pos="9026" w:leader="dot"/>
            </w:tabs>
            <w:rPr/>
          </w:pPr>
          <w:hyperlink w:anchor="__RefHeading___Toc5146235_73709187">
            <w:r>
              <w:rPr>
                <w:webHidden/>
                <w:rStyle w:val="IndexLink"/>
                <w:rtl w:val="true"/>
              </w:rPr>
              <w:t>الدلیل الثانی</w:t>
            </w:r>
            <w:r>
              <w:rPr>
                <w:rStyle w:val="IndexLink"/>
                <w:rtl w:val="true"/>
              </w:rPr>
              <w:t xml:space="preserve">: </w:t>
            </w:r>
            <w:r>
              <w:rPr>
                <w:rStyle w:val="IndexLink"/>
                <w:rtl w:val="true"/>
              </w:rPr>
              <w:t>الأخبار</w:t>
            </w:r>
            <w:r>
              <w:rPr>
                <w:rStyle w:val="IndexLink"/>
                <w:rtl w:val="true"/>
              </w:rPr>
              <w:tab/>
            </w:r>
            <w:r>
              <w:rPr>
                <w:rStyle w:val="IndexLink"/>
              </w:rPr>
              <w:t>495</w:t>
            </w:r>
          </w:hyperlink>
        </w:p>
        <w:p>
          <w:pPr>
            <w:pStyle w:val="Contents5"/>
            <w:tabs>
              <w:tab w:val="clear" w:pos="7892"/>
              <w:tab w:val="right" w:pos="9026" w:leader="dot"/>
            </w:tabs>
            <w:rPr/>
          </w:pPr>
          <w:hyperlink w:anchor="__RefHeading___Toc5146237_73709187">
            <w:r>
              <w:rPr>
                <w:webHidden/>
                <w:rStyle w:val="IndexLink"/>
                <w:rtl w:val="true"/>
              </w:rPr>
              <w:t>منها</w:t>
            </w:r>
            <w:r>
              <w:rPr>
                <w:rStyle w:val="IndexLink"/>
                <w:rtl w:val="true"/>
              </w:rPr>
              <w:t xml:space="preserve">: </w:t>
            </w:r>
            <w:r>
              <w:rPr>
                <w:rStyle w:val="IndexLink"/>
                <w:rtl w:val="true"/>
              </w:rPr>
              <w:t>حدیث الرفع ؛</w:t>
            </w:r>
            <w:r>
              <w:rPr>
                <w:rStyle w:val="IndexLink"/>
                <w:rtl w:val="true"/>
              </w:rPr>
              <w:tab/>
            </w:r>
            <w:r>
              <w:rPr>
                <w:rStyle w:val="IndexLink"/>
              </w:rPr>
              <w:t>495</w:t>
            </w:r>
          </w:hyperlink>
        </w:p>
        <w:p>
          <w:pPr>
            <w:pStyle w:val="Contents6"/>
            <w:tabs>
              <w:tab w:val="clear" w:pos="7609"/>
              <w:tab w:val="right" w:pos="9026" w:leader="dot"/>
            </w:tabs>
            <w:rPr/>
          </w:pPr>
          <w:hyperlink w:anchor="__RefHeading___Toc5146239_73709187">
            <w:r>
              <w:rPr>
                <w:webHidden/>
                <w:rStyle w:val="IndexLink"/>
                <w:rtl w:val="true"/>
              </w:rPr>
              <w:t>اشارة</w:t>
            </w:r>
            <w:r>
              <w:rPr>
                <w:rStyle w:val="IndexLink"/>
                <w:rtl w:val="true"/>
              </w:rPr>
              <w:tab/>
            </w:r>
            <w:r>
              <w:rPr>
                <w:rStyle w:val="IndexLink"/>
              </w:rPr>
              <w:t>495</w:t>
            </w:r>
          </w:hyperlink>
        </w:p>
        <w:p>
          <w:pPr>
            <w:pStyle w:val="Contents6"/>
            <w:tabs>
              <w:tab w:val="clear" w:pos="7609"/>
              <w:tab w:val="right" w:pos="9026" w:leader="dot"/>
            </w:tabs>
            <w:rPr/>
          </w:pPr>
          <w:hyperlink w:anchor="__RefHeading___Toc5146241_73709187">
            <w:r>
              <w:rPr>
                <w:webHidden/>
                <w:rStyle w:val="IndexLink"/>
                <w:rtl w:val="true"/>
              </w:rPr>
              <w:t>الأمر الأوّل</w:t>
            </w:r>
            <w:r>
              <w:rPr>
                <w:rStyle w:val="IndexLink"/>
                <w:rtl w:val="true"/>
              </w:rPr>
              <w:t xml:space="preserve">: </w:t>
            </w:r>
            <w:r>
              <w:rPr>
                <w:rStyle w:val="IndexLink"/>
                <w:rtl w:val="true"/>
              </w:rPr>
              <w:t>فی معنی الرفع</w:t>
            </w:r>
            <w:r>
              <w:rPr>
                <w:rStyle w:val="IndexLink"/>
                <w:rtl w:val="true"/>
              </w:rPr>
              <w:tab/>
            </w:r>
            <w:r>
              <w:rPr>
                <w:rStyle w:val="IndexLink"/>
              </w:rPr>
              <w:t>495</w:t>
            </w:r>
          </w:hyperlink>
        </w:p>
        <w:p>
          <w:pPr>
            <w:pStyle w:val="Contents6"/>
            <w:tabs>
              <w:tab w:val="clear" w:pos="7609"/>
              <w:tab w:val="right" w:pos="9026" w:leader="dot"/>
            </w:tabs>
            <w:rPr/>
          </w:pPr>
          <w:hyperlink w:anchor="__RefHeading___Toc5146243_73709187">
            <w:r>
              <w:rPr>
                <w:webHidden/>
                <w:rStyle w:val="IndexLink"/>
                <w:rtl w:val="true"/>
              </w:rPr>
              <w:t>الأمر الثانی</w:t>
            </w:r>
            <w:r>
              <w:rPr>
                <w:rStyle w:val="IndexLink"/>
                <w:rtl w:val="true"/>
              </w:rPr>
              <w:t xml:space="preserve">: </w:t>
            </w:r>
            <w:r>
              <w:rPr>
                <w:rStyle w:val="IndexLink"/>
                <w:rtl w:val="true"/>
              </w:rPr>
              <w:t>فی متعلّق الرفع</w:t>
            </w:r>
            <w:r>
              <w:rPr>
                <w:rStyle w:val="IndexLink"/>
                <w:rtl w:val="true"/>
              </w:rPr>
              <w:tab/>
            </w:r>
            <w:r>
              <w:rPr>
                <w:rStyle w:val="IndexLink"/>
              </w:rPr>
              <w:t>498</w:t>
            </w:r>
          </w:hyperlink>
        </w:p>
        <w:p>
          <w:pPr>
            <w:pStyle w:val="Contents6"/>
            <w:tabs>
              <w:tab w:val="clear" w:pos="7609"/>
              <w:tab w:val="right" w:pos="9026" w:leader="dot"/>
            </w:tabs>
            <w:rPr/>
          </w:pPr>
          <w:hyperlink w:anchor="__RefHeading___Toc5146245_73709187">
            <w:r>
              <w:rPr>
                <w:webHidden/>
                <w:rStyle w:val="IndexLink"/>
                <w:rtl w:val="true"/>
              </w:rPr>
              <w:t>الأمر الثالث</w:t>
            </w:r>
            <w:r>
              <w:rPr>
                <w:rStyle w:val="IndexLink"/>
                <w:rtl w:val="true"/>
              </w:rPr>
              <w:t xml:space="preserve">: </w:t>
            </w:r>
            <w:r>
              <w:rPr>
                <w:rStyle w:val="IndexLink"/>
                <w:rtl w:val="true"/>
              </w:rPr>
              <w:t>فی شمول الحدیث للاُمور العدمیة</w:t>
            </w:r>
            <w:r>
              <w:rPr>
                <w:rStyle w:val="IndexLink"/>
                <w:rtl w:val="true"/>
              </w:rPr>
              <w:tab/>
            </w:r>
            <w:r>
              <w:rPr>
                <w:rStyle w:val="IndexLink"/>
              </w:rPr>
              <w:t>502</w:t>
            </w:r>
          </w:hyperlink>
        </w:p>
        <w:p>
          <w:pPr>
            <w:pStyle w:val="Contents6"/>
            <w:tabs>
              <w:tab w:val="clear" w:pos="7609"/>
              <w:tab w:val="right" w:pos="9026" w:leader="dot"/>
            </w:tabs>
            <w:rPr/>
          </w:pPr>
          <w:hyperlink w:anchor="__RefHeading___Toc5146247_73709187">
            <w:r>
              <w:rPr>
                <w:webHidden/>
                <w:rStyle w:val="IndexLink"/>
                <w:rtl w:val="true"/>
              </w:rPr>
              <w:t>الأمر الرابع</w:t>
            </w:r>
            <w:r>
              <w:rPr>
                <w:rStyle w:val="IndexLink"/>
                <w:rtl w:val="true"/>
              </w:rPr>
              <w:t xml:space="preserve">: </w:t>
            </w:r>
            <w:r>
              <w:rPr>
                <w:rStyle w:val="IndexLink"/>
                <w:rtl w:val="true"/>
              </w:rPr>
              <w:t>فی شمول الموصول للشبهات الموضوعیة و الحکمیة</w:t>
            </w:r>
            <w:r>
              <w:rPr>
                <w:rStyle w:val="IndexLink"/>
                <w:rtl w:val="true"/>
              </w:rPr>
              <w:tab/>
            </w:r>
            <w:r>
              <w:rPr>
                <w:rStyle w:val="IndexLink"/>
              </w:rPr>
              <w:t>504</w:t>
            </w:r>
          </w:hyperlink>
        </w:p>
        <w:p>
          <w:pPr>
            <w:pStyle w:val="Contents2"/>
            <w:tabs>
              <w:tab w:val="clear" w:pos="8743"/>
              <w:tab w:val="right" w:pos="9026" w:leader="dot"/>
            </w:tabs>
            <w:rPr/>
          </w:pPr>
          <w:hyperlink w:anchor="__RefHeading___Toc5146249_73709187">
            <w:r>
              <w:rPr>
                <w:webHidden/>
                <w:rStyle w:val="IndexLink"/>
                <w:rtl w:val="true"/>
              </w:rPr>
              <w:t>فهرس المحتویات</w:t>
            </w:r>
            <w:r>
              <w:rPr>
                <w:rStyle w:val="IndexLink"/>
                <w:rtl w:val="true"/>
              </w:rPr>
              <w:tab/>
            </w:r>
            <w:r>
              <w:rPr>
                <w:rStyle w:val="IndexLink"/>
              </w:rPr>
              <w:t>508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586_104586"/>
      <w:bookmarkStart w:id="1" w:name="pg11586_104586"/>
      <w:bookmarkEnd w:id="1"/>
    </w:p>
    <w:p>
      <w:pPr>
        <w:pStyle w:val="Heading2"/>
        <w:numPr>
          <w:ilvl w:val="1"/>
          <w:numId w:val="1"/>
        </w:numPr>
        <w:rPr/>
      </w:pPr>
      <w:bookmarkStart w:id="2" w:name="pg11586_104586"/>
      <w:bookmarkStart w:id="3" w:name="__RefHeading___Toc5145603_7370918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فاضل موحد لنکرانی،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۱۳۱۰</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معتمد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 ابحاث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روح‌الله الموسوی الامام الخمینی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الفاضل اللنکرانی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تنظیم و نشر آثار الامام الخمینی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۱۴۲۳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تنظیم و نشر آثار الامام الخمینی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در دو مجلد است</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به‌صورت زیرنویس</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فقه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خمینی، روح‌الله، رهبر انقلاب و بنیانگذار جمهوری اسلامی ایران، </w:t>
      </w:r>
      <w:r>
        <w:rPr>
          <w:rFonts w:ascii="IRNazanin" w:hAnsi="IRNazanin" w:eastAsia="IRNazanin"/>
          <w:color w:val="111111"/>
          <w:sz w:val="28"/>
          <w:sz w:val="28"/>
          <w:szCs w:val="28"/>
          <w:lang w:bidi="fa-IR"/>
        </w:rPr>
        <w:t>۱۳۶۸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۱۲۷۹</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تنظیم و نشر آثار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۱۵۹</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۱۳۸۱</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۳۱۲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۴۷۴۰۰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145605_7370918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معتمد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 ابحاث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روح‌الله الموسوی الامام الخمینی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الفاضل اللنکرانی</w:t>
      </w:r>
      <w:bookmarkStart w:id="7" w:name="pg11586_104590"/>
    </w:p>
    <w:p>
      <w:pPr>
        <w:pStyle w:val="Heading2"/>
        <w:numPr>
          <w:ilvl w:val="1"/>
          <w:numId w:val="1"/>
        </w:numPr>
        <w:rPr/>
      </w:pPr>
      <w:bookmarkStart w:id="8" w:name="__RefHeading___Toc5145607_73709187"/>
      <w:bookmarkStart w:id="9" w:name="_Toc3"/>
      <w:bookmarkEnd w:id="7"/>
      <w:bookmarkEnd w:id="8"/>
      <w:r>
        <w:rPr>
          <w:rtl w:val="true"/>
        </w:rPr>
        <w:t>مقدّمة التحقیق</w:t>
      </w:r>
      <w:bookmarkEnd w:id="9"/>
    </w:p>
    <w:p>
      <w:pPr>
        <w:pStyle w:val="BookText"/>
        <w:rPr/>
      </w:pPr>
      <w:r>
        <w:rPr>
          <w:rFonts w:ascii="IRNazanin" w:hAnsi="IRNazanin" w:eastAsia="IRNazanin"/>
          <w:color w:val="111111"/>
          <w:sz w:val="28"/>
          <w:sz w:val="28"/>
          <w:szCs w:val="28"/>
          <w:rtl w:val="true"/>
          <w:lang w:bidi="fa-IR"/>
        </w:rPr>
        <w:t>مقدّمة التحقیق</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الصلاة و السّلام علی أشرف الأنبیاء و المرسلین محمّد و علی آله الطیّبین الطاهرین، و اللعن المؤبّد علی أعدائهم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 یعد خافیاً علی أحد ما لعلم الفقه من أهمّیة عظمی و دخالة مباشرة فی الحیاة العملیة للفرد المسلم، و فی برمجة مواقفه الفردیة و الاجتماعیة، 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واقعة إلاّ و لله سبحانه فیها حکم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یدع شیئاً تحتاج إلیه الاُمّة إلّا أنزله فی کتابه و بیّنه لرسوله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غرو إن توسّع هذا العلم، و کثرت مطالبه، و تطوّرت أبحاثه بنحو تنسجم و معطیات الواقع المعاصر؛ ذلک أنّ الاجتهاد لم یؤصد بابه عند معاشر الإمامیة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کثّرهم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یبقَ حِکراً علی طائفة من الفقهاء المتقدّمین، فکم ترک الأوائل للأواخر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 بلغ الفقه الإمامی الذروة من حیث الدقّة و التحقیق و السعة و الشمولیة</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یبدو هذا واضحاً جلیاً بمقایسة علم الفقه بسائر العلوم الإسلامیة التی</w:t>
      </w:r>
    </w:p>
    <w:p>
      <w:pPr>
        <w:pStyle w:val="BookText"/>
        <w:rPr/>
      </w:pPr>
      <w:r>
        <w:rPr>
          <w:rFonts w:ascii="IRNazanin" w:hAnsi="IRNazanin" w:eastAsia="IRNazanin"/>
          <w:color w:val="111111"/>
          <w:sz w:val="28"/>
          <w:sz w:val="28"/>
          <w:szCs w:val="28"/>
          <w:rtl w:val="true"/>
          <w:lang w:bidi="fa-IR"/>
        </w:rPr>
        <w:t>ولدت معه، کالنحو و الصرف و غیرهما، فبینما لزمت أمثال هذه العلوم سمة الجمود و التحجّر، نجد علم الفقه بدیعاً فی مسالکه، قشیباً فی أدلّته، و ما من یوم یمضی إلاّ و یزداد حداثة و غضارة، و ذلک بفتح باب الاجتهاد و الاستنباط عندنا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ترتکز عملیة الاستنباط من الکتاب و السنّة علی مقدّمات عدیدة و کثیرة، کعلم الاُصول و الرجال و المنطق و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یقوم کلّ منها بدوره فی الاستنباط، إلاّ أنّ لعلم الاُصول عنصر الصدارة من بینها، بل لولاه لما تمکّن الفقیه من الاستدلال، و لهذا أولاه علماؤنا عنایة فائقة من بین سائر المقدّمات الدخیلة فی الاستنباط، باذلین فی تحقیقه جهوداً خلّاقة و أوقاتٍ شریفة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تمخّضت هذه الجهود عن علم یفوق جمیع العلوم العقلیة و النقلیة فی شمولیته و استیعابه، و صلابته و استحکامه، و عذوبته و استرساله، و توسّع توسّعاً کبیراً علی ید المبتکرین و المفکّرین من علمائه الذین أفردوا له دوائر عدیدة و موسوعاتٍ کبیرة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جانب آخر فقد بعدت أفکاره عن المنال، و عزّت عرائس أفکاره علی عقول الرجال؛ نتیجةً لممارسة العباقرة لهذا العلم و مدارستهم له، فکان من الطبیعی أن یظهر علی الجانب المعاکس تیّاران</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یهدف إلی تقلیص هذا العلم و تلخیصه، و حذف زوائده و فضوله، و یعدّ المحقّق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المؤسّس لهذا التیّار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للأسف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راح الوضوح و البیان ضحیةَ التلخیص، و تعقّدت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صعب فهمها، و نشأ عن هذا الکثیر من الشروح و الحواشی التی لا تعبّر إلاّ عن رأی مؤلّفیها فی غالب الأحیان، و التی یقرنها أربابها بقولهم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 مراده قدس سره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یحتمل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علم المحقّق الخراسانی رحمه الله بالسلسلة الطویلة من الشروح التی أحدثتها</w:t>
      </w:r>
    </w:p>
    <w:p>
      <w:pPr>
        <w:pStyle w:val="BookText"/>
        <w:rPr/>
      </w:pPr>
      <w:r>
        <w:rPr>
          <w:rFonts w:ascii="IRNazanin" w:hAnsi="IRNazanin" w:eastAsia="IRNazanin"/>
          <w:color w:val="111111"/>
          <w:sz w:val="28"/>
          <w:sz w:val="28"/>
          <w:szCs w:val="28"/>
          <w:rtl w:val="true"/>
          <w:lang w:bidi="fa-IR"/>
        </w:rPr>
        <w:t xml:space="preserve">و تحدثها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بما سیعانیه دارسوها و مدرّسوها، لما اختصرها و لا اختزلها، و لکتبها موسّعة مسهبة، کاشفاً عن قناعها؛ فإنّ طلسمة کتاب دراسی أمر مرغوب عنه عند مربّی الأجیال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التیّار الداعی إلی الحدّ من وضع المصطلحات الجدیدة، و إلی بیان جمیع المقدّمات الدخیلة فی فهم المطالب الاُصولیة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لا یعنی الدعوة إلی الإطناب المملّ و لا الإیجاز المخلّ، کما هو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تعدّ مدرسة المحقّق النائینی رحمه الله خیر مثال لهذا التیّار البلیغ؛ حیث تظهر روح مطالبها مجسّدة بقالب من الألفاظ الفصیحة البلیغة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 کلّ المزایا التی تجلّت فی مدرستی العلّامتین الخراسانی و النائینی رحمهما الله فقد انطوتا فی بعض مواضعهما علی الخلط بین التکوین و التشریع، و الوحدة الحقیقیة و الوحدة الاعتباریة، و علی عدم الوصول إلی مغزی بعض المسائل الفلسفیة التی جعلت أساساً للمسألة الاُصولیة، فجاء الدور لمدرسة السیّد الإمام الخمینی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أعلی اللّه مقامه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لیضع حدّاً فاصلاً بین الحقیقة و الاعتبار فی المسائل الاُصولیة، ففیها ما یحکّم فیه العرف الساذج و إن خالف الدقّة العقلیة و البراهین الفلسفیة، و فیها ما یرجع فیه إلی المبانی الفلسفیة و الحکمة المتعالیة، فالإفراط و التفریط فی الاتکاء علی علم المعقول، کلاهما علی جانب کبیر من الخطأ</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نظراً لرسوخ الإمام العلّامة فی الحکمة و إحاطته ببواطن امورها و خفیّات مسائلها، لذا أبان الکثیر منها عند مساس الحاجة إلیها، ففی مبحث تعلّق الأوامر بالطبائع أو الأفراد لم یوافق المحقّق الخراسانی علی التمسّک بقاعدة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الماهیة من حیث هی لیست إلاّ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مشیراً إلی أنّ منظور الحکماء بهذه</w:t>
      </w:r>
    </w:p>
    <w:p>
      <w:pPr>
        <w:pStyle w:val="BookText"/>
        <w:rPr/>
      </w:pPr>
      <w:r>
        <w:rPr>
          <w:rFonts w:ascii="IRNazanin" w:hAnsi="IRNazanin" w:eastAsia="IRNazanin"/>
          <w:color w:val="111111"/>
          <w:sz w:val="28"/>
          <w:sz w:val="28"/>
          <w:szCs w:val="28"/>
          <w:rtl w:val="true"/>
          <w:lang w:bidi="fa-IR"/>
        </w:rPr>
        <w:t>القضیة هو الحمل الأوّلی الذاتی، لا الشائع الصناعی الذی هو مقصود الاُصولی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لم یسلّم ما هو المعروف بین الفلاسفة و الاُصولیّین من اعتباریة تقسیم الماهیة و الأجناس و الفصول، ذاهباً إلی أنّ تقسیم الماهیة إلی أقسامها الثلاثة إنّما یکون بلحاظ الواقع و نفس الأمر؛ إذ مجرّد اعتبار شیء لا بشرط، لا یوجب انقلاب الواقع و صیرورة الشیء قابلاً للاتحاد و الحمل، کما أنّ اعتباره بشرط لا، لا یحدث المغایرة و لا یمنع الحمل، و إلّا لاختلف الواقع بحسب الاعتبار، و لصارت ماهیة واحدة متحدة مع شیء و غیر متحدة معه بعینه، و هو واضح البطلان، و علی ضوء هذه الدقة بحث عن المراد من المادّة و الصورة و الفرق بینهما و بین الجنس و الفصل و أبدی الخلط الواقع فی کلام الحکماء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المسائل التی برع فی تحقیقها تحقیقاً حکمیاً المسألة المعروفة التی شغلت بال الفلاسفة و الاُصولیین؛ أعنی مسألة الطلب و الإرادة، حیث أفرد لها رسا مستقلّة، و أفرغ فیها من ذوقه المتألّه ما یعجز عن نیله أکابر الفلاسفة و الحکماء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فَضْلُ اللّهِ یُؤْتِیهِ 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قامت المؤسّسة بتحقیقها، و سیتمّ طبعها فی القریب العاجل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شواهد اخری کثیرة لم یسعنا استقصاؤها فی هذه العجالة، یظهر منها أنّ الإمام الخالد رحمه الله قد أرسی قواعد مدرسته الاُصولیة علی رکائز من الحکمة المتعالیة، فلئن عبثت ید الطاغوت بتراث الإمام الفلسفی، و لم ینجُ منها إلاّ النزر الیسیر، ففی أبحاثه الاُصولیة معا لم لمدرسته الفلسفیة، و فیها ضالّة الفیلسوف و بغیة العارف</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 المدرسة الخمینیة شجرة طیّبة؛ آتت اکلها کلّ حین بإذن ربّها، و تخرّج منها الکثیر من العلماء و المحقّقین و مراجع الدین العاملین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أیّدهم اللّه</w:t>
      </w:r>
    </w:p>
    <w:p>
      <w:pPr>
        <w:pStyle w:val="BookText"/>
        <w:rPr/>
      </w:pP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نخصّ منهم بالذکر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اللّه العظمی المحقّق المجاهد الشیخ الفاضل اللنکرانی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أدام اللّه أیّام عوائده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لازم الإمام الراحل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طاب ثراه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سنوات عدیدة، و نهل من معینه العذب فقهاً و اصولاً، و کتب الکثیر من الأبحاث الراقیة التی أفاضها الإمام العظیم رحمه الله أثناء إقامته بمدینة قم المشرّفة، فجاءت تقریراته آیة فی وضوحها و سلاستها، و مثالاً فی تجرّدها من الزوائد و الفضول، لذا آثرت مؤسّسة تنظیم و نشر آثار الإمام الخمینی قدس سره نشر ما التقطه دام ظلّه من لآلئ بحث استاذه رحمه الله فی الاُصول، رغم عدم تمامیته أوّلاً و آخراً؛ لما رأته من المزیة التی تفرّد بها سماحة العلّامة الحجّة الفاضل حفظه اللّه سائلةً لجنابه دوام الصحّة و العمر المدید؛ إنّه سمیع مجیب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مؤسّسة تنظیم و نشر آثار الإمام الخمینی قدس سره</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فرع قم المقدّسة</w:t>
      </w:r>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الحمد للّه ربّ العالمین، و الصلاة و السّلام علی خیر خلقه محمّد و علی آله الطیّبین الطاهرین، و لعنة اللّه علی أعدائهم أجمعین إلی یوم الدین</w:t>
      </w:r>
      <w:bookmarkStart w:id="10" w:name="pg11586_104598"/>
    </w:p>
    <w:p>
      <w:pPr>
        <w:pStyle w:val="Heading2"/>
        <w:numPr>
          <w:ilvl w:val="1"/>
          <w:numId w:val="1"/>
        </w:numPr>
        <w:rPr/>
      </w:pPr>
      <w:bookmarkStart w:id="11" w:name="__RefHeading___Toc5145609_73709187"/>
      <w:bookmarkStart w:id="12" w:name="_Toc4"/>
      <w:bookmarkEnd w:id="10"/>
      <w:bookmarkEnd w:id="11"/>
      <w:r>
        <w:rPr>
          <w:rtl w:val="true"/>
        </w:rPr>
        <w:t>المقصد الأوّل فی الأوامر</w:t>
      </w:r>
      <w:bookmarkEnd w:id="12"/>
    </w:p>
    <w:p>
      <w:pPr>
        <w:pStyle w:val="Heading3"/>
        <w:numPr>
          <w:ilvl w:val="2"/>
          <w:numId w:val="1"/>
        </w:numPr>
        <w:rPr/>
      </w:pPr>
      <w:bookmarkStart w:id="13" w:name="__RefHeading___Toc5145611_73709187"/>
      <w:bookmarkStart w:id="14" w:name="_Toc5"/>
      <w:bookmarkEnd w:id="13"/>
      <w:r>
        <w:rPr>
          <w:rtl w:val="true"/>
        </w:rPr>
        <w:t>اشارة</w:t>
      </w:r>
      <w:bookmarkEnd w:id="14"/>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فصول</w:t>
      </w:r>
      <w:r>
        <w:rPr>
          <w:rFonts w:eastAsia="IRNazanin" w:cs="IRNazanin"/>
          <w:color w:val="111111"/>
          <w:sz w:val="28"/>
          <w:szCs w:val="28"/>
          <w:rtl w:val="true"/>
          <w:lang w:bidi="fa-IR"/>
        </w:rPr>
        <w:t>:</w:t>
      </w:r>
      <w:bookmarkStart w:id="15" w:name="pg11586_104600"/>
    </w:p>
    <w:p>
      <w:pPr>
        <w:pStyle w:val="Heading3"/>
        <w:numPr>
          <w:ilvl w:val="2"/>
          <w:numId w:val="1"/>
        </w:numPr>
        <w:rPr/>
      </w:pPr>
      <w:bookmarkStart w:id="16" w:name="__RefHeading___Toc5145613_73709187"/>
      <w:bookmarkStart w:id="17" w:name="_Toc6"/>
      <w:bookmarkEnd w:id="15"/>
      <w:bookmarkEnd w:id="16"/>
      <w:r>
        <w:rPr>
          <w:rtl w:val="true"/>
        </w:rPr>
        <w:t>الفصل الرابع فی مقدّمة الواجب</w:t>
      </w:r>
      <w:bookmarkEnd w:id="17"/>
    </w:p>
    <w:p>
      <w:pPr>
        <w:pStyle w:val="Heading4"/>
        <w:numPr>
          <w:ilvl w:val="3"/>
          <w:numId w:val="1"/>
        </w:numPr>
        <w:rPr/>
      </w:pPr>
      <w:bookmarkStart w:id="18" w:name="__RefHeading___Toc5145615_73709187"/>
      <w:bookmarkStart w:id="19" w:name="_Toc7"/>
      <w:bookmarkEnd w:id="18"/>
      <w:r>
        <w:rPr>
          <w:rtl w:val="true"/>
        </w:rPr>
        <w:t>اشارة</w:t>
      </w:r>
      <w:bookmarkEnd w:id="19"/>
    </w:p>
    <w:p>
      <w:pPr>
        <w:pStyle w:val="BookText"/>
        <w:rPr/>
      </w:pPr>
      <w:r>
        <w:rPr>
          <w:rFonts w:ascii="IRNazanin" w:hAnsi="IRNazanin" w:eastAsia="IRNazanin"/>
          <w:color w:val="111111"/>
          <w:sz w:val="28"/>
          <w:sz w:val="28"/>
          <w:szCs w:val="28"/>
          <w:rtl w:val="true"/>
          <w:lang w:bidi="fa-IR"/>
        </w:rPr>
        <w:t>و البحث حول هذه المسألة یستدعی تقدیم امور</w:t>
      </w:r>
      <w:r>
        <w:rPr>
          <w:rFonts w:eastAsia="IRNazanin" w:cs="IRNazanin"/>
          <w:color w:val="111111"/>
          <w:sz w:val="28"/>
          <w:szCs w:val="28"/>
          <w:rtl w:val="true"/>
          <w:lang w:bidi="fa-IR"/>
        </w:rPr>
        <w:t>:</w:t>
      </w:r>
    </w:p>
    <w:p>
      <w:pPr>
        <w:pStyle w:val="Heading4"/>
        <w:numPr>
          <w:ilvl w:val="3"/>
          <w:numId w:val="1"/>
        </w:numPr>
        <w:rPr/>
      </w:pPr>
      <w:bookmarkStart w:id="20" w:name="__RefHeading___Toc5145617_73709187"/>
      <w:bookmarkStart w:id="21" w:name="_Toc8"/>
      <w:bookmarkEnd w:id="20"/>
      <w:r>
        <w:rPr>
          <w:rtl w:val="true"/>
        </w:rPr>
        <w:t>الأمر الأوّل فی تحریر محل النزاع</w:t>
      </w:r>
      <w:bookmarkEnd w:id="21"/>
    </w:p>
    <w:p>
      <w:pPr>
        <w:pStyle w:val="BookText"/>
        <w:rPr/>
      </w:pPr>
      <w:r>
        <w:rPr>
          <w:rFonts w:ascii="IRNazanin" w:hAnsi="IRNazanin" w:eastAsia="IRNazanin"/>
          <w:color w:val="111111"/>
          <w:sz w:val="28"/>
          <w:sz w:val="28"/>
          <w:szCs w:val="28"/>
          <w:rtl w:val="true"/>
          <w:lang w:bidi="fa-IR"/>
        </w:rPr>
        <w:t>و قبل الخوض فی تحریر محلّ النزاع و إقامة الدلیل نمهِّد مقدّمةً، و هی</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أنّه لا إشکال فی أنّه إذا أراد الإنسان شیئاً له مقدّمة أو مقدّمات فلا محالة تتعلّق إرادة اخری بإتیان المقدّمات، و هذه الإرادة المتعلّقة بالمقدّمات لیست مترشّحةً من الإرادة المتعلّقة بإتیان ذی المقدّمة بمعنی أنّه کما تکون الإرادة علّةً فاعلیّة لتحقّق المراد فی الخارج کذلک تکون موجدةً لإرادة اخری مثلها متعلّقة بمقدّمات المراد الأوّلی، بل کما أنّ الإرادة المتعلّقة بالغرض الأقصی و المطلوب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کلقاء الصدیق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مخلوقة للنفس و متحقّقة بفعّالیتها کذلک الإرادة المتعلّقة بالمقدّمات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کالذهاب إلی داره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موجدة بفاعلیة النفس، غایة الأمر أنّ الاشتیاق الحاصل بالمراد إنّما هو متعلّق بنفس المراد فیما</w:t>
      </w:r>
    </w:p>
    <w:p>
      <w:pPr>
        <w:pStyle w:val="BookText"/>
        <w:rPr/>
      </w:pPr>
      <w:r>
        <w:rPr>
          <w:rFonts w:ascii="IRNazanin" w:hAnsi="IRNazanin" w:eastAsia="IRNazanin"/>
          <w:color w:val="111111"/>
          <w:sz w:val="28"/>
          <w:sz w:val="28"/>
          <w:szCs w:val="28"/>
          <w:rtl w:val="true"/>
          <w:lang w:bidi="fa-IR"/>
        </w:rPr>
        <w:t>لو کان هو الغرض الأقصی و المطلوب الأصلی و متعلّق بما یکون المراد من شرائط وجود شیء آخر فیما لم یکن المراد هو المنظور إلیه بالذات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فالفائدة المترتّبة علی المراد، التی هی من شرائط تحقّق الإرادة إنّما هی مترتّبة علی نفس المراد فی الصورة الاُولی، و مترتّبة علی شیء آخر یکون المراد دخیلاً فی تحقّقه فی الإرادة المتعلّقة بالمقدّمات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فیما لو کان الغرض الإتیان بالفعل بنفسه، و أمّا لو کان المقصود إتیان العبد به بتوسیط الأمر فهنا شیئان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البعث و التحریک الصادر من المولی بسبب الأمر و الإرادة المتعلّقة بهذا البعث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ما ذکرنا،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 ما ذکره المحقّقین من الاُصولیّین من أنّ النزاع فی باب المقدّمة إنّما هو فی الملازمة لا فی وجوبها لتکون المسألة فقهیّةً‌</w:t>
      </w:r>
      <w:r>
        <w:rPr>
          <w:rStyle w:val="FootnoteAnchor"/>
          <w:rtl w:val="true"/>
        </w:rPr>
        <w:footnoteReference w:id="2"/>
      </w:r>
      <w:r>
        <w:rPr>
          <w:rFonts w:ascii="IRNazanin" w:hAnsi="IRNazanin" w:eastAsia="IRNazanin"/>
          <w:color w:val="111111"/>
          <w:sz w:val="28"/>
          <w:sz w:val="28"/>
          <w:szCs w:val="28"/>
          <w:rtl w:val="true"/>
          <w:lang w:bidi="fa-IR"/>
        </w:rPr>
        <w:t>یحتمل أن یکون المراد بها الملازمة بین البعث الفعلی المتعلّق بذی المقدّمة و بین البعث الفعلی نحو المقدّمة، و أن یکون المراد الملازمة بینه و بین البعث التقدیری نحو المقدّمة بمعنی أنّ المقدّمة یتعلّق بها البعث فی الاستقبال لا محالة و إن لم یتعلّق بها فعلاً، و أن یکون المراد الملازمة بین الإرادة الحتمیّة الفعلیّة المتعلّقة بالبعث إلی ذی المقدّمة و بین الإرادة الفعلیّة المتعلّقة بالبعث إلی المقدّمة، و أن یکون المراد الملازمة بینها و بین الإرادة التقدیریة المتعلّقة بالبعث إلی المقدّمة</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کلٌّ من هذه الاحتمالات المتصوّرة ممّا لا یمکن أن یکون محلاّ للنزاع و مورداً للنقض و الإبرام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 من الواضح عدم کون کثیر من المقدّمات بل جمیعها مبعوثاً إلیها بمجرّد البعث إلی ذی 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فلأنّه لا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للقول بالملازمة؛ إذ لا یعقل تحقّق الملازمة الفعلیّة بین المتلازمین اللّذین أحدهما موجود بالفعل و الآخر موجود بالتقدیر بمعنی أنّه لم یوجد بعدُ و سیوجد فی الاستقبال؛ إذ الملازمة من قبیل الاُبوّة و البنوّة، فکما أنّه لا یعقل تحقّق الاُبوّة للشخص الذی یصیر ذا ولد فی الاستقبال للتضایف الحاصل بینها و بین البنوّة، و من شأن المتضایفین عدم إمکان الانفکاک بینهما فی الوجود الخارجی بل الوجود الذهنی، کذلک تحقّق الملازمة الفعلیة و ثبوتها بین الشیئین متوقّف علی تحقّقهما فی الخارج و ثبوتهما بالفعل، و هذا واضح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 کثیراً ما یکون جمیع المقدّمات أو بعضها مغفولاً عنها، و حینئذٍ فلا یمکن تعلّق الإرادة بالبعث إلیها؛ إذْ لا یعقل أن یکون المراد مغفولاً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بما مهّدناه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الإرادة المتعلّقة بالمقدّمات إنّما تتحقّق بفعّالیة النفس، و لیست مترشّحةً و موجدةً بالإرادة المتعلّقة بذی المقدّمة، فراجع، و حینئذٍ فلا یعقل أن یکون الشیء متّصفاً بأنّه مراد مع کونه مغفولاً عنه بالنسبة إلی المرید، کیف و من مقدّمات الإرادة تصوّر الشیء و التصدیق بفائدته و الاشتیاق إلیه، و لا یمکن اجتماع هذه مع الغفلة أصلاً، کما هو واضح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ذکر فی الاحتمال الثانی من أنّه یستحیل تحقّق الملازمة بین الموجود بالفعل و الموجود بالتقدیر</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فانقدح بما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جعل النزاع فی الملازمة بالوجوه المذکورة ممّا لا وجه له؛ إذ لا یمکن أن یکون ذلک محلّ النزاع،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محلّ الکلام و مورد النقض و الإبرام هی الملازمة بین الإرادة الفعلیة المتعلّقة بذی المقدّمة و بین الإرادة الفعلیة المتعلّقة بما یراه المرید 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شبهة فی أنّ الإرادة قد تتعلّق بما لا یترتّب علیه فائدة بل ربّما یرجع بسببه ضرر إلی الفاعل المرید، و لیس ذلک إلاّ لکون المرید معتقداً بترتّب فائدة علیه، کما أنّه قد یأبی عن الإتیان بفعل بتخیّل أن المترتّب علیه ضرر راجع إلیه مع کونه فی الواقع ذا نفع عائد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فالإنسان ربّما یشتاق إلی فعل؛ لتخیّله أنّه ذو نفع فیریده، و ربّما ینزجر عن فعل آخر؛ لتوهّمه أنّه بلا نفع، فینصرف عنه، مع أنّ الأمر فی الواقع بالعکس، فلیس تحقّق الإرادة متوقّفاً علی النفع الواقعی، و عدمها علی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فی الإرادة المتعلّقة بنفس الفعل، و أمّا الإرادة المتعلّقة بالمقدّمات فهی أیضاً کذلک بمعنی أنّه قد یتخیّل المرید بأنّ مراده متوقّف علی شیء فیریده مع أنّه لم یکن من شرائط وجوده فی الواقع، کما أنّه ربّما لا یرید المقدّمات الواقعیة؛ لتوهّمه أنّها لا تکون 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فی إرادة الفاعل، و أمّا الآمر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أمر بشیء له مقدّمات، فالنزاع واقع فی تحقّق الملازمة بین الإرادة المتعلّقة بذی المقدّمة و بین الإرادة المتعلّقة بما یراه مقدّمة لا المقدّمات الواقعیة</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أخطأ فی تشخیص المقدّمات، فیجب علی العبد تحصیل المقدّمات الواقعیة مع علمه بخطإ المولی لا من باب تعلّق إرادة المولی بالمقدّمات الواقعیة، کیف و هی غیر متوجهة إلیها، فلا یمکن أن تصیر مرادةً، بل من باب وجوب تحصیل غرض المولی مع الاطّلاع علیه و إن لم یتعلّق به أمر أصلاً</w:t>
      </w:r>
      <w:r>
        <w:rPr>
          <w:rFonts w:eastAsia="IRNazanin" w:cs="IRNazanin"/>
          <w:color w:val="111111"/>
          <w:sz w:val="28"/>
          <w:szCs w:val="28"/>
          <w:rtl w:val="true"/>
          <w:lang w:bidi="fa-IR"/>
        </w:rPr>
        <w:t>.</w:t>
      </w:r>
      <w:bookmarkStart w:id="22" w:name="pg11586_104604"/>
    </w:p>
    <w:p>
      <w:pPr>
        <w:pStyle w:val="BookText"/>
        <w:rPr/>
      </w:pPr>
      <w:bookmarkEnd w:id="22"/>
      <w:r>
        <w:rPr>
          <w:rFonts w:ascii="IRNazanin" w:hAnsi="IRNazanin" w:eastAsia="IRNazanin"/>
          <w:color w:val="111111"/>
          <w:sz w:val="28"/>
          <w:sz w:val="28"/>
          <w:szCs w:val="28"/>
          <w:rtl w:val="true"/>
          <w:lang w:bidi="fa-IR"/>
        </w:rPr>
        <w:t>هذا، و حیث إنّ العمدة فی مورد البحث هی المقدّمات الشرعیة، و من المعلوم أنّ ما یراه الشارع مقدّمة لیس متخلّفاً عن الواقع، فیصحّ النزاع فی الملازمة بین الإرادة المتعلّقة بذی المقدّمة و بین الإرادة المتعلّقة بالمقدّمات الواقعیة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غایة ما یمکن أن یقال فی تحریر محلّ النزاع</w:t>
      </w:r>
      <w:r>
        <w:rPr>
          <w:rFonts w:eastAsia="IRNazanin" w:cs="IRNazanin"/>
          <w:color w:val="111111"/>
          <w:sz w:val="28"/>
          <w:szCs w:val="28"/>
          <w:rtl w:val="true"/>
          <w:lang w:bidi="fa-IR"/>
        </w:rPr>
        <w:t>.</w:t>
      </w:r>
    </w:p>
    <w:p>
      <w:pPr>
        <w:pStyle w:val="Heading4"/>
        <w:numPr>
          <w:ilvl w:val="3"/>
          <w:numId w:val="1"/>
        </w:numPr>
        <w:rPr/>
      </w:pPr>
      <w:bookmarkStart w:id="23" w:name="__RefHeading___Toc5145619_73709187"/>
      <w:bookmarkStart w:id="24" w:name="_Toc9"/>
      <w:bookmarkEnd w:id="23"/>
      <w:r>
        <w:rPr>
          <w:rtl w:val="true"/>
        </w:rPr>
        <w:t>الأمر الثانی هل مسألة مقدّمة الواجب من المسائل الاُصولیّة؟</w:t>
      </w:r>
      <w:bookmarkEnd w:id="24"/>
    </w:p>
    <w:p>
      <w:pPr>
        <w:pStyle w:val="Heading5"/>
        <w:numPr>
          <w:ilvl w:val="4"/>
          <w:numId w:val="1"/>
        </w:numPr>
        <w:rPr/>
      </w:pPr>
      <w:bookmarkStart w:id="25" w:name="__RefHeading___Toc5145621_73709187"/>
      <w:bookmarkStart w:id="26" w:name="_Toc10"/>
      <w:bookmarkEnd w:id="25"/>
      <w:r>
        <w:rPr>
          <w:rtl w:val="true"/>
        </w:rPr>
        <w:t>اشارة</w:t>
      </w:r>
      <w:bookmarkEnd w:id="26"/>
    </w:p>
    <w:p>
      <w:pPr>
        <w:pStyle w:val="BookText"/>
        <w:rPr/>
      </w:pPr>
      <w:r>
        <w:rPr>
          <w:rFonts w:ascii="IRNazanin" w:hAnsi="IRNazanin" w:eastAsia="IRNazanin"/>
          <w:color w:val="111111"/>
          <w:sz w:val="28"/>
          <w:sz w:val="28"/>
          <w:szCs w:val="28"/>
          <w:rtl w:val="true"/>
          <w:lang w:bidi="fa-IR"/>
        </w:rPr>
        <w:t>ثمّ إنّه یقع الکلام بعد ذلک فی أنّ المسألة اصولیة أو من المبادئ الأحکامیة أو فقهیّة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أنّه إن قلنا بأنّ المسائل الاُصولیة هی ما یبحث فیها عن عوارض الحجّة فی الفقه بناءً علی أنّ الموضوع لعلم الاُصول هی الحجّة فی الفقه</w:t>
      </w:r>
      <w:r>
        <w:rPr>
          <w:rStyle w:val="FootnoteAnchor"/>
          <w:rtl w:val="true"/>
        </w:rPr>
        <w:footnoteReference w:id="3"/>
      </w:r>
      <w:r>
        <w:rPr>
          <w:rFonts w:ascii="IRNazanin" w:hAnsi="IRNazanin" w:eastAsia="IRNazanin"/>
          <w:color w:val="111111"/>
          <w:sz w:val="28"/>
          <w:sz w:val="28"/>
          <w:szCs w:val="28"/>
          <w:rtl w:val="true"/>
          <w:lang w:bidi="fa-IR"/>
        </w:rPr>
        <w:t>، فلا یکون النزاع فی باب المقدّمة الراجع إلی النزاع فی ثبوت الملازمة و عدمها نزاعاً فی المسألة الاُصولیة؛ إذ لا یبحث فیها عمّا یعرض الحجّة فی الفقه، و هذا واضح</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قلنا بأنّ مسائل علم الاُصول عبارة عن القواعد التی یمکن أن تقع کبری لقیاس الاستنباط أو التی ینتهی إلیها فی مقام العمل بعد عدم الدلیل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المختار المحقَّق فی موضعه </w:t>
      </w:r>
      <w:r>
        <w:rPr>
          <w:rStyle w:val="FootnoteAnchor"/>
          <w:rtl w:val="true"/>
        </w:rPr>
        <w:footnoteReference w:id="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الواضح أنّ المقام من المسائل الاُصولیة، کما لا یخفی</w:t>
      </w:r>
      <w:r>
        <w:rPr>
          <w:rFonts w:eastAsia="IRNazanin" w:cs="IRNazanin"/>
          <w:color w:val="111111"/>
          <w:sz w:val="28"/>
          <w:szCs w:val="28"/>
          <w:rtl w:val="true"/>
          <w:lang w:bidi="fa-IR"/>
        </w:rPr>
        <w:t>.</w:t>
      </w:r>
      <w:bookmarkStart w:id="27" w:name="pg11586_104605"/>
    </w:p>
    <w:p>
      <w:pPr>
        <w:pStyle w:val="Heading5"/>
        <w:numPr>
          <w:ilvl w:val="4"/>
          <w:numId w:val="1"/>
        </w:numPr>
        <w:rPr/>
      </w:pPr>
      <w:bookmarkStart w:id="28" w:name="__RefHeading___Toc5145623_73709187"/>
      <w:bookmarkStart w:id="29" w:name="_Toc11"/>
      <w:bookmarkEnd w:id="27"/>
      <w:bookmarkEnd w:id="28"/>
      <w:r>
        <w:rPr>
          <w:rtl w:val="true"/>
        </w:rPr>
        <w:t>هل المسألة عقلیة أو لفظیة؟</w:t>
      </w:r>
      <w:bookmarkEnd w:id="29"/>
    </w:p>
    <w:p>
      <w:pPr>
        <w:pStyle w:val="BookText"/>
        <w:rPr/>
      </w:pPr>
      <w:r>
        <w:rPr>
          <w:rFonts w:ascii="IRNazanin" w:hAnsi="IRNazanin" w:eastAsia="IRNazanin"/>
          <w:color w:val="111111"/>
          <w:sz w:val="28"/>
          <w:sz w:val="28"/>
          <w:szCs w:val="28"/>
          <w:rtl w:val="true"/>
          <w:lang w:bidi="fa-IR"/>
        </w:rPr>
        <w:t>ثمّ إنّه بعد الفراغ عن کونها مسألة اصولیة یقع الکلام فی أنّها اصولیة عقلیة أو لفظیة؟</w:t>
      </w:r>
    </w:p>
    <w:p>
      <w:pPr>
        <w:pStyle w:val="BookText"/>
        <w:rPr/>
      </w:pPr>
      <w:r>
        <w:rPr>
          <w:rFonts w:ascii="IRNazanin" w:hAnsi="IRNazanin" w:eastAsia="IRNazanin"/>
          <w:color w:val="111111"/>
          <w:sz w:val="28"/>
          <w:sz w:val="28"/>
          <w:szCs w:val="28"/>
          <w:rtl w:val="true"/>
          <w:lang w:bidi="fa-IR"/>
        </w:rPr>
        <w:t>و التحقیق أن یقال بابتناء ذلک علی کون الدلالة الالتزامیة من الدلالات اللفظیة، نظیر المطابقة و التضمّن، و عدمه، کما هو الحقّ، فإن قلنا بالأوّل، تکون مسألة اصولیة لفظیة، و لعلّه الوجه فی ذکر المسألة فی مباحث الألفاظ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قلنا بالثانی، تکون عقلیةً و یمکن أن یقال بکون المقام مسألة اصولیة عقلیة و إن قلنا بکون الدلالة الالتزامیة من الدلالات اللفظیة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 الدلالة الالتزامیة من الدلالات اللفظیة إنّما هو فیما إذا کان الملزوم هو المدلول المطابقی للّفظ، فهو یدلّ أوّلاً علیه، و بتوسیطه یدلّ علی المعنی اللازم لمدلوله المطابقی، و هنا لیس کذلک؛ لأنّ النزاع فی ثبوت الملازمة بین الإرادة المتعلّقة بالبعث إلی ذی المقدّمة و بین الإرادة المتعلّقة بالبعث إلی المقدّمة، فالتلازم علی فرض ثبوته إنّما هو بین الإرادتین، و من المعلوم أنّه لا تکون إحداهما مدلولاً مطابقیّاً للّفظ حتی یدلّ اللّفظ بتوسیطه علی الآخر، بل مفاد اللّفظ هو البعث المتعلّق بذی المقدّمة، و هو و إن کان کاشفاً عن ثبوت الإرادة القبلیة إلاّ أنّ ذلک لیس من باب الدلالة اللفظیة علیه، بل من باب أنّ الفعل الاختیاری کاشف عن ثبوت الإرادة المتعلّقة به قبله</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یکن أحد المتلازمین مدلولاً مطابقیاً للّفظ أصلاً، بل کلاهما خارجان عن معناه الموضوع له، و حینئذٍ فلیس إلی ادّعاء الدلالة اللفظیة فی المقام سبیل أصلاً، کما هو واضح لا یخفی</w:t>
      </w:r>
      <w:r>
        <w:rPr>
          <w:rFonts w:eastAsia="IRNazanin" w:cs="IRNazanin"/>
          <w:color w:val="111111"/>
          <w:sz w:val="28"/>
          <w:szCs w:val="28"/>
          <w:rtl w:val="true"/>
          <w:lang w:bidi="fa-IR"/>
        </w:rPr>
        <w:t>.</w:t>
      </w:r>
      <w:bookmarkStart w:id="30" w:name="pg11586_104606"/>
    </w:p>
    <w:p>
      <w:pPr>
        <w:pStyle w:val="Heading4"/>
        <w:numPr>
          <w:ilvl w:val="3"/>
          <w:numId w:val="1"/>
        </w:numPr>
        <w:rPr/>
      </w:pPr>
      <w:bookmarkStart w:id="31" w:name="__RefHeading___Toc5145625_73709187"/>
      <w:bookmarkStart w:id="32" w:name="_Toc12"/>
      <w:bookmarkEnd w:id="30"/>
      <w:bookmarkEnd w:id="31"/>
      <w:r>
        <w:rPr>
          <w:rtl w:val="true"/>
        </w:rPr>
        <w:t>الأمر الثالث فی تقسیمات المقدّمة</w:t>
      </w:r>
      <w:bookmarkEnd w:id="32"/>
    </w:p>
    <w:p>
      <w:pPr>
        <w:pStyle w:val="Heading5"/>
        <w:numPr>
          <w:ilvl w:val="4"/>
          <w:numId w:val="1"/>
        </w:numPr>
        <w:rPr/>
      </w:pPr>
      <w:bookmarkStart w:id="33" w:name="__RefHeading___Toc5145627_73709187"/>
      <w:bookmarkStart w:id="34" w:name="_Toc13"/>
      <w:bookmarkEnd w:id="33"/>
      <w:r>
        <w:rPr>
          <w:rtl w:val="true"/>
        </w:rPr>
        <w:t>اشارة</w:t>
      </w:r>
      <w:bookmarkEnd w:id="34"/>
    </w:p>
    <w:p>
      <w:pPr>
        <w:pStyle w:val="BookText"/>
        <w:rPr/>
      </w:pPr>
      <w:r>
        <w:rPr>
          <w:rFonts w:ascii="Amiri" w:hAnsi="Amiri" w:eastAsia="Amiri" w:cs="Amiri"/>
          <w:color w:val="111111"/>
          <w:sz w:val="28"/>
          <w:sz w:val="28"/>
          <w:szCs w:val="28"/>
          <w:rtl w:val="true"/>
          <w:lang w:bidi="ar-SA"/>
        </w:rPr>
        <w:t>ثمّ إنّه ربّما تقسّم المقدّمة بتقسیمات لا بدّ من ذکرها و بیان أنّ أیّ قسم منها داخل فی محلّ البحث و مورد النزاع</w:t>
      </w:r>
      <w:r>
        <w:rPr>
          <w:rFonts w:eastAsia="Amiri" w:cs="Amiri" w:ascii="Amiri" w:hAnsi="Amiri"/>
          <w:color w:val="111111"/>
          <w:sz w:val="28"/>
          <w:szCs w:val="28"/>
          <w:rtl w:val="true"/>
          <w:lang w:bidi="ar-SA"/>
        </w:rPr>
        <w:t>.</w:t>
      </w:r>
    </w:p>
    <w:p>
      <w:pPr>
        <w:pStyle w:val="Heading5"/>
        <w:numPr>
          <w:ilvl w:val="4"/>
          <w:numId w:val="1"/>
        </w:numPr>
        <w:rPr/>
      </w:pPr>
      <w:bookmarkStart w:id="35" w:name="__RefHeading___Toc5145629_73709187"/>
      <w:bookmarkStart w:id="36" w:name="_Toc14"/>
      <w:bookmarkEnd w:id="35"/>
      <w:r>
        <w:rPr>
          <w:rtl w:val="true"/>
        </w:rPr>
        <w:t>تقسیم المقدّمة إلی الخارجیّة و الداخلیّة</w:t>
      </w:r>
      <w:bookmarkEnd w:id="36"/>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التقسیمات تقسیمها إلی الخارجیة و الداخلیة، و المراد بالأوّل هی الاُمور الخارجة عن حقیقة المأمور به التی لا یکاد یمکن تحقّقه بدون واحد منها، و بالثانی هی الاُمور التی یترکّب منها المأمور به، و لها مدخلیة فی حقیقته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إشکال فی کون المقدّمات الخارجیة داخلة فی مورد البحث، و إنّما الکلام فی المقدّمات الداخلیة، و أنّها هل تکون داخلةً فی محلّ النزاع أم لا؟</w:t>
      </w:r>
    </w:p>
    <w:p>
      <w:pPr>
        <w:pStyle w:val="BookText"/>
        <w:rPr/>
      </w:pPr>
      <w:r>
        <w:rPr>
          <w:rFonts w:ascii="IRNazanin" w:hAnsi="IRNazanin" w:eastAsia="IRNazanin"/>
          <w:color w:val="111111"/>
          <w:sz w:val="28"/>
          <w:sz w:val="28"/>
          <w:szCs w:val="28"/>
          <w:rtl w:val="true"/>
          <w:lang w:bidi="fa-IR"/>
        </w:rPr>
        <w:t>قد یقال باختصاص البحث بخصوص المقدّمات الخارجیة؛ لأنّ الأجزاء لا تکون سابقةً علی الکلّ و مقدّمةً علیه؛ لأنّ الکلّ لیس إلاّ نفس الأجزاء بالأسر</w:t>
      </w:r>
      <w:r>
        <w:rPr>
          <w:rStyle w:val="FootnoteAnchor"/>
          <w:rtl w:val="true"/>
        </w:rPr>
        <w:footnoteReference w:id="5"/>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ذکر بعض الأعاظم فی دفع الإشکال أنّ المقدّمة عبارة عن نفس الأجزاء بالأسر، و المرکّب عبارة عن تلک الأجزاء بشرط الانضمام و الاجتماع، فتحصل المغایرة بینهما</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 لا یخفی أنّ هذا الکلام لا یدفع به الإشکال؛ لأنّ مجرّد المغایرة الاعتباریة بینهما الراجعة إلی أنّ فی الواقع لا یکون إلاّ أمر واحد و شیء فارد لا یصحّح عنوان المقدّمیة المتوقّف علی أن یکون هنا شیء متقدّم فی الوجود علی ذیها و سابق علیها؛ إذ لا یعقل أن یتقدّم شیء واحد علی نفسه، و هذا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تحقیق المقام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المرکّبات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المرکّبات الحقیقیة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المرکّبات غیر الحقیقیة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بالأوّل هی المرکّبات من الجنس و الفصل و المادّة و الصورة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هذا القسم خارج عن محلّ البحث بالاتّفاق؛ لأنّ الجنس و الفصل من الأجزاء التحلیلیة العقلیة و لا وجود لها فی الخارج، و الصورة و المادّة و إن کانتا موجودتین فی الخارج إلاّ أنّه لا امتیاز بینهما و بین المرکّب منهما لیتوقّف علیهما، و هذا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بالقسم الثانی هو المرکّب من الأشیاء المتخالفة الحقائق و الاُمور المتباینة، و هو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المرکّبات الصناعیة، و هی المرکّب من الاُمور المتعدّدة بحیث یکون لذلک المرکّب عنوان واحد من دون توقّف علی أن تکون وحدتها معتبرةً باعتبار معتبر، و هذا کالمسجد و الدار و البیت و السریر و أمثالها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المرکّبات الاعتباریة، و هی المرکّب من الاُمور المتعدّدة الملحوظة بنظر الوحدة لأجل مدخلیتها بتمامها فی حصول غرض واحد، و ترتّب مصلحة واحدة علیها، و هذا کأکثر المرکّبات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هذان القسمان قد وقعا محلّ الخلاف فی أنّه هل یکونان داخلین فی مورد النزاع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ما ذکرنا،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أراد الفاعل بناء مسجد مثلاً، فلا إشکال فی أنّه یتصوّره و ما یترتّب علیه من الفوائد ثمّ یشتاق إلیه ثمّ یُریده، و ربّما لا یتوجّه إلی أجزاء المسجد فی مقام تعلّق الإرادة ببنائه أصلاً، بل تکون کلّها مغفولاً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إذا شرع فی العمل و رأی أنّ تحقّق المسجد یتوقّف علی امور متعدّدة، فلا محالة یرید کلّ واحد منها؛ لتوقّف حصول الغرض الأقصی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الأمر أنّ الإرادة المتعلّقة بها لیست لأجل نفسها، بل لحصول غیرها، لا أن تکون تلک الإرادة مترشّحةً عن الإرادة المتعلّقة ببناء المسجد و مسبّبةً عنها، کما عرفت فی صدر المبحث، و قد حقّق فی محلّه أنّ تعیّن الإرادة و تشخّصها إنّما هو بالمراد بمعنی أنّه لا یمکن تحقّقها بدون المراد، کما یشهد به الوجدان، و یدلّ علیه البرهان</w:t>
      </w:r>
      <w:r>
        <w:rPr>
          <w:rStyle w:val="FootnoteAnchor"/>
          <w:rtl w:val="true"/>
        </w:rPr>
        <w:footnoteReference w:id="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لا یمکن تعلّق إرادة واحدة بمرادات متعدّدة، بل کلّ مراد یحتاج إلی إرادة مستقلّة، و حینئذٍ فالإرادة المتعلّقة ببناء المسجد لیست هی الإرادة المتعلّقة بالمقدّمات، و إلّا لزم تعدّد المراد مع إرادة واحدة</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فالمسجد عنوان واحد قد تتعلّق به الإرادة لما یترتّب علیه من الفوائد، و فی هذه الإرادة لا مدخلیة للأجزاء أصلاً بمعنی أنّه لو سُئل المرید عن الاشتیاق بالمقدّمات لأجاب بنفیه، و عدم کونها مرادةً أصلاً، ثمّ بعد علمه بتوقّفه علیها یریدها بالإرادة الغیریة؛ إذ من المعلوم أنّ کلّ واحد من المقدّمات یغایر المراد الأوّلی، فکما أنّ کلّ واحد من المقدّمات الخارجیة یصیر مرادةً بالإرادة الغیریة فکذلک المقدّمات الداخلیة بلا فرق بینهما أصلاً</w:t>
      </w:r>
      <w:r>
        <w:rPr>
          <w:rFonts w:eastAsia="IRNazanin" w:cs="IRNazanin"/>
          <w:color w:val="111111"/>
          <w:sz w:val="28"/>
          <w:szCs w:val="28"/>
          <w:rtl w:val="true"/>
          <w:lang w:bidi="fa-IR"/>
        </w:rPr>
        <w:t>.</w:t>
      </w:r>
      <w:bookmarkStart w:id="37" w:name="pg11586_104609"/>
    </w:p>
    <w:p>
      <w:pPr>
        <w:pStyle w:val="BookText"/>
        <w:rPr/>
      </w:pPr>
      <w:bookmarkEnd w:id="37"/>
      <w:r>
        <w:rPr>
          <w:rFonts w:ascii="IRNazanin" w:hAnsi="IRNazanin" w:eastAsia="IRNazanin"/>
          <w:color w:val="111111"/>
          <w:sz w:val="28"/>
          <w:sz w:val="28"/>
          <w:szCs w:val="28"/>
          <w:rtl w:val="true"/>
          <w:lang w:bidi="fa-IR"/>
        </w:rPr>
        <w:t>و ما یظهر من بعض الکلمات من أنّ المقدّمة هی الأجزاء بالأسر</w:t>
      </w:r>
      <w:r>
        <w:rPr>
          <w:rStyle w:val="FootnoteAnchor"/>
          <w:rtl w:val="true"/>
        </w:rPr>
        <w:footnoteReference w:id="8"/>
      </w:r>
      <w:r>
        <w:rPr>
          <w:rFonts w:ascii="IRNazanin" w:hAnsi="IRNazanin" w:eastAsia="IRNazanin"/>
          <w:color w:val="111111"/>
          <w:sz w:val="28"/>
          <w:sz w:val="28"/>
          <w:szCs w:val="28"/>
          <w:rtl w:val="true"/>
          <w:lang w:bidi="fa-IR"/>
        </w:rPr>
        <w:t>إن ارید بالمجموعیة عموم الأجزاء بالعموم الاستغراقی الراجع إلی أنّ المقدّمة هی کلّ واحد من الأجزاء مستقلاًّ، فنحن لا نمنعه، و لکن هذا لا یوجب الفرق بینها و بین المقدّمات الخارجیة أصلاً،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ارید بها عموم الأجزاء بالعموم المجموعی الراجع إلی أنّ المجموع مقدّمة، فیرد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الوجدان شاهد علی خلافه؛ لعدم تحقّق ملاک المقدّمیة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التوقّف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فی کلّ واحد من الأجزاء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 الأجزاء بالأسر هو المرکّب لا المقدّمات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بما ذکرنا ظهر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ملاک المقدّمیة فی الأجزاء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کونها داخلةً فی محلّ النزاع؛ لعدم لزوم اجتماع المثلین بعد فرض أنّ متعلّق الإرادة النفسیة هی عنوان المسجد مثلاً، و متعلّق الإرادة الغیریة هی کلّ واحد من الأجزاء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إنّا جعلنا المثال فی إرادة الفاعل و فی القسم الأوّل من المرکّبات، و علیک مقایسة إرادة الآمر بإرادة الفاعل و القسم الثانی بالأوّل</w:t>
      </w:r>
      <w:r>
        <w:rPr>
          <w:rFonts w:eastAsia="IRNazanin" w:cs="IRNazanin"/>
          <w:color w:val="111111"/>
          <w:sz w:val="28"/>
          <w:szCs w:val="28"/>
          <w:rtl w:val="true"/>
          <w:lang w:bidi="fa-IR"/>
        </w:rPr>
        <w:t>.</w:t>
      </w:r>
    </w:p>
    <w:p>
      <w:pPr>
        <w:pStyle w:val="Heading5"/>
        <w:numPr>
          <w:ilvl w:val="4"/>
          <w:numId w:val="1"/>
        </w:numPr>
        <w:rPr/>
      </w:pPr>
      <w:bookmarkStart w:id="38" w:name="__RefHeading___Toc5145631_73709187"/>
      <w:bookmarkStart w:id="39" w:name="_Toc15"/>
      <w:bookmarkEnd w:id="38"/>
      <w:r>
        <w:rPr>
          <w:rtl w:val="true"/>
        </w:rPr>
        <w:t>دفعُ وَهم</w:t>
      </w:r>
      <w:r>
        <w:rPr>
          <w:rtl w:val="true"/>
        </w:rPr>
        <w:t xml:space="preserve">: </w:t>
      </w:r>
      <w:r>
        <w:rPr>
          <w:rtl w:val="true"/>
        </w:rPr>
        <w:t>فی أنحاء الوحدة الاعتباریّة</w:t>
      </w:r>
      <w:bookmarkEnd w:id="39"/>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إنّه ذکر المحقّق العراقی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فی التقریرات المنسوبة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الوحدة الاعتباریة یمکن أن تکون فی الرتبة السابقة علی الأمر بأن یعتبر عدّة امور متباینة شیئاً واحداً بلحاظ مدخلیتها فی حصول غرض واحد، و یمکن أن</w:t>
      </w:r>
    </w:p>
    <w:p>
      <w:pPr>
        <w:pStyle w:val="BookText"/>
        <w:rPr/>
      </w:pPr>
      <w:r>
        <w:rPr>
          <w:rFonts w:ascii="IRNazanin" w:hAnsi="IRNazanin" w:eastAsia="IRNazanin"/>
          <w:color w:val="111111"/>
          <w:sz w:val="28"/>
          <w:sz w:val="28"/>
          <w:szCs w:val="28"/>
          <w:rtl w:val="true"/>
          <w:lang w:bidi="fa-IR"/>
        </w:rPr>
        <w:t>تکون فی الرتبة المتأخّرة بحیث تنتزع من نفس الأمر بلحاظ تعلّقه بعدّة امور، فیکون تعلّقه بها منشأً لانتزاع الوحدة لها الملازمة لاتّصافها بعنوانی الکلّ و الأجزاء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بعد ذلک أنّ الوحدة بالمعنی الثانی لا یعقل أن تکون سبباً لترشّح الوجوب من الکلّ إلی الأجزاء بملاک المقدّمیة؛ لأنّ الجزئیة و الکلّیة الملزومة لهذه الوحدة ناشئة من الأمر علی الفرض، فتکون المقدّمیّة فی رتبة متأخّرة عن تعلّق الأمر بالکلّ، و معه لا یعقل ترشّحه علی الأجزاء؛ لأنّ الأمر الغیری إنّما یتعلّق بما یکون مقدّمةً مع الغضّ عن تحقّق الأمر، و لا یمکن تعلّقه بما لا یکون مقدّمةً فی رتبة سابقة علی الأمر، فالنزاع فی تعلّق الوجوب الغیری ینحصر بالقسم الأوّل</w:t>
      </w:r>
      <w:r>
        <w:rPr>
          <w:rStyle w:val="FootnoteAnchor"/>
          <w:rtl w:val="true"/>
        </w:rPr>
        <w:footnoteReference w:id="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فی کلامه قدس سره خلطاً من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جعل أشیاء متعدّدةٍ متعلّقةً لأمر واحد لا یمکن إلاّ بعد کون المصلحة قائمةً بهیئته الاجتماعیة، و إلّا فمع کون کلّ واحد منها ذا مصلحة مستقلّة موجبة لتعلّق إرادة مستقلّة بها لا یمکن اجتماعها فی متعلّق أمر واحد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فتعلّق الأمر بالأشیاء المتعدّدة متوقّف علی تصوّرها بالنحو الذی یترتّب المصلحة علیها، و ذلک النحو لیس إلاّ اجتماع کلّ مع الآخر، فالاجتماع ملحوظ لا محالة قبل تعلّق الأمر؛ إذ المصلحة المنظورة إنّما یترتّب علیها مع هذا الوصف، و لا نعنی بالوحدة إلاّ لحاظ الأشیاء المتغائرة مجتمعةً کلّ واحد منها مع الآخر لا مفهوم الوحدة کما لا یخفی، فلا فرق بین القسمین فی أنّ الوحدة فی کلیهما ملحوظة قبل تعلّق الأمر أصلاً</w:t>
      </w:r>
      <w:r>
        <w:rPr>
          <w:rFonts w:eastAsia="IRNazanin" w:cs="IRNazanin"/>
          <w:color w:val="111111"/>
          <w:sz w:val="28"/>
          <w:szCs w:val="28"/>
          <w:rtl w:val="true"/>
          <w:lang w:bidi="fa-IR"/>
        </w:rPr>
        <w:t>.</w:t>
      </w:r>
      <w:bookmarkStart w:id="40" w:name="pg11586_104611"/>
    </w:p>
    <w:p>
      <w:pPr>
        <w:pStyle w:val="BookText"/>
        <w:rPr/>
      </w:pPr>
      <w:bookmarkEnd w:id="40"/>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سلّمنا أنّ انتزاع الوحدة الملازمة لاتّصاف الأشیاء بعنوانی الکلّ و الأجزاء إنّما هو بعد تعلّق الأمر بها، و لکن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النزاع فی باب المقدّمة إنّما هو فیما یتوقّف علیه المأمور به واقعاً، و لا یکاد یمکن تحقّقه بدونه، لا فی عنوان المقدّمیة؛ ضرورة أنّها لم تکن متوقّفاً علیها أصلاً، و حینئذٍ فمجرّد أنّ عنوان المقدّمیة یتوقّف اتّصاف الأجزاء به علی تعلّق الأمر لا یوجب خروج الأجزاء عن توقّف المأمور به علیها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عنوان المقدّمیة إنّما هو من العناوین الإضافیة التی من شأنها أن یتحقّقا معاً من دون توقّف بینهما أصلاً، نظیر العلّیّة و المعلولیة، فإنّ العلّة منشأ لصدور المعلول بذاتها و متقدّمة علیه بحقیقتها لا بوصف العلّیّة، فإنّها من الاُمور الإضافیة، و عروضها للعلّة إنّما هو فی مرتبة عروض وصف المعلولیة للمعلول من دون تقدّم و تأخّر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واضح جدّاً</w:t>
      </w:r>
      <w:r>
        <w:rPr>
          <w:rFonts w:eastAsia="IRNazanin" w:cs="IRNazanin"/>
          <w:color w:val="111111"/>
          <w:sz w:val="28"/>
          <w:szCs w:val="28"/>
          <w:rtl w:val="true"/>
          <w:lang w:bidi="fa-IR"/>
        </w:rPr>
        <w:t>.</w:t>
      </w:r>
    </w:p>
    <w:p>
      <w:pPr>
        <w:pStyle w:val="Heading5"/>
        <w:numPr>
          <w:ilvl w:val="4"/>
          <w:numId w:val="1"/>
        </w:numPr>
        <w:rPr/>
      </w:pPr>
      <w:bookmarkStart w:id="41" w:name="__RefHeading___Toc5145633_73709187"/>
      <w:bookmarkStart w:id="42" w:name="_Toc16"/>
      <w:bookmarkEnd w:id="41"/>
      <w:r>
        <w:rPr>
          <w:rtl w:val="true"/>
        </w:rPr>
        <w:t>التفصیل بین العلّة التامّة و غیرها</w:t>
      </w:r>
      <w:bookmarkEnd w:id="42"/>
    </w:p>
    <w:p>
      <w:pPr>
        <w:pStyle w:val="BookText"/>
        <w:rPr/>
      </w:pPr>
      <w:r>
        <w:rPr>
          <w:rFonts w:ascii="IRNazanin" w:hAnsi="IRNazanin" w:eastAsia="IRNazanin"/>
          <w:color w:val="111111"/>
          <w:sz w:val="28"/>
          <w:sz w:val="28"/>
          <w:szCs w:val="28"/>
          <w:rtl w:val="true"/>
          <w:lang w:bidi="fa-IR"/>
        </w:rPr>
        <w:t>ثمّ إنّه قد یفصّل فی المقدّمات الخارجیة بین العلّة التامّة و غیرها بخروج الأوّل من مورد النزاع، و ذلک؛ لأنّ إرادة الأمر لا بدّ أن تتعلّق بما یمکن أن تتعلّق به إرادة الفاعل، و هی لا یمکن أن تتعلّق بالمعلول؛ لأنّه یکون خارجاً عن قدرة الفاعل، فمتعلّق القدرة هی العلّة، فالأمر لا بدّ أن یتعلّق بها دون المعلول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 فرض صحّته لا یکون تفصیلاً فی محلّ النزاع؛ لأنّ مرجعه إلی أنّ الأمر المتعلّق بالمسبّب یجب أن ینصرف إلی علّته، و النزاع إنّما هو علی تقدیر تعلّق الأمر بالمسبّب، کما هو واضح</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مضافاً إلی بطلانه من رأس؛ فإنّ المسبّب و إن لم یکن من فعل الفاعل من دون وسط، إلاّ أنّه یصحّ انتسابه إلیه؛ لتعلّق القدرة به و لو بواسطة، فیصحّ</w:t>
      </w:r>
      <w:bookmarkStart w:id="43" w:name="pg11586_104612"/>
    </w:p>
    <w:p>
      <w:pPr>
        <w:pStyle w:val="BookText"/>
        <w:rPr/>
      </w:pPr>
      <w:bookmarkEnd w:id="43"/>
      <w:r>
        <w:rPr>
          <w:rFonts w:ascii="IRNazanin" w:hAnsi="IRNazanin" w:eastAsia="IRNazanin"/>
          <w:color w:val="111111"/>
          <w:sz w:val="28"/>
          <w:sz w:val="28"/>
          <w:szCs w:val="28"/>
          <w:rtl w:val="true"/>
          <w:lang w:bidi="fa-IR"/>
        </w:rPr>
        <w:t>تعلّق الأمر بالإحراق؛ لصحّة استناده إلی المکلّف و إن کان متحقّقاً بمقتضی طبیعة النّار، إلاّ أنّه مقدور للمکلّف؛ لقدرته علی الإلقاء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واضح جدّاً، و إلّا لم یکن کثیر من الأفعال مقدوراً للمکلّف؛ لتوقّفها غالباً علی بعض المقدّمات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الإشکال لا ینحصر بالعلّة التامّة؛ إذ کلّ فعل فهو غیر مقدور للمکلّف إلاّ مع مقدّمته،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تقسیمات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تقسیمها إلی الشرعیّة و العقلیّة و العادیّة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تقسیمات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تقسیمها إلی مقدّمة الصحة و مقدّمة العلم و مقدّمة الوجود و مقدّمة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الکلام فیها ما ذکره المحقّق الخراسانی قدس سره فی الکفایة</w:t>
      </w:r>
      <w:r>
        <w:rPr>
          <w:rStyle w:val="FootnoteAnchor"/>
          <w:rtl w:val="true"/>
        </w:rPr>
        <w:footnoteReference w:id="10"/>
      </w:r>
      <w:r>
        <w:rPr>
          <w:rFonts w:ascii="IRNazanin" w:hAnsi="IRNazanin" w:eastAsia="IRNazanin"/>
          <w:color w:val="111111"/>
          <w:sz w:val="28"/>
          <w:sz w:val="28"/>
          <w:szCs w:val="28"/>
          <w:rtl w:val="true"/>
          <w:lang w:bidi="fa-IR"/>
        </w:rPr>
        <w:t>، فلا نطیل بالتعرّض لما ذکره قدس سره</w:t>
      </w:r>
      <w:r>
        <w:rPr>
          <w:rFonts w:eastAsia="IRNazanin" w:cs="IRNazanin"/>
          <w:color w:val="111111"/>
          <w:sz w:val="28"/>
          <w:szCs w:val="28"/>
          <w:rtl w:val="true"/>
          <w:lang w:bidi="fa-IR"/>
        </w:rPr>
        <w:t>.</w:t>
      </w:r>
    </w:p>
    <w:p>
      <w:pPr>
        <w:pStyle w:val="Heading5"/>
        <w:numPr>
          <w:ilvl w:val="4"/>
          <w:numId w:val="1"/>
        </w:numPr>
        <w:rPr/>
      </w:pPr>
      <w:bookmarkStart w:id="44" w:name="__RefHeading___Toc5145635_73709187"/>
      <w:bookmarkStart w:id="45" w:name="_Toc17"/>
      <w:bookmarkEnd w:id="44"/>
      <w:r>
        <w:rPr>
          <w:rtl w:val="true"/>
        </w:rPr>
        <w:t>تقسیم المقدّمة إلی المتقدّمة و المقارنة و المتأخّرة</w:t>
      </w:r>
      <w:bookmarkEnd w:id="45"/>
    </w:p>
    <w:p>
      <w:pPr>
        <w:pStyle w:val="BookText"/>
        <w:rPr/>
      </w:pPr>
      <w:r>
        <w:rPr>
          <w:rFonts w:ascii="IRNazanin" w:hAnsi="IRNazanin" w:eastAsia="IRNazanin"/>
          <w:color w:val="111111"/>
          <w:sz w:val="28"/>
          <w:sz w:val="28"/>
          <w:szCs w:val="28"/>
          <w:rtl w:val="true"/>
          <w:lang w:bidi="fa-IR"/>
        </w:rPr>
        <w:t>و من تقسیمات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تقسیمها إلی المقدّمة المتقدّمة و المقارنة و المتأخّرة بحسب الوجود بالنسبة إلی ذی المقدّمة</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اشکل فی الأوّل و الأخیر بأنّه لا ریب فی أنّ المقدّمة من أجزاء العلّة التامّة، و لا بدّ من تقدّمها بجمیع أجزائها علی المعلول، فلا یعقل تقدّم المقدّمة و تأخّره</w:t>
      </w:r>
      <w:r>
        <w:rPr>
          <w:rStyle w:val="FootnoteAnchor"/>
          <w:rtl w:val="true"/>
        </w:rPr>
        <w:footnoteReference w:id="11"/>
      </w:r>
      <w:r>
        <w:rPr>
          <w:rFonts w:ascii="IRNazanin" w:hAnsi="IRNazanin" w:eastAsia="IRNazanin"/>
          <w:color w:val="111111"/>
          <w:sz w:val="28"/>
          <w:sz w:val="28"/>
          <w:szCs w:val="28"/>
          <w:rtl w:val="true"/>
          <w:lang w:bidi="fa-IR"/>
        </w:rPr>
        <w:t>، و مع ذلک فقد ورد فی الشرع ما بظاهره مخالف لهذه القضیّة العقلیّة الدالّة علی امتناع تأخّر العلّة عن معلولها، و کذلک تقدّمها زماناً، و ذلک کالإجازة فی عقد الفضولی بناءً علی الکشف الحقیقی، و الأغسال اللیلیة المعتبرة فی</w:t>
      </w:r>
      <w:bookmarkStart w:id="46" w:name="pg11586_104613"/>
    </w:p>
    <w:p>
      <w:pPr>
        <w:pStyle w:val="BookText"/>
        <w:rPr/>
      </w:pPr>
      <w:bookmarkEnd w:id="46"/>
      <w:r>
        <w:rPr>
          <w:rFonts w:ascii="IRNazanin" w:hAnsi="IRNazanin" w:eastAsia="IRNazanin"/>
          <w:color w:val="111111"/>
          <w:sz w:val="28"/>
          <w:sz w:val="28"/>
          <w:szCs w:val="28"/>
          <w:rtl w:val="true"/>
          <w:lang w:bidi="fa-IR"/>
        </w:rPr>
        <w:t>صحّة صوم المستحاضة، و العقد فی الوصیة و نظائرها، بل کلّ عقد من حیث إنّ أجزاءه توجد متدرّجةً، فعند تمامیته انعدمت أجزاؤه المتقدّمة و غیرها من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الموارد التی تکون بظاهرها مخالفاً للقاعدة العقلیة لا یخلو إمّا أن یکون شرطاً للتکلیف أو للوضع أو للمکلّف به</w:t>
      </w:r>
      <w:r>
        <w:rPr>
          <w:rFonts w:eastAsia="IRNazanin" w:cs="IRNazanin"/>
          <w:color w:val="111111"/>
          <w:sz w:val="28"/>
          <w:szCs w:val="28"/>
          <w:rtl w:val="true"/>
          <w:lang w:bidi="fa-IR"/>
        </w:rPr>
        <w:t>.</w:t>
      </w:r>
    </w:p>
    <w:p>
      <w:pPr>
        <w:pStyle w:val="Heading5"/>
        <w:numPr>
          <w:ilvl w:val="4"/>
          <w:numId w:val="1"/>
        </w:numPr>
        <w:rPr/>
      </w:pPr>
      <w:bookmarkStart w:id="47" w:name="__RefHeading___Toc5145637_73709187"/>
      <w:bookmarkStart w:id="48" w:name="_Toc18"/>
      <w:bookmarkEnd w:id="47"/>
      <w:r>
        <w:rPr>
          <w:rtl w:val="true"/>
        </w:rPr>
        <w:t>ما أفاده المحقّق العراقی قدس سره فی المقام</w:t>
      </w:r>
      <w:bookmarkEnd w:id="48"/>
    </w:p>
    <w:p>
      <w:pPr>
        <w:pStyle w:val="BookText"/>
        <w:rPr/>
      </w:pPr>
      <w:r>
        <w:rPr>
          <w:rFonts w:ascii="Amiri" w:hAnsi="Amiri" w:eastAsia="Amiri" w:cs="Amiri"/>
          <w:color w:val="111111"/>
          <w:sz w:val="28"/>
          <w:sz w:val="28"/>
          <w:szCs w:val="28"/>
          <w:rtl w:val="true"/>
          <w:lang w:bidi="ar-SA"/>
        </w:rPr>
        <w:t>و من المحقّقین من المعاصرین مَنْ جوّز وقوعه فی التکوینیّات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استدلّ علی الجواز فی الجمیع بما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شبهة فی أنّ المقتضی لتحقّق المعلول حصّة خاصّة من طبیعی المقتضی، لا أنّ نوعه و طبیعته یقتضی ذلک و یؤثّر فیه</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النار تقتضی و تؤثّر فی وجود الإحراق لکن لیس المؤثّر فی تحقّق الإحراق هی طبیعة النار و نوعها، بل المؤثّر حصّة خاصّة من طبیعتها، و هی النار التی تماسّ الجسم المستعدّ بالیبوسة لقبول الاحتراق، و أمّا الحصّة التی لا تتحصّص بخصوصیة المماسّة و القرب من الجسم المستعدّ للاحتراق، فهی لا تعقل أن تؤثّر الأثر المترتّب علی الحصّة الاُولی، و تلک الخصوصیة التی بها تحصّصت الحصّة المقتضیة للمعلول لا بدّ لها من محصّل فی الخارج، و ما به تحصل تلک الخصوصیة یسمّی شرطاً، و هذه الخصوصیة عبارة عن إضافة قائمة بتلک الحصّة المقتضیة حاصلة من إضافة الحصّة المزبورة إلی شیء ما، و ذلک الشیء المضاف إلیه هو الشرط، فالمؤثّر فی المعلول إنّما هو نفس تلک الحصّة، و الشرط محصّل لخصوصیتها، و هو طرف الإضافة المزبورة، و ما یکون</w:t>
      </w:r>
    </w:p>
    <w:p>
      <w:pPr>
        <w:pStyle w:val="BookText"/>
        <w:rPr/>
      </w:pPr>
      <w:r>
        <w:rPr>
          <w:rFonts w:ascii="IRNazanin" w:hAnsi="IRNazanin" w:eastAsia="IRNazanin"/>
          <w:color w:val="111111"/>
          <w:sz w:val="28"/>
          <w:sz w:val="28"/>
          <w:szCs w:val="28"/>
          <w:rtl w:val="true"/>
          <w:lang w:bidi="fa-IR"/>
        </w:rPr>
        <w:t>شأنه کذلک جاز أن یتقدّم علی ما یضاف إلیه أو یقترن به أو یتأخّر عنه</w:t>
      </w:r>
      <w:r>
        <w:rPr>
          <w:rStyle w:val="FootnoteAnchor"/>
          <w:rtl w:val="true"/>
        </w:rPr>
        <w:footnoteReference w:id="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خلاصة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یخفی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تسلیم جمیع ما ذکره من أنّ المؤثّر هی الحصّة من معنی أو الشرط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الإضافة من الاُمور القائمة بالطرفین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المضاف و المضاف إلیه، فالمضاف فیما نحن فیه وصف للحصّة المؤثّرة فی المعلول، و المضاف إلیه وصف لما عبّر عنه بالشرط، و حینئذٍ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أنّ ثبوت شیء لشیء فرع ثبوت المثبت له فی ظرف الاتّصاف، و لهذه القاعدة الفرعیة قد ثبت أنّ القضایا یتوقّف صدقها و مطابقتها مع الواقع علی ثبوت موضوعاتها ما عدا القضیّة السالبة المحصّلة؛ فإنّه لا یشترط فی صدقها وجود الموضوع، و أمّا غیرها من القضایا سواء کانت سالبةً معدولة أو موجبةً محصّلة أو سالبة المحمول فهی مشروطة بوجود الموضوع ضرورة، و حینئذٍ فالإضافة إلی الشرط إن کانت محقّقةً بالفعل، فلازمه اتّصاف أحد الطرفین بأنّه مضاف و الآخر بأنّه مضاف إلیه، و لا یعقل أن یصیر المعدوم متّصفاً بأنّه مضاف إلیه؛ لما عرفت من القاعدة الفرعیة، و إن لم تکن الإضافة ثابتةً فعلاً، فتأثیر الحصّة فی المعلول غیر معقول، کما اعترف به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یظهر الجواب عمّا 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الشرط هو التقدّم أو التأخّر أو التعقّب و نظائرها، و ذلک لأنّ صدق عنوان التقدّم لا یعقل إلاّ مع صدق عنوان التأخّر للمتأخّر، و مع کونه معدوماً فعلاً یستحیل اتّصافه بعنوان التأخّر، کما هو واضح</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فانقدح من جمیع ما ذکرنا أنّ التوجیه بما ذکر لیس إلاّ کرّاً علی ما فرّ منه</w:t>
      </w:r>
    </w:p>
    <w:p>
      <w:pPr>
        <w:pStyle w:val="BookText"/>
        <w:rPr/>
      </w:pPr>
      <w:r>
        <w:rPr>
          <w:rFonts w:ascii="IRNazanin" w:hAnsi="IRNazanin" w:eastAsia="IRNazanin"/>
          <w:color w:val="111111"/>
          <w:sz w:val="28"/>
          <w:sz w:val="28"/>
          <w:szCs w:val="28"/>
          <w:rtl w:val="true"/>
          <w:lang w:bidi="fa-IR"/>
        </w:rPr>
        <w:t>من مخالفة القاعدة العقلیة،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شرائط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یخفی أنّ الشرط فیه مقارن للتکلیف؛ لأنّ شرطه لیس هی القدرة الواقعیة فی زمان الامتثال حتی یقال بأنّه کیف یمکن أن یؤثّر الأمر المتأخّر المعدوم فعلاً فی الأمر الموجود کذلک، بل الشرط هو تشخیص کون المکلّف قادراً فی ظرف الامتثال و التشخیص مقارن لصدور التکلیف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شرائط الوضع و المکلّف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فالمؤثّر لیس هو الأمر المتأخّر فی الوجود الخارجی حتّی یلزم تأثیر المعدوم فی الموجود الممتنع بالبدیهة، بل المؤثّر هو الأمر المتقدّم لا بوصف التقدّم بل بنفسه المتقدّم بالذات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الواضح تقدّم أجزاء الزمان بعضها علی بعض بالذات بمعنی أنّ الزمان الماضی مثلاً متقدّم بالطبع علی الزمان المستقبل و لو لم یکن عنوان التقدّم و التأخّر موجوداً فی البین أصلاً، نعم اتّصاف الزمان الماضی بوصف التقدّم فی مرتبة اتّصاف الزمان المستقبل بعنوان التأخّر المستلزم لوجوده؛ للقاعدة الفرعیة المسلّمة عند العقول بلا تقدّم و تأخّر بین الاتّصافین أصلاً؛ لأنّ المفروض کونهما متضایفین، و من شأنهما تحقّق الطرفین معاً من دون ترتّب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 الزمان الزمانیات الواقعة فی أجزاء الزمان؛ فإنّ قیام زید المتحقّق فی الأمس متقدّم ذاتاً لکن بعرض و تبع الزمان علی مجیء عمرو الذی سیوجد غداً و إن کان اتّصافه بعنوان المتقدّم لا یصحّ إلاّ مقارناً لاتّصاف مجیء عمرو بعنوان المتأخّر، و من المعلوم توقّفه علی تحقّقه؛ لتلک القاعدة</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منافاة بین کون شیء متقدّماً علی شیء آخر بالذات و مع ذلک فلا یصدق علیه عنوان المتقدّم؛ لکونه من الاُمور الإضافیة المتوقّفة علی تحقّق الطرفین، و هذا کالعلّة و المعلول، فإنّه لا إشکال فی تقدّمها علیه؛ لکونه</w:t>
      </w:r>
    </w:p>
    <w:p>
      <w:pPr>
        <w:pStyle w:val="BookText"/>
        <w:rPr/>
      </w:pPr>
      <w:r>
        <w:rPr>
          <w:rFonts w:ascii="IRNazanin" w:hAnsi="IRNazanin" w:eastAsia="IRNazanin"/>
          <w:color w:val="111111"/>
          <w:sz w:val="28"/>
          <w:sz w:val="28"/>
          <w:szCs w:val="28"/>
          <w:rtl w:val="true"/>
          <w:lang w:bidi="fa-IR"/>
        </w:rPr>
        <w:t>صادراً عنها و ناشئاً و مترشّحاً منها، و مع ذلک فاتّصافها بوصف التقدّم فی مرتبة اتّصافه بوصف التأخّر من دون تقدّم و تأخّر بینهما أصلاً، کما هو واضح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 المتقابلین فإنّهم و إن جعلوا التقابل مقسماً للمتناقضین و المتضادّین و المتضایفین و غیرها</w:t>
      </w:r>
      <w:r>
        <w:rPr>
          <w:rStyle w:val="FootnoteAnchor"/>
          <w:rtl w:val="true"/>
        </w:rPr>
        <w:footnoteReference w:id="13"/>
      </w:r>
      <w:r>
        <w:rPr>
          <w:rFonts w:ascii="IRNazanin" w:hAnsi="IRNazanin" w:eastAsia="IRNazanin"/>
          <w:color w:val="111111"/>
          <w:sz w:val="28"/>
          <w:sz w:val="28"/>
          <w:szCs w:val="28"/>
          <w:rtl w:val="true"/>
          <w:lang w:bidi="fa-IR"/>
        </w:rPr>
        <w:t xml:space="preserve">إلاّ أنّ عنوان المقسم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التقابل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أفراد أحد الأقسام، و هو التضایف، فإنّ المقابلة و التقابل من الاُمور الإضافیة المتوقّفة علی تحقّق أطراف الإضافة، و هکذا عنوان التضادّ؛ فإنّه و إن جُعل قسیماً للتضایف إلاّ أنّ هذا العنوان من أفراد قسیمه، أی التضایف، فالتضادّ بین الشیئین القسیم له إنّما هو عبارة عن امتناع اجتماعهما بالذات، کما أنّ التقابل المجعول مقسماً إنّما هو حقیقته مع قطع النظر عن الاتّصاف بهذا الوصف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فاعلم أنّ الموضوع للحکم بالصحّة فی العقد الفضولی إنّما هو العقد المتقدّم بحسب الذات علی الإجازة من المالک، و هذا إمّا أن یکون متحقّقاً بحسب الواقع و نفس الأمر حین العقد فیما کان ملحوقاً بالإجازة، و إمّا أن لا یکون کذلک، و هو فی غیر صورة الإجازة، فالعقد الواقع إمّا أن یکون صحیحاً مترتّباً علیه الأثر من حین وقوعه، و هو فیما إذا وجد مع شرطه، و إمّا أن لا یکون کذلک، و هو فیما إذا فقد شرطه؛ لعدم تحقّق الإجازة فیما بعد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 یقال فی صوم المستحاضة؛ فإنّ صحّته متوقّفة علی تقدّمه بحسب الذات و لو عرضاً تبعاً للزمان علی الأغسال اللیلیة فإمّا أن یکون الموقوف علیه موجوداً حینه، فیصحّ من حین وقوعه، و إمّا أن لا یکون، فیبطل کذلک، ففی جمیع الموارد یکون الشرط مقارناً، فیرتفع الإشکال بمخالفتها للقاعدة العقلیة، کما عرفت</w:t>
      </w:r>
      <w:r>
        <w:rPr>
          <w:rFonts w:eastAsia="IRNazanin" w:cs="IRNazanin"/>
          <w:color w:val="111111"/>
          <w:sz w:val="28"/>
          <w:szCs w:val="28"/>
          <w:rtl w:val="true"/>
          <w:lang w:bidi="fa-IR"/>
        </w:rPr>
        <w:t>.</w:t>
      </w:r>
      <w:bookmarkStart w:id="49" w:name="pg11586_104617"/>
    </w:p>
    <w:p>
      <w:pPr>
        <w:pStyle w:val="BookText"/>
        <w:rPr/>
      </w:pPr>
      <w:bookmarkEnd w:id="49"/>
      <w:r>
        <w:rPr>
          <w:rFonts w:ascii="IRNazanin" w:hAnsi="IRNazanin" w:eastAsia="IRNazanin"/>
          <w:color w:val="111111"/>
          <w:sz w:val="28"/>
          <w:sz w:val="28"/>
          <w:szCs w:val="28"/>
          <w:rtl w:val="true"/>
          <w:lang w:bidi="fa-IR"/>
        </w:rPr>
        <w:t>هذا کلّه لو قلنا بأنّ الحکم فی الشرعیات نظیر العقلیات من باب التأثیر و التأثّر، و أمّا لو قلنا بخلافه فالمقام بعید عن الإشکال بمراحل، کما لا یخفی</w:t>
      </w:r>
      <w:r>
        <w:rPr>
          <w:rFonts w:eastAsia="IRNazanin" w:cs="IRNazanin"/>
          <w:color w:val="111111"/>
          <w:sz w:val="28"/>
          <w:szCs w:val="28"/>
          <w:rtl w:val="true"/>
          <w:lang w:bidi="fa-IR"/>
        </w:rPr>
        <w:t>.</w:t>
      </w:r>
    </w:p>
    <w:p>
      <w:pPr>
        <w:pStyle w:val="Heading5"/>
        <w:numPr>
          <w:ilvl w:val="4"/>
          <w:numId w:val="1"/>
        </w:numPr>
        <w:rPr/>
      </w:pPr>
      <w:bookmarkStart w:id="50" w:name="__RefHeading___Toc5145639_73709187"/>
      <w:bookmarkStart w:id="51" w:name="_Toc19"/>
      <w:bookmarkEnd w:id="50"/>
      <w:r>
        <w:rPr>
          <w:rtl w:val="true"/>
        </w:rPr>
        <w:t>کلام المحقّق النائینی قدس سره فی تحریر محلّ النزاع</w:t>
      </w:r>
      <w:bookmarkEnd w:id="51"/>
    </w:p>
    <w:p>
      <w:pPr>
        <w:pStyle w:val="BookText"/>
        <w:rPr/>
      </w:pPr>
      <w:r>
        <w:rPr>
          <w:rFonts w:ascii="IRNazanin" w:hAnsi="IRNazanin" w:eastAsia="IRNazanin"/>
          <w:color w:val="111111"/>
          <w:sz w:val="28"/>
          <w:sz w:val="28"/>
          <w:szCs w:val="28"/>
          <w:rtl w:val="true"/>
          <w:lang w:bidi="fa-IR"/>
        </w:rPr>
        <w:t>ثمّ إنّ لبعض الأعاظم من المتأخّرین کلاماً فی المقام فی تحریر محلّ النزاع و بیان ما ذهب إلیه لا بأس بذکره و التعرّض له علی نحو الإجمال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 فی تحریر محلّ النزاع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شرط متعلّق التکلیف خارج عن حریم النزاع؛ لأنّ حال الشرط حال الجزء فی توقّف الامتثال علیه، فکما أنّه لا إشکال فیما إذا کان بعض أجزاء المرکّب متأخّراً عن الآخر فی الوجود و منفصلاً عنه فی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إذا أمر بمرکّب بعض أجزائه فی أوّل النهار و البعض الآخر فی آخر النهار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لا ینبغی الإشکال فیما إذا کان شرط الواجب متأخّراً فی الوجود؛ لأنّ ما یلزم علی تقدیر کون الشرط متأخّراً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لزوم المناقضة و تقدّم المعلول علی علّته و تأثیر المعدوم فی الموجود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یجری فی شرط متعلّق التکلیف، فأیّ محذور یلزم إذا کان غسل اللیل المستقبل شرطاً فی صحّة صوم المستحاضة؟ فإنّ حقیقة الاشتراط یرجع إلی أنّ الإضافة الحاصلة بین الصوم و الغسل شرط فی صحّة الصوم بحیث لا یکون الصوم صحیحاً إلاّ بحصول هذه الإضافة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غسل اللیل الآتی موجب لرفع حدث الاستحاضة عن الزمان الماضی، کان الإشکال فی الشرط المتأخّر جاریاً فیه، و لکنّه خارج عن مقتضی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فتسریة إشکال الشرط المتأخّر إلی قیود متعلّق التکلیف ممّا لا وجه له</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إشکال فی خروج العلل الغائیة من حریم النزاع؛ فإنّها غالباً</w:t>
      </w:r>
    </w:p>
    <w:p>
      <w:pPr>
        <w:pStyle w:val="BookText"/>
        <w:rPr/>
      </w:pPr>
      <w:r>
        <w:rPr>
          <w:rFonts w:ascii="IRNazanin" w:hAnsi="IRNazanin" w:eastAsia="IRNazanin"/>
          <w:color w:val="111111"/>
          <w:sz w:val="28"/>
          <w:sz w:val="28"/>
          <w:szCs w:val="28"/>
          <w:rtl w:val="true"/>
          <w:lang w:bidi="fa-IR"/>
        </w:rPr>
        <w:t>متأخّرة فی الوجود عمّا تترتّب علیه، و لیست هی بوجودها العینی علّةً للإرادة و حرکة العضلات حتّی یلزم تأثیر المعدوم فی الموجود، بل المؤثّر و المحرّک هو وجوده العلمی، و کذا الحال فی علل التشریع؛ فإنّه لا فرق بینها و بین العلل الغائیة إلاّ فی مجرّد التعبیر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المراد من الشرط المتأخّر المبحوث عنه فی المقام باب الإضافات و العناوین الانتزاعیة، کالتقدّم و التأخّر و السبق و اللّحوق و غیر ذلک من الإضافات و الاُمور الانتزاعیة، فإنّ ذلک کلّه ممّا لا إشکال فیه؛ لعدم لزوم محذور الشرط المتأخّر بالنسبة إلیها، و ذلک لأنّ عنوان التقدّم ینتزع من ذات المتقدّم عند تأخّر شیء، و لا یتوقّف علی وجود المتأخّر فی موطنه، بل فی بعض المقامات لا یمکن ذلک، کتقدّم بعض أجزاء الزمان علی البعض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إشکال فی خروج العلل العقلیة عن حریم النزاع؛ فإنّ امتناع الشرط المتأخّر فیها أوضح من أن یحتاج إلی بیان بعد تصوّر معنی العلّیّة الراجعة إلی إعطاء العلّة و إفاضتها وجود المعلول، و معنی المعلولیة الراجعة إلی ترشّحه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عرفت هذه الاُمور، ظهر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محلّ النزاع فی الشرط المتأخّر إنّما هو فی الشرعیات فی خصوص شروط الوضع و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الکلام إنّما هو فی موضوعات الأحکام وضعیةً کانت أو تکلیفیةً، فقیود متعلّق التکلیف و العلل الغائیة و الاُمور الانتزاعیة و العلل العقلیة خارجة عن حریم النزاع</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ذکر بعد ذلک أنّ امتناع الشرط المتأخّر فی موضوعات الأحکام یتوقّف علی بیان المراد من الموضوع، و هو یتوقّف علی بیان الفرق بین القضایا الحقیقیّة و القضایا الخارجیة، و أنّ المجعولات الشرعیة إنّما تکون علی نهج القضایا</w:t>
      </w:r>
    </w:p>
    <w:p>
      <w:pPr>
        <w:pStyle w:val="BookText"/>
        <w:rPr/>
      </w:pPr>
      <w:r>
        <w:rPr>
          <w:rFonts w:ascii="IRNazanin" w:hAnsi="IRNazanin" w:eastAsia="IRNazanin"/>
          <w:color w:val="111111"/>
          <w:sz w:val="28"/>
          <w:sz w:val="28"/>
          <w:szCs w:val="28"/>
          <w:rtl w:val="true"/>
          <w:lang w:bidi="fa-IR"/>
        </w:rPr>
        <w:t>الحقیقیّة لا القضایا الخارجیّة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فی بیان الفرق بینهما ما 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القضایا الخارجیة عبارة عن قضایا جزئیة شخصیة خارجیة، کقوله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یا عمرو، و صُمْ یا زید، من القضایا التی تکون موضوعاتها آحاد الناس، و هذا بخلاف القضایا الحقیقیّة؛ فإنّ الملحوظ فی موضوعاتها عنوان کلّیّ من غیر أن یکون للآمر نظر إلی زید، و عمرو، و بکر أصلاً، بل لو کان واحد منهم منطبقاً لعنوان الموضوع، فالحکم یرتّب علیه قهراً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یحتاج فی إثبات الحکم لموضوع خاص إلی تألیف قیاس، و یجعل هذا الموضوع الخاصّ صغری له، و تلک القضیة کبری، و هذا بخلاف القضایا الخارجیة؛ فإنّ المحمول فیها ثابت لموضوعها ابتداءً من دون توسّط 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بینهما من وجوه شتّی، و المهمّ منه فی المقام هو أنّ العلم إنّما یکون له دخل فی القضیّة الخارجیة دون الحقیقیة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زید عالماً و کان الحکم مترتّباً علی عنوان العالم، فالحکم یترتّب علی زید قهراً، سواء کان الآمر عالماً بکون زید عالماً أو جاهلاً، و هذا بخلاف القضیة الخارجیة؛ فإنّ علم الآمر بکون زید عالماً یوجب الأمر بإکرامه، سواء کان فی الواقع عالماً أو جاهلاً، و هذا بمکان من الوضوح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بعد ذلک أنّه من الواضح أنّ المجعولات الشرعیة إنّما هی علی نهج القضایا الحقیقیة دون الخارجیة</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یظهر المراد من موضوعات الأحکام، و أنّها عبارة عن العناوین الکلیة الملحوظة مرآة لمصادیقها المقدّر وجودها فی ترتّب المحمولات علیها، و یکون نسبة ذلک الموضوع إلی المحمول نسبة العلّة إلی معلولها و إن لم یکن من ذلک الباب حقیقةً، بناءً علی المختار من عدم جعل السببیة إلاّ أنّه یکون نظیر</w:t>
      </w:r>
      <w:bookmarkStart w:id="52" w:name="pg11586_104620"/>
    </w:p>
    <w:p>
      <w:pPr>
        <w:pStyle w:val="BookText"/>
        <w:rPr/>
      </w:pPr>
      <w:bookmarkEnd w:id="52"/>
      <w:r>
        <w:rPr>
          <w:rFonts w:ascii="IRNazanin" w:hAnsi="IRNazanin" w:eastAsia="IRNazanin"/>
          <w:color w:val="111111"/>
          <w:sz w:val="28"/>
          <w:sz w:val="28"/>
          <w:szCs w:val="28"/>
          <w:rtl w:val="true"/>
          <w:lang w:bidi="fa-IR"/>
        </w:rPr>
        <w:t>ذلک من حیث التوقّف و الترتّب، فحقیقة النزاع فی الشرط المتأخّر یرجع إلی تأخّر بعض ما فُرض دخیلاً فی الموضوع علی جهة الجزئیة أو الشرطیة من الحکم التکلیفی أو الوضعی بأن یتقدّم الحکم علی بعض أجزاء موضوعه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اعترض بعد ذلک علی الکفایة و الفوائد بکلام طویل لا مجال لذکره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بعد ذلک أنّه ممّا ذکرنا یظهر أنّ امتناع الشرط المتأخّر من القضایا التی قیاساتها معها من غیر فرق بین أن نقول بجعل السببیة أو لا نقول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بناء 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بناء 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الموضوع و إن لم یکن علّةً للحکم إلاّ أنّه ملحق بها من حیث تقدّمه علی الحکم و ترتّبه علیه، فلا یعقل تقدّم الحکم علیه بعد فرض أخذه موضوعاً؛ للزوم الخلف و أنّ ما فرض موضوعاً لم یکن موضوعاً</w:t>
      </w:r>
      <w:r>
        <w:rPr>
          <w:rStyle w:val="FootnoteAnchor"/>
          <w:rtl w:val="true"/>
        </w:rPr>
        <w:footnoteReference w:id="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موضع الحاجة من کلامه</w:t>
      </w:r>
      <w:r>
        <w:rPr>
          <w:rFonts w:eastAsia="IRNazanin" w:cs="IRNazanin"/>
          <w:color w:val="111111"/>
          <w:sz w:val="28"/>
          <w:szCs w:val="28"/>
          <w:rtl w:val="true"/>
          <w:lang w:bidi="fa-IR"/>
        </w:rPr>
        <w:t>.</w:t>
      </w:r>
    </w:p>
    <w:p>
      <w:pPr>
        <w:pStyle w:val="Heading5"/>
        <w:numPr>
          <w:ilvl w:val="4"/>
          <w:numId w:val="1"/>
        </w:numPr>
        <w:rPr/>
      </w:pPr>
      <w:bookmarkStart w:id="53" w:name="__RefHeading___Toc5145641_73709187"/>
      <w:bookmarkStart w:id="54" w:name="_Toc20"/>
      <w:bookmarkEnd w:id="53"/>
      <w:r>
        <w:rPr>
          <w:rtl w:val="true"/>
        </w:rPr>
        <w:t>الجواب عن مختار المحقّق النائینی قدس سره</w:t>
      </w:r>
      <w:bookmarkEnd w:id="54"/>
    </w:p>
    <w:p>
      <w:pPr>
        <w:pStyle w:val="BookText"/>
        <w:rPr/>
      </w:pPr>
      <w:r>
        <w:rPr>
          <w:rFonts w:ascii="IRNazanin" w:hAnsi="IRNazanin" w:eastAsia="IRNazanin"/>
          <w:color w:val="111111"/>
          <w:sz w:val="28"/>
          <w:sz w:val="28"/>
          <w:szCs w:val="28"/>
          <w:rtl w:val="true"/>
          <w:lang w:bidi="fa-IR"/>
        </w:rPr>
        <w:t>و لا یخفی أنّ فی کلامه وجوهاً من النظر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ذکره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شرائط متعلّق التکلیف خارجة عن حریم النزاع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 من ذلک، و تشبیهها بالأجزاء لا یجدی؛ لأنّ النزاع یجری فیها أیضاً؛ فإنّه إذا فرض أنّ صحّة الجزء الأوّل متوقّفة علی الإتیان بالجزء الأخیر الذی سیوجد بعداً، یلزم محذور الشرط المتأخّر بلا فرق بینهما أصلاً، کما لا یخفی</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مجرّد إرجاع الشرطیة إلی الإضافة الحاصلة بین المشروط و الشرط</w:t>
      </w:r>
    </w:p>
    <w:p>
      <w:pPr>
        <w:pStyle w:val="BookText"/>
        <w:rPr/>
      </w:pPr>
      <w:r>
        <w:rPr>
          <w:rFonts w:ascii="IRNazanin" w:hAnsi="IRNazanin" w:eastAsia="IRNazanin"/>
          <w:color w:val="111111"/>
          <w:sz w:val="28"/>
          <w:sz w:val="28"/>
          <w:szCs w:val="28"/>
          <w:rtl w:val="true"/>
          <w:lang w:bidi="fa-IR"/>
        </w:rPr>
        <w:t>لا یفید بعد ما عرفت منّا فی الجواب عن المحقّق العراقی قدس سره من أنّ الإضافة من الاُمور الإضافیة التی من شأنها تحقّق أطرافها بالفعل، و مع انتفاء بعضها لا یعقل تحقّقها، کما هو واضح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ذکره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النزاع لیس فی الاُمور الاعتباریة الانتزاعیة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یقل أحد بأنّ النزاع فی هذه الاُمور، و إنّما ذکرها بعض فی مقام التخلّص عن الإشکال</w:t>
      </w:r>
      <w:r>
        <w:rPr>
          <w:rStyle w:val="FootnoteAnchor"/>
          <w:rtl w:val="true"/>
        </w:rPr>
        <w:footnoteReference w:id="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سابقاً أنّه لا یمکن الجواب به؛ لأنّ صدق هذه العناوین متوقّف علی تحقّق الأطراف، و قد ذکرنا ذلک بما لا مزید علیه، فلا نطیل بالإعادة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ذکره من الفرق بین القضایا الحقیقیة و الخارجیة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العلم لا دخل له فی الاُولی دون الثانیة</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 من مدخلیة العلم فی جمیع القضایا الخارجیة، أ لا تری أنّه لو أنفذ المولی عقداً فضولیّاً خاصّاً، فهل یرضی أحد بکون المؤثّر هو علم المولی بتحقّق الإجازة فیما بعد دون نفس الإجازة من المالک؟ و هل هو إلاّ القول بعدم مدخلیة رضی المالک فی انتقال ملکه إلی شخص آخر؟ و الضرورة قاضیة بخلافه، کما أنّ ما ذکره من أنّه لو کانت القضیة بنحو القضایا الحقیقیة کما هو کذلک فی المجعولات الشرعیة یکون الامتناع ضروریاً غیر محتاج إلی إقامة برهان، لا یتمّ بناءً علی ما ذکرنا فی مقام الجواب من أنّ الموضوع فی تلک القضایا التی توهّم انخرام القاعدة العقلیة بها هو ذات الموضوع المتقدّم بحسب الحقیقة لا مع اتّصافه بعنوان التقدّم المستلزم لاتّصاف الآخر بعنوان التأخّر المستلزم لوجوده فی الخارج للقاعدة الفرعیة، کما هو واضح</w:t>
      </w:r>
      <w:r>
        <w:rPr>
          <w:rFonts w:eastAsia="IRNazanin" w:cs="IRNazanin"/>
          <w:color w:val="111111"/>
          <w:sz w:val="28"/>
          <w:szCs w:val="28"/>
          <w:rtl w:val="true"/>
          <w:lang w:bidi="fa-IR"/>
        </w:rPr>
        <w:t>.</w:t>
      </w:r>
      <w:bookmarkStart w:id="55" w:name="pg11586_104622"/>
    </w:p>
    <w:p>
      <w:pPr>
        <w:pStyle w:val="Heading4"/>
        <w:numPr>
          <w:ilvl w:val="3"/>
          <w:numId w:val="1"/>
        </w:numPr>
        <w:rPr/>
      </w:pPr>
      <w:bookmarkStart w:id="56" w:name="__RefHeading___Toc5145643_73709187"/>
      <w:bookmarkStart w:id="57" w:name="_Toc21"/>
      <w:bookmarkEnd w:id="55"/>
      <w:bookmarkEnd w:id="56"/>
      <w:r>
        <w:rPr>
          <w:rtl w:val="true"/>
        </w:rPr>
        <w:t>الأمر الرابع فی الواجب المطلق و المشروط‌</w:t>
      </w:r>
      <w:bookmarkEnd w:id="57"/>
    </w:p>
    <w:p>
      <w:pPr>
        <w:pStyle w:val="Heading5"/>
        <w:numPr>
          <w:ilvl w:val="4"/>
          <w:numId w:val="1"/>
        </w:numPr>
        <w:rPr/>
      </w:pPr>
      <w:bookmarkStart w:id="58" w:name="__RefHeading___Toc5145645_73709187"/>
      <w:bookmarkStart w:id="59" w:name="_Toc22"/>
      <w:bookmarkEnd w:id="58"/>
      <w:r>
        <w:rPr>
          <w:rtl w:val="true"/>
        </w:rPr>
        <w:t>اشارة</w:t>
      </w:r>
      <w:bookmarkEnd w:id="59"/>
    </w:p>
    <w:p>
      <w:pPr>
        <w:pStyle w:val="BookText"/>
        <w:rPr/>
      </w:pPr>
      <w:r>
        <w:rPr>
          <w:rFonts w:ascii="IRNazanin" w:hAnsi="IRNazanin" w:eastAsia="IRNazanin"/>
          <w:color w:val="111111"/>
          <w:sz w:val="28"/>
          <w:sz w:val="28"/>
          <w:szCs w:val="28"/>
          <w:rtl w:val="true"/>
          <w:lang w:bidi="fa-IR"/>
        </w:rPr>
        <w:t>ینقسم الواجب ببعض الاعتبارات إلی واجب مطلق و مشروط، و لا یخفی أنّ الإطلاق و الاشتراط وصفان إضافیّان لا حقیقیّان، فالواجب بالنسبة إلی کلّ قید إمّا مشروط أو لا، فالثانی غیر مشروط بالنسبة إلی ذلک القید و لو فرض کونه مشروطاً بالإضافة إلی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ربّما ینسب إلی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التقریرات المنسوبة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الواجب المشروط، و أنّ الشرائط و القیود کلّها راجعة إلی المادّة لا الهیئة؛ لامتناع تقیید الهیئة</w:t>
      </w:r>
      <w:r>
        <w:rPr>
          <w:rStyle w:val="FootnoteAnchor"/>
          <w:rtl w:val="true"/>
        </w:rPr>
        <w:footnoteReference w:id="16"/>
      </w:r>
      <w:r>
        <w:rPr>
          <w:rFonts w:ascii="IRNazanin" w:hAnsi="IRNazanin" w:eastAsia="IRNazanin"/>
          <w:color w:val="111111"/>
          <w:sz w:val="28"/>
          <w:sz w:val="28"/>
          <w:szCs w:val="28"/>
          <w:rtl w:val="true"/>
          <w:lang w:bidi="fa-IR"/>
        </w:rPr>
        <w:t>، کما سیجیء 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بدّ من التکلّم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القیود هل هی راجعة فی الواقع إلی الهیئة أو إلی المادّة؟ أو تکون علی قسمین بعضها إلی الاُولی و بعضها إلی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القیود بحسب اللّفظ هل یرجع إلی المادّة أو الهیئة؟</w:t>
      </w:r>
    </w:p>
    <w:p>
      <w:pPr>
        <w:pStyle w:val="Heading5"/>
        <w:numPr>
          <w:ilvl w:val="4"/>
          <w:numId w:val="1"/>
        </w:numPr>
        <w:rPr/>
      </w:pPr>
      <w:bookmarkStart w:id="60" w:name="__RefHeading___Toc5145647_73709187"/>
      <w:bookmarkStart w:id="61" w:name="_Toc23"/>
      <w:bookmarkEnd w:id="60"/>
      <w:r>
        <w:rPr>
          <w:rtl w:val="true"/>
        </w:rPr>
        <w:t>فی مقام الثبوت و تصویر الواجب المشروط‌</w:t>
      </w:r>
      <w:bookmarkEnd w:id="61"/>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المقام الأوّل،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یتعلّق إرادة الإنسان بشیء من دون التقیید بشیء آخر لتمامیّته فی حصول الغرض الباعث علی تعلّق الإرادة بها، مثل العطشان المرید لرفع عطشه، فإنّه لا یرید إلاّ مجرّد ذلک من غیر نظر إلی أن</w:t>
      </w:r>
    </w:p>
    <w:p>
      <w:pPr>
        <w:pStyle w:val="BookText"/>
        <w:rPr/>
      </w:pPr>
      <w:r>
        <w:rPr>
          <w:rFonts w:ascii="IRNazanin" w:hAnsi="IRNazanin" w:eastAsia="IRNazanin"/>
          <w:color w:val="111111"/>
          <w:sz w:val="28"/>
          <w:sz w:val="28"/>
          <w:szCs w:val="28"/>
          <w:rtl w:val="true"/>
          <w:lang w:bidi="fa-IR"/>
        </w:rPr>
        <w:t>یکون الماء واقعاً فی ظرف کذا أو مع خصوصیة کذا، و لا إشکال فی کون الإرادة المتعلّقة بمراده إرادةً مطلقة، فلو أمر غلامه بسقیه، یکون السقی واجباً مطلقاً من حیث خصوصیّات الماء أو الظرف الواقع فیه و نظائرهما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یتعلّق إرادة الإنسان بشیء مقیّد بأمر کذا بحیث لا یحصل غرضه إلاّ بحصول الشیء مقیّداً، کما إذا أراد السقی بالماء الخاصّ لترتّب الأثر المقصود علیه مع الخصوصیة، فیأمر بالسقی بذلک الماء، و لا إشکال أیضاً فی کون الإرادة المتعلّقة بما یحصل به غرضه إرادةً مطلقة غیر مقیّدة بشیء؛ إذ الإرادة لا تتعلّق إلاّ بما یؤثّر فی حصول غرضه، کیف و من مقدّماته التصدیق بفائدة الشیء المراد، و المفروض أنّ الفائدة مترتّبة علی الشیء المقیّد بوصف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یتعلّق إرادة الإنسان بشیء من دون التقیید بوصف و لکن لا یتمکّن من الأمر به مطلقاً؛ لمانع فیه أو فی المأمور، کما إذا أشرف ولده علی الغرق و الهلاک، فالإرادة المتعلّقة بنجاة ولده إرادة مطلقة غیر مقیّدة بشیء و لکن لا یمکن له الأمر بذلک مطلقاً؛ لأنّه ربّما یکون العبد عاجزاً عن الإتیان بالمأمور به، و ربّما یکون المانع من قِبَل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یتعلّق إرادة الإنسان بشیء علی فرض حصول شیء آخر؛ لأنّ الغرض یترتّب علیه علی ذلک التقدیر، کما إذا أراد ضیافة صدیقه علی فرض مجیئه إلی منزله، فالإرادة المتعلّقة بالضیافة لیست إرادةً مطلقة، بل مقیّدة بحصول ذلک الشیء</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جمیع ما ذکرنا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القیود بحسب الواقع و اللبّ مع قطع النظر عن ظاهر الدلیل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یتعلّق بالمادّة، و هو الذی له دخل فی حصول الغرض المطلوب، کالقسم الثانی من الأقسام المتقدّمة، و قسم یتعلّق بالهیئة التی مفادها البعث و التحریک، کالقسمین الأخیرین</w:t>
      </w:r>
      <w:r>
        <w:rPr>
          <w:rFonts w:eastAsia="IRNazanin" w:cs="IRNazanin"/>
          <w:color w:val="111111"/>
          <w:sz w:val="28"/>
          <w:szCs w:val="28"/>
          <w:rtl w:val="true"/>
          <w:lang w:bidi="fa-IR"/>
        </w:rPr>
        <w:t>.</w:t>
      </w:r>
      <w:bookmarkStart w:id="62" w:name="pg11586_104624"/>
    </w:p>
    <w:p>
      <w:pPr>
        <w:pStyle w:val="Heading5"/>
        <w:numPr>
          <w:ilvl w:val="4"/>
          <w:numId w:val="1"/>
        </w:numPr>
        <w:rPr/>
      </w:pPr>
      <w:bookmarkStart w:id="63" w:name="__RefHeading___Toc5145649_73709187"/>
      <w:bookmarkStart w:id="64" w:name="_Toc24"/>
      <w:bookmarkEnd w:id="62"/>
      <w:bookmarkEnd w:id="63"/>
      <w:r>
        <w:rPr>
          <w:rtl w:val="true"/>
        </w:rPr>
        <w:t>فی مقام الإثبات و إمکان رجوع القید إلی الهیئة</w:t>
      </w:r>
      <w:bookmarkEnd w:id="64"/>
    </w:p>
    <w:p>
      <w:pPr>
        <w:pStyle w:val="BookText"/>
        <w:rPr/>
      </w:pPr>
      <w:r>
        <w:rPr>
          <w:rFonts w:ascii="IRNazanin" w:hAnsi="IRNazanin" w:eastAsia="IRNazanin"/>
          <w:color w:val="111111"/>
          <w:sz w:val="28"/>
          <w:sz w:val="28"/>
          <w:szCs w:val="28"/>
          <w:rtl w:val="true"/>
          <w:lang w:bidi="fa-IR"/>
        </w:rPr>
        <w:t>و أمّا المقام الثانی فقد یقال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بامتناع رجوع القیود إلی الهیئة و إن کان بحسب ظاهر اللّفظ راجعاً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لأنّ الهیئة من المعانی الحرفیة، و هی غیر قابلة للتقیید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لأنّ الوضع فیها علی نحو الوضع العامّ و الموضوع له الخاصّ، و من المعلوم امتناع تقیید الجزئیّات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للزوم التناقض بعد کون المنشأ أوّلاً هو الوجوب مطلقاً، فتقییده بثبوته علی تقدیر و عدم ثبوته علی تقدیر اخری مناقض للمنشإ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لا یخفی ما فی هذه الوجوه من النظر بل 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فیرد علیه أنّ التقیید أمر واقعی، غایة الأمر أنّ المتکلّم لا بدّ له أن یأتی بالألفاظ طبقاً له؛ لوضوح أن کلّ لفظ لا یحکی إلاّ عن معناه الموضوع له، و قد عرفت فی وضع الحروف أنّ القضایا الخبریة أکثرها یرجع إلی الإخبار عن المعانی الحرفیة، فإنّ المعنیّ بقول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إلاّ الإخبار عن انتساب القیام إلیه، و اتّحاد القائم معه، و هذا المعنی لا إشکال فی کونه معنیً حرفیّاً، کما أنّ القیود الواقعة فی الکلام راجعة إلی ذلک المعنی الحرفی، 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ضربت زیداً یوم الجمعة، مثلاً یکون الظرف راجعاً إلی تحقّق الضرب علیه الذی یکون من المعانی الحرفیة</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فالإخبارات و التقییدات أکثرها مرتبطة بالمعانی الحرفیة و راجعة إلیه، و قد عرفت أنّ التقیید أمر واقعی لا ارتباط له باللّفظ حتّی یحتاج تقیید المعانی الحرفیة إلی لحاظها ثانیاً بالاستقلال، فیلزم فی الجملة المشتملة علی تقییدات عدیدة لحاظ تلک المعانی بقدر القیود، بل یکون فی المثال تحقّق</w:t>
      </w:r>
      <w:bookmarkStart w:id="65" w:name="pg11586_104625"/>
    </w:p>
    <w:p>
      <w:pPr>
        <w:pStyle w:val="BookText"/>
        <w:rPr/>
      </w:pPr>
      <w:bookmarkEnd w:id="65"/>
      <w:r>
        <w:rPr>
          <w:rFonts w:ascii="IRNazanin" w:hAnsi="IRNazanin" w:eastAsia="IRNazanin"/>
          <w:color w:val="111111"/>
          <w:sz w:val="28"/>
          <w:sz w:val="28"/>
          <w:szCs w:val="28"/>
          <w:rtl w:val="true"/>
          <w:lang w:bidi="fa-IR"/>
        </w:rPr>
        <w:t>الضرب فی یوم الجمعة واقعاً، و المتکلّم لا بدّ أن یأتی بالألفاظ علی طبق المعانی الواقعیة، لا أن یکون لفظ الضرب المأتی به أوّلاً مطلقاً، فیلاحظ تقییده ثانیاً،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التحقیق فی وضع الحروف و إن کان ما ذکر إلاّ أنّه لا امتناع فی تقیید الجزئی أصلاً باعتبار الحالات و العوارض الطارئة له أ لیس التقیید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زیداً إن جاءک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راجعاً إلی زید الذی هو فرد جزئی بناء علی ما ذکره من رجوع القید إلی المادّة دون الهیئة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فبطلانه أظهر من أن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فانقدح من جمیع ما ذکرنا أوّلاً أنّ القیود بحسب الواقع علی قسمین، و ثانیاً إمکان رجوعها إلی الهیئة، فلا وجه لرفع الید عمّا هو ظاهر القضیّة الشرطیة من توقّف التالی علی المقدّم، کما لا یخفی</w:t>
      </w:r>
      <w:r>
        <w:rPr>
          <w:rFonts w:eastAsia="IRNazanin" w:cs="IRNazanin"/>
          <w:color w:val="111111"/>
          <w:sz w:val="28"/>
          <w:szCs w:val="28"/>
          <w:rtl w:val="true"/>
          <w:lang w:bidi="fa-IR"/>
        </w:rPr>
        <w:t>.</w:t>
      </w:r>
    </w:p>
    <w:p>
      <w:pPr>
        <w:pStyle w:val="Heading5"/>
        <w:numPr>
          <w:ilvl w:val="4"/>
          <w:numId w:val="1"/>
        </w:numPr>
        <w:rPr/>
      </w:pPr>
      <w:bookmarkStart w:id="66" w:name="__RefHeading___Toc5145651_73709187"/>
      <w:bookmarkStart w:id="67" w:name="_Toc25"/>
      <w:bookmarkEnd w:id="66"/>
      <w:r>
        <w:rPr>
          <w:rtl w:val="true"/>
        </w:rPr>
        <w:t>نقل و تحصیل</w:t>
      </w:r>
      <w:r>
        <w:rPr>
          <w:rtl w:val="true"/>
        </w:rPr>
        <w:t xml:space="preserve">: </w:t>
      </w:r>
      <w:r>
        <w:rPr>
          <w:rtl w:val="true"/>
        </w:rPr>
        <w:t>فی ضابط قیود الهیئة و المادة</w:t>
      </w:r>
      <w:bookmarkEnd w:id="67"/>
    </w:p>
    <w:p>
      <w:pPr>
        <w:pStyle w:val="BookText"/>
        <w:rPr/>
      </w:pPr>
      <w:r>
        <w:rPr>
          <w:rFonts w:ascii="IRNazanin" w:hAnsi="IRNazanin" w:eastAsia="IRNazanin"/>
          <w:color w:val="111111"/>
          <w:sz w:val="28"/>
          <w:sz w:val="28"/>
          <w:szCs w:val="28"/>
          <w:rtl w:val="true"/>
          <w:lang w:bidi="fa-IR"/>
        </w:rPr>
        <w:t>ثمّ إنّه ذکر بعض الأعاظم قدس سره فی مقام بیان الفرق بین شروط الأمر و الوجوب و بین شروط المأمور به و الواجب أنّ القیود علی نحوین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یتوقّف اتّصاف الفعل بکونه ذا مصلحة علی حصوله فی الخارج، کالزوال و الاستطاعة بالنسبة إلی الصلاة و الحجّ، فإنّ الصلاة لا تکون ذات مصلحة إلاّ بعد تحقّق الزوال، و کذلک الحج بالإضافة إلی الاستطاعة، و أمّا قبل تحقّق هذین القیدین فلا یری المولی مصلحة فی الصلاة و الحجّ، و لهذا یأمر بهما معلّقاً أمره علی تحقّق هذین القیدین فی الخارج</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القیود التی تتوقّف فعلیة المصلحة و حصولها فی الخارج علی تحقّقها، فلا تکاد تحصل تلک المصلحة فی الخارج إلاّ إذا اقترن الفعل بتلک القیود</w:t>
      </w:r>
    </w:p>
    <w:p>
      <w:pPr>
        <w:pStyle w:val="BookText"/>
        <w:rPr/>
      </w:pPr>
      <w:r>
        <w:rPr>
          <w:rFonts w:ascii="IRNazanin" w:hAnsi="IRNazanin" w:eastAsia="IRNazanin"/>
          <w:color w:val="111111"/>
          <w:sz w:val="28"/>
          <w:sz w:val="28"/>
          <w:szCs w:val="28"/>
          <w:rtl w:val="true"/>
          <w:lang w:bidi="fa-IR"/>
        </w:rPr>
        <w:t>و الشروط، کالطهارة و الستر و الاستقبال و نحوها بالإضافة إلی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بلحاظ هذا الفرق بین النحوین من القیود صحّ أن یقال للنحو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شروط الأمر و الوجوب، و للنحو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شروط المأمور به و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تقریب کلا النحوین من القیود الشرعیة ببعض الاُمور الطبیعیّة العرفیة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المسهل قبل أن یعتری الإنسان مرض یستدعیه لا مصلحة فیه تدعو الإنسان إلیه أو الطبیب إلی الأمر به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یمکن أن یأمر به معلّقاً علی الابتلاء بالمرض، فیقول للإنسان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مرضت بالحمی مثلاً فاشرب المسهل، فالمرض یکون شرطاً لتحقّق المصلحة فی شرب المسهل، و أمّا المنضج فهو شرط فعلیة أثر المسهل و مصلحته، و لهذا یترشّح علیه أمر غیری من الأمر النفسی المتعلّق بالمسهل، فیقول الطبیب للمریض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اشرب المنضج أوّلاً ثمّ اشرب المسهل</w:t>
      </w:r>
      <w:r>
        <w:rPr>
          <w:rStyle w:val="FootnoteAnchor"/>
          <w:rtl w:val="true"/>
        </w:rPr>
        <w:footnoteReference w:id="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 علی ما فی التقریرات المنسوبة إلیه قدس سره</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أنت خبیر بأنّ ما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المناط فی شرائط الوجوب و شرائط الواجب لا یتمّ، بل مورد للنقض طرداً و عکساً، فإنّ ما یتوقّف علیه اتّصاف الفعل بکونه ذا مصلحة یمکن أن لا یکون قیداً للأمر، بل للمأمور به، فإنّه یمکن أن یأمر المولی بالحج عقیب الاستطاعة، لا أن یکون أمره مشروطاً بتحقّقها، غایة الأمر أنّه یلزم أن یکون تحصیلها واجباً؛ لأنّ المصلحة متوقّفة علیه، و لا منافاة بین توقّف المصلحة علی شیء و عدم کون الأمر معلّقاً علیه، کما أنّه یمکن أن لا یکون للقید دخل فی حصول المصلحة، و لکن کان الأمر معلّقاً علی وجوده، کما فیما ذکرناه من المثال المتقدّم فی القسم الأخیر من الأقسام الأربعة المتقدّمة، فإنّ</w:t>
      </w:r>
      <w:bookmarkStart w:id="68" w:name="pg11586_104627"/>
    </w:p>
    <w:p>
      <w:pPr>
        <w:pStyle w:val="BookText"/>
        <w:rPr/>
      </w:pPr>
      <w:bookmarkEnd w:id="68"/>
      <w:r>
        <w:rPr>
          <w:rFonts w:ascii="IRNazanin" w:hAnsi="IRNazanin" w:eastAsia="IRNazanin"/>
          <w:color w:val="111111"/>
          <w:sz w:val="28"/>
          <w:sz w:val="28"/>
          <w:szCs w:val="28"/>
          <w:rtl w:val="true"/>
          <w:lang w:bidi="fa-IR"/>
        </w:rPr>
        <w:t>ترتّب المصلحة علی ضیافة زید مثلاً قد لا یتوقّف علی نزوله فی منزل المضیف و لکن یمکن أن یکون أمره معلّقاً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فجعل هذا هو الملاک فی شرائط الوجوب منقوض طرداً و عکساً، کما عرفت، و منه یظهر بطلان ما ذکره ملاکاً لشرائط الواجب،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فالمناط فیهما هو 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شرائط الوجوب عبارة عن القیود التی لا یکون لها دخل فی تحقّق المراد بمعنی عدم مدخلیّته فی تعلّق الإرادة به، کما أنّ شرائط الواجب هی التی لها مدخلیة فی حصول الغرض الباعث علی تعلّق الإرادة</w:t>
      </w:r>
      <w:r>
        <w:rPr>
          <w:rFonts w:eastAsia="IRNazanin" w:cs="IRNazanin"/>
          <w:color w:val="111111"/>
          <w:sz w:val="28"/>
          <w:szCs w:val="28"/>
          <w:rtl w:val="true"/>
          <w:lang w:bidi="fa-IR"/>
        </w:rPr>
        <w:t>.</w:t>
      </w:r>
    </w:p>
    <w:p>
      <w:pPr>
        <w:pStyle w:val="Heading5"/>
        <w:numPr>
          <w:ilvl w:val="4"/>
          <w:numId w:val="1"/>
        </w:numPr>
        <w:rPr/>
      </w:pPr>
      <w:bookmarkStart w:id="69" w:name="__RefHeading___Toc5145653_73709187"/>
      <w:bookmarkStart w:id="70" w:name="_Toc26"/>
      <w:bookmarkEnd w:id="69"/>
      <w:r>
        <w:rPr>
          <w:rtl w:val="true"/>
        </w:rPr>
        <w:t>فی توقّف فعلیّة الوجوب علی شرطه</w:t>
      </w:r>
      <w:bookmarkEnd w:id="70"/>
    </w:p>
    <w:p>
      <w:pPr>
        <w:pStyle w:val="BookText"/>
        <w:rPr/>
      </w:pPr>
      <w:r>
        <w:rPr>
          <w:rFonts w:ascii="IRNazanin" w:hAnsi="IRNazanin" w:eastAsia="IRNazanin"/>
          <w:color w:val="111111"/>
          <w:sz w:val="28"/>
          <w:sz w:val="28"/>
          <w:szCs w:val="28"/>
          <w:rtl w:val="true"/>
          <w:lang w:bidi="fa-IR"/>
        </w:rPr>
        <w:t>ثمّ إنّه یقع الکلام بعد هذا فی أنّه هل یکون الواجب المشروط متعلّقاً للإرادة عند حصول شرطه بمعنی أنّه لا إرادة قبل تحقّقه، أو أنّ الإرادة تتعلّق به فعلاً و لکن علی تقدیر حصول أمر خاص؟ و یکون الفرق حینئذٍ بینه و بین الواجب المعلّق هو أنّ الوجوب المطلق یتعلّق بأمر خاص فی الواجب المعلّق، و الوجوب الخاصّ یتعلّق بأمر مطلق فی الواجب المشروط</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ربّما ینسب إلی المشهور الأوّل</w:t>
      </w:r>
      <w:r>
        <w:rPr>
          <w:rStyle w:val="FootnoteAnchor"/>
          <w:rtl w:val="true"/>
        </w:rPr>
        <w:footnoteReference w:id="18"/>
      </w:r>
      <w:r>
        <w:rPr>
          <w:rFonts w:ascii="IRNazanin" w:hAnsi="IRNazanin" w:eastAsia="IRNazanin"/>
          <w:color w:val="111111"/>
          <w:sz w:val="28"/>
          <w:sz w:val="28"/>
          <w:szCs w:val="28"/>
          <w:rtl w:val="true"/>
          <w:lang w:bidi="fa-IR"/>
        </w:rPr>
        <w:t xml:space="preserve">، و اختار بعض الأعاظم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فی التقریرات المنسوبة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بدّ قبل الخوض فی ذلک من بیان حقیقة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الحکم عبارة عن نفس الإرادة التشریعیة الکامنة فی نفس الحاکم مطلقاً أو بشرط أن یظهرها المرید بأحد المظهرات من القول أو الفعل أو أنّه منتزع من البعث أو الزجر اللَّذین هما مفاد هیئة الأمر و النهی؟ وجوه، و الظاهر هو الثالث؛ لأنّ مجرّد تعلّق الإرادة التشریعیة بشیء لا یعدّ من باب تعلّق الحکم به و إن کانت ربّما یجب متابعتها، فإنّ وجوب المتابعة لیس متفرّعاً علی خصوص حکم المولی، بل لو اطّلع العبد علی تعلّق إرادة المولی بإتیانه شیئاً، فاللازم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یحکم به العقل و العقلاء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متابعة إرادته، بل ربّما یجب تحصیل غرضه و إن لم تنقدح إرادة متعلّقة به فی نفس المولی لغفلته أو نومه أو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لا تری أنّه لو أشرف ولد المولی مثلاً علی الغرق فی البحر و لم یکن المولی مطّلعاً علیه حتی یبعث العبد نحو خلاص ولده، یکون علی العبد ذلک و أن ینجی ولده من الهلاک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فوجوب الإتیان عقلاً أعمّ من الحکم، و الذی یطابقه الوجدان هو أنّ منشأ انتزاع الحکم هو نفس البعث و الزجر المتوجّهین إلی العبد، و حینئذٍ فلا إشکال فی عدم تحقّق الحکم قبل حصول الشرط؛ لعدم ثبوت البعث قبله، کما هو واضح</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فاعلم أنّ بعض الأعاظم بعد اختیاره أنّ الحکم عبارة عن نفس الإرادة التشریعیّة التی یظهرها المرید بالقول أو الفعل</w:t>
      </w:r>
      <w:r>
        <w:rPr>
          <w:rStyle w:val="FootnoteAnchor"/>
          <w:rtl w:val="true"/>
        </w:rPr>
        <w:footnoteReference w:id="20"/>
      </w:r>
      <w:r>
        <w:rPr>
          <w:rFonts w:ascii="IRNazanin" w:hAnsi="IRNazanin" w:eastAsia="IRNazanin"/>
          <w:color w:val="111111"/>
          <w:sz w:val="28"/>
          <w:sz w:val="28"/>
          <w:szCs w:val="28"/>
          <w:rtl w:val="true"/>
          <w:lang w:bidi="fa-IR"/>
        </w:rPr>
        <w:t>ذهب إلی خلاف ما علیه المشهور، و أنّ الإرادة فی الواجب المشروط موجودة قبل تحقّق</w:t>
      </w:r>
      <w:bookmarkStart w:id="71" w:name="pg11586_104629"/>
    </w:p>
    <w:p>
      <w:pPr>
        <w:pStyle w:val="BookText"/>
        <w:rPr/>
      </w:pPr>
      <w:bookmarkEnd w:id="71"/>
      <w:r>
        <w:rPr>
          <w:rFonts w:ascii="Amiri" w:hAnsi="Amiri" w:eastAsia="Amiri" w:cs="Amiri"/>
          <w:color w:val="111111"/>
          <w:sz w:val="28"/>
          <w:sz w:val="28"/>
          <w:szCs w:val="28"/>
          <w:rtl w:val="true"/>
          <w:lang w:bidi="ar-SA"/>
        </w:rPr>
        <w:t>الشرط مدّعیاً أنّ الوجدان دلیل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فإنّا نجد من أنفسنا إرادة العمل الذی یکون فیه مصلحة لنا علی تقدیر خاص و إن لم یکن ذلک التقدیر متحقّقاً بالفعل</w:t>
      </w:r>
      <w:r>
        <w:rPr>
          <w:rStyle w:val="FootnoteAnchor"/>
          <w:rtl w:val="true"/>
        </w:rPr>
        <w:footnoteReference w:id="2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خبیر بأنّه لو سلّم انتزاع الحکم عن نفس الإرادة المظهرة، فلا نسلّم انتزاعه عن هذا النحو من الإرادة المتحقّقة فی الواجب المشروط، کما لا یخفی</w:t>
      </w:r>
      <w:r>
        <w:rPr>
          <w:rFonts w:eastAsia="IRNazanin" w:cs="IRNazanin"/>
          <w:color w:val="111111"/>
          <w:sz w:val="28"/>
          <w:szCs w:val="28"/>
          <w:rtl w:val="true"/>
          <w:lang w:bidi="fa-IR"/>
        </w:rPr>
        <w:t>.</w:t>
      </w:r>
    </w:p>
    <w:p>
      <w:pPr>
        <w:pStyle w:val="Heading5"/>
        <w:numPr>
          <w:ilvl w:val="4"/>
          <w:numId w:val="1"/>
        </w:numPr>
        <w:rPr/>
      </w:pPr>
      <w:bookmarkStart w:id="72" w:name="__RefHeading___Toc5145655_73709187"/>
      <w:bookmarkStart w:id="73" w:name="_Toc27"/>
      <w:bookmarkEnd w:id="72"/>
      <w:r>
        <w:rPr>
          <w:rtl w:val="true"/>
        </w:rPr>
        <w:t>فی إشکالات الواجب المشروط علی مسلک المشهور</w:t>
      </w:r>
      <w:bookmarkEnd w:id="73"/>
    </w:p>
    <w:p>
      <w:pPr>
        <w:pStyle w:val="BookText"/>
        <w:rPr/>
      </w:pPr>
      <w:r>
        <w:rPr>
          <w:rFonts w:ascii="IRNazanin" w:hAnsi="IRNazanin" w:eastAsia="IRNazanin"/>
          <w:color w:val="111111"/>
          <w:sz w:val="28"/>
          <w:sz w:val="28"/>
          <w:szCs w:val="28"/>
          <w:rtl w:val="true"/>
          <w:lang w:bidi="fa-IR"/>
        </w:rPr>
        <w:t>ثمّ إنّه ربّما یورد علی مذهب المشهور بإیرادات 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أورده علیه ذلک البعض المتقدّم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فی التقریرات المنسوبة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لا إشکال فی إنشاء الشارع للتکلیف المشروط قبل تحقّق شرطه، و لا ریب فی أنّ إنشاء التکلیف من المقدّمات التی یتوصّل بها المولی إلی تحصیل المکلّف به فی الخارج، و الواجب المشروط علی المشهور لیس بمراد للمولی قبل تحقّق شرطه فی الخارج، فکیف یتصوّر أن یتوصّل العاقل إلی تحصیل ما لا یریده 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أن یلتزم المشهور فی دفع هذا الإشکال بوجود غرض نفسی فی نفس إنشاء التکلیف المشروط قبل تحقّق شرطه، و هو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من التزم بما ذهبنا إلیه لا یرد علیه هذا الإشکال؛ لفعلیة الإرادة قبل تحقّق الشرط، فالمولی یتوصّل بإنشائه إلی ما یریده فعلاً و إن کان علی تقدیر</w:t>
      </w:r>
      <w:r>
        <w:rPr>
          <w:rStyle w:val="FootnoteAnchor"/>
          <w:rtl w:val="true"/>
        </w:rPr>
        <w:footnoteReference w:id="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أنت خبیر بأنّه لم یکن للمشهور الالتزام بما ذکره أصلاً، فإنّ الإنشاءات</w:t>
      </w:r>
    </w:p>
    <w:p>
      <w:pPr>
        <w:pStyle w:val="BookText"/>
        <w:rPr/>
      </w:pPr>
      <w:r>
        <w:rPr>
          <w:rFonts w:ascii="IRNazanin" w:hAnsi="IRNazanin" w:eastAsia="IRNazanin"/>
          <w:color w:val="111111"/>
          <w:sz w:val="28"/>
          <w:sz w:val="28"/>
          <w:szCs w:val="28"/>
          <w:rtl w:val="true"/>
          <w:lang w:bidi="fa-IR"/>
        </w:rPr>
        <w:t>و إن کانت للتوصّل إلی تحصیل المراد إلاّ أنّه حیث یکون المکلّفون مختلفین من حیث تحقّق الشرط بالنسبة إلیهم و عدمه لا بأس بإنشاء الوجوب علی النحو المذکور و إن لم یکن الشرط حاصلاً بالنسبة إلی بعض المکلّفین، کما أنّ الإنشاءات الواقعة فی الشریعة إنّما هی علی نحو القوانین الکلّیة، فلا یمکن أن تکون متوقّفةً علی تحقّق شرائطها، کما هو واضح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 هذا الإیراد لا یدفع بما التزمه فی الواجب المشروط،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هی عمدتها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کانت الإرادة المتعلّقة بالواجب المشروط حاصلةً عند تحقّق الشرط لا قبله، یلزم أن لا تکون المقدّمات الوجودیة لتحقّق الواجب المشروط واجبةً بالوجوب الغیری قبل تحقّق الشرط؛ لعدم کون ذی المقدّمة واجباً قبله حتّی یسری الوجوب منها إلی مقدّمته، و هذا بخلاف ما لو قیل بتحقّق الإرادة قبل حصول الشرط، کما التزم به بعض الأعاظم قدس سره علی ما عرفت، فإنّ تعلّق الإرادة الغیریة بالمقدّمات لوجود الإرادة النفسیة المتعلّقة بذی المقدّمة بالفعل</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التحقیق فی دفع الإیراد عن المشهور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اشتهر فی الألسن و تکرّر فی أکثر الکلمات من أنّ الإرادة المتعلّقة بالمقدّمة ناشئة و مترشّحة من الإرادة المتعلّقة بذی المقدّمة، و کذا الوجوب المتعلّق بالأُولی سارٍ من الوجوب المتعلّق بالثانیة لیس علی ما ینبغی، بل محلّ نظر و منع، کما عرفت فی صدر مبحث المقدّمة؛ فإنّه لا معنی لکون الإرادة علّةً موجدة لإرادة اخری، فإنّ کلّ إرادة فلها مبادٍ و مقدّمات مخصوصة، فکما أنّ الإرادة المتعلّقة بذی المقدّمة ناشئة من المبادئ الخاصة بها فکذلک الإرادة المتعلّقة بالمقدّمة لها مقدّمات و مبادٍ مخصوصة بها، غایة الأمر أنّ تعلّق الإرادة بها لحصول مطلوبه الأوّلی</w:t>
      </w:r>
    </w:p>
    <w:p>
      <w:pPr>
        <w:pStyle w:val="BookText"/>
        <w:rPr/>
      </w:pPr>
      <w:r>
        <w:rPr>
          <w:rFonts w:ascii="IRNazanin" w:hAnsi="IRNazanin" w:eastAsia="IRNazanin"/>
          <w:color w:val="111111"/>
          <w:sz w:val="28"/>
          <w:sz w:val="28"/>
          <w:szCs w:val="28"/>
          <w:rtl w:val="true"/>
          <w:lang w:bidi="fa-IR"/>
        </w:rPr>
        <w:t>الذی تعلّقت به الإرادة الأوّلیة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فلا إشکال فی أنّ کلّ إرادة معلولة للنفس و موجدة بفعّالیتها، و لا یعقل أن تکون علّته الإرادة المتعلّقة بشیء آخر، کما حقّق فی محلّه، و هکذا الوجوب المتعلّق بشیء لا یعقل أن یسری إلی شیء آخر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الملازمة بین الإرادة المتعلّقة بذی المقدّمة و بین الإرادة المتعلّقة بالمقدّمة علی تقدیر ثبوتها إنّما هی لتوقّف حصول غرض المولی علی تحقّقها فی الخارج، لا لتحقّق الإرادة بذی المقدّمة، فإن تعلّقها بها أیضاً للتوصّل إلی تحصیل غرضه، فإذا فرض فی مقام عدم تعلّق الإرادة الفعلیة بذی المقدّمة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یمنع عن تعلّق الإرادة الفعلیة بالمقدّمة؛ لبقاء ملاک تعلّق الإرادة بها، و هی توقّف حصول غرض المولی علیها علی حالها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فلو فرض فی مقام اطّلاع العبد علی أنّ المولی یرید شیئاً علی تقدیر خاص، و فرض العلم بتحقّق ذلک التقدیر المستلزم للعلم بإرادته قطعاً، و فرض أیضاً توقّف حصول ذلک الشیء علی أمر لا یمکن تحصیله بعد تحقّق شرط الوجوب، فمن الواضح أنّ العقل یحکم بوجوب الإتیان بمقدّمة ذلک الشیء و إن لم تکن الإرادة المتعلّقة بذی المقدّمة موجودةً بالفعل</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 أنّه حیث یکون الدائر علی ألسنتهم أنّ الإرادة المتعلّقة بالمقدّمة ناشئة من الإرادة المتعلّقة بذی المقدّمة، و رأوا أنّ المشهور لا یلتزمون بوجود الإرادة قبل تحقّق الشرط فی الواجب المشروط، فلذا أوردوا علی المشهور بأنّه لا یبقی وجه لوجوب المقدّمة قبل تحقّق الشرط‌</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bookmarkStart w:id="74" w:name="pg11586_104632"/>
    </w:p>
    <w:p>
      <w:pPr>
        <w:pStyle w:val="BookText"/>
        <w:rPr/>
      </w:pPr>
      <w:bookmarkEnd w:id="74"/>
      <w:r>
        <w:rPr>
          <w:rFonts w:ascii="IRNazanin" w:hAnsi="IRNazanin" w:eastAsia="IRNazanin"/>
          <w:color w:val="111111"/>
          <w:sz w:val="28"/>
          <w:sz w:val="28"/>
          <w:szCs w:val="28"/>
          <w:rtl w:val="true"/>
          <w:lang w:bidi="fa-IR"/>
        </w:rPr>
        <w:t>و بما حقّقناه قد ظهر لک أنّه لا وجه لهذا الإیراد أصلاً،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لو قلنا بخلاف ما علیه المشهور و التزمنا بما التزم به ذلک البعض من تحقّق الإرادة قبل تحقّق الشرط، فتعلّقها بالمقدّمة أیضاً مورد منع؛ فإنّه لا یعقل ترشّح الإرادة المطلقة بالمقدّمة من الإرادة التقدیریة المتعلّقة بذی المقدّمة بعد لزوم السنخیة بین المعلول و علّته، فإنّه کیف یمکن أن تکون الإرادة المتعلّقة بالمقدّمة مطلقةً بمعنی وجوب تحصیلها فعلاً، مع أنّ الإرادة المتعلّقة بذی المقدّمة تقدیریة کما هو واضح</w:t>
      </w:r>
      <w:r>
        <w:rPr>
          <w:rFonts w:eastAsia="IRNazanin" w:cs="IRNazanin"/>
          <w:color w:val="111111"/>
          <w:sz w:val="28"/>
          <w:szCs w:val="28"/>
          <w:rtl w:val="true"/>
          <w:lang w:bidi="fa-IR"/>
        </w:rPr>
        <w:t>.</w:t>
      </w:r>
    </w:p>
    <w:p>
      <w:pPr>
        <w:pStyle w:val="Heading5"/>
        <w:numPr>
          <w:ilvl w:val="4"/>
          <w:numId w:val="1"/>
        </w:numPr>
        <w:rPr/>
      </w:pPr>
      <w:bookmarkStart w:id="75" w:name="__RefHeading___Toc5145657_73709187"/>
      <w:bookmarkStart w:id="76" w:name="_Toc28"/>
      <w:bookmarkEnd w:id="75"/>
      <w:r>
        <w:rPr>
          <w:rtl w:val="true"/>
        </w:rPr>
        <w:t>و المتحصّل من جمیع ما ذکرنا فی الواجب المشروط امور</w:t>
      </w:r>
      <w:r>
        <w:rPr>
          <w:rtl w:val="true"/>
        </w:rPr>
        <w:t>:</w:t>
      </w:r>
      <w:bookmarkEnd w:id="76"/>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القیود بحسب الواقع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القیود راجعة إلی الهیئة، کما هو ظاهر اللّفظ، و لا امتناع فی رجوعها إلیها، کما ینسب إلی الشیخ الأنصاری قدس سره</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الحکم إنّما ینتزع من نفس البعث و الزجر، و الدلیل علیه أنّه یجعل مقسماً للحکم التکلیفی و الوضعی، و لا معنی للقول بأنّ الحکم فی الأحکام الوضعیة عبارة عن الإرادة مطلقة أو مقیّدة بالإظهار،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الوجوب فی الواجب المشروط إنّما هو بعد تحقّق الشرط لا قبله</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تکون المقدّمات واجبةً قبل تحقّق الشرط و لو لم تکن ذو المقدّمة واجباً قبله، کما عرفت تحقیقه</w:t>
      </w:r>
      <w:r>
        <w:rPr>
          <w:rFonts w:eastAsia="IRNazanin" w:cs="IRNazanin"/>
          <w:color w:val="111111"/>
          <w:sz w:val="28"/>
          <w:szCs w:val="28"/>
          <w:rtl w:val="true"/>
          <w:lang w:bidi="fa-IR"/>
        </w:rPr>
        <w:t>.</w:t>
      </w:r>
      <w:bookmarkStart w:id="77" w:name="pg11586_104633"/>
    </w:p>
    <w:p>
      <w:pPr>
        <w:pStyle w:val="Heading4"/>
        <w:numPr>
          <w:ilvl w:val="3"/>
          <w:numId w:val="1"/>
        </w:numPr>
        <w:rPr/>
      </w:pPr>
      <w:bookmarkStart w:id="78" w:name="__RefHeading___Toc5145659_73709187"/>
      <w:bookmarkStart w:id="79" w:name="_Toc29"/>
      <w:bookmarkEnd w:id="77"/>
      <w:bookmarkEnd w:id="78"/>
      <w:r>
        <w:rPr>
          <w:rtl w:val="true"/>
        </w:rPr>
        <w:t>الأمر الخامس فی الواجب المعلّق و المنجز</w:t>
      </w:r>
      <w:bookmarkEnd w:id="79"/>
    </w:p>
    <w:p>
      <w:pPr>
        <w:pStyle w:val="Heading5"/>
        <w:numPr>
          <w:ilvl w:val="4"/>
          <w:numId w:val="1"/>
        </w:numPr>
        <w:rPr/>
      </w:pPr>
      <w:bookmarkStart w:id="80" w:name="__RefHeading___Toc5145661_73709187"/>
      <w:bookmarkStart w:id="81" w:name="_Toc30"/>
      <w:bookmarkEnd w:id="80"/>
      <w:r>
        <w:rPr>
          <w:rtl w:val="true"/>
        </w:rPr>
        <w:t>اشارة</w:t>
      </w:r>
      <w:bookmarkEnd w:id="81"/>
    </w:p>
    <w:p>
      <w:pPr>
        <w:pStyle w:val="BookText"/>
        <w:rPr/>
      </w:pPr>
      <w:r>
        <w:rPr>
          <w:rFonts w:ascii="IRNazanin" w:hAnsi="IRNazanin" w:eastAsia="IRNazanin"/>
          <w:color w:val="111111"/>
          <w:sz w:val="28"/>
          <w:sz w:val="28"/>
          <w:szCs w:val="28"/>
          <w:rtl w:val="true"/>
          <w:lang w:bidi="fa-IR"/>
        </w:rPr>
        <w:t xml:space="preserve">ربّما یقسّم الواجب أیضاً ببعض الاعتبارات إلی معلّق و منَجّز، و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الفصول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بالمنجّز هو الذی یتعلّق وجوبه بالمکلّف، و لا یتوقّف حصوله علی أمر غیر مقدور له، کالمعرفة و بالمعلق هو الذی یتعلّق وجوبه بالمکلّف و یتوقّف حصوله علی أمر غیر مقدور له کالحجّ، فإنّ وجوبه یتعلّق بالمکلّف من أوّل زمن الاستطاعة أو خروج الرفقة، و یتوقّف فعله علی مجیء وقته، و هو غیر مقدور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بین هذا النوع و بین الواجب المشروط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التوقّف هناک للوجوب و هنا للفعل</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الالتزام بالواجب المعلّق إنّما هو للتخلّص عمّا أورد علی المشهور فی الواجب المشروط من أنّه بناء علی عدم تحقّق الإرادة قبل حصول الشرط کما هو مذهبه لم یبق وجه لسرایة الإرادة إلی المقدّمات قبل حصوله فإنّه حیث تعسّر علیهم رفع هذا الإیراد مع ما رأوا فی بعض الموارد من دلالة بعض الأخبار علی وجوب المقدّمات فی بعض الواجبات المشروطة قبل تحقّق شرطها فلذا تمسّکوا بذیل الواجب المعلّق و التزموا بثبوت الوجوب فیه قبل حصول شرط الواجب بخلاف المشروط</w:t>
      </w:r>
      <w:r>
        <w:rPr>
          <w:rFonts w:eastAsia="IRNazanin" w:cs="IRNazanin"/>
          <w:color w:val="111111"/>
          <w:sz w:val="28"/>
          <w:szCs w:val="28"/>
          <w:rtl w:val="true"/>
          <w:lang w:bidi="fa-IR"/>
        </w:rPr>
        <w:t>.</w:t>
      </w:r>
      <w:bookmarkStart w:id="82" w:name="pg11586_104634"/>
    </w:p>
    <w:p>
      <w:pPr>
        <w:pStyle w:val="Heading5"/>
        <w:numPr>
          <w:ilvl w:val="4"/>
          <w:numId w:val="1"/>
        </w:numPr>
        <w:rPr/>
      </w:pPr>
      <w:bookmarkStart w:id="83" w:name="__RefHeading___Toc5145663_73709187"/>
      <w:bookmarkStart w:id="84" w:name="_Toc31"/>
      <w:bookmarkEnd w:id="82"/>
      <w:bookmarkEnd w:id="83"/>
      <w:r>
        <w:rPr>
          <w:rtl w:val="true"/>
        </w:rPr>
        <w:t>ما أفاده بعض الأعلام فی إنکار الواجب المعلّق</w:t>
      </w:r>
      <w:bookmarkEnd w:id="84"/>
    </w:p>
    <w:p>
      <w:pPr>
        <w:pStyle w:val="BookText"/>
        <w:rPr/>
      </w:pPr>
      <w:r>
        <w:rPr>
          <w:rFonts w:ascii="IRNazanin" w:hAnsi="IRNazanin" w:eastAsia="IRNazanin"/>
          <w:color w:val="111111"/>
          <w:sz w:val="28"/>
          <w:sz w:val="28"/>
          <w:szCs w:val="28"/>
          <w:rtl w:val="true"/>
          <w:lang w:bidi="fa-IR"/>
        </w:rPr>
        <w:t>ثمّ إنّه یظهر من بعضهم إنکار الواجب المعلّق مدّعیاً استحالة کون الإرادة موجودة قبل المراد</w:t>
      </w:r>
      <w:r>
        <w:rPr>
          <w:rStyle w:val="FootnoteAnchor"/>
          <w:rtl w:val="true"/>
        </w:rPr>
        <w:footnoteReference w:id="2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أطال الکلام فی النقض و الإبرام فی هذا المقام بعض المحقّقین فی تعلیقته علی الکفایة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خلاصة ما ذکره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النفس مع وحدتها ذات منازل و درجات، ففی مرتبة القوّة العاقلة مثلاً تدرک فی الفعل فائدة عائدة إلیها، و فی مرتبة القوّة الشوقیة ینبعث لها شوق إلی ذلک الفعل، فإذا لم یجد مزاحماً و مانعاً، یخرج ذلک الشوق من حدّ النقصان إلی حدّ الکمال الذی یعبّر عنه بالقصد و الإرادة، فینبعث من هذا الشوق البالغ حدّ نصاب الباعثیة هیجان فی مرتبة القوّة العاملة المنبثّة فی العضلات، و من الواضح أنّ الشوق و إن أمکن تعلّقه بأمر استقبالی إلاّ أنّ الإرادة لیس نفس الشوق بأیّة مرتبة کان، بل الشوق البالغ حدّ النصاب بحیث صارت القوّة الباعثة باعثةً للفعل، و حینئذٍ فلا یتخلّف عن انبعاث القوّة العاملة و هیجانها لتحریک العضلات غیر المنفکّ عن حرکتها، و لذا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الإرادة هو الجزء الأخیر من العلّة التامّة لحرکة العضلات</w:t>
      </w:r>
      <w:r>
        <w:rPr>
          <w:rStyle w:val="FootnoteAnchor"/>
          <w:rtl w:val="true"/>
        </w:rPr>
        <w:footnoteReference w:id="27"/>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یقول بإمکان تعلّقها بأمر استقبالی إن أراد حصول الإرادة التی هی علّة تامّة لحرکة العضلات إلاّ أنّ معلولها حصول الحرکة فی ظرف کذا، فهو عین انفکاک العلّة عن المعلول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أراد أنّ ذات العلّة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الإرادة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موجودة من قبل إلاّ أنّ شرط تأثیرها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حضور وقت المراد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لم یکن موجوداً ما أثّرت العلّة فی حرکة العضلات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حضور الوقت إن کان شرطاً فی بلوغ الشوق إلی حدّ الکمال المعبّر عنه بالإرادة، فهو عین ما قلنا من أنّ حقیقة الإرادة لا تنفکّ عن الانبعاث، و إن کان شرطاً فی تأثیر الشوق البالغ حدّ الإرادة الموجود من أوّل الأمر، فهو غیر معقول؛ لأنّ عدم التأثیر مع کون الشوق بالغاً إلی حدّ الباعثیة لا یعقل؛ لعدم انفکاک البعث الفعلی عن الانبعاث، فاجتماع البعث و عدم تحقّق الانبعاث لیس إلاّ کاجتماع المتناقضین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 فی المتن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لزوم تعلّق الإرادة بأمر استقبالی إذا کان المراد ذا مقدّمات کثیرة، فإنّ إرادة مقدّماته منبعثة عن إرادة ذیها قطعاً</w:t>
      </w:r>
      <w:r>
        <w:rPr>
          <w:rStyle w:val="FootnoteAnchor"/>
          <w:rtl w:val="true"/>
        </w:rPr>
        <w:footnoteReference w:id="28"/>
      </w:r>
      <w:r>
        <w:rPr>
          <w:rFonts w:ascii="IRNazanin" w:hAnsi="IRNazanin" w:eastAsia="IRNazanin"/>
          <w:color w:val="111111"/>
          <w:sz w:val="28"/>
          <w:sz w:val="28"/>
          <w:szCs w:val="28"/>
          <w:rtl w:val="true"/>
          <w:lang w:bidi="fa-IR"/>
        </w:rPr>
        <w:t>، فتوضیح الحال فیه أنّ الشوق إلی المقدّمة لا بدّ من انبعاثه من الشوق إلی ذیها، لکن الشوق إلی ذیها لمّا لم یمکن وصوله إلی حدّ الباعثیة لتوقّف المراد علی مقدّمات، فلا محالة یقف فی مرتبته إلی أن یمکن الوصول، و هو بعد طیّ المقدّمات، فالشوق بالمقدّمة لا مانع من بلوغه إلی حدّ الباعثیة الفعلیة، بخلاف الشوق إلی ذیها، و ما هو المسلّم فی باب التبعیة تبعیّة الشوق للشوق لا تبعیة الجزء الأخیر من العلّة، فإنّه محال، و إلّا لزم إمّا انفکاک العلّة عن المعلول أو تقدّمه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الإرادة التکوینیة</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الإرادة التشریعیة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عبارة عن إرادة فعل الغیر منه اختیاراً و حیث إنّ المشتاق إلیه فعل الغیر الصادر باختیاره، فلا محالة لیس بنفسه تحت</w:t>
      </w:r>
    </w:p>
    <w:p>
      <w:pPr>
        <w:pStyle w:val="BookText"/>
        <w:rPr/>
      </w:pPr>
      <w:r>
        <w:rPr>
          <w:rFonts w:ascii="IRNazanin" w:hAnsi="IRNazanin" w:eastAsia="IRNazanin"/>
          <w:color w:val="111111"/>
          <w:sz w:val="28"/>
          <w:sz w:val="28"/>
          <w:szCs w:val="28"/>
          <w:rtl w:val="true"/>
          <w:lang w:bidi="fa-IR"/>
        </w:rPr>
        <w:t>اختیاره، بل بالتسبیب إلیه بجعل الداعی إلیه، و هو البعث نحوه، فلا محالة ینبعث من الشوق إلی فعل الغیر اختیاراً الشوق إلی البعث نحوه، فالشوق المتعلّق بفعل الغیر إذا بلغ مبلغاً ینبعث منه الشوق نحو البعث الفعلی، کان إرادةً تشریعیة، و إلّا فلا، و معه لا یعقل البعث نحو أمر استقبالی؛ إذ لو فرض حصول جمیع مقدّماته و انقیاد المکلّف لأمر المولی، لما أمکن انبعاثه نحوه بهذا البعث، فلیس ما سمّیناه بعثاً فی الحقیقة بعثاً و لو إمکاناً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أورد علی نفسه ببعض الإیرادات مع الجواب عنها</w:t>
      </w:r>
      <w:r>
        <w:rPr>
          <w:rStyle w:val="FootnoteAnchor"/>
          <w:rtl w:val="true"/>
        </w:rPr>
        <w:footnoteReference w:id="29"/>
      </w:r>
      <w:r>
        <w:rPr>
          <w:rFonts w:ascii="IRNazanin" w:hAnsi="IRNazanin" w:eastAsia="IRNazanin"/>
          <w:color w:val="111111"/>
          <w:sz w:val="28"/>
          <w:sz w:val="28"/>
          <w:szCs w:val="28"/>
          <w:rtl w:val="true"/>
          <w:lang w:bidi="fa-IR"/>
        </w:rPr>
        <w:t>لا مجال لنقلها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أنّه یرد علی ما ذکره فی الإرادة التکوینیة وجوه من الإیراد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ذکره من أنّ الإرادة هی المرتبة الکاملة من الشوق، محلّ نظر، بل منع؛ فإنّ الشوق نظیر المحبّة و العشق من الاُمور الانفعالیة للنفس و الإرادة بمنزلة القوّة الفاعلیة لها، و لا یعقل أن یبلغ ما یکون من الاُمور الانفعالیة إلی مرتبة الاُمور الفاعلیة و لو بلغ من الکمال ما بلغ، فإنّ الکمال البالغ إلیه إنّما هو الکمال فی مرتبته، لا انقلاب حقیقته إلی حقیقة اخری، و هذا من الاُمور الواضحة المحقّقة فی محلّها</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العمدة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اشتهر فی الألسن و تکرّر فی الکلمات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الإرادة هی الجزء الأخیر من العلّة التامّة لیس مبرهناً علیه، بل إنّما هو صرف ادّعاء لا دلیل علیه لو لم نقل بکون الوجدان شاهداً و قاضیاً بخلافه، فإنّه من الواضح أنّ الإرادة المتعلّقة بالمراد فیما لو کان غیر نفس تحریک العضلات لیست بعینها هی الإرادة المتعلّقة بتحریک العضلات لأجل</w:t>
      </w:r>
    </w:p>
    <w:p>
      <w:pPr>
        <w:pStyle w:val="BookText"/>
        <w:rPr/>
      </w:pPr>
      <w:r>
        <w:rPr>
          <w:rFonts w:ascii="IRNazanin" w:hAnsi="IRNazanin" w:eastAsia="IRNazanin"/>
          <w:color w:val="111111"/>
          <w:sz w:val="28"/>
          <w:sz w:val="28"/>
          <w:szCs w:val="28"/>
          <w:rtl w:val="true"/>
          <w:lang w:bidi="fa-IR"/>
        </w:rPr>
        <w:t>تحقّق ذلک المراد، فالإرادة المتعلّقة بشرب الماء لیست هی نفس الإرادة المتعلّقة بتحریک العضلات نحو الإناء الواقع فیه الماء؛ لما قد حقّق فی محلّه من عدم إمکان تعلّق إرادة واحدة بمرادین، و کذا لا یجوز تعلّق إرادتین بمراد واحد؛ ضرورة أنّ تشخّص الإرادة إنّما هو بالمراد، کما قرّر فی محلّه</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فإذا ثبتت تعدّد الإرادة،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الإرادة المتعلّقة بتحریک العضلات هی التی تکون علّةً تامّة لحرکتها، لا لکون الإرادة علّةً لحصول کلّ مراد، بل لأنّه حیث تکون القوی مقهورةً للنفس محکومةً بالنسبة إلیها، فلا محالة لا تتعصّی عن إطاعتها، کما أنّه ربّما یعرض بعض تلک القوی ما یمنعه عن الانقیاد لها، فربّما ترید تحریکها و معه لا تتحرّک لثبوت المزاحم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فالإرادة لا تکون علّةً تامّة بالنسبة إلی کلّ مراد، بل إنّما تکون کذلک فیما لو کان المراد تحریک قوی النفس مع کونها سلیمةً عن الآفة و قابلةً للانقیاد عنها؛ لما عرفت من عدم التعصّی عنها، و حینئذٍ فلو فرض أنّ النفس أراد تحریکها فی الاستقبال فهل الانقیاد لها یقتضی التحرّک فی الحال أو فی الاستقبال؟</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منشأ الحکم بامتناع تعلّق الإرادة بأمر استقبالی هو کون الإرادة علّةً تامّة، و بعد ما عرفت من عدم کونها کذلک فی جمیع الموارد و فی موارد ثبوتها لا ینافی کون المراد أمراً استقبالیاً کما عرفت، لم یبق وجه لامتناع انفکاک الإرادة عن المراد بعد وضوح إمکان تعلّق الإرادة بما هو کذلک</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ذکره فی مقام الجواب عن المتن من أنّه إذا کان المراد ذا مقدّمات کثیرة تکون المقدّمات تابعةً لذیها بالنسبة إلی الشوق لا الإرادة، فیرد</w:t>
      </w:r>
    </w:p>
    <w:p>
      <w:pPr>
        <w:pStyle w:val="BookText"/>
        <w:rPr/>
      </w:pP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ما ذکرنا فی محلّه من أنّ الشوق لیس من مقدّمات الإرادة</w:t>
      </w:r>
      <w:r>
        <w:rPr>
          <w:rStyle w:val="FootnoteAnchor"/>
          <w:rtl w:val="true"/>
        </w:rPr>
        <w:footnoteReference w:id="32"/>
      </w:r>
      <w:r>
        <w:rPr>
          <w:rFonts w:ascii="IRNazanin" w:hAnsi="IRNazanin" w:eastAsia="IRNazanin"/>
          <w:color w:val="111111"/>
          <w:sz w:val="28"/>
          <w:sz w:val="28"/>
          <w:szCs w:val="28"/>
          <w:rtl w:val="true"/>
          <w:lang w:bidi="fa-IR"/>
        </w:rPr>
        <w:t xml:space="preserve">؛ لأنّ الإنسان کثیراً ما یرید بعض الأشیاء مع عدم الاشتیاق إلیه أصلاً، بل ربّما ینزجر عنه کمال الانزجار، کشرب الدواء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سلّمنا ذلک، فلا نسلّم بالنسبة إلی المقدّمات؛ فإنّها لا تکون مشتاقاً إلیها للمرید من حیث المقدّمیة أصلاً، فکیف تتبع ذیها فی الشوق؟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مضافاً إلی أنّه لو لم یکن الشوق فی ذی المقدّمة بالغاً إلی حدّ إرادتها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اعترف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یمکن بلوغه فی المقدّمة إلی حدّ الإرادة مع کونها مرادةً بوصف المقدّمیة؟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بالنسبة إلی ما ذکره فی الإرادة التکوینیة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ذکره فی الإرادة التشریعیة التی هی محلّ النزاع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فیرد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أنّ البعث لیس لإیجاد الداعی للمکلّف إلی الفعل، بل لإیجاد موضوع الإطاعة و العصیان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امتناع انفکاک الانبعاث عن البعث الفعلی و إن کان غیر قابل للمنع أصلاً إلاّ أنّه لو فرض أنّ العبد مبعوث إلی أمر استقبالی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فامتناع تخلّف الانبعاث إنّما هو فی وقت حضوره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فالبعث إلی الأمر الفعلی یمتنع انفکاک الانبعاث الفعلی إلیه، و أمّا البعث إلی الأمر الاستقبالی فالانبعاث بالنسبة إلیه یلحظ فی زمان حضور وقت ذلک الأمر، کما لا یخفی</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إنّه ذکر بعض الأعاظم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فی التقریرات المنسوبة إلیها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مقام امتناع الواجب المعلّق ما 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امتناعه لیس لأجل استحالة تعلّق التکلیف بأمر مستقبل، کیف و الواجبات الشرعیة کلّها من هذا القبیل، و لا لعدم</w:t>
      </w:r>
    </w:p>
    <w:p>
      <w:pPr>
        <w:pStyle w:val="BookText"/>
        <w:rPr/>
      </w:pPr>
      <w:r>
        <w:rPr>
          <w:rFonts w:ascii="IRNazanin" w:hAnsi="IRNazanin" w:eastAsia="IRNazanin"/>
          <w:color w:val="111111"/>
          <w:sz w:val="28"/>
          <w:sz w:val="28"/>
          <w:szCs w:val="28"/>
          <w:rtl w:val="true"/>
          <w:lang w:bidi="fa-IR"/>
        </w:rPr>
        <w:t>إمکان تعلّق الإرادة بأمر مستقبل، فإنّ إمکانه بمکان من الوضوح بحیث لا مجال لإنکاره، بل یستحیل أن لا تتعلّق الإرادة من الملتفت به إذا کان متعلّقاً لغرضه، کما هو واضح، بل امتناعه إنّما هو لکون الأحکام الشرعیة إنّما هو علی نهج القضایا الحقیقیة، و معنی کون القضیّة حقیقیّةً هو أخذ العنوان الملحوظ مرآة لمصادیقه المفروضة الوجود موضوعاً للحکم، فیکون کلّ حکم مشروطاً بوجود الموضوع بما لَه من القیود من غیر فرق بین أن یکون الحکم من الموقّتات أو غیرها، غایته أنّ فی الموقّتات یکون للموضوع قید آخر سوی القیود المعتبرة فی موضوعات سائر الأحکام من العقل و البلوغ و القدرة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ینبغی أن یسأل ممّن قال بالواجب المعلّق أنّه أیّ خصوصیة بالنسبة إلی الوقت حیث قلت بتقدّم الوجوب علیه دون سائر القیود؟</w:t>
      </w:r>
    </w:p>
    <w:p>
      <w:pPr>
        <w:pStyle w:val="BookText"/>
        <w:rPr/>
      </w:pPr>
      <w:r>
        <w:rPr>
          <w:rFonts w:ascii="IRNazanin" w:hAnsi="IRNazanin" w:eastAsia="IRNazanin"/>
          <w:color w:val="111111"/>
          <w:sz w:val="28"/>
          <w:sz w:val="28"/>
          <w:szCs w:val="28"/>
          <w:rtl w:val="true"/>
          <w:lang w:bidi="fa-IR"/>
        </w:rPr>
        <w:t>ولیت شعری ما الفرق بین الاستطاعة فی الحج و الوقت فی الصوم حیث کان وجوب الحج مشروطاً بها و لم یکن وجوب الصوم مشروطاً بالوقت، فإن کان الملاک فی الأوّل هو کونها مأخوذاً قیداً للموضوع و مفروض الوجود، فالوقت أیضاً کذلک، بل الأمر فیه أوضح؛ لأنّه لا یمکن إلاّ أخذه مفروض الوجود؛ لأنّه أمر غیر اختیاری، و کلّ ما هو کذلک لا بدّ أن یؤخذ مفروض الوجود، و یقع فوق دائرة الطلب، و یکون التکلیف بالنسبة إلیه مشروطاً لا مطلقاً، و إلّا یلزم تکلیف العاجز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القول بتقدّم التکلیف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الشأن فی سائر القیود التی یتقدّم التکلیف علیها، کالطهارة و الساتر و غیر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یستلزم محالاً فی محال؛ لأنّه یلزم أوّلاً لزوم تحصیله، کما فی تلک القیود، و المفروض عدم إمکان تحصیله، و ثانیاً تحصیل الحاصل؛ لاستلزامه تحصیل ما هو مفروض الوجود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دعوی إمکان الواجب المعلّق فی القضایا الشرعیة التی تکون</w:t>
      </w:r>
    </w:p>
    <w:p>
      <w:pPr>
        <w:pStyle w:val="BookText"/>
        <w:rPr/>
      </w:pPr>
      <w:r>
        <w:rPr>
          <w:rFonts w:ascii="IRNazanin" w:hAnsi="IRNazanin" w:eastAsia="IRNazanin"/>
          <w:color w:val="111111"/>
          <w:sz w:val="28"/>
          <w:sz w:val="28"/>
          <w:szCs w:val="28"/>
          <w:rtl w:val="true"/>
          <w:lang w:bidi="fa-IR"/>
        </w:rPr>
        <w:t>علی نهج القضایا الحقیقیة فی غایة السقوط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خلاصة ما ذکره المحقّق النائینی علی ما فی التقریرات</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یتوجّه علیه ما عرفت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القیود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قد تتعلّق إرادة المرید بالصلاة فی المسجد مثلاً بمعنی کون مراده هو هذا الأمر المقیّد لأجل دخالة القید فی حصول غرضه، فلا محالة یصیر بصدد تحصیل مطلوبه حتّی لو لم یکن المسجد موجوداً یرید بناءه حتّی یصلّی فیه أو یأمر ببنائه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تتعلّق إرادته بالصلاة علی تقدیر تحقّق المسجد بمعنی أنّه لا یکون طالباً لأصل الصلاة و مریداً لها لکن علی تقدیر وجود المسجد یری نفسه مجبوراً بالإتیان بها لبعض الجهات، فربّما یتوصّل بأسباب مختلفة و وسائط متعدّدة لأجل عدم تحقّق المسجد لعدم کونه مشتاقاً إلی الصلاة مریداً لها أصلاً و لکن علی تقدیر تحقّقه یجبر نفسه علی الإتیان بها فیه، و لهذا نظائر کثیرة، فإنّه قد تتعلّق إرادة الإنسان بضیافة صدیقه مطلقاً، فإنّه لا محالة یصیر بصدد تحصیل مقدّماته حتّی لو لم یکن فی بلده یدعوه إلیه، و قد تتعلّق إرادته بضیافته علی تقدیر مسافرته إلی بلد المضیف و نزوله فی منزله و غیر ذلک من الأمثلة الکثیرة</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الصورة الاُولی من المثالین لا یکون القید مفروض الوجود حتّی یکون التکلیف متأخّراً عنه و ثابتاً علی تقدیر وجوده، بل هو من القیود الواقعة تحت دائرة الطلب لا فوقها لو کان أمراً مقدوراً للمکلّف، کما أنّه لو لم یکن مقدوراً یکون التکلیف ثابتاً قبله و إن لم یکن متوجّهاً إلیه أصلاً، و هذا هو الفرق بین الاستطاعة فی الحجّ و الوقت فی الصوم</w:t>
      </w:r>
      <w:r>
        <w:rPr>
          <w:rFonts w:eastAsia="IRNazanin" w:cs="IRNazanin"/>
          <w:color w:val="111111"/>
          <w:sz w:val="28"/>
          <w:szCs w:val="28"/>
          <w:rtl w:val="true"/>
          <w:lang w:bidi="fa-IR"/>
        </w:rPr>
        <w:t>.</w:t>
      </w:r>
      <w:bookmarkStart w:id="85" w:name="pg11586_104641"/>
    </w:p>
    <w:p>
      <w:pPr>
        <w:pStyle w:val="BookText"/>
        <w:rPr/>
      </w:pPr>
      <w:bookmarkEnd w:id="85"/>
      <w:r>
        <w:rPr>
          <w:rFonts w:ascii="IRNazanin" w:hAnsi="IRNazanin" w:eastAsia="IRNazanin"/>
          <w:color w:val="111111"/>
          <w:sz w:val="28"/>
          <w:sz w:val="28"/>
          <w:szCs w:val="28"/>
          <w:rtl w:val="true"/>
          <w:lang w:bidi="fa-IR"/>
        </w:rPr>
        <w:t>و ما ذکره من لزوم تحصیل الحاصل،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یؤخذ مفروض الوجود حتّی یلزم ذلک،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فإمکان الواجب المعلّق فی الشرعیات و إن کانت الأحکام علی نهج القضایا الحقیقیة بمکان من الوضوح؛ لما عرفت من عدم الاستحالة بشیء من الوجوه التی ذکروها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فیما لو علم رجوع القید الواقع فی الکلام إلی الهیئة أو المادّة</w:t>
      </w:r>
      <w:r>
        <w:rPr>
          <w:rFonts w:eastAsia="IRNazanin" w:cs="IRNazanin"/>
          <w:color w:val="111111"/>
          <w:sz w:val="28"/>
          <w:szCs w:val="28"/>
          <w:rtl w:val="true"/>
          <w:lang w:bidi="fa-IR"/>
        </w:rPr>
        <w:t>.</w:t>
      </w:r>
    </w:p>
    <w:p>
      <w:pPr>
        <w:pStyle w:val="Heading5"/>
        <w:numPr>
          <w:ilvl w:val="4"/>
          <w:numId w:val="1"/>
        </w:numPr>
        <w:rPr/>
      </w:pPr>
      <w:bookmarkStart w:id="86" w:name="__RefHeading___Toc5145665_73709187"/>
      <w:bookmarkStart w:id="87" w:name="_Toc32"/>
      <w:bookmarkEnd w:id="86"/>
      <w:r>
        <w:rPr>
          <w:rtl w:val="true"/>
        </w:rPr>
        <w:t>حول ما تردّد القید بین رجوعه إلی المادّة أو الهیئة</w:t>
      </w:r>
      <w:bookmarkEnd w:id="87"/>
    </w:p>
    <w:p>
      <w:pPr>
        <w:pStyle w:val="BookText"/>
        <w:rPr/>
      </w:pPr>
      <w:r>
        <w:rPr>
          <w:rFonts w:ascii="IRNazanin" w:hAnsi="IRNazanin" w:eastAsia="IRNazanin"/>
          <w:color w:val="111111"/>
          <w:sz w:val="28"/>
          <w:sz w:val="28"/>
          <w:szCs w:val="28"/>
          <w:rtl w:val="true"/>
          <w:lang w:bidi="fa-IR"/>
        </w:rPr>
        <w:t>و لو شکّ فی رجوع القید و دار الأمر بین رجوعه إلی الهیئة أو المادّة و لم یکن فی اللّفظ ما یقتضی الرجوع إلی أحدهما معیّناً، فقد قیل بترجیح تقیید المادّة و إبقاء إطلاق الهیئة علی حاله؛ لأنّ الإطلاق فی جانب الهیئة یکون شمولیاً، بخلاف جانب المادّة؛ فإنّ إطلاقها یکون بدلیاً، فإنّ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 زیداً إن جاءک، لو کان القید فیه راجعاً إلی المادّة یکون وجوب الإکرام ثابتاً علی جمیع التقادیر التی یمکن أن یکون تقدیراً له، کما أنّه لو رجع إلی الهیئة یکون صرف وجود الإکرام واجباً، و هذا معنی الشمول و البدلیة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أنّه لو دار الأمر بین تقیید الإطلاق الشمولی و الإطلاق البدلی، یکون الترجیح مع الثانی؛ لأنّ الإطلاق البدلی لا یشمل الفردین فی حالة واحدة کما لا یخفی‌</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88" w:name="__RefHeading___Toc5145667_73709187"/>
      <w:bookmarkStart w:id="89" w:name="_Toc33"/>
      <w:bookmarkEnd w:id="88"/>
      <w:r>
        <w:rPr>
          <w:rtl w:val="true"/>
        </w:rPr>
        <w:t>أقول</w:t>
      </w:r>
      <w:r>
        <w:rPr>
          <w:rtl w:val="true"/>
        </w:rPr>
        <w:t xml:space="preserve">: </w:t>
      </w:r>
      <w:r>
        <w:rPr>
          <w:rtl w:val="true"/>
        </w:rPr>
        <w:t>ینبغی أن نتکلّم فی مقامین</w:t>
      </w:r>
      <w:r>
        <w:rPr>
          <w:rtl w:val="true"/>
        </w:rPr>
        <w:t>:</w:t>
      </w:r>
      <w:bookmarkEnd w:id="89"/>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ذکروه فی باب المطلق و المقیّد من معنی الإطلاق الشمولی و البدلی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جریان ذلک فی المقام علی تقدیر صحّته و عدم جریانه</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الکلام فی 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فملخّصه أنّ معنی الإطلاق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حقّق فی محلّه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کون الکلام مقیّداً بقید، کما أنّ معنی المقیّد خلافه</w:t>
      </w:r>
      <w:r>
        <w:rPr>
          <w:rStyle w:val="FootnoteAnchor"/>
          <w:rtl w:val="true"/>
        </w:rPr>
        <w:footnoteReference w:id="35"/>
      </w:r>
      <w:r>
        <w:rPr>
          <w:rFonts w:ascii="IRNazanin" w:hAnsi="IRNazanin" w:eastAsia="IRNazanin"/>
          <w:color w:val="111111"/>
          <w:sz w:val="28"/>
          <w:sz w:val="28"/>
          <w:szCs w:val="28"/>
          <w:rtl w:val="true"/>
          <w:lang w:bidi="fa-IR"/>
        </w:rPr>
        <w:t>، و حینئذٍ فإذا تکلّم بکلام مع عدم التقیید بقید، فیحمل علی أنّ مراده هو المطلق؛ لأنّ التکلّم من الأفعال الاختیاریة الصادرة عن المتکلّم کسائر أفعاله الاختیاریة، فمع عدم التقیید یحمل علی الإطلاق؛ لأنّه لو کان مراده المقیّد، یلزم علیه التقیید بعد کونه فاعلاً مختاراً غیر مکره، و معنی الإطلاق کما عرفت هو عدم التقیید، فإذا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أعتق رقبة، و لم یقیّدها بالمؤمنة، فیحمل علی أنّ مراده هو طبیعة الرقبة بمعنی أنّ ما لَه دخلٌ فی تحقّق غرضه هی هذه الطبیعة المطلقة المرسلة غیر المتقیّدة بقید أصلاً، و حینئذٍ فما ذکروه من الإطلاق الشمولی</w:t>
      </w:r>
      <w:r>
        <w:rPr>
          <w:rStyle w:val="FootnoteAnchor"/>
          <w:rtl w:val="true"/>
        </w:rPr>
        <w:footnoteReference w:id="36"/>
      </w:r>
      <w:r>
        <w:rPr>
          <w:rFonts w:ascii="IRNazanin" w:hAnsi="IRNazanin" w:eastAsia="IRNazanin"/>
          <w:color w:val="111111"/>
          <w:sz w:val="28"/>
          <w:sz w:val="28"/>
          <w:szCs w:val="28"/>
          <w:rtl w:val="true"/>
          <w:lang w:bidi="fa-IR"/>
        </w:rPr>
        <w:t>لم یعلم له وجه؛ لأنّه لیس فی الإطلاق بما ذکرناه من المعنی شمول أصلاً، فإنّ بین الشمول و بین کون الموضوع هی الطبیعة مع عدم القید بون بعید فإنّه فرق بین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أعتق کلّ رقبة،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أعتق رقبة، فإنّ المطلوب فی الأوّل هو ما یشمل جمیع الأفراد، بخلاف الثانی؛ فإنّ المطلوب فیه لیس إلاّ نفس الطبیعة المرسلة المحمولة علی الإطلاق من حیث صدورها من الفاعل المختار غیر متقیّدة بقید لا من حیث دلالة اللّفظ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فلیس فی الطبیعة المحمولة علی الإطلاق شمول أصلاً؛ فإنّ لفظ الإنسان لا یحکی إلاّ عن نفس طبیعته، و اتّحادها مع الأفراد فی الخارج لا یوجب کون اللّفظ موضوعاً بإزائها، فإنّ مسألة الوضع غیر مسألة الاتحاد فی التحقّق، فحمل لفظ الإنسان علی إطلاقه لا یوجب إلاّ أن یکون المراد هی نفس طبیعته، لا الشمول لأفراده بعد عدم کون اللّفظ موضوعاً بإزائها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فی الإطلاق الشمولی، و أمّا الإطلاق البدلی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فکذلک، غایة الأمر أنّ البدلیة تستفاد من دالّ آخر، کالتنوین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أکرم عالماً، فإنّ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یدلّ إلاّ علی طبیعته، و التنوین یدلّ علی وحدته، و تفصیل الکلام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الکلام فی 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فملخّصه أنّه و لو سلّمنا الإطلاق الشمولی بالمعنی الذی ذکروه، فلا نسلّم جریانه فی المقام أصلاً؛ فإنّ مرجع الإطلاق الشمولی إلی الاستغراق، و لا یعقل تعلّق البعث التأسیسی بطبیعة واحدة متکرّراً، کما أنّه لا یعقل تعلّق إرادات متعدّدة بمراد واحد؛ لأنّ تشخّص الإرادة إنّما هو بالمراد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فمرجع الإطلاق الشمولی فی جانب البعث إلی الأبعاث المتعدّدة، و لا یمکن أن یکون متعلّقها أمراً واحداً، کما هو المفروض فی المقام</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لو سلّم جریان الإطلاق الشمولی فیما نحن فیه، فما المرجّح لإبقائه علی حاله و تقیید الإطلاق البدلی؟ بعد ما عرفت من أنّ البدلیّة تستفاد من دالّ آخر، کالتنوین فی المثال المتقدّم فإنّ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 عالماً، یحمل علی الإطلاق؛ لعدم کون القید مذکوراً معه بعد کون المتکلّم فاعلاً مختاراً، و هذا بعینه موجود فی الإطلاق الشمولی، غایة الأمر أنّ التنوین یدلّ علی البدلیّة فی القسم الأوّل، فلا ترجیح لتقیید أحد الإطلاقین علی تقیید الآخر أصلاً، کما لا یخفی</w:t>
      </w:r>
      <w:r>
        <w:rPr>
          <w:rFonts w:eastAsia="IRNazanin" w:cs="IRNazanin"/>
          <w:color w:val="111111"/>
          <w:sz w:val="28"/>
          <w:szCs w:val="28"/>
          <w:rtl w:val="true"/>
          <w:lang w:bidi="fa-IR"/>
        </w:rPr>
        <w:t>.</w:t>
      </w:r>
      <w:bookmarkStart w:id="90" w:name="pg11586_104644"/>
    </w:p>
    <w:p>
      <w:pPr>
        <w:pStyle w:val="Heading4"/>
        <w:numPr>
          <w:ilvl w:val="3"/>
          <w:numId w:val="1"/>
        </w:numPr>
        <w:rPr/>
      </w:pPr>
      <w:bookmarkStart w:id="91" w:name="__RefHeading___Toc5145669_73709187"/>
      <w:bookmarkStart w:id="92" w:name="_Toc34"/>
      <w:bookmarkEnd w:id="90"/>
      <w:bookmarkEnd w:id="91"/>
      <w:r>
        <w:rPr>
          <w:rtl w:val="true"/>
        </w:rPr>
        <w:t>الأمر السادس فی الواجب النفسی و الغیری</w:t>
      </w:r>
      <w:bookmarkEnd w:id="92"/>
    </w:p>
    <w:p>
      <w:pPr>
        <w:pStyle w:val="Heading5"/>
        <w:numPr>
          <w:ilvl w:val="4"/>
          <w:numId w:val="1"/>
        </w:numPr>
        <w:rPr/>
      </w:pPr>
      <w:bookmarkStart w:id="93" w:name="__RefHeading___Toc5145671_73709187"/>
      <w:bookmarkStart w:id="94" w:name="_Toc35"/>
      <w:bookmarkEnd w:id="93"/>
      <w:r>
        <w:rPr>
          <w:rtl w:val="true"/>
        </w:rPr>
        <w:t>اشارة</w:t>
      </w:r>
      <w:bookmarkEnd w:id="94"/>
    </w:p>
    <w:p>
      <w:pPr>
        <w:pStyle w:val="BookText"/>
        <w:rPr/>
      </w:pPr>
      <w:r>
        <w:rPr>
          <w:rFonts w:ascii="IRNazanin" w:hAnsi="IRNazanin" w:eastAsia="IRNazanin"/>
          <w:color w:val="111111"/>
          <w:sz w:val="28"/>
          <w:sz w:val="28"/>
          <w:szCs w:val="28"/>
          <w:rtl w:val="true"/>
          <w:lang w:bidi="fa-IR"/>
        </w:rPr>
        <w:t>و الکلام فیه یقع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الإرادة المتعلّقة بالأفعال أعمّ من إرادة الفاعل، و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البعث الصادر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الکلام فی 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فملخّصه أنّ إرادة الفاعل لا تتعلّق أوّلاً إلاّ بما هو محبوب له بالذات و معشوق له بنفسه، و الإرادات المتعلّقة بمقدّمات حصول ذلک المحبوب الأوّلی إنّما هی فی طول تلک الإرادة المتعلّقة به، و متأخرة عنها و مترشّحة منها، لا بمعنی کونها علّةً موجدة لها، فإنّ ذلک لا یعقل کما مرّ مراراً، بل بمعنی أنّ تعلّق الاشتیاق بمراداتها إنّما هو لتحصیل الغرض الأقصی و المطلوب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فأکثر الإرادات المتعلّقة بالأفعال الصادرة من البشر بل کلّها إنّما هو لتحصیل ما یکون مراداً بالذات و مشتاقاً إلیه بنفسه، و هی اللّذة و الاستراحة، کما لا یخفی، و کذا یقال فی إرادة الآمر بلا فرق بینهما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الکلام فی 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المقصود بالأصالة فی هذا المقام، إذ التقسیم إنّما هو للواجب باعتبار الوجوب، و قد عرفت أنّه لا یکون عبارةً عن مجرّد الإرادة المظهرة، بل إنّما هو عبارة عن البعث الصادر من الآمر، فملخّصه</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البعث إلی شیء إن کان للتوصّل إلی حصول ما یکون متعلّقاً للبعث الآخر، 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فوق هذا البعث بعث آخر یکون الغرض منه التوصّل إلی حصول المبعوث إلیه بالبعث الأوّلی، فهو واجب غیری، و إن لم یکن الغرض</w:t>
      </w:r>
      <w:bookmarkStart w:id="95" w:name="pg11586_104645"/>
    </w:p>
    <w:p>
      <w:pPr>
        <w:pStyle w:val="BookText"/>
        <w:rPr/>
      </w:pPr>
      <w:bookmarkEnd w:id="95"/>
      <w:r>
        <w:rPr>
          <w:rFonts w:ascii="IRNazanin" w:hAnsi="IRNazanin" w:eastAsia="IRNazanin"/>
          <w:color w:val="111111"/>
          <w:sz w:val="28"/>
          <w:sz w:val="28"/>
          <w:szCs w:val="28"/>
          <w:rtl w:val="true"/>
          <w:lang w:bidi="fa-IR"/>
        </w:rPr>
        <w:t>الباعث الداعی علی البعث الوصول إلی مبعوث إلیه ببعث آخر، فالواجب واجب نفسی</w:t>
      </w:r>
      <w:r>
        <w:rPr>
          <w:rFonts w:eastAsia="IRNazanin" w:cs="IRNazanin"/>
          <w:color w:val="111111"/>
          <w:sz w:val="28"/>
          <w:szCs w:val="28"/>
          <w:rtl w:val="true"/>
          <w:lang w:bidi="fa-IR"/>
        </w:rPr>
        <w:t>.</w:t>
      </w:r>
    </w:p>
    <w:p>
      <w:pPr>
        <w:pStyle w:val="Heading5"/>
        <w:numPr>
          <w:ilvl w:val="4"/>
          <w:numId w:val="1"/>
        </w:numPr>
        <w:rPr/>
      </w:pPr>
      <w:bookmarkStart w:id="96" w:name="__RefHeading___Toc5145673_73709187"/>
      <w:bookmarkStart w:id="97" w:name="_Toc36"/>
      <w:bookmarkEnd w:id="96"/>
      <w:r>
        <w:rPr>
          <w:rtl w:val="true"/>
        </w:rPr>
        <w:t>مقتضی الأصل اللفظی فی المقام</w:t>
      </w:r>
      <w:bookmarkEnd w:id="97"/>
    </w:p>
    <w:p>
      <w:pPr>
        <w:pStyle w:val="Heading6"/>
        <w:numPr>
          <w:ilvl w:val="5"/>
          <w:numId w:val="1"/>
        </w:numPr>
        <w:rPr/>
      </w:pPr>
      <w:bookmarkStart w:id="98" w:name="__RefHeading___Toc5145675_73709187"/>
      <w:bookmarkStart w:id="99" w:name="_Toc37"/>
      <w:bookmarkEnd w:id="98"/>
      <w:r>
        <w:rPr>
          <w:rtl w:val="true"/>
        </w:rPr>
        <w:t>اشارة</w:t>
      </w:r>
      <w:bookmarkEnd w:id="99"/>
    </w:p>
    <w:p>
      <w:pPr>
        <w:pStyle w:val="BookText"/>
        <w:rPr/>
      </w:pPr>
      <w:r>
        <w:rPr>
          <w:rFonts w:ascii="IRNazanin" w:hAnsi="IRNazanin" w:eastAsia="IRNazanin"/>
          <w:color w:val="111111"/>
          <w:sz w:val="28"/>
          <w:sz w:val="28"/>
          <w:szCs w:val="28"/>
          <w:rtl w:val="true"/>
          <w:lang w:bidi="fa-IR"/>
        </w:rPr>
        <w:t>ثمّ إنّه لو دار الأمر بینهما و تردّد بین أن یکون هو الواجب النفسی أو الغیری و لم یکن فی البین ما یدلّ علی أحدهما، فقد یقال بأنّ مقتضی الإطلاق هو الحمل علی الواجب النفسی؛ لأنّ غیره یحتاج إلی خصوصیة زائدة، و هی کون المقصود منه التوصّل إلی شیء آخر، و أمّا النفسیة فلا یزید علی أصل الوجوب، فالإطلاق یقتضی تعیینه</w:t>
      </w:r>
      <w:r>
        <w:rPr>
          <w:rStyle w:val="FootnoteAnchor"/>
          <w:rtl w:val="true"/>
        </w:rPr>
        <w:footnoteReference w:id="3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ما لا یخفی من الضعف؛ فإنّه لا إشکال فی أنّ الواجب النفسی و الغیری قسمان لطبیعة الواجب، و لا یعقل أن یکون أحد الأقسام عین المقسم، بل لا بدّ أن یکون لها خصوصیة زائدة علی أصل المقسم وجودیةً کانت أو عدمیةً</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ینبغی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حیث کانت الحجّة من قِبَل المولی تامّةً غیر محتاجة إلی شیء آخر، فهی قاطعة للعذر بالنسبة إلی العبد، و یصحّ للمولی الاحتجاج بها علیه، فلا محالة تحتاج إلی الجواب، کما مرّ نظیره فی مبحث دلالة صیغة الأمر علی الوجوب، فلو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ائتنی بالماء، و شک فی أنّ المقصود هو مجرّد تمکّنه من الماء أو استعماله فی الوضوء فتوضّأ، فمجرّد احتمال أن یکون المقصود استعماله فی الوضوء، فلم یبق له موضوع لفرض التوضّی بماء آخر لا یصحّح الاحتجاج به علی المولی بعد تمامیة الحجّة من قِبَله، بل اللازم تحصیل الماء للمولی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یثبت بما ذکرنا کون الواجب واجباً نفسیاً حتّی یترتّب</w:t>
      </w:r>
    </w:p>
    <w:p>
      <w:pPr>
        <w:pStyle w:val="BookText"/>
        <w:rPr/>
      </w:pPr>
      <w:r>
        <w:rPr>
          <w:rFonts w:ascii="IRNazanin" w:hAnsi="IRNazanin" w:eastAsia="IRNazanin"/>
          <w:color w:val="111111"/>
          <w:sz w:val="28"/>
          <w:sz w:val="28"/>
          <w:szCs w:val="28"/>
          <w:rtl w:val="true"/>
          <w:lang w:bidi="fa-IR"/>
        </w:rPr>
        <w:t>علیه ما یترتّب علی هذا العنوان،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یخفی أنّ التقسیم إلی النفسی و الغیری لیس تقسیماً للواجب بمعنی کون الوجوب أمراً جامعاً بینهما، کیف و قد عرفت أنّ الحروف بتمامها یکون الوضع فیها عامّاً و الموضوع له خاصّاً، فکیف یمکن أن یکون مدلول الهیئة أمراً جامعاً بین القسمین؟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التقسیم لأجل اختلاف الداعی، بمعنی أنّ الداعی إلی البعث إلی شیء قد یکون للتوصّل إلی شیء آخر و قد لا یکون، و إلّا فالبعث أمر واحد لا یختلف فی القسمین أصلاً، کما هو الشأن فی الوجوب و الاستحباب، فإنّهما لیسا من أقسام الطلب و البعث بمعنی أن یکون البعث علی نحوین، بل البعث الصادر عن إرادة حتمیة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الوجوب، کما أنّ البعث الصادر عن إرادة غیر حتمیة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الاستحباب، فتأمّل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بعض الأعاظم من المعاصرین ذکر فیما لو شکّ فی واجب أنّه نفسی أو غیری ما ملخّصه بالنسبة إلی الأصل اللفظی أنّه لمّا کان الواجب الغیری وجوبه مترشّحاً عن وجوب الغیر، کان وجوبه مشروطاً بوجوب الغیر، کما أنّ نفس غیر الواجب یکون وجوده مشروطاً بنفس الواجب الغیری، فیکون وجوب الغیر من المقدّمات الوجوبیة للواجب الغیری، و وجود الواجب الغیری من المقدّمات الوجودیة لنفس ذلک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وجوب الوضوء مشروطاً بوجوب الصلاة، و تکون نفس الصلاة مشروطةً بوجود الوضوء، و حینئذٍ یکون مرجع الشکّ فی النفسیة و الغیریة إلی شکّین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فی تقیید وجوبه بوجوب الغیر، 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فی تقیید مادّة الغیر به</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ذلک،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هناک إطلاقاً فی کلا طرفی الغیر و الواجب الغیری، کما إذا کان دلیل الصلاة مطلقاً لم یأخذ الوضوء قیداً لها، و دلیل إیجاب</w:t>
      </w:r>
      <w:bookmarkStart w:id="100" w:name="pg11586_104647"/>
    </w:p>
    <w:p>
      <w:pPr>
        <w:pStyle w:val="BookText"/>
        <w:rPr/>
      </w:pPr>
      <w:bookmarkEnd w:id="100"/>
      <w:r>
        <w:rPr>
          <w:rFonts w:ascii="IRNazanin" w:hAnsi="IRNazanin" w:eastAsia="IRNazanin"/>
          <w:color w:val="111111"/>
          <w:sz w:val="28"/>
          <w:sz w:val="28"/>
          <w:szCs w:val="28"/>
          <w:rtl w:val="true"/>
          <w:lang w:bidi="fa-IR"/>
        </w:rPr>
        <w:t>الوضوء کذلک لم یقیّد وجوبه بوجوب الصلاة، فلا إشکال فی صحّة التمسّک بکلٍّ من الإطلاقین، و تکون النتیجة هو الوجوب النفسی و لو کان لأحدهما فقط إطلاق یکفی فی إثبات الوجوب النفسی أیضاً؛ لأنّ مثبتات الاُصول اللفظیة حجّة</w:t>
      </w:r>
      <w:r>
        <w:rPr>
          <w:rStyle w:val="FootnoteAnchor"/>
          <w:rtl w:val="true"/>
        </w:rPr>
        <w:footnoteReference w:id="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ملخّص ما فی التقریرات المنسوبة إلیه</w:t>
      </w:r>
      <w:r>
        <w:rPr>
          <w:rFonts w:eastAsia="IRNazanin" w:cs="IRNazanin"/>
          <w:color w:val="111111"/>
          <w:sz w:val="28"/>
          <w:szCs w:val="28"/>
          <w:rtl w:val="true"/>
          <w:lang w:bidi="fa-IR"/>
        </w:rPr>
        <w:t>.</w:t>
      </w:r>
    </w:p>
    <w:p>
      <w:pPr>
        <w:pStyle w:val="Heading6"/>
        <w:numPr>
          <w:ilvl w:val="5"/>
          <w:numId w:val="1"/>
        </w:numPr>
        <w:rPr/>
      </w:pPr>
      <w:bookmarkStart w:id="101" w:name="__RefHeading___Toc5145677_73709187"/>
      <w:bookmarkStart w:id="102" w:name="_Toc38"/>
      <w:bookmarkEnd w:id="101"/>
      <w:r>
        <w:rPr>
          <w:rtl w:val="true"/>
        </w:rPr>
        <w:t>و لکن هذا الکلام مخدوش من وجوه</w:t>
      </w:r>
      <w:r>
        <w:rPr>
          <w:rtl w:val="true"/>
        </w:rPr>
        <w:t>:</w:t>
      </w:r>
      <w:bookmarkEnd w:id="102"/>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 عرفت فیما تقدّم أنّه لا یعقل کون وجوب المقدّمة مترشّحاً من وجوب ذیها بمعنی أن یکون الثانی علّةً موجدة للأوّل، کما هو معنی الترشّح، کما أنّه لا یعقل ترشّح الإرادة المتعلّقة بالمقدّمة من الإرادة المتعلّقة بذیها، و هذا واضح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ذکره من أنّه حیث کان وجوب المقدّمة مترشّحاً من وجوب ذیها، فلا محالة یکون مشروطاً به، محلّ نظر بل منع؛ لأنّه لو سلّم الترشّح و النشو، فلا نسلّم کونه مشروطاً به، بل لا یعقل؛ لأنّ معنی الترشّح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کون المترشّح معلولاً للمترشّح منه، و حینئذٍ فاشتراط المعلول بوجود العلّة إن کان فی حال انتفاء المعلول، فبطلانه أظهر من أن یخفی؛ لأنّ الاشتراط وصف وجودی لا یعقل عروضه للمعدوم أصلاً، و إن کان فی حال وجوده، فانتزاع المعلولیة منه إنّما هو فی الرتبة المتأخّرة عن الاشتراط، و من المعلوم خلافه</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ذکره من أنّه یکون وجود الغیر مشروطاً بوجود الواجب الغیری بمعنی أنّ المقصود من الغیر هو تحقّقه مقیّداً بذلک الواجب الغیری، فلا یتمّ علی إطلاقه و إن کان فی المثال صحیحاً؛ لأنّه لو فرض أنّ المولی أمر بنصب السلّم و شکّ فی أنّ وجوبه هل یکون نفسیاً أو غیریاً، فإنّه و لو سلّم</w:t>
      </w:r>
      <w:bookmarkStart w:id="103" w:name="pg11586_104648"/>
    </w:p>
    <w:p>
      <w:pPr>
        <w:pStyle w:val="BookText"/>
        <w:rPr/>
      </w:pPr>
      <w:bookmarkEnd w:id="103"/>
      <w:r>
        <w:rPr>
          <w:rFonts w:ascii="IRNazanin" w:hAnsi="IRNazanin" w:eastAsia="IRNazanin"/>
          <w:color w:val="111111"/>
          <w:sz w:val="28"/>
          <w:sz w:val="28"/>
          <w:szCs w:val="28"/>
          <w:rtl w:val="true"/>
          <w:lang w:bidi="fa-IR"/>
        </w:rPr>
        <w:t>أنّه بناءً علی الغیریة یکون وجوبه مترشّحاً من وجوب الکون علی السطح مشروطاً به، و لکن لا نسلّم أنّ المقصود من الأمر بالکون علی السطح هو الکون علیه مقیّداً بنصب السلّم، کما کانت الصلاة مشروطةً بالطهارة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ذکره من کون مثبتات الاُصول اللفظیة حجّةً دون الاُصول العملیّة، لیس مبرهناً علیه، بل یکون محلّ شکّ و ریبة، و سیجیء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فیما یتعلّق بما ذکره البعض المتقدّم فیما یقتضیه الاُصول اللفظیة التی لا مجال معها للاُصول العملیة أصلاً</w:t>
      </w:r>
      <w:r>
        <w:rPr>
          <w:rFonts w:eastAsia="IRNazanin" w:cs="IRNazanin"/>
          <w:color w:val="111111"/>
          <w:sz w:val="28"/>
          <w:szCs w:val="28"/>
          <w:rtl w:val="true"/>
          <w:lang w:bidi="fa-IR"/>
        </w:rPr>
        <w:t>.</w:t>
      </w:r>
    </w:p>
    <w:p>
      <w:pPr>
        <w:pStyle w:val="Heading5"/>
        <w:numPr>
          <w:ilvl w:val="4"/>
          <w:numId w:val="1"/>
        </w:numPr>
        <w:rPr/>
      </w:pPr>
      <w:bookmarkStart w:id="104" w:name="__RefHeading___Toc5145679_73709187"/>
      <w:bookmarkStart w:id="105" w:name="_Toc39"/>
      <w:bookmarkEnd w:id="104"/>
      <w:r>
        <w:rPr>
          <w:rtl w:val="true"/>
        </w:rPr>
        <w:t>مقتضی الأصل العملی فی المقام</w:t>
      </w:r>
      <w:bookmarkEnd w:id="105"/>
    </w:p>
    <w:p>
      <w:pPr>
        <w:pStyle w:val="BookText"/>
        <w:rPr/>
      </w:pPr>
      <w:r>
        <w:rPr>
          <w:rFonts w:ascii="IRNazanin" w:hAnsi="IRNazanin" w:eastAsia="IRNazanin"/>
          <w:color w:val="111111"/>
          <w:sz w:val="28"/>
          <w:sz w:val="28"/>
          <w:szCs w:val="28"/>
          <w:rtl w:val="true"/>
          <w:lang w:bidi="fa-IR"/>
        </w:rPr>
        <w:t>و أمّا بالنسبة إلی الاُصول العملیّة، فذکر للمسألة صوراً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علم بوجوب کلٍّ من الغیر و الغیری من دون أن یکون وجوب الغیر مشروطاً بشرط غیر حاصل، کما إذا علم بعد الزوال بوجوب کلٍّ من الوضوء و الصلاة و شکّ فی وجوب الوضوء من حیث کونه غیریّاً أو نفسیّاً، ففی هذه الصورة یرجع الشکّ إلی الشکّ فی تقیید الصلاة بالوضوء، فیکون من باب الأقلّ و الأکثر الارتباطی، و أصالة البراءة نافیة للشرطیة، فمن هذه الجهة تکون النتیجةُ النفسیةَ، و أمّا من جهة تقیید وجوب الوضوء بوجوب الصلاة فلا أثر لها؛ للعلم بوجوبه علی کلّ حال نفسیّاً کان أو غیریّاً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ربّما یثمر فی وحدة العقاب و تعدّده عند ترکه لکلٍّ من الوضوء و الصلاة، و لیس کلامنا الآن فی العقاب</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الصورة الاُولی و لکن کان وجوب الغیر مشروطاً بشرط غیر حاصل، کالمثال المتقدّم فیما إذا علم قبل الزوال، فحینئذٍ یرجع الشکّ</w:t>
      </w:r>
    </w:p>
    <w:p>
      <w:pPr>
        <w:pStyle w:val="BookText"/>
        <w:rPr/>
      </w:pPr>
      <w:r>
        <w:rPr>
          <w:rFonts w:ascii="IRNazanin" w:hAnsi="IRNazanin" w:eastAsia="IRNazanin"/>
          <w:color w:val="111111"/>
          <w:sz w:val="28"/>
          <w:sz w:val="28"/>
          <w:szCs w:val="28"/>
          <w:rtl w:val="true"/>
          <w:lang w:bidi="fa-IR"/>
        </w:rPr>
        <w:t>فی غیریّة الوضوء و نفسیّته إلی الشکّ فی اشتراطه بالزوال و عدمه؛ إذ لو کان واجباً غیریّاً، یکون مشروطاً بالزوال، کالصلاة، و حینئذٍ فمقتضی الأصل العملی هو الاشتراط؛ للشکّ فی وجوبه قبل الزوال، کما أنّ أصالة البراءة تنفی تقیید الصلاة بالوضوء، و لا منافاة بین إجراء البراءة لنفی وجوبه قبل الزوال و بین إجرائها لنفی قیدیّته للصلاة،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علم بوجوب ما شکّ فی غیریّته و لکن شکّ فی وجوب الغیر، کما إذا شکّ فی وجوب الصلاة و علم بوجوب الوضوء و لکن شکّ فی کونه غیریّاً حتّی لا یجب؛ لعدم وجوب الصلاة بمقتضی البراءة، أو نفسیّاً حتّی یجب، و الأقوی فی هذه الصورة وجوب الوضوء؛ لأنّ المقام یکون من التوسّط فی التنجیز الذی علیه یبتنی جریان البراءة فی الأقلّ و الأکثر الارتباطی</w:t>
      </w:r>
      <w:r>
        <w:rPr>
          <w:rStyle w:val="FootnoteAnchor"/>
          <w:rtl w:val="true"/>
        </w:rPr>
        <w:footnoteReference w:id="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انتهی ملخّصاً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 ما ذکره فی القسم الأوّل منافٍ لما ذهب إلیه فی مبحث الأقلّ و الأکثر الارتباطی</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یظهر من الشیخ فی الرسائل فی ذلک المبحث جریان البراءة بالنسبة إلی وجوب الأکثر؛ لأنّ العلم الإجمالی بوجوب الأقلّ و الأکثر ینحلّ إلی علم تفصیلی بوجوب الأقلّ و شکّ بدویّ فی وجوب الأکثر؛ لأنّ الأقلّ واجب علی کلّ حال، سواء کان الأکثر واجباً أم لم یکن، غایة الأمر أنّ وجوبه فی الأوّل غیریّ، و فی الثانی نفسی، فیکون وجوب الأکثر مورداً لجریان البراءة</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اعترض علیه المحقّق الخراسانی فی الکفایة بما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وجوب الأقلّ علی کلّ تقدیر یتوقّف علی تنجّز التکلیف علی کلّ تقدیر، سواء کان متعلّقاً بالأقلّ أو بالأکثر، فإنّه لو لم یتنجّز التکلیف بالأکثر علی تقدیر تعلّقه به، لم یجب الإتیان بالأقلّ أیضاً؛ لأنّ وجوبه إنّما یکون بتبع وجوب الأکثر، کما هو واضح، فلو لم یکن الأمر المتعلّق به منجّزاً، لم یلزم الإتیان بالأقلّ أیضاً، فوجوب الإتیان به علی کلّ تقدیر یتوقّف علی وجوب الإتیان بالأکثر علی کلّ تقدیر، فیلزم من وجوب الأقلّ علی کلّ تقدیر عدم وجوبه علی کلّ تقدیر، و ما یلزم من وجوبه عدمه محال</w:t>
      </w:r>
      <w:r>
        <w:rPr>
          <w:rStyle w:val="FootnoteAnchor"/>
          <w:rtl w:val="true"/>
        </w:rPr>
        <w:footnoteReference w:id="4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أورد علیه المحقّق النائینی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فی التقریرات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مبنیّ علی أن یکون وجوب الأقلّ مقدّمیّاً علی تقدیر تعلّق التکلیف بالأکثر، فیستقیم حینئذٍ ما أفاده من عدم الانحلال</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 لا تری أنّه لو علم إجمالاً بوجوب نصب السلّم أو الصعود علی السطح و تردّد وجوب الأوّل بین کونه نفسیّاً أو غیریّاً متولّداً من وجوب الثانی، فالعلم التفصیلی بوجوب نصب السلّم لا یوجب انحلال العلم الإجمالی بوجوب النصب أو الصعود، فإنّ العلم التفصیلی بوجوبه یتوقّف علی وجوب الصعود علی السطح؛ إذ مع عدم الوجوب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لازم الانحلال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یعلم تفصیلاً بوجوب النصب؛ لاحتمال أن یکون وجوبه غیریّاً متولّداً من وجوب الصعود، و ذلک کلّه واضح، إلاّ أنّ المقام لیس من هذا القبیل؛ لما عرفت من أنّ وجوب الأقلّ علی تقدیر تولّده من وجوب الأکثر لا یکون غیریّاً، فإنّ الأجزاء إنّما تجب بعین وجوب الکلّ، و لا یمکن أن یجتمع فی الأجزاء کلٌّ من الوجوب النفسی و الغیری، فحینئذٍ</w:t>
      </w:r>
    </w:p>
    <w:p>
      <w:pPr>
        <w:pStyle w:val="BookText"/>
        <w:rPr/>
      </w:pPr>
      <w:r>
        <w:rPr>
          <w:rFonts w:ascii="IRNazanin" w:hAnsi="IRNazanin" w:eastAsia="IRNazanin"/>
          <w:color w:val="111111"/>
          <w:sz w:val="28"/>
          <w:sz w:val="28"/>
          <w:szCs w:val="28"/>
          <w:rtl w:val="true"/>
          <w:lang w:bidi="fa-IR"/>
        </w:rPr>
        <w:t>لا یکون وجوب الأقلّ علی کلّ تقدیر متوقّفاً علی وجوب الأکثر علی تقدیر تعلّقه به، فلا یکون العلم بوجوبه علی کلّ تقدیر متوقّفاً علی شیء آخر، فهو واجب بالوجوب النفسی علی کلّ تقدیر، کما هو واضح</w:t>
      </w:r>
      <w:r>
        <w:rPr>
          <w:rStyle w:val="FootnoteAnchor"/>
          <w:rtl w:val="true"/>
        </w:rPr>
        <w:footnoteReference w:id="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ملخّص ما أفاده من الإیراد الأوّل علی الکفایة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خبیر بأنّ لازم ما ذکره هناک من تسلیم عدم الانحلال فیما لو کان وجوب الأقلّ غیریّاً، لا کالأجزاء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جریان البراءة فی الصورة الاُولی من المقام بالنسبة إلی تقیید الصلاة بالوضوء؛ لأنّه یعلم إجمالاً بوجوبها إمّا مطلقاً أو مشروطاً بالوضوء، و المفروض عدم انحلال العلم الإجمالی هنا؛ لأنّه لا شکّ فی أنّ وجوب الوضوء علی تقدیر کونه قیداً للصلاة یکون غیریّاً، و لیس کالأجزاء، فمقتضی ما ذکره فی مبحث الأقلّ و الأکثر عدم جریان البراءة بالنسبة إلی تقیید الصلاة به کما اختاره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لو قلنا بجریان البراءة بالإضافة إلی هذا التقیید، فلا یکون الإتیان بالوضوء لازماً عند العقل؛ لأنّ وجوبه متردّد بین الوجوب الذی یستحقّ العقوبة علی ترکه و بین الوجوب الغیری الذی لا یکون کذلک، و المفروض عدم حجّة للمولی بالنسبة إلی العقاب، فلا یحکم العقل بلزوم إتیانه أصلاً، کما هو واضح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بالنسبة إلی الصورة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فالأمر کما ذکره قدس سره</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فیرد علیها أنّه کیف یمکن اجتماع العلم بوجوب الوضوء علی کلّ تقدیر مع الشکّ فی وجوب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ذکره المحقّق</w:t>
      </w:r>
      <w:bookmarkStart w:id="106" w:name="pg11586_104652"/>
    </w:p>
    <w:p>
      <w:pPr>
        <w:pStyle w:val="BookText"/>
        <w:rPr/>
      </w:pPr>
      <w:bookmarkEnd w:id="106"/>
      <w:r>
        <w:rPr>
          <w:rFonts w:ascii="IRNazanin" w:hAnsi="IRNazanin" w:eastAsia="IRNazanin"/>
          <w:color w:val="111111"/>
          <w:sz w:val="28"/>
          <w:sz w:val="28"/>
          <w:szCs w:val="28"/>
          <w:rtl w:val="true"/>
          <w:lang w:bidi="fa-IR"/>
        </w:rPr>
        <w:t>الخراسانی اعتراضاً علی الشیخ، و قد عرفت أنّه قدس سره قد سلّم الاعتراض فی أمثال المقام ممّا یکون الوجوب غیریّاً، لا کالأجزاء، فالواجب فی هذه الصورة الإتیان بالصلاة و الوضوء معاً</w:t>
      </w:r>
      <w:r>
        <w:rPr>
          <w:rFonts w:eastAsia="IRNazanin" w:cs="IRNazanin"/>
          <w:color w:val="111111"/>
          <w:sz w:val="28"/>
          <w:szCs w:val="28"/>
          <w:rtl w:val="true"/>
          <w:lang w:bidi="fa-IR"/>
        </w:rPr>
        <w:t>.</w:t>
      </w:r>
    </w:p>
    <w:p>
      <w:pPr>
        <w:pStyle w:val="Heading5"/>
        <w:numPr>
          <w:ilvl w:val="4"/>
          <w:numId w:val="1"/>
        </w:numPr>
        <w:rPr/>
      </w:pPr>
      <w:bookmarkStart w:id="107" w:name="__RefHeading___Toc5145681_73709187"/>
      <w:bookmarkStart w:id="108" w:name="_Toc40"/>
      <w:bookmarkEnd w:id="107"/>
      <w:r>
        <w:rPr>
          <w:rtl w:val="true"/>
        </w:rPr>
        <w:t>تنبیهات</w:t>
      </w:r>
      <w:bookmarkEnd w:id="108"/>
    </w:p>
    <w:p>
      <w:pPr>
        <w:pStyle w:val="Heading6"/>
        <w:numPr>
          <w:ilvl w:val="5"/>
          <w:numId w:val="1"/>
        </w:numPr>
        <w:rPr/>
      </w:pPr>
      <w:bookmarkStart w:id="109" w:name="__RefHeading___Toc5145683_73709187"/>
      <w:bookmarkStart w:id="110" w:name="_Toc41"/>
      <w:bookmarkEnd w:id="109"/>
      <w:r>
        <w:rPr>
          <w:rtl w:val="true"/>
        </w:rPr>
        <w:t>التنبیه الأوّل</w:t>
      </w:r>
      <w:r>
        <w:rPr>
          <w:rtl w:val="true"/>
        </w:rPr>
        <w:t xml:space="preserve">: </w:t>
      </w:r>
      <w:r>
        <w:rPr>
          <w:rtl w:val="true"/>
        </w:rPr>
        <w:t>فی کیفیّة الثواب و العقاب الاُخروی</w:t>
      </w:r>
      <w:bookmarkEnd w:id="110"/>
    </w:p>
    <w:p>
      <w:pPr>
        <w:pStyle w:val="BookText"/>
        <w:rPr/>
      </w:pPr>
      <w:r>
        <w:rPr>
          <w:rFonts w:ascii="IRNazanin" w:hAnsi="IRNazanin" w:eastAsia="IRNazanin"/>
          <w:color w:val="111111"/>
          <w:sz w:val="28"/>
          <w:sz w:val="28"/>
          <w:szCs w:val="28"/>
          <w:rtl w:val="true"/>
          <w:lang w:bidi="fa-IR"/>
        </w:rPr>
        <w:t>بقی فی المقام شیء،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هل یترتّب العقاب و الثواب علی فعل الواجب الغیری و ترکه بعد الفراغ عن استحقاق الثواب و العقاب علی فعل الواجب النفسی و ترکه؟ و إلّا فالأمر فیه أیضاً مورد إشکال، و ینبغی بیان الحال فیه علی نحو الاختصار</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الثواب عبارةً عن الصور البهیّة التی تتمثّل الأعمال الحسنة بتلک الصور، و تصیر النفس بها مستعدّةً للکمالات، و العقاب عبارة عن الصور الموحشة التی تتمثّل الأعمال القبیحة بتلک الصور الملازمة للنفس المبتلی بها و یکون لها مدخلیة فی انحطاط النفس و نقصانها، کما یقول به الأعاظم من الفلاسفة</w:t>
      </w:r>
      <w:r>
        <w:rPr>
          <w:rStyle w:val="FootnoteAnchor"/>
          <w:rtl w:val="true"/>
        </w:rPr>
        <w:footnoteReference w:id="44"/>
      </w:r>
      <w:r>
        <w:rPr>
          <w:rFonts w:ascii="IRNazanin" w:hAnsi="IRNazanin" w:eastAsia="IRNazanin"/>
          <w:color w:val="111111"/>
          <w:sz w:val="28"/>
          <w:sz w:val="28"/>
          <w:szCs w:val="28"/>
          <w:rtl w:val="true"/>
          <w:lang w:bidi="fa-IR"/>
        </w:rPr>
        <w:t>، فلا إشکال فی أنّهما من لوازم العمل بحیث یمتنع الانفکاک عنه؛ لأنّهما من الآثار الوضعیة للأعمال الحسنة و القبیحة، و لا یعقل الانفکاک بینهما و بین تلک الصور، و حینئذٍ فلا یصحّ التعبیر بالاستحقاق بعد ما عرفت من استحالة الانفکاک، کما لا یخفی لو کان الثواب عبارة عمّا تدلّ علیه ظواهر</w:t>
      </w:r>
      <w:bookmarkStart w:id="111" w:name="pg11586_104653"/>
    </w:p>
    <w:p>
      <w:pPr>
        <w:pStyle w:val="BookText"/>
        <w:rPr/>
      </w:pPr>
      <w:bookmarkEnd w:id="111"/>
      <w:r>
        <w:rPr>
          <w:rFonts w:ascii="IRNazanin" w:hAnsi="IRNazanin" w:eastAsia="IRNazanin"/>
          <w:color w:val="111111"/>
          <w:sz w:val="28"/>
          <w:sz w:val="28"/>
          <w:szCs w:val="28"/>
          <w:rtl w:val="true"/>
          <w:lang w:bidi="fa-IR"/>
        </w:rPr>
        <w:t>الآیات و الأخبار، و لکن قلنا بکونه جعلیاً بمعنی أنّه قد جعل للعمل الفلانی مقدار مخصوص من الأجر و الثواب، و للعمل الآخر مقدار کذلک من العقوبة، فلا إشکال فی صحّة التعبیر بالاستحقاق، و لکنّه لا یخفی أنّ ذلک إنّما هو بالمقدار الذی دلّ الدلیل علیه و قامت الحجّة من قِبَل المولی علی ذلک المقدار،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لو لم نقل بجعلیة الثواب و العقاب، فلا وجه للقول بالاستحقاق أصلاً، فإنّه کیف یمکن أن یستحقّ العبد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یکون مملوکاً لمولاه بجمیع جهاته خصوصاً إذا أعطاه من النعم الظاهریة و الباطنیة ما لا یحصی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مولاه شیئاً فی مقابل عمله القلیل الذی لا یقابل بعض تلک النعم فضلاً عن جمیعها، کما هو واضح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الواجبات النفسیة</w:t>
      </w:r>
      <w:r>
        <w:rPr>
          <w:rFonts w:eastAsia="IRNazanin" w:cs="IRNazanin"/>
          <w:color w:val="111111"/>
          <w:sz w:val="28"/>
          <w:szCs w:val="28"/>
          <w:rtl w:val="true"/>
          <w:lang w:bidi="fa-IR"/>
        </w:rPr>
        <w:t>.</w:t>
      </w:r>
    </w:p>
    <w:p>
      <w:pPr>
        <w:pStyle w:val="Heading6"/>
        <w:numPr>
          <w:ilvl w:val="5"/>
          <w:numId w:val="1"/>
        </w:numPr>
        <w:rPr/>
      </w:pPr>
      <w:bookmarkStart w:id="112" w:name="__RefHeading___Toc5145685_73709187"/>
      <w:bookmarkStart w:id="113" w:name="_Toc42"/>
      <w:bookmarkEnd w:id="112"/>
      <w:r>
        <w:rPr>
          <w:rtl w:val="true"/>
        </w:rPr>
        <w:t>فی استحقاق الثواب علی الواجب الغیری</w:t>
      </w:r>
      <w:bookmarkEnd w:id="113"/>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الواجبات الغیریة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قلنا بأنّ الثواب عبارة عمّا یظهر من بعض الفلاسفة، فثبوته فی الواجبات الغیریة و عدمه لا یکون له کثیر ارتباط بالأُصول؛ لأنّه من العلم بالأشیاء و حقائقها و لوازمها، کما لا یخفی، کما أنّه لو قلنا بالوجه الثانی، فاللازم مراجعة الأدلّة حتّی یظهر أنّه هل یکون الثواب علی فعلها مجعولاً؟ کما ورد فی بعض المقدّمات،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الذهاب إلی زیارة قبر الحسین علیه الصلاة و السلام من أنّه لکلّ قدم کذا و کذا من الثواب</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بناءً علی الوجه الأخیر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یخفی أنّه لو قلنا بثبوته فی الواجبات النفسیة و لکن لا نسلّم ترتّبه علی الواجبات الغیریة؛ لأنّه لا إشکال فی أنّ الثواب و العقاب إنّما یترتّبان علی الإطاعة و المعصیة، و الامتثال و المخالفة، و الأمر الغیری بعید منهما بمراحل؛ لأنّه لا یصلح للتحریک و الداعویة أصلاً، فإنّ المکلّف إمّا أن یرید امتثال الأمر المتعلّق بذی المقدّمة بمعنی أنّه صار داعیاً له و محرّکاً إلی الإتیان بها، و إمّا أن لا یرید الامتثال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الأوّل یأتی بالمقدّمة بعد ما رأی توقّف الإتیان بذی المقدّمة علیها، و لو لم یکن الأمر الغیری متعلّقاً بها أصلاً، فالإتیان بالمقدّمة فی هذه الصورة لیس لإطاعة الأمر الغیری و تحریکه المکلّف إلی متعلّقه، بل الإتیان به لتوقّف المطلوب النفسی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 لا یکون الأمر النفسی بالنسبة إلیه داعیاً فضلاً عن الأمر الغیری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فوجود الأمر الغیری و عدمه متساویان فی الصورتین، فلا یکون له إطاعة حتّی یترتّب علی فعله الثواب و علی ترکه العقاب،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الفرق بنظر العقل بین العبد الذی یأتی بمقدّمات العمل ثمّ یعرضه بعض الموانع عن الإتیان بذی المقدّمة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کالموت أو النسیان أو غیرهما من الموانع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العبد الذی لا یأتی بمقدّمة أصلاً ثمّ یعرض له بعض تلک الموانع و یمنعه عن الإتیان بالمقدّمة و ذیها معاً</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یدفعه أنّ ثبوت الفرق و إن کان بدیهیّاً إلاّ أنّه لا یوجب الفرق فی المقام، فإنّ کلامنا إنّما هو فی استحقاق الثواب و العقاب علی فعل الواجب الغیری و ترکه</w:t>
      </w:r>
      <w:bookmarkStart w:id="114" w:name="pg11586_104655"/>
    </w:p>
    <w:p>
      <w:pPr>
        <w:pStyle w:val="BookText"/>
        <w:rPr/>
      </w:pPr>
      <w:bookmarkEnd w:id="114"/>
      <w:r>
        <w:rPr>
          <w:rFonts w:ascii="IRNazanin" w:hAnsi="IRNazanin" w:eastAsia="IRNazanin"/>
          <w:color w:val="111111"/>
          <w:sz w:val="28"/>
          <w:sz w:val="28"/>
          <w:szCs w:val="28"/>
          <w:rtl w:val="true"/>
          <w:lang w:bidi="fa-IR"/>
        </w:rPr>
        <w:t>بمعنی أنّه لو منعه المولی من الثواب بعد الإتیان به، عدّ ظالماً و مورداً لتقبیح العقلاء، کمن یمنع من أداء حقّ الغیر إلیه، و هذا لا فرق فیه بین الآتی بالواجب الغیری و تارکه أصلاً، فإنّه کیف یستحقّ العبد علی مولاه شیئاً بعد ما فرض أنّه لم یأت بمطلوبه النفسی أصلاً،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یکون بینهما فارق لا من حیث الاستحقاق الذی یکون مورد النزاع فی المقام، بل من حیث الممدوحیة و المذمومیّة عند العقلاء، فإنّ العبد الذی یأتی بمقدّمات الواجب یستحسنه العقلاء لکونه منقاداً للمولی مریداً للإتیان بمطلوباته و إطاعة أوامره،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فرق بین ما لو کان العمل متوقّفاً علی مقدّمات کثیرة و بین ما لو لم یکن إلاّ متوقّفاً علی بعض المقدّمات، کالحج بالنسبة إلی الساکنین فی البلاد البعیدة و القریبة من حیث استحقاق المثوبة علی فعل المقدّمات و عدم الاستحقاق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أن یقال بازدیاد الثواب علی نفس العمل فیما لو کان متوقّفاً علی مقدّمات کثیرة لا ثبوته بالنسبة إلی المقدّمات، کما لا یخفی</w:t>
      </w:r>
      <w:r>
        <w:rPr>
          <w:rFonts w:eastAsia="IRNazanin" w:cs="IRNazanin"/>
          <w:color w:val="111111"/>
          <w:sz w:val="28"/>
          <w:szCs w:val="28"/>
          <w:rtl w:val="true"/>
          <w:lang w:bidi="fa-IR"/>
        </w:rPr>
        <w:t>.</w:t>
      </w:r>
    </w:p>
    <w:p>
      <w:pPr>
        <w:pStyle w:val="Heading6"/>
        <w:numPr>
          <w:ilvl w:val="5"/>
          <w:numId w:val="1"/>
        </w:numPr>
        <w:rPr/>
      </w:pPr>
      <w:bookmarkStart w:id="115" w:name="__RefHeading___Toc5145687_73709187"/>
      <w:bookmarkStart w:id="116" w:name="_Toc43"/>
      <w:bookmarkEnd w:id="115"/>
      <w:r>
        <w:rPr>
          <w:rtl w:val="true"/>
        </w:rPr>
        <w:t>التنبیه الثانی</w:t>
      </w:r>
      <w:r>
        <w:rPr>
          <w:rtl w:val="true"/>
        </w:rPr>
        <w:t xml:space="preserve">: </w:t>
      </w:r>
      <w:r>
        <w:rPr>
          <w:rtl w:val="true"/>
        </w:rPr>
        <w:t>الإشکال فی الطهارات الثلاث و دفعه</w:t>
      </w:r>
      <w:bookmarkEnd w:id="116"/>
    </w:p>
    <w:p>
      <w:pPr>
        <w:pStyle w:val="BookText"/>
        <w:rPr/>
      </w:pPr>
      <w:r>
        <w:rPr>
          <w:rFonts w:ascii="IRNazanin" w:hAnsi="IRNazanin" w:eastAsia="IRNazanin"/>
          <w:color w:val="111111"/>
          <w:sz w:val="28"/>
          <w:sz w:val="28"/>
          <w:szCs w:val="28"/>
          <w:rtl w:val="true"/>
          <w:lang w:bidi="fa-IR"/>
        </w:rPr>
        <w:t>ثمّ إنّه ربّما یستشکل فی الطهارات الثلاث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ریب فی ترتّب الثواب علیها، و فی کونها عبادةً مع أنّ الأمر الغیری لا یکون إلاّ توصّلیّاً و لا یترتّب علی امتثاله الثواب</w:t>
      </w:r>
      <w:r>
        <w:rPr>
          <w:rStyle w:val="FootnoteAnchor"/>
          <w:rtl w:val="true"/>
        </w:rPr>
        <w:footnoteReference w:id="47"/>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کان المراد بترتّب الثواب علیها استحقاق المکلّف له</w:t>
      </w:r>
    </w:p>
    <w:p>
      <w:pPr>
        <w:pStyle w:val="BookText"/>
        <w:rPr/>
      </w:pPr>
      <w:r>
        <w:rPr>
          <w:rFonts w:ascii="IRNazanin" w:hAnsi="IRNazanin" w:eastAsia="IRNazanin"/>
          <w:color w:val="111111"/>
          <w:sz w:val="28"/>
          <w:sz w:val="28"/>
          <w:szCs w:val="28"/>
          <w:rtl w:val="true"/>
          <w:lang w:bidi="fa-IR"/>
        </w:rPr>
        <w:t>بالمعنی المتقدّم المتنازع فیه، فلا نسلّم ثبوته فیها بعد ما عرفت من أنّ الأمر الغیری لا یصلح للداعویّة و لا یکون له إطاعة حتّی یترتّب علیه الثواب و یستحقّ علی ترکه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کان المراد به جعل الثواب علی الطهارات الثلاث، فلا إشکال فیه، و لا اختصاص له بها،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نظائر فی التوصّلیات أیضاً، مثل ما جعل من الثواب علی الذهاب إلی زیارة قبر الحسین علیه السلام لکلّ قدم کذا و کذا، مع أنّه لا إشکال فی کونه توصّلیّاً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العمدة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إشکال فی أنّ الطهارات الثلاث قد اعتبرت مقدّمةً للصلاة بنحو العبادیة، و لیس حالها کحال سائر المقدّمات، کالستر و الاستقبال و غیرهما فی أنّ مطلق وجودها فی الخارج قد اعتبرت مقدّمة لها، و حینئذٍ فعبادیتها مأخوذة فی الرتبة السابقة علی تعلّق الأمر الغیری بها؛ إذ لا یکاد یتعلّق إلاّ بما یکون مقدّمةً بالحمل الشائع، و المفروض أنّ مقدّمیّتها إنّما هو فی حال کونها عبادةً، و حینئذٍ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المصحّح لعبادیتها هو تعلّق الأمر الغیری بها، فیلزم الدور؛ لأنّ تعلّقه بها متوقّف علی کونها مقدّمة الراجعة إلی کونها عبادةً، فلو کانت عبادیتها متوقّفة علی تعلّق الأمر الغیری بها یلزم توقّف الشیء علی نفسه، کما هو واضح، و إن کان المصحّح لعبادیتها هو تعلّق الأمر النفسی بذواتها، فهو فاسد؛ لوجوه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یتمّ فی خصوص التیمّم؛ لعدم تعلّق الأمر الاستحبابی النفسی به قطعاً</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کیف یمکن اجتماع الأمر الغیری مع الأمر الاستحبابی النفسی علی شیء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فمع ثبوت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المفروض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یبقی مجال للثانی،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من الواضح أنّه یصحّ إتیان الطهارات الثلاث بقصد أمرها الغیری من دون التفات إلی رجحانها النفسی، بل یکون مغفولاً عنه بالنسبة إلی أغلب الناس، فکیف یکون هو المحقّق لعبادیتها؟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أجاب عن الإشکال بعض الأعاظم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تقریراته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ملخّصه أنّه کما تکون الطهارات الثلاث بوصف عبادیتها مقدّمة للصلاة فکذلک تکون ذواتها مقدّمةً لها أیضاً بمعنی أنّ لها الدخل فی إیجاد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الغیری المتعلّق بها متقرّباً بها إلی اللّه تعالی ینبسط علی أجزاء متعلّقه کانبساط الأمر النفسی علی أجزاء الواجب، فینحلّ إلی أوامر غیریة ضمنیة، و حینئذٍ فتکون ذوات الأفعال فی الطهارات الثلاث مأموراً بها بالأمر الضمنی من ذلک الأمر الغیری، و إذا أتی بها بداعی ذلک الأمر الضمنی یتحقّق ما هو المقدّمة، أعنی الأفعال الخارجیة المتقرّب بها، و بذلک یسقط الأمر الضمنی المتوجّه إلی القید بعد فرض کونه توصّلیّاً؛ لحصول متعلّقه قهراً بامتثال الأمر الضمنی المتعلّق بذات الفعل</w:t>
      </w:r>
      <w:r>
        <w:rPr>
          <w:rStyle w:val="FootnoteAnchor"/>
          <w:rtl w:val="true"/>
        </w:rPr>
        <w:footnoteReference w:id="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انتهی ملخّصاً</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کیف یکون الأمر الغیری مصحّحاً للعبادیة؟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ما عرفت من أنّه لا یکون صالحاً للداعویة أصلاً، فإنّه لا یکون الغرض منه إلاّ مجرّد التوصّل إلی حصول ذی المقدّمة، فمتعلّقه لا یکون إلاّ واجباً توصّلیّاً، و علی تقدیر کونه داعیاً فهو إنّما یدعو إلی متعلّقه؛ لحصول المأمور به بالأمر النفسی، و لا یکفی ذلک فی العبادیّة، فإشکال لزوم الدور و إن کان یرتفع بما ذکر إلاّ أنّ ما هی العمدة فی المقام من الإیراد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أنّه کیف یکون الأمر الغیری مصحّحاً لعبادیة متعلّقه؟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یبقی علی حاله</w:t>
      </w:r>
      <w:r>
        <w:rPr>
          <w:rFonts w:eastAsia="IRNazanin" w:cs="IRNazanin"/>
          <w:color w:val="111111"/>
          <w:sz w:val="28"/>
          <w:szCs w:val="28"/>
          <w:rtl w:val="true"/>
          <w:lang w:bidi="fa-IR"/>
        </w:rPr>
        <w:t>.</w:t>
      </w:r>
      <w:bookmarkStart w:id="117" w:name="pg11586_104658"/>
    </w:p>
    <w:p>
      <w:pPr>
        <w:pStyle w:val="BookText"/>
        <w:rPr/>
      </w:pPr>
      <w:bookmarkEnd w:id="117"/>
      <w:r>
        <w:rPr>
          <w:rFonts w:ascii="IRNazanin" w:hAnsi="IRNazanin" w:eastAsia="IRNazanin"/>
          <w:color w:val="111111"/>
          <w:sz w:val="28"/>
          <w:sz w:val="28"/>
          <w:szCs w:val="28"/>
          <w:rtl w:val="true"/>
          <w:lang w:bidi="fa-IR"/>
        </w:rPr>
        <w:t xml:space="preserve">و منه یظهر بطلان ما ذکره المحقّق النائینی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فی التقریرات فی مقام تصحیح عبادیة الطهارات الثلاث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المصحّح لها لیس هو الأمر الغیری المتعلّق بها، و لا الأمر النفسی المتعلّق بذواتها، بل الأمر النفسی المتعلّق بذی المقدّمة حیث إنّه ینبسط علی الأجزاء و الشرائط، فالمصحّح لعبادیة الوضوء، المشروطة به الصلاة هو المحقّق لعبادیة الفاتحة التی هی جزء لها</w:t>
      </w:r>
      <w:r>
        <w:rPr>
          <w:rStyle w:val="FootnoteAnchor"/>
          <w:rtl w:val="true"/>
        </w:rPr>
        <w:footnoteReference w:id="4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البطلان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ظهر ممّا تقدّم، و هو أنّ الأمر الضمنی المتعلّق بالجزء أو الشرط لا یکفی فی عبادیتهما أصلاً لو سلّمنا ذلک بعد ما کان المقصود منه حصول المجموع أو المشروط، کما لا یخفی</w:t>
      </w:r>
      <w:r>
        <w:rPr>
          <w:rFonts w:eastAsia="IRNazanin" w:cs="IRNazanin"/>
          <w:color w:val="111111"/>
          <w:sz w:val="28"/>
          <w:szCs w:val="28"/>
          <w:rtl w:val="true"/>
          <w:lang w:bidi="fa-IR"/>
        </w:rPr>
        <w:t>.</w:t>
      </w:r>
    </w:p>
    <w:p>
      <w:pPr>
        <w:pStyle w:val="Heading6"/>
        <w:numPr>
          <w:ilvl w:val="5"/>
          <w:numId w:val="1"/>
        </w:numPr>
        <w:rPr/>
      </w:pPr>
      <w:bookmarkStart w:id="118" w:name="__RefHeading___Toc5145689_73709187"/>
      <w:bookmarkStart w:id="119" w:name="_Toc44"/>
      <w:bookmarkEnd w:id="118"/>
      <w:r>
        <w:rPr>
          <w:rtl w:val="true"/>
        </w:rPr>
        <w:t>التنبیه الثالث</w:t>
      </w:r>
      <w:r>
        <w:rPr>
          <w:rtl w:val="true"/>
        </w:rPr>
        <w:t xml:space="preserve">: </w:t>
      </w:r>
      <w:r>
        <w:rPr>
          <w:rtl w:val="true"/>
        </w:rPr>
        <w:t>فی منشأ عبادیّة الطهارات</w:t>
      </w:r>
      <w:bookmarkEnd w:id="119"/>
    </w:p>
    <w:p>
      <w:pPr>
        <w:pStyle w:val="BookText"/>
        <w:rPr/>
      </w:pPr>
      <w:r>
        <w:rPr>
          <w:rFonts w:ascii="IRNazanin" w:hAnsi="IRNazanin" w:eastAsia="IRNazanin"/>
          <w:color w:val="111111"/>
          <w:sz w:val="28"/>
          <w:sz w:val="28"/>
          <w:szCs w:val="28"/>
          <w:rtl w:val="true"/>
          <w:lang w:bidi="fa-IR"/>
        </w:rPr>
        <w:t>و الحقّ فی المقام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عبادیة الطهارات الثلاث لیست لأجل الأمر الغیری المتعلّق بها، بل إنّما هو من جهة قابلیتها و صلوحها للعبادة، کما هو المسلّم من الشرع مع الإتیان بها للّه و بداعی التقرّب إلیه</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یشترط فی عبادیة الأشیاء تعلّق الأمر النفسی بها، و لا الأمر الغیری، بل یکفی فی صیرورة شیء عبادةً کونه صالحاً لها مع الإتیان بها بداعی التقرّب، و من هنا یقال بعدم الفرق بین التیمّم الذی لا یکون مورداً لفتوی الأصحاب باستحبابه النفسی و بین الوضوء و الغسل المستحبّین، کما أفتوا به، فإنّ مجرّد کونه منطبقاً علیه بعض العناوین الحسنة فی حال الإتیان به مقدّمة للصلاة یکفی فی صلاحیتها للعبادة فی ذلک الحال، و لا یشترط تعلّق الأمر به أصلاً، و أمّا فی غیر ذلک الحال فعدم عبادیته إمّا لأجل عدم انطباق تلک العناوین</w:t>
      </w:r>
    </w:p>
    <w:p>
      <w:pPr>
        <w:pStyle w:val="BookText"/>
        <w:rPr/>
      </w:pPr>
      <w:r>
        <w:rPr>
          <w:rFonts w:ascii="IRNazanin" w:hAnsi="IRNazanin" w:eastAsia="IRNazanin"/>
          <w:color w:val="111111"/>
          <w:sz w:val="28"/>
          <w:sz w:val="28"/>
          <w:szCs w:val="28"/>
          <w:rtl w:val="true"/>
          <w:lang w:bidi="fa-IR"/>
        </w:rPr>
        <w:t>الحسنة علیه فی غیر ذلک الحال أو لمزاحمتها من بعض العناوین الغیر الحسنة المخرجة له عن العبادیة،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الدلیل علیه ما هو المرتکز فی أذهان المتشرّعة عند الإتیان بالطهارات الثلاث، فإنّهم لا یلتفتون إلی استحبابها النفسی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ذکره فی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کفایة الإتیان بها بداعی الأمر الغیری المتعلّق بها إن ارید الإتیان بها کالستر و الاستقبال للصلاة بمعنی أنّه کما یکفی تحصیل الستر لأجل الصلاة کذلک یکفی مجرّد الإتیان بالوضوء لأجل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یکون بینهما فرق حینئذٍ، فیکون الوضوء باطلاً، مضافاً إلی ما نراه من المتشرّعة من اختلاف نحوی الإتیان بالوضوء و بالستر عندهم، فإنّ فی حال الإتیان بالأوّل لهم حالة اخری لا توجد عند الإتیان بالثانی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أنّ عبادیة الطهارات الثلاث إنّما هو لکونها صالحةً للعبادة مع الإتیان بها بداعی القربة من دون توقّف علی الأمر النفسی و لا الغیری أصلاً، و لذا نقول کما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بعبادیة التیمّم فی حال الإتیان به مقدّمة للصلاة، مع أنّه لا یکون متعلّقاً لأمر نفسی، کما ذهبوا إلیه، و لا لأمر غیری، کما سنحقّقه من عدم وجوب المقدّمة، فانتظر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بما ذکرناه فی تحقیق عبادیة الطهارات الثلاث یرتفع جمیع المحذورات المتقدّمة و الإیرادات السابقة، فإنّه لا یبقی حینئذٍ مجال للإشکال فی ترتّب الثواب علیها، فإنّ ترتّبه علیها لیس لأجل تعلّق الأمر الغیری بها، بل لکونها مطلوبةً نفساً و عبادةً ذاتاً، و الکلام إنّما هو بعد الفراغ عن ترتّب الثواب علی الواجبات النفسیة، فلا وجه حینئذٍ للإشکال أصلاً، کما هو واضح لا یخفی</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یرتفع به محذور الدور، فإنّ الأمر الغیری و إن تعلّق بما تکون عبادةً، إلاّ أنّ عبادیتها لا تتوقّف علی الأمر الغیری أصلاً، کما ظهر بما حقّقناه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ذکره العراقی قدس سره فی دفع محذور الدور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کلامه المتقدّم</w:t>
      </w:r>
      <w:r>
        <w:rPr>
          <w:rStyle w:val="FootnoteAnchor"/>
          <w:rtl w:val="true"/>
        </w:rPr>
        <w:footnoteReference w:id="50"/>
      </w:r>
      <w:r>
        <w:rPr>
          <w:rFonts w:ascii="IRNazanin" w:hAnsi="IRNazanin" w:eastAsia="IRNazanin"/>
          <w:color w:val="111111"/>
          <w:sz w:val="28"/>
          <w:sz w:val="28"/>
          <w:szCs w:val="28"/>
          <w:rtl w:val="true"/>
          <w:lang w:bidi="fa-IR"/>
        </w:rPr>
        <w:t>و إن کان یکفی فی دفع ذلک المحذور إلاّ أنّه لا یرتفع به ما هی العمدة فی المقام من الإشکال، و هو أنّه کیف یمکن أن یکون الأمر الغیری مصحّحاً لعبادیة متعلّقه؟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یخفی، کما أنّه بما ذکرنا یرتفع سائر المحذورات، فإنّک قد عرفت أنّ عبادیة التیمّم لیس لأجل تعلّق الأمر النفسی الاستحبابی به حتّی یقال بأنّهم لا یقولون به، و کذلک لا یبقی مجال للإشکال باستحالة اجتماع الأمر الغیری مع الأمر النفسی علی شیء واحد، فإنّه قد ظهر بما ذکرنا أنّ المأمور به بالأمر الأوّل هو ما یکون متعلّقاً للأمر الثانی بوصف کونه کذلک، 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العبادة المستحبّة جُعلت مقدّمةً و متعلّقةً للأمر الغیری، نظیر ما إذا نذر الإتیان بصلاة اللیل مثلاً، فإنّ الوفاء بالنذر و إن کان واجباً إلاّ أنّه لا ینافی استحباب صلاة اللیل و لا یخرجها عنه إلی الوجوب، بل یجب علیه الإتیان بها بما أنّها مستحبّة،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کفایة الإتیان بالطهارات بداعی الأمر الغیری المتعلّق بها فقد عرفت ما فیه من أنّه لو کان المراد کفایة الإتیان بها للصلاة، فلا نسلّم صحّتها و کون الإجماع منعقداً علیها؛ لما عرفت من الفرق عند المتشرّعة فی مقام الإتیان بها أو بسائر المقدّمات غیر العبادیة</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ما یظهر من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تصحیح عبادیة الطهارات الثلاث مع قطع النظر عن تعلّق الأمر الغیری بها بأنّ الأمر المتعلّق بالصلاة، کما أنّه یدعو إلی متعلّقها کذلک له نحو داعویة إلی مقدّماتها، فعبادیة الطهارات إنّما هو لاعتبار الإتیان بها بتلک الداعویة، لا کما ذکره النائینی قدس سره من انبساط الأمر النفسی علی</w:t>
      </w:r>
    </w:p>
    <w:p>
      <w:pPr>
        <w:pStyle w:val="BookText"/>
        <w:rPr/>
      </w:pPr>
      <w:r>
        <w:rPr>
          <w:rFonts w:ascii="IRNazanin" w:hAnsi="IRNazanin" w:eastAsia="IRNazanin"/>
          <w:color w:val="111111"/>
          <w:sz w:val="28"/>
          <w:sz w:val="28"/>
          <w:szCs w:val="28"/>
          <w:rtl w:val="true"/>
          <w:lang w:bidi="fa-IR"/>
        </w:rPr>
        <w:t>المقدّمات أیضاً حتّی تکون عبادیتها لأجل تعلّق الأمر النفسی الضمنی بذواتها</w:t>
      </w:r>
      <w:r>
        <w:rPr>
          <w:rStyle w:val="FootnoteAnchor"/>
          <w:rtl w:val="true"/>
        </w:rPr>
        <w:footnoteReference w:id="51"/>
      </w:r>
      <w:r>
        <w:rPr>
          <w:rFonts w:ascii="IRNazanin" w:hAnsi="IRNazanin" w:eastAsia="IRNazanin"/>
          <w:color w:val="111111"/>
          <w:sz w:val="28"/>
          <w:sz w:val="28"/>
          <w:szCs w:val="28"/>
          <w:rtl w:val="true"/>
          <w:lang w:bidi="fa-IR"/>
        </w:rPr>
        <w:t>، بل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متعلّق الأمر النفسی هی نفس الصلاة، و لکن لا یخلو من الداعویة إلی المقدّمات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بین الطهارات و غیرها من المقدّمات أنّ المعتبر فی صحّتها الإتیان بها بتلک الداعویة، بخلاف سائر المقدّمات، فإنّه لا یعتبر فی صحّتها 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أتی بها أیضاً بذلک الداعی تصیر عبادةً، و یترتّب علیه الثواب، کما هو الشأن فی جمیع الواجبات التوصّلیّة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فجوابه أظهر من أن یخفی، فإنّه کیف یمکن أن یکون الأمر المتعلّق بالصلاة داعیاً إلی مقدّماتها مع ما ثبت من أنّ الأمر لا یدعو إلاّ إلی متعلّقه، و المفروض عدم کون المقدّمات متعلّقةً للأمر المتعلّق بذیها، کما ذکره المحقّق النائینی قدس سره و دخول التقیّدات فی متعلّق الأمر النفسی لا یستلزم کون القیود أیضاً کذلک، و حینئذٍ فلا وجه لکون الأمر بذی المقدّمة داعیاً إلیها أصلاً، کما هو أظهر من أن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فالتحقیق فی عبادیة الطهارات الثلاث ما ذکرناه لک، و علیه فکلّما توضّأ مثلاً بداعی الأمر الاستحبابی المتعلّق به سواء کان متعلّقاً للأمر الغیری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إذا توضّأ بعد دخول الوقت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لم یکن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إذا توضّأ قبل دخوله یکون وضوؤه صحیحاً یجوز الإتیان بجمیع الغایات المشروطة بها، کما أنّه لو توضّأ بداعی الأمر الغیری فقط من دون التوجّه إلی عبادیته یکون فاسداً مطلقاً قبل الوقت و بعده</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قد اجیب عن إشکال الطهارات الثلاث و أنّها کیف تکون عبادةً مع</w:t>
      </w:r>
      <w:bookmarkStart w:id="120" w:name="pg11586_104662"/>
    </w:p>
    <w:p>
      <w:pPr>
        <w:pStyle w:val="BookText"/>
        <w:rPr/>
      </w:pPr>
      <w:bookmarkEnd w:id="120"/>
      <w:r>
        <w:rPr>
          <w:rFonts w:ascii="IRNazanin" w:hAnsi="IRNazanin" w:eastAsia="IRNazanin"/>
          <w:color w:val="111111"/>
          <w:sz w:val="28"/>
          <w:sz w:val="28"/>
          <w:szCs w:val="28"/>
          <w:rtl w:val="true"/>
          <w:lang w:bidi="fa-IR"/>
        </w:rPr>
        <w:t>کونها متعلّقةً للأمر الغیری بوجوه شتّی بعضها یرجع إلی ما ذکرناه بنحو من التصرّف و التأویل، و بعضها الآخر یظهر بطلانها ممّا ذکرنا فی هذا المقام، و علیک بالتأمّل التامّ فی کلمات الأعلام لیظهر لک الصحیح عن سقیم المرام، فإنّ المقام من مزالّ الأقدام، فتأمّل جیّداً</w:t>
      </w:r>
      <w:r>
        <w:rPr>
          <w:rFonts w:eastAsia="IRNazanin" w:cs="IRNazanin"/>
          <w:color w:val="111111"/>
          <w:sz w:val="28"/>
          <w:szCs w:val="28"/>
          <w:rtl w:val="true"/>
          <w:lang w:bidi="fa-IR"/>
        </w:rPr>
        <w:t>.</w:t>
      </w:r>
    </w:p>
    <w:p>
      <w:pPr>
        <w:pStyle w:val="Heading4"/>
        <w:numPr>
          <w:ilvl w:val="3"/>
          <w:numId w:val="1"/>
        </w:numPr>
        <w:rPr/>
      </w:pPr>
      <w:bookmarkStart w:id="121" w:name="__RefHeading___Toc5145691_73709187"/>
      <w:bookmarkStart w:id="122" w:name="_Toc45"/>
      <w:bookmarkEnd w:id="121"/>
      <w:r>
        <w:rPr>
          <w:rtl w:val="true"/>
        </w:rPr>
        <w:t>الأمر السابع ما هو الواجب فی باب المقدّمة؟</w:t>
      </w:r>
      <w:bookmarkEnd w:id="122"/>
    </w:p>
    <w:p>
      <w:pPr>
        <w:pStyle w:val="Heading5"/>
        <w:numPr>
          <w:ilvl w:val="4"/>
          <w:numId w:val="1"/>
        </w:numPr>
        <w:rPr/>
      </w:pPr>
      <w:bookmarkStart w:id="123" w:name="__RefHeading___Toc5145693_73709187"/>
      <w:bookmarkStart w:id="124" w:name="_Toc46"/>
      <w:bookmarkEnd w:id="123"/>
      <w:r>
        <w:rPr>
          <w:rtl w:val="true"/>
        </w:rPr>
        <w:t>اشارة</w:t>
      </w:r>
      <w:bookmarkEnd w:id="124"/>
    </w:p>
    <w:p>
      <w:pPr>
        <w:pStyle w:val="BookText"/>
        <w:rPr/>
      </w:pPr>
      <w:r>
        <w:rPr>
          <w:rFonts w:ascii="IRNazanin" w:hAnsi="IRNazanin" w:eastAsia="IRNazanin"/>
          <w:color w:val="111111"/>
          <w:sz w:val="28"/>
          <w:sz w:val="28"/>
          <w:szCs w:val="28"/>
          <w:rtl w:val="true"/>
          <w:lang w:bidi="fa-IR"/>
        </w:rPr>
        <w:t>هل الواجب فی باب المقدّمة بناءً علی ثبوت الملازمة هو ذات المقدّمة بلا مدخلیة شیء آخر، أو المقدّمة بشرط إرادة المکلّف لذیها عند إتیانها، کما ربّما ینسب إلی صاحب المعالم قدس سره</w:t>
      </w:r>
      <w:r>
        <w:rPr>
          <w:rStyle w:val="FootnoteAnchor"/>
          <w:rtl w:val="true"/>
        </w:rPr>
        <w:footnoteReference w:id="52"/>
      </w:r>
      <w:r>
        <w:rPr>
          <w:rFonts w:ascii="IRNazanin" w:hAnsi="IRNazanin" w:eastAsia="IRNazanin"/>
          <w:color w:val="111111"/>
          <w:sz w:val="28"/>
          <w:sz w:val="28"/>
          <w:szCs w:val="28"/>
          <w:rtl w:val="true"/>
          <w:lang w:bidi="fa-IR"/>
        </w:rPr>
        <w:t>، أو بشرط قصد التوصّل بها إلیه لا مطلقاً، سواء ترتّب علیه ذو المقدّمة فی الخارج أم لم یترتّب، کما ربّما نسب ذلک إلی الشیخ الأنصاری قدس سره</w:t>
      </w:r>
      <w:r>
        <w:rPr>
          <w:rStyle w:val="FootnoteAnchor"/>
          <w:rtl w:val="true"/>
        </w:rPr>
        <w:footnoteReference w:id="53"/>
      </w:r>
      <w:r>
        <w:rPr>
          <w:rFonts w:ascii="IRNazanin" w:hAnsi="IRNazanin" w:eastAsia="IRNazanin"/>
          <w:color w:val="111111"/>
          <w:sz w:val="28"/>
          <w:sz w:val="28"/>
          <w:szCs w:val="28"/>
          <w:rtl w:val="true"/>
          <w:lang w:bidi="fa-IR"/>
        </w:rPr>
        <w:t>، أو بشرط إیصالها إلی ذی المقدّمة و ترتّبه علیها فی الخارج بحیث إذا ترتّب علیها یکشف عن وقوعها علی صفة الوجوب، کما ذهب إلیه صاحب الفصول</w:t>
      </w:r>
      <w:r>
        <w:rPr>
          <w:rStyle w:val="FootnoteAnchor"/>
          <w:rtl w:val="true"/>
        </w:rPr>
        <w:footnoteReference w:id="54"/>
      </w:r>
      <w:r>
        <w:rPr>
          <w:rFonts w:ascii="IRNazanin" w:hAnsi="IRNazanin" w:eastAsia="IRNazanin"/>
          <w:color w:val="111111"/>
          <w:sz w:val="28"/>
          <w:sz w:val="28"/>
          <w:szCs w:val="28"/>
          <w:rtl w:val="true"/>
          <w:lang w:bidi="fa-IR"/>
        </w:rPr>
        <w:t>؟ وجوه و أقوال، و لا بدّ من النظر فی کلّ واحد منها لیظهر صحّته أو سقمه</w:t>
      </w:r>
      <w:r>
        <w:rPr>
          <w:rFonts w:eastAsia="IRNazanin" w:cs="IRNazanin"/>
          <w:color w:val="111111"/>
          <w:sz w:val="28"/>
          <w:szCs w:val="28"/>
          <w:rtl w:val="true"/>
          <w:lang w:bidi="fa-IR"/>
        </w:rPr>
        <w:t>.</w:t>
      </w:r>
    </w:p>
    <w:p>
      <w:pPr>
        <w:pStyle w:val="Heading5"/>
        <w:numPr>
          <w:ilvl w:val="4"/>
          <w:numId w:val="1"/>
        </w:numPr>
        <w:rPr/>
      </w:pPr>
      <w:bookmarkStart w:id="125" w:name="__RefHeading___Toc5145695_73709187"/>
      <w:bookmarkStart w:id="126" w:name="_Toc47"/>
      <w:bookmarkEnd w:id="125"/>
      <w:r>
        <w:rPr>
          <w:rtl w:val="true"/>
        </w:rPr>
        <w:t>حول ما نسب إلی صاحب المعالم</w:t>
      </w:r>
      <w:bookmarkEnd w:id="126"/>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یورد علی صاحب المعالم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وجوب المقدّمة تبع لوجوب ذیها من حیث الإطلاق أو</w:t>
      </w:r>
    </w:p>
    <w:p>
      <w:pPr>
        <w:pStyle w:val="BookText"/>
        <w:rPr/>
      </w:pPr>
      <w:r>
        <w:rPr>
          <w:rFonts w:ascii="IRNazanin" w:hAnsi="IRNazanin" w:eastAsia="IRNazanin"/>
          <w:color w:val="111111"/>
          <w:sz w:val="28"/>
          <w:sz w:val="28"/>
          <w:szCs w:val="28"/>
          <w:rtl w:val="true"/>
          <w:lang w:bidi="fa-IR"/>
        </w:rPr>
        <w:t>الاشتراط، فکیف یمکن أن یکون وجوب ذی المقدّمة مطلقاً غیر مشروط بإرادته و وجوب المقدّمة مشروطاً بإرادته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باستحالة أن یکون البعث المتعلّق بشیء مشروطاً بإرادة ذلک الشیء؛ إذ مع تحقّق الإرادة یکون الإتیان بالفعل مسبّباً عنها لا عن البعث، و مع عدم تحقّقها یکون المفروض عدم ثبوته بعد کونه مشروطاً بالإرادة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البعث هنا مشروط بإرادة ذی المقدّمة لا بإرادة متعلّقه الذی عبارة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باستحالة انفکاک إرادة ذی المقدّمة عن الإرادة المتعلّقة بها فمع کونه مشروطاً بها یلزم اللغویة أیضاً بعد عدم انفکاکها عنها، کما لا یخفی‌</w:t>
      </w:r>
      <w:r>
        <w:rPr>
          <w:rStyle w:val="FootnoteAnchor"/>
          <w:rtl w:val="true"/>
        </w:rPr>
        <w:footnoteReference w:id="5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لکن لا یخفی أنّ عبارة المعالم</w:t>
      </w:r>
      <w:r>
        <w:rPr>
          <w:rStyle w:val="FootnoteAnchor"/>
          <w:rtl w:val="true"/>
        </w:rPr>
        <w:footnoteReference w:id="56"/>
      </w:r>
      <w:r>
        <w:rPr>
          <w:rFonts w:ascii="IRNazanin" w:hAnsi="IRNazanin" w:eastAsia="IRNazanin"/>
          <w:color w:val="111111"/>
          <w:sz w:val="28"/>
          <w:sz w:val="28"/>
          <w:szCs w:val="28"/>
          <w:rtl w:val="true"/>
          <w:lang w:bidi="fa-IR"/>
        </w:rPr>
        <w:t>لا تفید شرطیة الإرادة أصلاً، بل مفادها هو ثبوت الوجوب فی حال کون المکلّف مریداً للفعل المتوقّف علیها، فلا یکون الوجوب مشروطاً بإرادته، بل إنّما هو ثابت فی حالها علی نحو القضیّة الحینیة لا المشروطة، فلا یرد علیه الإشکالان المذکوران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 الإیراد الثانی فاسد و لو قلنا بذلک؛ لأنّ کون البعث مشروطاً بإرادة ما یترشّح منه الإرادة المتعلّقة بالمقدّمة بحیث تکون فی مرتبة متأخّرة عنها استحالته غیر واضح؛ لأنّ البعث إنّما یقع فی المرتبة المتقدّمة علی إرادة متعلّقه، و هذا غیر معلوم الاستحالة</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إلی أنّ هذا الإیراد لا یختصّ بخصوص هذا القول، بل یرد علی جمیع القائلین بثبوت الملازمة، کما لا یخفی</w:t>
      </w:r>
      <w:r>
        <w:rPr>
          <w:rFonts w:eastAsia="IRNazanin" w:cs="IRNazanin"/>
          <w:color w:val="111111"/>
          <w:sz w:val="28"/>
          <w:szCs w:val="28"/>
          <w:rtl w:val="true"/>
          <w:lang w:bidi="fa-IR"/>
        </w:rPr>
        <w:t>.</w:t>
      </w:r>
      <w:bookmarkStart w:id="127" w:name="pg11586_104664"/>
    </w:p>
    <w:p>
      <w:pPr>
        <w:pStyle w:val="Heading5"/>
        <w:numPr>
          <w:ilvl w:val="4"/>
          <w:numId w:val="1"/>
        </w:numPr>
        <w:rPr/>
      </w:pPr>
      <w:bookmarkStart w:id="128" w:name="__RefHeading___Toc5145697_73709187"/>
      <w:bookmarkStart w:id="129" w:name="_Toc48"/>
      <w:bookmarkEnd w:id="127"/>
      <w:bookmarkEnd w:id="128"/>
      <w:r>
        <w:rPr>
          <w:rtl w:val="true"/>
        </w:rPr>
        <w:t>تحقیق فیما نسب إلی الشیخ الأنصاری قدس سره</w:t>
      </w:r>
      <w:bookmarkEnd w:id="129"/>
    </w:p>
    <w:p>
      <w:pPr>
        <w:pStyle w:val="BookText"/>
        <w:rPr/>
      </w:pPr>
      <w:r>
        <w:rPr>
          <w:rFonts w:ascii="IRNazanin" w:hAnsi="IRNazanin" w:eastAsia="IRNazanin"/>
          <w:color w:val="111111"/>
          <w:sz w:val="28"/>
          <w:sz w:val="28"/>
          <w:szCs w:val="28"/>
          <w:rtl w:val="true"/>
          <w:lang w:bidi="fa-IR"/>
        </w:rPr>
        <w:t>ثمّ إنّ ما نسب إلی الشیخ الأنصاری قدس سره من أنّ الملازمة إنّما هی بین ذی المقدّمة و بین المقدّمة التی قصد بها التوصّل إلیه بحیث یکون هذا القول فی عرض سائر الأقوال فی باب المقدّمة لیست النسبة إلیه فی محلّه، فإنّ منشأ النسبة إنّما هو ملاحظة التقریرات المنسوبة إلیه، و نحن بعد ملاحظة هذا المقام منها صدراً و ذیلاً لم نعرف وجهاً لهذه النسبة أصلاً؛ فإنّ المقرّر بعد حکایة عبارة المعالم و الإشکال فیها بالوجهین المتقدّمین شرع فی أنّه هل یعتبر فی امتثال الأمر الغیری قصد التوصّل بها إلی ذیها أم لا، و اختار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فی تحقیقه أنّ الأمر الغیری لا یستلزم امتثالاً أصلاً، بل المقصود منه مجرّد التوصّل به إلی الغیر، و قضیّة ذلک هو قیام الواجب مقامه و إن لم یکن المقصود منه التوصّل به إلی الواجب، کما إذا أمر المولی عبده بشراء اللحم من السوق، الموقوف علی تحصیل الثمن، و لکنّ العبد حصّل الثمن لا لأجل شراء اللحم، بل لغرض آخر، ثمّ بدا له الامتثال بأمر المولی، فیکفی له فی مقام المقدّمیة الثمن المذکور من غیر إشکال، إنّما الإشکال فی المقدّمات العبادیة التی یجب وقوعها علی قصد القربة، فهل یصحّ فی وقوعها علی جهة الوجوب أن لا یکون الآتی بها قاصداً للإتیان بذیها أم یعتبر؟</w:t>
      </w:r>
    </w:p>
    <w:p>
      <w:pPr>
        <w:pStyle w:val="BookText"/>
        <w:rPr/>
      </w:pPr>
      <w:r>
        <w:rPr>
          <w:rFonts w:ascii="IRNazanin" w:hAnsi="IRNazanin" w:eastAsia="IRNazanin"/>
          <w:color w:val="111111"/>
          <w:sz w:val="28"/>
          <w:sz w:val="28"/>
          <w:szCs w:val="28"/>
          <w:rtl w:val="true"/>
          <w:lang w:bidi="fa-IR"/>
        </w:rPr>
        <w:t>ثمّ فرّع علیه بعض الفروعات، و ذکر أنّه قد نسب إلی المشهور عدم الاعتبار</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استند إلی ما یقرّب مرادهم، ثمّ استشکل علیه بأنّ الإنصاف فساد ذلک الوجه؛ لأنّ النزاع إنّما هو فیما إذا ارید الامتثال بالمقدّمة، و ذکر أنّه لا إشکال</w:t>
      </w:r>
      <w:bookmarkStart w:id="130" w:name="pg11586_104665"/>
    </w:p>
    <w:p>
      <w:pPr>
        <w:pStyle w:val="BookText"/>
        <w:rPr/>
      </w:pPr>
      <w:bookmarkEnd w:id="130"/>
      <w:r>
        <w:rPr>
          <w:rFonts w:ascii="IRNazanin" w:hAnsi="IRNazanin" w:eastAsia="IRNazanin"/>
          <w:color w:val="111111"/>
          <w:sz w:val="28"/>
          <w:sz w:val="28"/>
          <w:szCs w:val="28"/>
          <w:rtl w:val="true"/>
          <w:lang w:bidi="fa-IR"/>
        </w:rPr>
        <w:t>فی لزوم قصد عنوان الواجب إذا ارید الامتثال به و إن لم یجب الامتثال</w:t>
      </w:r>
      <w:r>
        <w:rPr>
          <w:rStyle w:val="FootnoteAnchor"/>
          <w:rtl w:val="true"/>
        </w:rPr>
        <w:footnoteReference w:id="57"/>
      </w:r>
      <w:r>
        <w:rPr>
          <w:rFonts w:ascii="IRNazanin" w:hAnsi="IRNazanin" w:eastAsia="IRNazanin"/>
          <w:color w:val="111111"/>
          <w:sz w:val="28"/>
          <w:sz w:val="28"/>
          <w:szCs w:val="28"/>
          <w:rtl w:val="true"/>
          <w:lang w:bidi="fa-IR"/>
        </w:rPr>
        <w:t xml:space="preserve">، إلی آخر ما ذکره، فإنّ الناظر إلی هذه العبارات یقطع بأنّ النزاع فی اعتبار قصد التوصّل إلی ذی المقدّمة و عدمه إنّما هو فیما إذا ارید الامتثال بالمقدّمة، و معنی الامتثال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صرّح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الداعی إلی إیجاد الفعل هو الأمر</w:t>
      </w:r>
      <w:r>
        <w:rPr>
          <w:rStyle w:val="FootnoteAnchor"/>
          <w:rtl w:val="true"/>
        </w:rPr>
        <w:footnoteReference w:id="58"/>
      </w:r>
      <w:r>
        <w:rPr>
          <w:rFonts w:ascii="IRNazanin" w:hAnsi="IRNazanin" w:eastAsia="IRNazanin"/>
          <w:color w:val="111111"/>
          <w:sz w:val="28"/>
          <w:sz w:val="28"/>
          <w:szCs w:val="28"/>
          <w:rtl w:val="true"/>
          <w:lang w:bidi="fa-IR"/>
        </w:rPr>
        <w:t>، فلا ربط لهذا النزاع بالمقام أصلاً، فإنّ الکلام هنا إنّما هو فی الملازمة و فی أنّ الأمر الغیری هل یتعلّق بذات المقدّمة أو مع قید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التأمّل فی عبارة التقریرات یعطی أنّ الواجب هو ذات المقدّمة، کیف و قد صرّح فی جواب المعالم بأنّ وجوب المقدّمة إنّما یتبع فی الإطلاق و الاشتراط وجوب ذیها، و قد صرّح أیضاً بأنّ الحاکم بالوجوب الغیری لیس إلاّ العقل، و لیس الملحوظ عنده فی عنوان حکمه بالوجوب إلاّ عنوان المقدّمیة و الموقوف علیه، و هنا بعض القرائن الاُخر یظهر للناظر المتأمّل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فمع قطع النظر عن انتساب هذا القول إلی الشیخ قدس سره فلا بدّ من النظر فیه، و أنّه هل یمکن الذهاب إلیه أم لا؟</w:t>
      </w:r>
    </w:p>
    <w:p>
      <w:pPr>
        <w:pStyle w:val="Heading5"/>
        <w:numPr>
          <w:ilvl w:val="4"/>
          <w:numId w:val="1"/>
        </w:numPr>
        <w:rPr/>
      </w:pPr>
      <w:bookmarkStart w:id="131" w:name="__RefHeading___Toc5145699_73709187"/>
      <w:bookmarkStart w:id="132" w:name="_Toc49"/>
      <w:bookmarkEnd w:id="131"/>
      <w:r>
        <w:rPr>
          <w:rtl w:val="true"/>
        </w:rPr>
        <w:t>فنقول</w:t>
      </w:r>
      <w:r>
        <w:rPr>
          <w:rtl w:val="true"/>
        </w:rPr>
        <w:t xml:space="preserve">: </w:t>
      </w:r>
      <w:r>
        <w:rPr>
          <w:rtl w:val="true"/>
        </w:rPr>
        <w:t>اعتبار قصد التوصّل فی المقدّمة یمکن علی وجوه</w:t>
      </w:r>
      <w:r>
        <w:rPr>
          <w:rtl w:val="true"/>
        </w:rPr>
        <w:t>:</w:t>
      </w:r>
      <w:bookmarkEnd w:id="132"/>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الوجوب الناشئ من حکم العقل بالملازمة مشروطاً بما إذا قصد التوصّل بها إلیه بمعنی أنّه فی غیر هذه الصورة لا تکون المقدّمة واجبة</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الوجوب ثابتاً لها فی هذا الحین، و الفرق بین الصورتین الفرق بین القضیّة المشروطة و الحینیة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قصد التوصّل مأخوذاً فی متعلّق الأمر الغیری بمعنی أن یکون قیداً للواجب لا للوجوب، کما فی الصورتین المتقدّمتین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هذه الاحتمالات فاسدة، بل لا یمکن اعتبار قصد التوصّل علی غیر وجه الأخیر من الصور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ما عرفت من أنّ وجوب المقدّمة یتبع فی الإطلاق و الاشتراط وجوب ذیها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یعقل اشتراط الوجوب بخصوص قصد التوصّل الغیر المنفکّ عن إرادة متعلّق الوجوب، فیرجع الأمر بالأخرة إلی اشتراط الوجوب بإرادة متعلّقه، فیصیر الوجوب مباحاً، کما عرفت فیما أجاب به التقریرات عن عبارة المعالم، بل نقول بأنّ الاستحالة هنا أوضح ممّا یوهمه عبارة المعالم؛ لأنّ الوجوب بناء علی قوله لا یکون مشروطاً بإرادة متعلّقه، بل بإرادة ذی المقدّمة المتقدّمة علی إرادة المقدّمة المتعلّقة للوجوب الغیری، و أمّا بناء علی هذا القول یکون الوجوب مشروطاً بإرادة متعلّقه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هذا الجواب یجری علی الوجه الثانی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الراجع إلی اعتبار قصد التوصّل قیداً للواجب بحیث یجب تحصیله کسائر القیود المعتبرة فی الواجب فهو و إن کان ممکناً فی مقام الثبوت إلاّ بناء علی ما اعتقده صاحب الکفایة من أنّ الإرادة لا تکون من الاُمور الاختیاریة</w:t>
      </w:r>
      <w:r>
        <w:rPr>
          <w:rStyle w:val="FootnoteAnchor"/>
          <w:rtl w:val="true"/>
        </w:rPr>
        <w:footnoteReference w:id="59"/>
      </w:r>
      <w:r>
        <w:rPr>
          <w:rFonts w:ascii="IRNazanin" w:hAnsi="IRNazanin" w:eastAsia="IRNazanin"/>
          <w:color w:val="111111"/>
          <w:sz w:val="28"/>
          <w:sz w:val="28"/>
          <w:szCs w:val="28"/>
          <w:rtl w:val="true"/>
          <w:lang w:bidi="fa-IR"/>
        </w:rPr>
        <w:t>، فلا یعقل أن تکون متعلّقةً للطلب أصلاً</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لا یخفی فساد هذا الاعتقاد فإنّه یمکن للإنسان أن یوجد القصد المتعلّق ببعض الأشیاء، نظیر أنّه إذا سافر الإنسان إلی بلد لا یرید إقامة عشرة أیّام فیه؛ لعدم کون الإقامة فیها ذا مصلحة له إلاّ أنّه یعرض له بعض الاُمور</w:t>
      </w:r>
      <w:bookmarkStart w:id="133" w:name="pg11586_104667"/>
    </w:p>
    <w:p>
      <w:pPr>
        <w:pStyle w:val="BookText"/>
        <w:rPr/>
      </w:pPr>
      <w:bookmarkEnd w:id="133"/>
      <w:r>
        <w:rPr>
          <w:rFonts w:ascii="IRNazanin" w:hAnsi="IRNazanin" w:eastAsia="IRNazanin"/>
          <w:color w:val="111111"/>
          <w:sz w:val="28"/>
          <w:sz w:val="28"/>
          <w:szCs w:val="28"/>
          <w:rtl w:val="true"/>
          <w:lang w:bidi="fa-IR"/>
        </w:rPr>
        <w:t>المتفرّعة علی قصدها، فیقصد، فإقامة العشرة و إن لم تکن محبوبةً له بالذات إلاّ أنّها تصیر محبوبةً بالعرض لمحبوبیة تلک الاُمور المتوقّفة علی قصدها، مثل ما إذا کانت الصلاة غیر المقصورة محبوبةً له دائماً، فیرید الإقامة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فکون الإرادة من الاُمور غیر الاختیاریة ممّا لم یعلم له وجه أصلاً، کیف و المعتبر فی صحّة العبادات أن یکون الداعی إلی اتیانها قصد التقرّب، فلو لم یکن القصد أمراً اختیاریاً، لم یکن وجه لاعتباره فیها، کما لا یخفی فهذا الوجه الراجع إلی أخذ قصد التوصّل قیداً للواجب و إن کان ممکناً فی مقام الثبوت إلاّ أنّه لا دلیل علی إثباته، کما سیأتی وجهه عند التکلّم فی مقام الإثبات إن شاء اللّه تعالی، فانتظر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فیما یتعلّق باعتبار قصد التوصّل فی وجوب المقدّمة</w:t>
      </w:r>
      <w:r>
        <w:rPr>
          <w:rFonts w:eastAsia="IRNazanin" w:cs="IRNazanin"/>
          <w:color w:val="111111"/>
          <w:sz w:val="28"/>
          <w:szCs w:val="28"/>
          <w:rtl w:val="true"/>
          <w:lang w:bidi="fa-IR"/>
        </w:rPr>
        <w:t>.</w:t>
      </w:r>
    </w:p>
    <w:p>
      <w:pPr>
        <w:pStyle w:val="Heading5"/>
        <w:numPr>
          <w:ilvl w:val="4"/>
          <w:numId w:val="1"/>
        </w:numPr>
        <w:rPr/>
      </w:pPr>
      <w:bookmarkStart w:id="134" w:name="__RefHeading___Toc5145701_73709187"/>
      <w:bookmarkStart w:id="135" w:name="_Toc50"/>
      <w:bookmarkEnd w:id="134"/>
      <w:r>
        <w:rPr>
          <w:rtl w:val="true"/>
        </w:rPr>
        <w:t>القول فی المقدّمة الموصلة</w:t>
      </w:r>
      <w:bookmarkEnd w:id="135"/>
    </w:p>
    <w:p>
      <w:pPr>
        <w:pStyle w:val="Heading5"/>
        <w:numPr>
          <w:ilvl w:val="4"/>
          <w:numId w:val="1"/>
        </w:numPr>
        <w:rPr/>
      </w:pPr>
      <w:bookmarkStart w:id="136" w:name="__RefHeading___Toc5145703_73709187"/>
      <w:bookmarkStart w:id="137" w:name="_Toc51"/>
      <w:bookmarkEnd w:id="136"/>
      <w:r>
        <w:rPr>
          <w:rtl w:val="true"/>
        </w:rPr>
        <w:t>حول ما نسب إلی صاحب الفصول</w:t>
      </w:r>
      <w:bookmarkEnd w:id="137"/>
    </w:p>
    <w:p>
      <w:pPr>
        <w:pStyle w:val="BookText"/>
        <w:rPr/>
      </w:pPr>
      <w:r>
        <w:rPr>
          <w:rFonts w:ascii="IRNazanin" w:hAnsi="IRNazanin" w:eastAsia="IRNazanin"/>
          <w:color w:val="111111"/>
          <w:sz w:val="28"/>
          <w:sz w:val="28"/>
          <w:szCs w:val="28"/>
          <w:rtl w:val="true"/>
          <w:lang w:bidi="fa-IR"/>
        </w:rPr>
        <w:t xml:space="preserve">و أمّا اعتبار الإیصال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یظهر من صاحب الفصول </w:t>
      </w:r>
      <w:r>
        <w:rPr>
          <w:rStyle w:val="FootnoteAnchor"/>
          <w:rtl w:val="true"/>
        </w:rPr>
        <w:footnoteReference w:id="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هذا القید شرطاً للوجوب بمعنی أنّه لا یجب المقدّمة إلاّ مع الإیصال المتوقّف علی تحقّق ذیها الراجع إلی أنّ وجوب المقدّمة إنّما هو بعد الإتیان بذیها، المتوقّف علیها، فاستحالته أظهر من أن یخفی، فإنّه من قبیل تحصیل الحاصل</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أنّه لا یقول به صاحب الفصول قدس سره بل مراده قدس سره إنّما هو اعتبار هذا القید فی متعلّق الوجوب، لا أن یکون شرطاً للوجوب، بل قیداً للواجب بحیث</w:t>
      </w:r>
      <w:bookmarkStart w:id="138" w:name="pg11586_104668"/>
    </w:p>
    <w:p>
      <w:pPr>
        <w:pStyle w:val="BookText"/>
        <w:rPr/>
      </w:pPr>
      <w:bookmarkEnd w:id="138"/>
      <w:r>
        <w:rPr>
          <w:rFonts w:ascii="IRNazanin" w:hAnsi="IRNazanin" w:eastAsia="IRNazanin"/>
          <w:color w:val="111111"/>
          <w:sz w:val="28"/>
          <w:sz w:val="28"/>
          <w:szCs w:val="28"/>
          <w:rtl w:val="true"/>
          <w:lang w:bidi="fa-IR"/>
        </w:rPr>
        <w:t>یجب تحصیله</w:t>
      </w:r>
      <w:r>
        <w:rPr>
          <w:rFonts w:eastAsia="IRNazanin" w:cs="IRNazanin"/>
          <w:color w:val="111111"/>
          <w:sz w:val="28"/>
          <w:szCs w:val="28"/>
          <w:rtl w:val="true"/>
          <w:lang w:bidi="fa-IR"/>
        </w:rPr>
        <w:t>.</w:t>
      </w:r>
    </w:p>
    <w:p>
      <w:pPr>
        <w:pStyle w:val="Heading5"/>
        <w:numPr>
          <w:ilvl w:val="4"/>
          <w:numId w:val="1"/>
        </w:numPr>
        <w:rPr/>
      </w:pPr>
      <w:bookmarkStart w:id="139" w:name="__RefHeading___Toc5145705_73709187"/>
      <w:bookmarkStart w:id="140" w:name="_Toc52"/>
      <w:bookmarkEnd w:id="139"/>
      <w:r>
        <w:rPr>
          <w:rtl w:val="true"/>
        </w:rPr>
        <w:t>و قد اورد علیه بوجوه من الإیراد</w:t>
      </w:r>
      <w:r>
        <w:rPr>
          <w:rtl w:val="true"/>
        </w:rPr>
        <w:t>:</w:t>
      </w:r>
      <w:bookmarkEnd w:id="140"/>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یلزم الدور بناء علیه، و تقریبه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إشکال فی توقّف ذی المقدّمة علیها؛ لأنّ المفروض کونها مقدّمةً له، فلو کان الإیصال مأخوذاً فیها، یلزم توقّف المقدّمة علیها أیضاً؛ لأنّ حصول القید متوقّف علیها بلا إشکال، و هذا هو الدور محضاً</w:t>
      </w:r>
      <w:r>
        <w:rPr>
          <w:rStyle w:val="FootnoteAnchor"/>
          <w:rtl w:val="true"/>
        </w:rPr>
        <w:footnoteReference w:id="6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الجواب أنّ ما یتوقّف ذو المقدّمة علیه هو ذات المقدّمة؛ لأنّه لا مدخلیة للإیصال فی مقدّمیتها، بل إنّما هو مأخوذ فی متعلّق الواجب، و ما یتوقّف علی ذی المقدّمة هو الإیصال لا ذات المقدّمة، فالموقوف علی ذی المقدّمة لا یتوقّف هو علیها، بل یتوقّف علی ذاتها، کما هو أوضح من أن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التسلسل، و تقریبه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المقدّمة حینئذٍ تکون مرکّبةً من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الذات، و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التوصّل، فتکون الذات مقدّمة لحصول المقدّمة المرکّبة، کما هو الشأن فی جمیع أجزاء المرکّب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الوضوء الموصل إلی الصلاة مقدّمةً، و السیر الموصل إلی الحج مقدّمة، فذات الوضوء و السیر یکون مقدّمةً للوضوء الموصل و السیر الموصل، و حینئذٍ فیعتبر قید الإیصال فیه أیضاً، فیلزم التسلسل</w:t>
      </w:r>
      <w:r>
        <w:rPr>
          <w:rStyle w:val="FootnoteAnchor"/>
          <w:rtl w:val="true"/>
        </w:rPr>
        <w:footnoteReference w:id="62"/>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مدخلیة قید الإیصال إنّما هو فی تعلّق الوجوب إلی المقدّمة بمعنی أنّه لا یتعلّق الوجوب بها إلاّ مع ذلک القید لا بدونه، لا أن یکون القید دخیلاً فی مقدّمیة المقدّمة و توقّف ذیها علیها، و حینئذٍ فلیس هنا إلاّ ذات</w:t>
      </w:r>
    </w:p>
    <w:p>
      <w:pPr>
        <w:pStyle w:val="BookText"/>
        <w:rPr/>
      </w:pPr>
      <w:r>
        <w:rPr>
          <w:rFonts w:ascii="IRNazanin" w:hAnsi="IRNazanin" w:eastAsia="IRNazanin"/>
          <w:color w:val="111111"/>
          <w:sz w:val="28"/>
          <w:sz w:val="28"/>
          <w:szCs w:val="28"/>
          <w:rtl w:val="true"/>
          <w:lang w:bidi="fa-IR"/>
        </w:rPr>
        <w:t>المقدّمة و قید الإیصال، و الاُولی لا یتعلّق بها الوجوب إلاّ مع انضمام الثانی إلیه، فمن أین یلزم التسلسل؟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یلزم أن یکون ذو المقدّمة متعلّقاً للوجوب النفسی و للوجوب الغیری، بل للوجوبات الغیریة المتعدّدة حسب تعدّد المقدّمات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تعلّق الوجوب النفسی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 المفروض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تعلّق الوجوب الغیری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 لا إشکال فی أنّ تحقّق قید الإیصال موقوف علی ذی المقدّمة، فیتعلّق بها الوجوب الغیری أیضاً</w:t>
      </w:r>
      <w:r>
        <w:rPr>
          <w:rStyle w:val="FootnoteAnchor"/>
          <w:rtl w:val="true"/>
        </w:rPr>
        <w:footnoteReference w:id="6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توقّف عنوان الإیصال علی ذی المقدّمة و إن کان مسلّماً إلاّ أنّ تعلّق الأمر الغیری إلیها ممنوع بعد أنّه یعتبر عند القائل بهذا القول الإیصال إلی ذی المقدّمة، و من المعلوم امتناع أن یکون الشیء موصلاً إلی نفسه، و الإیصال إلی المقدّمة الموصولة لم یکن معتبراً عند القائل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فلو کان المراد تعلّق الأمر الغیری بذی المقدّمة من دون قید، فهو ممنوع عند القائل بعد اعتباره فی متعلّق الأمر الغیری قید الإیصال،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المراد تعلّقه به مع هذا القید، فالإیصال إلی المقدّمة الموصلة غیر مقصود له، و الإیصال إلی نفسها لا یعقل، فکیف یلزم تعلّق الأمر الغیری بل الأوامر الغیریة بذی المقدّمة؟</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اورد علیه فی الکفایة من أنّ القول بالمقدّمة الموصلة یستلزم إنکار وجوب المقدّمة فی غالب الواجبات، و القول بوجوب خصوص العلّة التامّة فی خصوص الواجبات التولیدیة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الاختصاص بالأُولی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 لا یعقل ترتّب الممکن علی غیر علّته التامّة و وجوده بدونها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الاختصاص بالثانیة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وجود کلّ ممکن بدون علّته التامّة مستحیل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مبادئ اختیار الفعل الاختیاری من أجزاء العلّة التامّة، و هی لا تکاد تتّصف بالوجوب؛ لعدم کونها من الاُمور الاختیاریة، و إلّا لتسلسل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فالإیصال إنّما هو فی خصوص الواجبات التولیدیة، و أمّا فی غیرها فمع اجتماع جمیع الأجزاء یمکن أن لا یقع لتوسّط الإرادة و الاختیار، کما هو واضح</w:t>
      </w:r>
      <w:r>
        <w:rPr>
          <w:rStyle w:val="FootnoteAnchor"/>
          <w:rtl w:val="true"/>
        </w:rPr>
        <w:footnoteReference w:id="6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مراده قدس سره بالإیصال لیس ما یترتّب علیه ذو المقدّمة قهراً حتّی یورد علیه بما ذکر، بل مراده منه هو ترتّب الفعل علیه و لو بواسطة أو وسائط بمعنی أنّ مطلق المقدّمة لا یتعلّق به الوجوب، بل بالمقدّمة التی یتعقّبها الإتیان بذی المقدّمة، سواء کانت علّةً تامّة لحصوله قهراً أم لم تکن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ما عرفت من أنّ الإرادة من الاُمور الاختیاریة التی یمکن أن یتعلّق بها الطلب و البعث، کیف و لو قلنا باستحالة تعلّق الطلب بها، فلا تکون متعلّقةً للأمر الغیری حتّی بناء علی وجوب مطلق المقدّمة، فمن أین یلزم الإرادة التی هی من أجزاء العلّة التامّة، کما هو واضح</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اورد علیه فی الکفایة أیضاً، و حاصله أنّه لو کان معتبراً فیه الترتّب، لما کان الطلب یسقط بمجرّد الإتیان بها من دون انتظار لترتّب الواجب علیها مع أنّ الطلب لا یکاد یسقط إلاّ بالموافقة أو بالمخالفة أو بارتفاع موضوع</w:t>
      </w:r>
      <w:bookmarkStart w:id="141" w:name="pg11586_104671"/>
    </w:p>
    <w:p>
      <w:pPr>
        <w:pStyle w:val="BookText"/>
        <w:rPr/>
      </w:pPr>
      <w:bookmarkEnd w:id="141"/>
      <w:r>
        <w:rPr>
          <w:rFonts w:ascii="IRNazanin" w:hAnsi="IRNazanin" w:eastAsia="IRNazanin"/>
          <w:color w:val="111111"/>
          <w:sz w:val="28"/>
          <w:sz w:val="28"/>
          <w:szCs w:val="28"/>
          <w:rtl w:val="true"/>
          <w:lang w:bidi="fa-IR"/>
        </w:rPr>
        <w:t>التکلیف، و لا یکون الإتیان بالمقدّمة بالضرورة من هذه الاُمور غیر الموافقة</w:t>
      </w:r>
      <w:r>
        <w:rPr>
          <w:rStyle w:val="FootnoteAnchor"/>
          <w:rtl w:val="true"/>
        </w:rPr>
        <w:footnoteReference w:id="6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نمنع السقوط بمجرّد الإتیان بذات المقدّمة؛ لأنّ القائل یقول بأنّ سقوطه متوقّف علی ضمیمة قیده إلیه، فلا یسقط إلاّ بعد الإتیان بذی المقدّمة، کما أنّ الأمر بالصلاة لا یسقط إلاّ مع الإتیان بجزئه الأخیر أیضاً، و هذا واضح لا إشکال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فانقدح من جمیع ما ذُکر أنّه لا یلزم محال من الأخذ بأحد الأقوال الثلاثة الواقعة فی مقابل القول بوجوب مطلق المقدّمة فی مقام الثبوت بناء علی أن یکون القید الزائد دخیلاً فی متعلّق الوجوب، لا أن یکون شرطاً له، کما عرفت</w:t>
      </w:r>
      <w:r>
        <w:rPr>
          <w:rFonts w:eastAsia="IRNazanin" w:cs="IRNazanin"/>
          <w:color w:val="111111"/>
          <w:sz w:val="28"/>
          <w:szCs w:val="28"/>
          <w:rtl w:val="true"/>
          <w:lang w:bidi="fa-IR"/>
        </w:rPr>
        <w:t>.</w:t>
      </w:r>
    </w:p>
    <w:p>
      <w:pPr>
        <w:pStyle w:val="Heading5"/>
        <w:numPr>
          <w:ilvl w:val="4"/>
          <w:numId w:val="1"/>
        </w:numPr>
        <w:rPr/>
      </w:pPr>
      <w:bookmarkStart w:id="142" w:name="__RefHeading___Toc5145707_73709187"/>
      <w:bookmarkStart w:id="143" w:name="_Toc53"/>
      <w:bookmarkEnd w:id="142"/>
      <w:r>
        <w:rPr>
          <w:rtl w:val="true"/>
        </w:rPr>
        <w:t>ما أفاده المحقّق الحائری و العراقی فی المقام</w:t>
      </w:r>
      <w:bookmarkEnd w:id="143"/>
    </w:p>
    <w:p>
      <w:pPr>
        <w:pStyle w:val="BookText"/>
        <w:rPr/>
      </w:pPr>
      <w:r>
        <w:rPr>
          <w:rFonts w:ascii="IRNazanin" w:hAnsi="IRNazanin" w:eastAsia="IRNazanin"/>
          <w:color w:val="111111"/>
          <w:sz w:val="28"/>
          <w:sz w:val="28"/>
          <w:szCs w:val="28"/>
          <w:rtl w:val="true"/>
          <w:lang w:bidi="fa-IR"/>
        </w:rPr>
        <w:t>ثمّ إنّه لو سلّمنا استلزام کلام الفصول للمحاذیر المتقدّمة، فلا یدفعها ما ذکره بعض من الأعاظم فی تقریب کلامه و توجیه مرامه بحیث لا یورد علیه بشیء حیث قال قدس سره فی کتابه المسمّی بالدّرر ما 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الطلب متعلّق بالمقدّمات فی لحاظ الإیصال لا مقیداً به بمعنی أنّ الآمر بعد تصوّر المقدّمات بأجمعها یریدها بذواتها، لأنّها بتلک الملاحظة لا تنفکّ عن المطلوب الأصلی، و لو لاحظ مقدّمة منفکّة عمّا عداها، لا یریدها جزماً؛ لأنّ مطلوبیتها إنّما هو فی ظرف ملاحظة باقی المقدّمات معها، فالإرادة لا تتعلّق بها بنحو الإطلاق حتّی تشمل حال انفکاکها عن باقی المقدّمات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الذی ذکرنا مساوق للوجدان، و لا یرد علیه ما ورد علی</w:t>
      </w:r>
    </w:p>
    <w:p>
      <w:pPr>
        <w:pStyle w:val="BookText"/>
        <w:rPr/>
      </w:pPr>
      <w:r>
        <w:rPr>
          <w:rFonts w:ascii="IRNazanin" w:hAnsi="IRNazanin" w:eastAsia="IRNazanin"/>
          <w:color w:val="111111"/>
          <w:sz w:val="28"/>
          <w:sz w:val="28"/>
          <w:szCs w:val="28"/>
          <w:rtl w:val="true"/>
          <w:lang w:bidi="fa-IR"/>
        </w:rPr>
        <w:t>القول باعتبار الإیصال قیداً و إن اتّحد معه فی الأثر</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نظیر هذا ما یظهر من التقریرات المنسوبة إلی العراقی قدس سره حیث قال المقرّر ما 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الواجب لیس مطلق المقدّمة و لا خصوص المقدّمة المقیّدة بالإیصال، بل الواجب هو المقدّمة فی ظرف الإیصال علی نحو القضیة الحینیة، 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 هی الحصّة التوأمة مع سائر المقدّمات الملازم لوجود ذیها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توضیحه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الغرض من وجوب المقدّمة لیس إلاّ التوصّل إلی ذی المقدّمة، و من الواضح أنّ هذا إنّما یترتّب علی مجموع المقدّمات، لا کلّ واحد علی سبیل الاستقلال و إن کان کلّ واحد منها یتوقّف علیه المطلوب الأصلی إلاّ أنّ المحبوبیة إنّما یتعلّق به مع انضمامه إلی سائر المقدّمات، و نتیجة ذلک هو تعلّق أمر غیری واحد بمجموع المقدّمات بحیث ینبسط علی کلّ واحد منها کانبساط الوجوب فی الواجب النفسی علی أجزائه، و کما أنّ متعلّق الأمر النفسی الضمنی فی الواجبات النفسیة إنّما هو کلّ واحد من الأجزاء لا مطلقاً و لا مقیّداً بانضمام سائر الأجزاء إلیه، بل الحصّة المقارنة لباقی الأجزاء، فکذلک الأمر هنا بلا تفاوت</w:t>
      </w:r>
      <w:r>
        <w:rPr>
          <w:rStyle w:val="FootnoteAnchor"/>
          <w:rtl w:val="true"/>
        </w:rPr>
        <w:footnoteReference w:id="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ملخّص موضع الحاجة من کلامه</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لا یخفی أنّ المحذورات المتقدّمة لو سلّم لا تدفع بما ذکره المحقّقان المتقدّمان؛ لأنّ لحاظ الإیصال إمّا أن یکون دخیلاً فی المطلوب و یوجب تضییقاً بالنسبة إلیه، فهذا بعینه ما ذکره صاحب الفصول، و إمّا أن لا یکون کذلک، فهذا</w:t>
      </w:r>
    </w:p>
    <w:p>
      <w:pPr>
        <w:pStyle w:val="BookText"/>
        <w:rPr/>
      </w:pPr>
      <w:r>
        <w:rPr>
          <w:rFonts w:ascii="IRNazanin" w:hAnsi="IRNazanin" w:eastAsia="IRNazanin"/>
          <w:color w:val="111111"/>
          <w:sz w:val="28"/>
          <w:sz w:val="28"/>
          <w:szCs w:val="28"/>
          <w:rtl w:val="true"/>
          <w:lang w:bidi="fa-IR"/>
        </w:rPr>
        <w:t>بعینه القول بوجوب مطلق المقدّمة، و أخذه علی نحو القضیة الحینیة لا یزید علی أخذه مطلقاً؛ لأنّ معناها هو أنّ ترتّب الحکم علی الموضوع لا یقیّد بوقت دون وقت، و ذکر الحین إنّما هو لتعریف الموضوع و الإشارة إلیه من دون مدخلیة له فی ترتّب الحکم أصلاً، مثل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کان فی الدار فهو عالم مثلاً، فإنّ الکون فی الدار إنّما اخذ عنواناً مشیراً إلی الموضوع و معرّفاً له لا لکونه دخیلاً فی ثبوت المحمول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بطلان ما تقدّم من التقریرات، مضافاً إلی أنّه کیف یمکن الجمع بین أخذ الإیصال بنحو القضیة الحینیة التی عرفت عدم الفرق بینها و بین القضیّة المطلقة من حیث إطلاق الموضوع أصلاً و بین کون متعلّق الأمر الغیری هی الحصّة المقارنة لباقی المقدّمات الملازم لوجود ذیها مع أنّ الطبیعة المطلقة لا تصیر حصّةً إلاّ بانضمام بعض القیودات إلیها، کما هو أظهر من أن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غایة ما یمکن أن یقال فی تقریب کلام الفصول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الغرض من وجوب المقدّمة و غایته لیس إلاّ التوصّل إلی المطلوب الأصلی ففی متعلّقه نحو من التضیّق من ناحیة علّته الغائیة لا أن یکون مقیّداً به و لا أن یکون مطلقاً بالنسبة إلیه، کما هو الشأن فی سائر الأشیاء بالنسبة إلی العلل الغائیة لها و لکن لا یخفی أنّ هذا یرجع إلی التقیید لما سنذکره من أنّ جمیع الحیثیات التعلیلیة ترجع إلی الجهات التقییدیة، فانتظر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انقدح من جمیع ما ذکرنا أنّه لو قلنا باستلزام کلام الفصول للمحذورات المتقدّمة من الدور و التسلسل و غیرهما لما یجدیه التوجیه بما ذکر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لکن قد عرفت أنّ شیئاً من الإیرادات غیر وارد علیه أصلاً</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فی مقام الثبوت</w:t>
      </w:r>
      <w:r>
        <w:rPr>
          <w:rFonts w:eastAsia="IRNazanin" w:cs="IRNazanin"/>
          <w:color w:val="111111"/>
          <w:sz w:val="28"/>
          <w:szCs w:val="28"/>
          <w:rtl w:val="true"/>
          <w:lang w:bidi="fa-IR"/>
        </w:rPr>
        <w:t>.</w:t>
      </w:r>
      <w:bookmarkStart w:id="144" w:name="pg11586_104674"/>
    </w:p>
    <w:p>
      <w:pPr>
        <w:pStyle w:val="Heading5"/>
        <w:numPr>
          <w:ilvl w:val="4"/>
          <w:numId w:val="1"/>
        </w:numPr>
        <w:rPr/>
      </w:pPr>
      <w:bookmarkStart w:id="145" w:name="__RefHeading___Toc5145709_73709187"/>
      <w:bookmarkStart w:id="146" w:name="_Toc54"/>
      <w:bookmarkEnd w:id="144"/>
      <w:bookmarkEnd w:id="145"/>
      <w:r>
        <w:rPr>
          <w:rtl w:val="true"/>
        </w:rPr>
        <w:t>فی الدلیل العقلی علی المقدّمة الموصلة</w:t>
      </w:r>
      <w:bookmarkEnd w:id="146"/>
    </w:p>
    <w:p>
      <w:pPr>
        <w:pStyle w:val="BookText"/>
        <w:rPr/>
      </w:pPr>
      <w:r>
        <w:rPr>
          <w:rFonts w:ascii="IRNazanin" w:hAnsi="IRNazanin" w:eastAsia="IRNazanin"/>
          <w:color w:val="111111"/>
          <w:sz w:val="28"/>
          <w:sz w:val="28"/>
          <w:szCs w:val="28"/>
          <w:rtl w:val="true"/>
          <w:lang w:bidi="fa-IR"/>
        </w:rPr>
        <w:t>و أمّا مقام الإثبات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استدلّ صاحب الفصول بوجوه أسدّها و أمتنها هو الوجه الأخیر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المطلوب بالمقدّمة مجرّد التوصّل بها إلی الواجب و حصوله، فلا جرم یکون التوصّل بها إلیه و حصوله معتبراً فی مطلوبیتها، فلا تکون مطلوبةً إذا انفکّت عنه، و صریح الوجدان قاضٍ بأنّ مَنْ یرید شیئاً لمجرّد حصول شیء آخر لا یریده إذا وقع مجرّداً عنه، و یلزم منه أن یکون وقوعه علی وجه المطلوب منوطاً بحصوله</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أجاب عنه فی الکفایة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بمنع کون المطلوب بالمقدّمة التوصّل بها إلی الواجب، بل مطلوبیتها لأجل عدم التمکّن من التوصّل بدونها، کیف و لا یکون التوصّل من آثارها إلاّ فی بعض المقدّمات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لو سلّم کون المطلوب بالمقدّمة ذلک و لکن لا نسلّم مدخلیّة الغایة فی مطلوبیّة ذیها؛ لأنّ صریح الوجدان یقضی بأنّ ما ارید لأجل غایة و تجرّد عنها بسبب عدم حصول بعض ما لَه دخل فی تحقّقها یقع علی ما هو علیه من المطلوبیة الغیریة، کیف و إلّا یلزم أن یکون وجودها من قیوده و مقدّمة لوقوعه علی نحو تکون الملازمة بین وجوبه بذاک النحو و وجوبها</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کما تری، ضرورة أنّ الغایة لا تکون قیداً لذی الغایة بحیث کان تخلّفها موجباً لعدم وقوع ذی الغایة علی ما هو علیه من المطلوبیة الغیریة، و إلّا یلزم أن تکون مطلوبةً بطلبه، کسائر قیوده، فلا یکون وقوعه علی هذه الصفة</w:t>
      </w:r>
    </w:p>
    <w:p>
      <w:pPr>
        <w:pStyle w:val="BookText"/>
        <w:rPr/>
      </w:pPr>
      <w:r>
        <w:rPr>
          <w:rFonts w:ascii="IRNazanin" w:hAnsi="IRNazanin" w:eastAsia="IRNazanin"/>
          <w:color w:val="111111"/>
          <w:sz w:val="28"/>
          <w:sz w:val="28"/>
          <w:szCs w:val="28"/>
          <w:rtl w:val="true"/>
          <w:lang w:bidi="fa-IR"/>
        </w:rPr>
        <w:t>منوطاً بحصولها، کما أفاده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منشأ توهّمه الخلط بین الجهة التقییدیة و التعلیلیة</w:t>
      </w:r>
      <w:r>
        <w:rPr>
          <w:rStyle w:val="FootnoteAnchor"/>
          <w:rtl w:val="true"/>
        </w:rPr>
        <w:footnoteReference w:id="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ملخّص موضع الحاجة من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کلٍّ من الجوابین نظر بل 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من الواضح البدیهی أنّ مطلوبیة المقدّمة إنّما هو للتوصّل بها إلی ذیها؛ لأنّ المفروض أنّها مطلوبة بتبع الغیر و لأجله فتعلّق الطلب بها لا ینشأ إلاّ لکونها یتوصّل بها إلی المطلوب الأصلی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الدلیل علیه أنّه لا ینقطع السؤال عن تعلّق الوجوب بها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بعد الجواب بأنّها مطلوبة للتوصّل إلیه، و إلّا فمجرّد التوقّف مع قطع النظر عن ترتّب ذی المقدّمة علیها لا یکفی فی انقطاع السؤال، کما یظهر بمراجعة الوجدان السلیم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ذکره من أنّ التوصّل لیس من آثارها، فیدفعه أنّک عرفت فیما سبق أنّ المراد بکلمة الموصل لیس خصوص العلّة التامّة، کما ربّما یوهمه الجمود علی ظاهرها، بل المراد به ترتّب ذی المقدّمة علیها و الإتیان به بعدها</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یخفی أنّ إرادة شیء لأجل غایة ترجع إلی إرادته مقیّداً بها، کما هو واضح، ضرورة أنّ العقل لا یحکم بحکم إلاّ مع تشخیص موضوعه بجمیع جهاته و حیثیاته التی لها مدخلیّة فی الحکم، و إذا حکم بحکم لموضوع من جهة خاصّة و حیثیة مخصوصة فیستحیل أن یصرف حکمه عن تلک الجهة و الحیثیة، و یسری إلی ذات الموضوع مع قطع النظر عن الحیثیة التی تکون دخیلاً فی ترتّب الحکم أو إلی بعض الجهات الاُخر المغایرة لهذه الجهة،</w:t>
      </w:r>
      <w:bookmarkStart w:id="147" w:name="pg11586_104676"/>
    </w:p>
    <w:p>
      <w:pPr>
        <w:pStyle w:val="BookText"/>
        <w:rPr/>
      </w:pPr>
      <w:bookmarkEnd w:id="147"/>
      <w:r>
        <w:rPr>
          <w:rFonts w:ascii="IRNazanin" w:hAnsi="IRNazanin" w:eastAsia="IRNazanin"/>
          <w:color w:val="111111"/>
          <w:sz w:val="28"/>
          <w:sz w:val="28"/>
          <w:szCs w:val="28"/>
          <w:rtl w:val="true"/>
          <w:lang w:bidi="fa-IR"/>
        </w:rPr>
        <w:t>فإذا سلّم أنّ مطلوبیة المقدّمة إنّما هو للتوصّل بها إلی ذیها، کما هو المفروض فی الجواب الثانی، فلا محالة تکون المطلوبیة واقعةً علی المقدّمة بتلک الحیثیة، و إلّا فذاتها مطلقاً و لو مع بعض الحیثیات الاُخر لا یتعلّق بها طلب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اشتهر فی الألسن من الفرق بین الجهات التعلیلیة و التقییدیة بکون الثانیة دخیلاً فی الموضوع و قیداً له دون الاُولی، لیس بصحیح، فإنّ جمیع الجهات التعلیلیة راجعة إلی الجهات التقییدیة؛ لما عرفت من استحالة أن یصرف العقل حکمه الثابت لموضوع عنه إلی غیره، و هذا بمکان من الوضوح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انقدح من جمیع ما ذکرنا أنّه لو قلنا بالملازمة، فالواجب متابعة صاحب الفصول قدس سره و الأخذ بقوله الراجع إلی ثبوت الملازمة بین وجوب ذی المقدّمة و بین الوجوب المتعلّق بخصوص المقدّمات الموصلة، و قد عرفت أنّه لا یرد علیه شیء ممّا أوردها القوم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تقدیر تسلیم الورود، فلا یدفعه التوجیه بلحاظ الإیصال، کما عرفت من الدّرر، أو بالحصّة التوأمة کما عرفت من التقریرات، إلاّ أنّ الکلام فی أصل ثبوت الملازمة، و سیجیء ما هو الحقّ فی بابها، فانتظر</w:t>
      </w:r>
      <w:r>
        <w:rPr>
          <w:rFonts w:eastAsia="IRNazanin" w:cs="IRNazanin"/>
          <w:color w:val="111111"/>
          <w:sz w:val="28"/>
          <w:szCs w:val="28"/>
          <w:rtl w:val="true"/>
          <w:lang w:bidi="fa-IR"/>
        </w:rPr>
        <w:t>.</w:t>
      </w:r>
    </w:p>
    <w:p>
      <w:pPr>
        <w:pStyle w:val="Heading5"/>
        <w:numPr>
          <w:ilvl w:val="4"/>
          <w:numId w:val="1"/>
        </w:numPr>
        <w:rPr/>
      </w:pPr>
      <w:bookmarkStart w:id="148" w:name="__RefHeading___Toc5145711_73709187"/>
      <w:bookmarkStart w:id="149" w:name="_Toc55"/>
      <w:bookmarkEnd w:id="148"/>
      <w:r>
        <w:rPr>
          <w:rtl w:val="true"/>
        </w:rPr>
        <w:t>فی ثمرة القول بالمقدّمة الموصلة</w:t>
      </w:r>
      <w:bookmarkEnd w:id="149"/>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ثمرة القول بالمقدّمة الموصلة هو تصحیح العبادة التی یتوقّف علی ترکها فعل واجب أهمّ، کالصلاة التی یتوقّف علی ترکها فعل الإزالة التی هی واجبة، و تکون أهمّ من فعل الصلاة بناءً علی أن یکون ترک أحد الضدّین مقدّمةً لوجود الآخر، کما سیأتی تحقیقه فی مبحث الأمر بالشیء هل یقتضی النهی عن ضدّه أم لا؟ فإنّه بناءً علی هذا القول لا یکون الترک مطلقاً واجباً لیکون فعلها محرّماً، فتکون فاسدةً، بل الواجب هو الترک الموصل إلی فعل الضدّ</w:t>
      </w:r>
      <w:bookmarkStart w:id="150" w:name="pg11586_104677"/>
    </w:p>
    <w:p>
      <w:pPr>
        <w:pStyle w:val="BookText"/>
        <w:rPr/>
      </w:pPr>
      <w:bookmarkEnd w:id="150"/>
      <w:r>
        <w:rPr>
          <w:rFonts w:ascii="IRNazanin" w:hAnsi="IRNazanin" w:eastAsia="IRNazanin"/>
          <w:color w:val="111111"/>
          <w:sz w:val="28"/>
          <w:sz w:val="28"/>
          <w:szCs w:val="28"/>
          <w:rtl w:val="true"/>
          <w:lang w:bidi="fa-IR"/>
        </w:rPr>
        <w:t>الواجب، و المحرّم إنّما هو نقیض هذا الترک الخاصّ الذی یقارن مع الفعل تارةً، و مع الترک المجرّد اخری، و من المعلوم أنّه لا یسری الحکم من أحد المتلازمین إلی الآخر فضلاً عن المتقارنین، و حینئذٍ فلا یکون الفعل محرّماً حتّی یکون فاسداً</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1" w:name="__RefHeading___Toc5145713_73709187"/>
      <w:bookmarkStart w:id="152" w:name="_Toc56"/>
      <w:bookmarkEnd w:id="151"/>
      <w:r>
        <w:rPr>
          <w:rtl w:val="true"/>
        </w:rPr>
        <w:t>مناقشة الشیخ الأنصاری فی الثمرة</w:t>
      </w:r>
      <w:bookmarkEnd w:id="152"/>
    </w:p>
    <w:p>
      <w:pPr>
        <w:pStyle w:val="BookText"/>
        <w:rPr/>
      </w:pPr>
      <w:r>
        <w:rPr>
          <w:rFonts w:ascii="IRNazanin" w:hAnsi="IRNazanin" w:eastAsia="IRNazanin"/>
          <w:color w:val="111111"/>
          <w:sz w:val="28"/>
          <w:sz w:val="28"/>
          <w:szCs w:val="28"/>
          <w:rtl w:val="true"/>
          <w:lang w:bidi="fa-IR"/>
        </w:rPr>
        <w:t xml:space="preserve">و ربّما اورد علی تفریع هذه الثمرة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التقریرات المنسوبة إلی الشیخ الأنصاری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حاصله أنّ فعل الضدّ و إن لم یکن نقیضاً للترک الواجب مقدّمة بناءً علی المقدّمة الموصلة إلاّ أنّه لازم لما هو من أفراد النقیض حیث إنّ نقیض ذاک الترک الخاصّ، و هو أعمّ من الفعل و الترک المجرّد، و هذا یکفی فی إثبات الحرمة، و إلّا لم یکن الفعل محرّماً و لو بناء علی القول بوجوب مطلق المقدّمة؛ لأنّ الفعل أیضاً لیس نقیضاً للترک، لأنّه أمر وجودی، و نقیض الترک إنّما هو رفعه، و رفع الترک الذی هو أمر عدمی لا یمکن أن یتّحد مع الفعل الذی هو أمر وجودی، فکما أنّ مجرّد الملازمة بین نقیض الترک و الفعل یکفی فی اتّصافه بالحرمة فکذلک تکفی فی المقام، غایة الأمر أنّ مصداق النقیض للترک إنّما ینحصر فی الفعل فقط، و أمّا نقیض الترک الخاصّ فله مصداقان، و ذلک لا یوجب تفاوتاً بینهما فیما نحن بصدده، کما لا یخفی‌</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أجاب عن الإیراد المحقّقُ الخراسانی قدس سره فی الکفایة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خبیر بما بینهما من الفرق، فإنّ الفعل فی الأوّل لا یکون إلاّ مقارناً لما هو النقیض</w:t>
      </w:r>
    </w:p>
    <w:p>
      <w:pPr>
        <w:pStyle w:val="BookText"/>
        <w:rPr/>
      </w:pPr>
      <w:r>
        <w:rPr>
          <w:rFonts w:ascii="IRNazanin" w:hAnsi="IRNazanin" w:eastAsia="IRNazanin"/>
          <w:color w:val="111111"/>
          <w:sz w:val="28"/>
          <w:sz w:val="28"/>
          <w:szCs w:val="28"/>
          <w:rtl w:val="true"/>
          <w:lang w:bidi="fa-IR"/>
        </w:rPr>
        <w:t>من رفع الترک المجامع معه تارة و مع الترک المجرّد اخری، و لا یکاد تسری حرمة الشیء إلی ما یلازمه فضلاً عمّا یقارنه أحیاناً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بدّ أن لا یکون الملازم محکوماً فعلاً بحکم آخر علی خلاف حکمه، لا أن یکون محکوماً بحکمه، و هذا بخلاف الفعل فی الثانی، فإنّه بنفسه یعاند الترک المطلق و ینافیه لا ملازم لمعانده و منافیه، فلو لم یکن عین ما یناقضه بحسب الاصطلاح مفهوماً لکنّه متّحد معه عیناً و خارجاً، فإذا کان الترک واجباً فلا محالة یکون الفعل منهیاً عنه قطعاً، فتدبّر جیّداً</w:t>
      </w:r>
      <w:r>
        <w:rPr>
          <w:rStyle w:val="FootnoteAnchor"/>
          <w:rtl w:val="true"/>
        </w:rPr>
        <w:footnoteReference w:id="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لو قلنا بأنّ نقیض کلّ شیء رفعه الذی هو أمر عدمی و قلنا بأنّ وجوب الشیء إنّما یقتضی حرمة النقیض فقط، فلا إشکال فی أنّ الفعل لا یصیر محرّماً حتّی بناء علی القول بوجوب مطلق المقدّمة؛ لأنّ نقیض الترک المطلق رفعه الذی هو عبارة عن ترک الترک، فالحرمة إنّما یتعلّق بهذا، و من المعلوم عدم اتّحاده مع الفعل أصلاً؛ لأنّه یستحیل أن یتّحد الحیثیة العدمیة مع الحیثیة الثبوتیة الراجعة إلی حیثیة طرد العدم، فیمتنع أن یکون النور عین عدم الظلمة، و غیر ذلک من الأمثلة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مجرّد الملازمة بینهما لا یوجب سرایة الحکم من النقیض إلی ما یلازم معه، و هو الفعل، بل غایته أن لا یکون الفعل محکوماً بحکم یخالف حکم النقیض، لا أن یکون محکوماً بحکمه</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قلنا بأنّ نقیض کلّ شیء رفعه، أو کون الشیء مرفوعاً به، فنقیض الأمر الوجودی رفعه الذی عبارة عن الأمر العدمی، و نقیض الأمر العدمی الأمرُ الوجودی لارتفاعه به، و قلنا بأنّ الحرمة تتعلّق بنفس النقیض، فلا إشکال فی</w:t>
      </w:r>
      <w:bookmarkStart w:id="153" w:name="pg11586_104679"/>
    </w:p>
    <w:p>
      <w:pPr>
        <w:pStyle w:val="BookText"/>
        <w:rPr/>
      </w:pPr>
      <w:bookmarkEnd w:id="153"/>
      <w:r>
        <w:rPr>
          <w:rFonts w:ascii="IRNazanin" w:hAnsi="IRNazanin" w:eastAsia="IRNazanin"/>
          <w:color w:val="111111"/>
          <w:sz w:val="28"/>
          <w:sz w:val="28"/>
          <w:szCs w:val="28"/>
          <w:rtl w:val="true"/>
          <w:lang w:bidi="fa-IR"/>
        </w:rPr>
        <w:t>حرمة الفعل بناء علی أن یکون الواجب هو الترک المطلق؛ لأنّ الفعل حینئذٍ یکون نقیضاً له، لا أن یکون ملازماً لما هو النقیض لارتفاع الترک بمجرّد الفعل، و أمّا بناء علی القول بالمقدّمة الموصلة و أنّ الواجب هو الترک الموصل، فلا یکون الفعل بنفسه نقیضاً للترک الخاصّ، فلا یتّصف بالحرمة، لا لأنّ الفعل لا یکون إلاّ مقارناً لما هو النقیض من رفع الترک الخاصّ المجامع معه تارة و مع الترک المجرّد اخری، کما یظهر من الکفایة فی العبارة المتقدّمة، و ذلک لأنّ المقارنة ممنوعة، فإنّ معناها کما فی سائر الموارد یرجع إلی إمکان الانفکاک، و من المعلوم استحالته فی المقام، فإنّه مع وجود الفعل لا یمکن أن لا یکون معه رفع الترک الخاصّ، و مع عدمه لا یکون هنا شیء حتّی یقال بانفکاک النقیض عنه، کما أنّ انطباق الإنسان علی زید و صدقه علیه یتوقّف علی وجوده، و إلّا فمع عدمه لا یصدق علیه أصلاً، فمجرّد ذلک لا یوجب أن یقال بأنّ الإنسان مقارن لزید، کما هو واضح، بل لأجل أنّ المفروض عدم سرایة الحکم من النقیض إلی شیء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قلنا بأنّ مجرّد المعاندة و المنافرة یکفی فی حرمة الشیء لأنّ النقیض عبارة عمّا یعاند الشیء بحیث لا یمکن اجتماعهما و لا ارتفاعهما، أو قلنا بأنّ مجرّد انطباق النقیض علی شیء یکفی فی اتصافه بالحرمة و إن لم یتّحد معه، فلا إشکال فی حرمة الفعل علی القولین، کما هو واضح لا یخفی</w:t>
      </w:r>
      <w:r>
        <w:rPr>
          <w:rFonts w:eastAsia="IRNazanin" w:cs="IRNazanin"/>
          <w:color w:val="111111"/>
          <w:sz w:val="28"/>
          <w:szCs w:val="28"/>
          <w:rtl w:val="true"/>
          <w:lang w:bidi="fa-IR"/>
        </w:rPr>
        <w:t>.</w:t>
      </w:r>
    </w:p>
    <w:p>
      <w:pPr>
        <w:pStyle w:val="Heading5"/>
        <w:numPr>
          <w:ilvl w:val="4"/>
          <w:numId w:val="1"/>
        </w:numPr>
        <w:rPr/>
      </w:pPr>
      <w:bookmarkStart w:id="154" w:name="__RefHeading___Toc5145715_73709187"/>
      <w:bookmarkStart w:id="155" w:name="_Toc57"/>
      <w:bookmarkEnd w:id="154"/>
      <w:r>
        <w:rPr>
          <w:rtl w:val="true"/>
        </w:rPr>
        <w:t>مناقشة العلمین</w:t>
      </w:r>
      <w:r>
        <w:rPr>
          <w:rtl w:val="true"/>
        </w:rPr>
        <w:t xml:space="preserve">: </w:t>
      </w:r>
      <w:r>
        <w:rPr>
          <w:rtl w:val="true"/>
        </w:rPr>
        <w:t>الأصفهانی و العراقی</w:t>
      </w:r>
      <w:bookmarkEnd w:id="155"/>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اعترض بعض المحقّقین فی شرحه علی الکفایة علی تفریع الثمرة بما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بالمقدّمة الموصلة إمّا العلّة التامّة أو المقدّمة التی لا تنفکّ عن ذیها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فالمقدّمة الموصلة 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الصلاة و وجود الإرادة، و من الواضح أنّ نقیض المجموع من الأمرین مجموع النقیضین، و إلّا فلیس لهما بهذا الاعتبار نقیض، فنقیض الترک هو الفعل، و نقیض الإرادة عدمها، فإذا وجب مجموع الترک و الإرادة بوجوب واحد، حرم مجموع الفعل و عدم الإرادة بحرمة واحدة، و من الواضح تحقّقهما عند إیجاد الصلاة، بداهة عدم إمکان إرادة الإزالة مع فعل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فالمقدّمة هو الترک الخاصّ، و حیث إنّ الخصوصیة ثبوتیة، فالترک الخاصّ لا رفع لشیء و لا مرفوع بشیء، فلا نقیض له بما هو، بل نقیض الترک المرفوع به هو الفعل، و نقیض الخصوصیة عدمها الرافع لها، فیکون الفعل محرّماً لوجوب نقیضه، و من الواضح اقتران الفعل بنقیض تلک الخصوصیة المأخوذة فی ظرف الترک، کما هو واضح، فافهم و اغتنم</w:t>
      </w:r>
      <w:r>
        <w:rPr>
          <w:rStyle w:val="FootnoteAnchor"/>
          <w:rtl w:val="true"/>
        </w:rPr>
        <w:footnoteReference w:id="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نظیر هذا یظهر من تقریرات بعض الأعاظم حیث قال ما 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اندفاع ما اورد علی الشیخ قدس سره فی المقام؛ لأنّ المقدّمة المتقیّدة بالإیصال تنحلّ إلی ذات و خصوصیة، و وحدتها فی عالم الموضوعیة لیست إلاّ أمراً اعتباریاً ناشئاً من وحدة الحکم؛ لامتناع أن یکون مورد الحکم فی مثل المقام واحداً حقیقیّاً مع اختلاف الذات و التقیّد فی المقولة، و نتیجة الانحلال هو عروض الحکم علی الاُمور المتکثّرة، و من شأنها تکثّر نقیضها بلا حاجة إلی تصوّر جامع بینها کی یستشکل فی المقام بعدم معقولیة کون العدم جامعاً بین الوجود و العدم المحض، إلاّ أنّ لازم تعدّد نقیض الواجب هو مبغوضیة أوّل نقیض یتحقّق فی الخارج؛ لأنّه بوجوده یتحقّق عصیان الأمر، فیسقط، فلا یبقی موضوع</w:t>
      </w:r>
    </w:p>
    <w:p>
      <w:pPr>
        <w:pStyle w:val="BookText"/>
        <w:rPr/>
      </w:pPr>
      <w:r>
        <w:rPr>
          <w:rFonts w:ascii="IRNazanin" w:hAnsi="IRNazanin" w:eastAsia="IRNazanin"/>
          <w:color w:val="111111"/>
          <w:sz w:val="28"/>
          <w:sz w:val="28"/>
          <w:szCs w:val="28"/>
          <w:rtl w:val="true"/>
          <w:lang w:bidi="fa-IR"/>
        </w:rPr>
        <w:t>لمبغوضیة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المثال المعروف إذا کان الشخص الآتی بالصلاة مریداً للإزالة فی فرض عدم إتیانه بالصلاة، فأوّل نقیض لمتعلّق الوجوب الغیری هو فعل الصلاة، فتصیر مبغوضةً، فتبطل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الشخص الآتی بالصلاة غیر مرید للإزالة علی تقدیر عدم الإتیان بالصلاة، فأوّل نقیض للواجب هو عدم إرادة الإزالة، فیکون هو المبغوض، و لا تصل النوبة إلی مبغوضیة الصلاة؛ لسقوط الأمر الغیری بعصیانه بترک إرادة الإزالة، فتبقی الصلاة مع محبوبیّتها، فلا وجه لبطلانها</w:t>
      </w:r>
      <w:r>
        <w:rPr>
          <w:rStyle w:val="FootnoteAnchor"/>
          <w:rtl w:val="true"/>
        </w:rPr>
        <w:footnoteReference w:id="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ملخّص ما فی التقریرات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لکن لا یخفی أنّ الانحلال و التعدّد إنّما هو فی الواقع و مع قطع النظر عن کونهما موضوعاً لحکم واحد و إرادة واحدة، فإنّه یصحّ أن یقال بأنّ نقیضهما مجموع النقیضین، بمعنی أنّه لا یکون للمجموع نقیض واحد؛ لأنّه لیس إلاّ أمراً اعتباریاً، بل هما شیئان، و لهما نقیضان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مع ملاحظة تعلّق حکم واحد بهما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المفروض فی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الواضح کونهما شیئاً واحداً بهذا الاعتبار؛ إذ لا یعقل أن یتعلّق الحکم الواحد و الإرادة الواحدة بالشیئین بوصف کونهما کذلک من دون اعتبار الوحدة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ذکره فی التقریرات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الوحدة ناشئة عن وحدة الحکم</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بالعکس؛ إذا الوحدة إنّما هو قبل تعلّق الحکم و بلحاظه؛ لما عرفت من أنّ تشخّص الإرادة بالمراد، و مع تعدّده لا یعقل وحدتها، فالحقّ فی المقام ما ذکرنا من دوران الأمر مدار مفهوم النقیض و معناه، أنّ نقیض الحکم هل</w:t>
      </w:r>
      <w:bookmarkStart w:id="156" w:name="pg11586_104682"/>
    </w:p>
    <w:p>
      <w:pPr>
        <w:pStyle w:val="BookText"/>
        <w:rPr/>
      </w:pPr>
      <w:bookmarkEnd w:id="156"/>
      <w:r>
        <w:rPr>
          <w:rFonts w:ascii="IRNazanin" w:hAnsi="IRNazanin" w:eastAsia="IRNazanin"/>
          <w:color w:val="111111"/>
          <w:sz w:val="28"/>
          <w:sz w:val="28"/>
          <w:szCs w:val="28"/>
          <w:rtl w:val="true"/>
          <w:lang w:bidi="fa-IR"/>
        </w:rPr>
        <w:t>یتعلّق بالنقیض أو بالأعم ممّا ینطبق علیه؟ کما حقّقناه، فراجع</w:t>
      </w:r>
      <w:r>
        <w:rPr>
          <w:rFonts w:eastAsia="IRNazanin" w:cs="IRNazanin"/>
          <w:color w:val="111111"/>
          <w:sz w:val="28"/>
          <w:szCs w:val="28"/>
          <w:rtl w:val="true"/>
          <w:lang w:bidi="fa-IR"/>
        </w:rPr>
        <w:t>.</w:t>
      </w:r>
    </w:p>
    <w:p>
      <w:pPr>
        <w:pStyle w:val="Heading4"/>
        <w:numPr>
          <w:ilvl w:val="3"/>
          <w:numId w:val="1"/>
        </w:numPr>
        <w:rPr/>
      </w:pPr>
      <w:bookmarkStart w:id="157" w:name="__RefHeading___Toc5145717_73709187"/>
      <w:bookmarkStart w:id="158" w:name="_Toc58"/>
      <w:bookmarkEnd w:id="157"/>
      <w:r>
        <w:rPr>
          <w:rtl w:val="true"/>
        </w:rPr>
        <w:t>الأمر الثامن فی الواجب الأصلی و التبعی</w:t>
      </w:r>
      <w:bookmarkEnd w:id="158"/>
    </w:p>
    <w:p>
      <w:pPr>
        <w:pStyle w:val="Heading5"/>
        <w:numPr>
          <w:ilvl w:val="4"/>
          <w:numId w:val="1"/>
        </w:numPr>
        <w:rPr/>
      </w:pPr>
      <w:bookmarkStart w:id="159" w:name="__RefHeading___Toc5145719_73709187"/>
      <w:bookmarkStart w:id="160" w:name="_Toc59"/>
      <w:bookmarkEnd w:id="159"/>
      <w:r>
        <w:rPr>
          <w:rtl w:val="true"/>
        </w:rPr>
        <w:t>اشارة</w:t>
      </w:r>
      <w:bookmarkEnd w:id="160"/>
    </w:p>
    <w:p>
      <w:pPr>
        <w:pStyle w:val="BookText"/>
        <w:rPr/>
      </w:pPr>
      <w:r>
        <w:rPr>
          <w:rFonts w:ascii="IRNazanin" w:hAnsi="IRNazanin" w:eastAsia="IRNazanin"/>
          <w:color w:val="111111"/>
          <w:sz w:val="28"/>
          <w:sz w:val="28"/>
          <w:szCs w:val="28"/>
          <w:rtl w:val="true"/>
          <w:lang w:bidi="fa-IR"/>
        </w:rPr>
        <w:t>قال فی 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الأصلی ما فُهم وجوبه بخطاب مستقلّ، أی غیر لازم لخطاب آخر و إن کان وجوبه تابعاً لوجوب غیره، و التبعی بخلافه، و هو ما فُهم وجوبه تبعاً لخطاب آخر و إن کان وجوبه مستقلاًّ، کما فی المفاهیم، و المراد بالخطاب هنا ما دلّ علی الحکم الشرعی فیعمّ اللفظی و غیره</w:t>
      </w:r>
      <w:r>
        <w:rPr>
          <w:rStyle w:val="FootnoteAnchor"/>
          <w:rtl w:val="true"/>
        </w:rPr>
        <w:footnoteReference w:id="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ظاهره کما تری أنّ هذا التقسیم إنّما هو بحسب مقام الدلالة و الإثبات، لا بحسب مقام الثبوت، و لکن استظهر المحقّق الخراسانی قدس سره فی الکفایة کون التقسیم بلحاظ الأصالة و التبعیّة فی الواقع و مقام 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إنّه یکون الشیء تارة متعلّقاً للإرادة و الطلب مستقلاًّ للالتفات إلیه بما هو علیه ممّا یوجب طلبه فیطلبه، کان طلبه نفسیّاً أو غیریّاً، و اخری متعلّقاً للإرادة تبعاً لإرادة غیره لأجل کون إرادته لازمةً لإرادته من دون التفات إلیه بما یوجب إرادته</w:t>
      </w:r>
      <w:r>
        <w:rPr>
          <w:rStyle w:val="FootnoteAnchor"/>
          <w:rtl w:val="true"/>
        </w:rPr>
        <w:footnoteReference w:id="76"/>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لکن یرد علیه أنّ مقتضی التقسیم و جعل الأصلی بالمعنی المذکور أن یکون التبعی عبارةً عمّا لم تتعلّق به إرادة مستقلّة لأجل عدم الالتفات إلیه تفصیلاً، سواء کانت إرادته تبعاً لإرادة غیره المراد نفساً و المطلوب کذلک أم لم یکن کذلک، فالتخصیص بالأُولی یوجب خروج الثانی عن التقسیم، و عدم دخوله</w:t>
      </w:r>
    </w:p>
    <w:p>
      <w:pPr>
        <w:pStyle w:val="BookText"/>
        <w:rPr/>
      </w:pPr>
      <w:r>
        <w:rPr>
          <w:rFonts w:ascii="IRNazanin" w:hAnsi="IRNazanin" w:eastAsia="IRNazanin"/>
          <w:color w:val="111111"/>
          <w:sz w:val="28"/>
          <w:sz w:val="28"/>
          <w:szCs w:val="28"/>
          <w:rtl w:val="true"/>
          <w:lang w:bidi="fa-IR"/>
        </w:rPr>
        <w:t>لا فی الأصلی و لا فی التبعی،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من بعض المحقّقین فی حاشیته علی الکفایة معنی آخر،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للواجب وجوداً و وجوباً بالنسبة إلی مقدّمته جهتان من العلّیة إحداهما العلّیة الغائیة حیث إنّ المقدّمة إنّما تراد لمراد آخر لا لنفسها، بخلاف ذیها، فإنّه مراد لا لمراد آخر، و الثانیة العلّیة الفاعلیة، و هی أنّ إرادة ذی المقدّمة علّة لإرادة مقدّمته، و منها تنشأ و تترشّح علیها الإرادة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الجهة الاُولی مناط الغیریة، و الجهة الثانیة مناط التبعیّة، و وجه الانفکاک بین الجهتین أنّ ذات الواجب النفسی حیث إنّه مترتّب علی الواجب الغیری، فهی الغایة الحقیقیّة، لکنّه ما لم یجب لا تجب المقدّمة، فوجوب المقدّمة معلول خارجاً، لوجوب ذیها، و متأخّر عنه رتبةً، إلاّ أنّ الغرض منه ترتّب ذیها علیها</w:t>
      </w:r>
      <w:r>
        <w:rPr>
          <w:rStyle w:val="FootnoteAnchor"/>
          <w:rtl w:val="true"/>
        </w:rPr>
        <w:footnoteReference w:id="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موضع الحاجة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لا یخفی أنّ إرادة المقدّمة لا یعقل أن تکون معلولةً لإرادة ذیها، بمعنی صدورها عنها و ترشّحها عنها کترشّح المعلول من العلّة؛ لأنّ الإرادة المتعلّقة بذی المقدّمة قد توجد مع عدم تعلّقها بالمقدّمة لأجل عدم التوجّه إلی المقدّمة أو إلی مقدّمیتها، و من المعلوم أنّ الإرادة إنّما هو بعد التوجّه؛ لما حقّق فی محلّه من أنّ تصوّر المراد و التوجّه إلیه من مبادئ الإرادة</w:t>
      </w:r>
      <w:r>
        <w:rPr>
          <w:rStyle w:val="FootnoteAnchor"/>
          <w:rtl w:val="true"/>
        </w:rPr>
        <w:footnoteReference w:id="78"/>
      </w:r>
      <w:r>
        <w:rPr>
          <w:rFonts w:ascii="IRNazanin" w:hAnsi="IRNazanin" w:eastAsia="IRNazanin"/>
          <w:color w:val="111111"/>
          <w:sz w:val="28"/>
          <w:sz w:val="28"/>
          <w:szCs w:val="28"/>
          <w:rtl w:val="true"/>
          <w:lang w:bidi="fa-IR"/>
        </w:rPr>
        <w:t>، بل مقدّم علی جمیعها، فکیف یمکن أن تتعلّق بما لا یکون متوجّهاً إلیه، و تعلّق الإرادة علی فرض التوجّه لا محالة لا یفید فی تصحیح المعلولیة مطلقاً</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الحقّ کما عرفت مراراً أنّ إرادة المقدّمة کإرادة ذیها تحصل بفعّالیة</w:t>
      </w:r>
      <w:bookmarkStart w:id="161" w:name="pg11586_104684"/>
    </w:p>
    <w:p>
      <w:pPr>
        <w:pStyle w:val="BookText"/>
        <w:rPr/>
      </w:pPr>
      <w:bookmarkEnd w:id="161"/>
      <w:r>
        <w:rPr>
          <w:rFonts w:ascii="IRNazanin" w:hAnsi="IRNazanin" w:eastAsia="IRNazanin"/>
          <w:color w:val="111111"/>
          <w:sz w:val="28"/>
          <w:sz w:val="28"/>
          <w:szCs w:val="28"/>
          <w:rtl w:val="true"/>
          <w:lang w:bidi="fa-IR"/>
        </w:rPr>
        <w:t>النفس و موجدة بفاعلیتها، غایة الأمر أنّ الفائدة المترتّبة علیها لیست إلاّ حصول ما هو مطلوب بالذات، بخلاف المراد الأوّلی و المطلوب الأقصی،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الإنصاف أنّ هذا التقسیم إنّما هو بلحاظ الأصالیّة و التبعیة فی مقام الإثبات، کما عرفت من صاحب الفصول قدس سره، لا بحسب مقام الواقع و الثبوت، کما لا یخفی</w:t>
      </w:r>
      <w:r>
        <w:rPr>
          <w:rFonts w:eastAsia="IRNazanin" w:cs="IRNazanin"/>
          <w:color w:val="111111"/>
          <w:sz w:val="28"/>
          <w:szCs w:val="28"/>
          <w:rtl w:val="true"/>
          <w:lang w:bidi="fa-IR"/>
        </w:rPr>
        <w:t>.</w:t>
      </w:r>
    </w:p>
    <w:p>
      <w:pPr>
        <w:pStyle w:val="Heading5"/>
        <w:numPr>
          <w:ilvl w:val="4"/>
          <w:numId w:val="1"/>
        </w:numPr>
        <w:rPr/>
      </w:pPr>
      <w:bookmarkStart w:id="162" w:name="__RefHeading___Toc5145721_73709187"/>
      <w:bookmarkStart w:id="163" w:name="_Toc60"/>
      <w:bookmarkEnd w:id="162"/>
      <w:r>
        <w:rPr>
          <w:rtl w:val="true"/>
        </w:rPr>
        <w:t>حول الأصل عند الشکّ فی الأصلیّة و التبعیّة</w:t>
      </w:r>
      <w:bookmarkEnd w:id="163"/>
    </w:p>
    <w:p>
      <w:pPr>
        <w:pStyle w:val="BookText"/>
        <w:rPr/>
      </w:pPr>
      <w:r>
        <w:rPr>
          <w:rFonts w:ascii="IRNazanin" w:hAnsi="IRNazanin" w:eastAsia="IRNazanin"/>
          <w:color w:val="111111"/>
          <w:sz w:val="28"/>
          <w:sz w:val="28"/>
          <w:szCs w:val="28"/>
          <w:rtl w:val="true"/>
          <w:lang w:bidi="fa-IR"/>
        </w:rPr>
        <w:t>ثمّ إنّه ذکر فی الکفایة أنّه إذا کان الواجب التبعی ما لم تتعلّق به إرادة مستقلّة، فإذا شکّ فی واجب أنّه أصلی أو تبعیّ، فبأصالة عدم تعلّق إرادة مستقلّة به یثبت أنّه تبعیّ، و یترتّب علیه آثاره إذا فرض له أثر شرعی، کسائر الموضوعات المتقوّمة بأُمور عدمیة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التبعی أمراً وجودیّاً خاصّاً غیر متقوّم بعدمی و إن کان یلزمه، لما کان یثبت بها إلاّ علی القول بالأصل المثبت، کما هو واضح، فافهم</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المحقّق المحشّی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کان مناط التبعیّة عدم تفصیلیة القصد و الإرادة، فالتبعیة موافقة للأصل؛ للشک فی أنّ الإرادة ملتفت إلیها أم لا، و الأصل عدمه، و إن کان مناطها نشو الإرادة عن إرادة اخری و ترشّحها منها، فالأصلیة موافقة للأصل؛ إذ المترشّح من إرادة اخری، و نشوها منها أمر وجودی مسبوق بالعدم، و لیس الاستقلال فی الإرادة علی هذا أمراً وجودیّاً، بل هو عدم نشوها عن إرادة اخری، بخلاف الاستقلال من حیث توجّه الالتفات إلیها، فإنّه</w:t>
      </w:r>
    </w:p>
    <w:p>
      <w:pPr>
        <w:pStyle w:val="BookText"/>
        <w:rPr/>
      </w:pPr>
      <w:r>
        <w:rPr>
          <w:rFonts w:ascii="IRNazanin" w:hAnsi="IRNazanin" w:eastAsia="IRNazanin"/>
          <w:color w:val="111111"/>
          <w:sz w:val="28"/>
          <w:sz w:val="28"/>
          <w:szCs w:val="28"/>
          <w:rtl w:val="true"/>
          <w:lang w:bidi="fa-IR"/>
        </w:rPr>
        <w:t>أمر وجودی، کما عرفت</w:t>
      </w:r>
      <w:r>
        <w:rPr>
          <w:rStyle w:val="FootnoteAnchor"/>
          <w:rtl w:val="true"/>
        </w:rPr>
        <w:footnoteReference w:id="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قلنا بأنّ مناط التبعیّة عدم تعلّق إرادة مستقلّة به، کما ذهب إلیه صاحب الکفایة، فلا تکون التبعیّة موافقةً للأصل؛ إذ لیست هی عبارة عن نفس عدم تعلّق إرادة مستقلّة به علی نحو السلب التحصیلی حتّی تکون مسبوقةً بالعدم، فإنّ السلب التحصیلی یصدق مع انتفاء الموضوع أیضاً، و هو لا ینطبق علی المقام أصلاً؛ لأنّ الواجب التبعی هو ما کان متعلّقاً للإرادة، غایة الأمر أنّه لا تکون إرادته تفصیلیّةً؛ فهو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السلب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مأخوذ فیه علی نحو السلب العدولی، أو الموجبة سالبة المحمول، و علی التقدیرین لا تکون موافقة للأصل، و استصحاب بقاء العدم المأخوذ صفة لا ینتج فی إثبات ثبوتها لهذه الإرادة المتعلّقة بالواجب، کما فی استصحاب عدم القرشیة الغیر الجاری علی التحقیق، کما أنّه لو قلنا بأنّ مناط التبعیة هو نشو الإرادة من إرادة اخری و ترشّحها منها، کما اختاره المحقّق المحشّی فی عبارته المتقدّمة، لا تکون الأصلیة موافقةً للأصل؛ لأنّ عدم ترشّح الإرادة من إرادة اخری لا یکون مأخوذاً فیها علی نحو السلب التحصیلی الصادق مع انتفاء الموضوع بل العدولی، و لا تکون مع هذا موافقةً للأصل، بعین التقریب المتقدّم</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بناء علیهما لا تکون شیء من التبعیّة و الأصلیة موافقةً للأصل، فالواجب الرجوع إلی الاُصول العملیّة، کما لا یخفی</w:t>
      </w:r>
      <w:r>
        <w:rPr>
          <w:rFonts w:eastAsia="IRNazanin" w:cs="IRNazanin"/>
          <w:color w:val="111111"/>
          <w:sz w:val="28"/>
          <w:szCs w:val="28"/>
          <w:rtl w:val="true"/>
          <w:lang w:bidi="fa-IR"/>
        </w:rPr>
        <w:t>.</w:t>
      </w:r>
      <w:bookmarkStart w:id="164" w:name="pg11586_104686"/>
    </w:p>
    <w:p>
      <w:pPr>
        <w:pStyle w:val="Heading4"/>
        <w:numPr>
          <w:ilvl w:val="3"/>
          <w:numId w:val="1"/>
        </w:numPr>
        <w:rPr/>
      </w:pPr>
      <w:bookmarkStart w:id="165" w:name="__RefHeading___Toc5145723_73709187"/>
      <w:bookmarkStart w:id="166" w:name="_Toc61"/>
      <w:bookmarkEnd w:id="164"/>
      <w:bookmarkEnd w:id="165"/>
      <w:r>
        <w:rPr>
          <w:rtl w:val="true"/>
        </w:rPr>
        <w:t>الأمر التاسع ثمرة مسألة مقدّمة الواجب</w:t>
      </w:r>
      <w:bookmarkEnd w:id="166"/>
    </w:p>
    <w:p>
      <w:pPr>
        <w:pStyle w:val="BookText"/>
        <w:rPr/>
      </w:pPr>
      <w:r>
        <w:rPr>
          <w:rFonts w:ascii="IRNazanin" w:hAnsi="IRNazanin" w:eastAsia="IRNazanin"/>
          <w:color w:val="111111"/>
          <w:sz w:val="28"/>
          <w:sz w:val="28"/>
          <w:szCs w:val="28"/>
          <w:rtl w:val="true"/>
          <w:lang w:bidi="fa-IR"/>
        </w:rPr>
        <w:t>قد عرفت أنّ ثمرة المسألة الاُصولیة هو أن تکون نتیجتها صالحةً للوقوع فی طریق استنباط الحکم الفرعی، و هنا أیضاً کذلک؛ فإنّ ثمرة القول بالملازمة إنّما هو استکشاف وجوب المقدّمة فیما قام الدلیل علی وجوب ذیها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قد اورد علی ذلک بأنّ هذا الحکم الفرعی لیس له أثر عملی؛ لأنّ العقل حاکم بلابدّیة الإتیان به بعد فرض کونه مقدّمةً و إن لم نقل بالملازمة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عنه فی تقریرات بعض الأعاظم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وجوب المقدّمة و إن لم یکن بنفسه ذا أثر عملی بعد حکم العقل بلابدّیة الإتیان بالمقدّمة، إلاّ أنّ تطبیق کبریات اخر مستفادة من محالّها علیها تتحقّق الثمرة، فإنّه بعد فرض وجوب المقدّمة یمکن تحقّق التقرّب بقصد أمرها، فتتحقّق بذلک التوسعة فی باب التقرّب، و کذلک إذا أمر شخص شخصاً آخر أمراً معاملیاً بفعل له مقدّمات، فأتی المأمور بتلک المقدّمات و لم یأت بذیها، یکون ضامناً للشخص المأمور اجرة المقدّمات بعد فرض کون الأمر بالفعل أمراً بمقدّماته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ظهر بذلک أنّ الثمرة العملیة لمسألة وجوب مقدّمة الواجب إنّما تتحقّق بضمّ نتیجتها إلی کبریات اخر منقّحة فی مواردها</w:t>
      </w:r>
      <w:r>
        <w:rPr>
          <w:rStyle w:val="FootnoteAnchor"/>
          <w:rtl w:val="true"/>
        </w:rPr>
        <w:footnoteReference w:id="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ملخّص ما فی التقریرات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لا یخفی أنّ الأمر المقدّمی و الواجب الغیری لا یصلح للداعویة حتّی یمکن التقرّب به، بل کما عرفت سابقاً أنّ الواجبات الغیریة کلّها توصّلیة، کما</w:t>
      </w:r>
      <w:bookmarkStart w:id="167" w:name="pg11586_104687"/>
    </w:p>
    <w:p>
      <w:pPr>
        <w:pStyle w:val="BookText"/>
        <w:rPr/>
      </w:pPr>
      <w:bookmarkEnd w:id="167"/>
      <w:r>
        <w:rPr>
          <w:rFonts w:ascii="IRNazanin" w:hAnsi="IRNazanin" w:eastAsia="IRNazanin"/>
          <w:color w:val="111111"/>
          <w:sz w:val="28"/>
          <w:sz w:val="28"/>
          <w:szCs w:val="28"/>
          <w:rtl w:val="true"/>
          <w:lang w:bidi="fa-IR"/>
        </w:rPr>
        <w:t>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استحقاق اجرة المقدّمات علی تقدیر کون الأمر بذیها أمراً بها فیرد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أنّه منافٍ لما اختاره من ثبوت الملازمة بالنسبة إلی خصوص المقدّمة الموصلة بالمعنی الذی نقلناه عنه سابقاً لا مطلق المقدّمة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استحقاق الاُجرة إنّما هو فیما إذا کان الباعث له علی الإتیان بالمأمور به هو الأمر المتعلّق بها، لأغراضه النفسانیة الاُخر، و فی المقام لیس کذلک، فإنّ الإتیان بالمقدّمة لیس مسبّباً عن إتیان وجوبها، کیف و لو لم نقل بالوجوب یأتی بها أیضاً، بل الداعی له هو الأمر المتعلّق بذیها، لا لأنّ أمره یدعو إلی غیر ما تعلّق به أیضاً، بل لأنّ المقصود من إتیانها إنّما هو للتوصّل إلی ذیها، و مجرّد هذا لا یصحّح استحقاق الاُجرة، کما لا یخفی، فالإنصاف أنّه لا ثمرة مهمّة مترتّبة علی وجوب المقدّمة، کما یظهر علی مَنْ تأمّل فیما جعلوه ثمرةً للمقام</w:t>
      </w:r>
      <w:r>
        <w:rPr>
          <w:rFonts w:eastAsia="IRNazanin" w:cs="IRNazanin"/>
          <w:color w:val="111111"/>
          <w:sz w:val="28"/>
          <w:szCs w:val="28"/>
          <w:rtl w:val="true"/>
          <w:lang w:bidi="fa-IR"/>
        </w:rPr>
        <w:t>.</w:t>
      </w:r>
    </w:p>
    <w:p>
      <w:pPr>
        <w:pStyle w:val="Heading4"/>
        <w:numPr>
          <w:ilvl w:val="3"/>
          <w:numId w:val="1"/>
        </w:numPr>
        <w:rPr/>
      </w:pPr>
      <w:bookmarkStart w:id="168" w:name="__RefHeading___Toc5145725_73709187"/>
      <w:bookmarkStart w:id="169" w:name="_Toc62"/>
      <w:bookmarkEnd w:id="168"/>
      <w:r>
        <w:rPr>
          <w:rtl w:val="true"/>
        </w:rPr>
        <w:t>الأمر العاشر فی الأصل عند الشکّ فی الملازمة</w:t>
      </w:r>
      <w:bookmarkEnd w:id="169"/>
    </w:p>
    <w:p>
      <w:pPr>
        <w:pStyle w:val="Heading5"/>
        <w:numPr>
          <w:ilvl w:val="4"/>
          <w:numId w:val="1"/>
        </w:numPr>
        <w:rPr/>
      </w:pPr>
      <w:bookmarkStart w:id="170" w:name="__RefHeading___Toc5145727_73709187"/>
      <w:bookmarkStart w:id="171" w:name="_Toc63"/>
      <w:bookmarkEnd w:id="170"/>
      <w:r>
        <w:rPr>
          <w:rtl w:val="true"/>
        </w:rPr>
        <w:t>اشارة</w:t>
      </w:r>
      <w:bookmarkEnd w:id="171"/>
    </w:p>
    <w:p>
      <w:pPr>
        <w:pStyle w:val="BookText"/>
        <w:rPr/>
      </w:pPr>
      <w:r>
        <w:rPr>
          <w:rFonts w:ascii="IRNazanin" w:hAnsi="IRNazanin" w:eastAsia="IRNazanin"/>
          <w:color w:val="111111"/>
          <w:sz w:val="28"/>
          <w:sz w:val="28"/>
          <w:szCs w:val="28"/>
          <w:rtl w:val="true"/>
          <w:lang w:bidi="fa-IR"/>
        </w:rPr>
        <w:t xml:space="preserve">لا یخفی أنّه لیس فی نفس محلّ البحث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الملازمة و عدمها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یوافق أحد الطرفین، فإنّ الملازمة و عدمها لیست لها حالة سابقة؛ لأنّ الملازمة و عدمها أزلیّة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نفس وجوب المقدّمة یکون مسبوقاً بالعدم حیث إنّه حادث بحدوث وجوب ذیها، فالأصل عدم وجوبها إلاّ أنّک عرفت أنّه لا یترتّب علی وجوب المقدّمة ثمرة عملیة أصلاً حتّی ترتفع بالأصل إلاّ أنّه قد أورد علیه بوجه آخر، و هو لزوم التفکیک بین الوجوبین</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أجاب عنه فی الکفایة بأنّه لا ینافی الملازمة بین الواقعین، و إنّما ینافی</w:t>
      </w:r>
      <w:bookmarkStart w:id="172" w:name="pg11586_104688"/>
    </w:p>
    <w:p>
      <w:pPr>
        <w:pStyle w:val="BookText"/>
        <w:rPr/>
      </w:pPr>
      <w:bookmarkEnd w:id="172"/>
      <w:r>
        <w:rPr>
          <w:rFonts w:ascii="IRNazanin" w:hAnsi="IRNazanin" w:eastAsia="IRNazanin"/>
          <w:color w:val="111111"/>
          <w:sz w:val="28"/>
          <w:sz w:val="28"/>
          <w:szCs w:val="28"/>
          <w:rtl w:val="true"/>
          <w:lang w:bidi="fa-IR"/>
        </w:rPr>
        <w:t>الملازمة بین الفعلین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کانت الدعوی هی الملازمة المطلقة حتّی فی المرتبة الفعلیة، لما صحّ التمسّک بالأصل</w:t>
      </w:r>
      <w:r>
        <w:rPr>
          <w:rStyle w:val="FootnoteAnchor"/>
          <w:rtl w:val="true"/>
        </w:rPr>
        <w:footnoteReference w:id="8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یخفی أنّه لو قلنا بالثانی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ظاهر القائلین بالملازمة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لصحّ التمسّک بالأصل أیضاً، فإنّ جریان الأصل إنّما هو فی مقام الشکّ فی الملازمة، و مجرّد احتمالها لا ینافی جریان الأصل، بل المانع من جریانه إحرازها، کما هو واضح</w:t>
      </w:r>
      <w:r>
        <w:rPr>
          <w:rFonts w:eastAsia="IRNazanin" w:cs="IRNazanin"/>
          <w:color w:val="111111"/>
          <w:sz w:val="28"/>
          <w:szCs w:val="28"/>
          <w:rtl w:val="true"/>
          <w:lang w:bidi="fa-IR"/>
        </w:rPr>
        <w:t>.</w:t>
      </w:r>
    </w:p>
    <w:p>
      <w:pPr>
        <w:pStyle w:val="Heading5"/>
        <w:numPr>
          <w:ilvl w:val="4"/>
          <w:numId w:val="1"/>
        </w:numPr>
        <w:rPr/>
      </w:pPr>
      <w:bookmarkStart w:id="173" w:name="__RefHeading___Toc5145729_73709187"/>
      <w:bookmarkStart w:id="174" w:name="_Toc64"/>
      <w:bookmarkEnd w:id="173"/>
      <w:r>
        <w:rPr>
          <w:rtl w:val="true"/>
        </w:rPr>
        <w:t>القول فی أدلّة القائلین بالملازمة</w:t>
      </w:r>
      <w:bookmarkEnd w:id="174"/>
    </w:p>
    <w:p>
      <w:pPr>
        <w:pStyle w:val="BookText"/>
        <w:rPr/>
      </w:pPr>
      <w:r>
        <w:rPr>
          <w:rFonts w:ascii="IRNazanin" w:hAnsi="IRNazanin" w:eastAsia="IRNazanin"/>
          <w:color w:val="111111"/>
          <w:sz w:val="28"/>
          <w:sz w:val="28"/>
          <w:szCs w:val="28"/>
          <w:rtl w:val="true"/>
          <w:lang w:bidi="fa-IR"/>
        </w:rPr>
        <w:t xml:space="preserve">ذکر فی الکفایة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الاعتراض علی الأفاضل المتصدّین لإقامة البرهان علی الملازمة بأنّه ما أتی منهم بواحد خالٍ عن الخلل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الأولی إحالة ذلک إلی الوجدان حیث إنّه أقوی شاهد علی أنّ الإنسان إذا أراد شیئاً له مقدّمات أراد تلک المقدّمات لو التفت إلیها بحیث ربّما یجعلها فی قالب الطلب مثله، و یقول مولویّاً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ادخل السوق و اشتر اللحم، مثلاً، بداهة أنّ الطلب المنشأ بخطاب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المنشأ بخطاب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کونه بعثاً مولویّاً، و أنّه حیث تعلّقت إرادته بإیجاد عبده الاشتراء ترشّحت منها إرادة اخری بدخول السوق بعد الالتفات إلیه، و أنّه یکون مقدّمة له، کما لا یخفی‌</w:t>
      </w:r>
      <w:r>
        <w:rPr>
          <w:rStyle w:val="FootnoteAnchor"/>
          <w:rtl w:val="true"/>
        </w:rPr>
        <w:footnoteReference w:id="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موضع الحاجة</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استدلّ فی التقریرات علی الملازمة بأنّ الإرادة التشریعیة تابعة للإرادة التکوینیّة إمکاناً و امتناعاً و وجوداً و عدماً، فکلّ ما أمکن تعلّق الإرادة التکوینیة</w:t>
      </w:r>
    </w:p>
    <w:p>
      <w:pPr>
        <w:pStyle w:val="BookText"/>
        <w:rPr/>
      </w:pPr>
      <w:r>
        <w:rPr>
          <w:rFonts w:ascii="IRNazanin" w:hAnsi="IRNazanin" w:eastAsia="IRNazanin"/>
          <w:color w:val="111111"/>
          <w:sz w:val="28"/>
          <w:sz w:val="28"/>
          <w:szCs w:val="28"/>
          <w:rtl w:val="true"/>
          <w:lang w:bidi="fa-IR"/>
        </w:rPr>
        <w:t>به أمکن تعلّق التشریعیة به، و کلّ ما استحال تعلّق الاُولی استحال أن یکون متعلّقاً للتشریعیة، و هکذا کلّ ما یکون مورداً للإرادة التکوینیة عند تحقّقه من نفس المرید یکون مورداً للتشریعیة عند صدوره من غیر المرید، و من الواضح أنّ المرید لفعل بإرادة تکوینیّة تتعلّق إرادته أیضاً بالتبع بإیجاد مقدّماته و إن کان غافلاً عن مقدّمیتها لذلک الفعل، و لازم ذلک بمقتضی التبعیّة المتقدّمة أن یکون تعلّق الإرادة التشریعیة من الآمر بفعل مستلزماً لتعلّق الإرادة التشریعیّة التبعیّة بمقدّمات ذلک الفعل</w:t>
      </w:r>
      <w:r>
        <w:rPr>
          <w:rStyle w:val="FootnoteAnchor"/>
          <w:rtl w:val="true"/>
        </w:rPr>
        <w:footnoteReference w:id="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موضع الحاجة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 قیاس الإرادة التشریعیة بالإرادة التکوینیة فی غیر محلّه، فإنّه إذا أراد الشخص الإتیان بفعل بنفسه، فلا محالة تتعلّق إرادة اخری بإتیان المقدّمات؛ لأنّ المفروض استحالة الإتیان به بدونها، و هو إنّما یرید أن یأتی به بنفسه و لا محالة یرید المقدّمات، لا نقول بأنّ إرادته للمقدّمات معلولة لإرادة ذلک الفعل مترشّحة عنها صادرة عنها قهراً، فإنّ ذلک باطل، کما مرّ مراراً، بل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تتوقّف إرادة الفعل علی مبادئها، کذلک تتوقّف إرادة مقدّماته علی سنخ مبادئ إرادة الفعل، غایة الأمر أنّ محبوبیّة الفعل و تعلّق الاشتیاق إلیه إنّما هو لنفسه، و محبوبیّة المقدّمات إنّما هو للوصول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فی الإرادة التکوینیة</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الإرادة التشریعیة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فحیث إنّ المطلوب فیها صدور المراد من الغیر، فلا استحالة فی عدم تعلّق الإرادة بالمقدّمات، و امتناع تحقّقه بدونها إنّما یوجب أن تتعلّق إرادة الأمر بها أیضاً، فلا یلزم بل لا وجه له أصلاً؛ لأنّک عرفت عدم الفرق بین إرادة الفعل و إرادة المقدّمات فی توقّف کلٍّ منهما علی مبادئها، و من</w:t>
      </w:r>
      <w:bookmarkStart w:id="175" w:name="pg11586_104690"/>
    </w:p>
    <w:p>
      <w:pPr>
        <w:pStyle w:val="BookText"/>
        <w:rPr/>
      </w:pPr>
      <w:bookmarkEnd w:id="175"/>
      <w:r>
        <w:rPr>
          <w:rFonts w:ascii="IRNazanin" w:hAnsi="IRNazanin" w:eastAsia="IRNazanin"/>
          <w:color w:val="111111"/>
          <w:sz w:val="28"/>
          <w:sz w:val="28"/>
          <w:szCs w:val="28"/>
          <w:rtl w:val="true"/>
          <w:lang w:bidi="fa-IR"/>
        </w:rPr>
        <w:t>المعلوم عدم تحقّق المبادئ بالنسبة إلی المقدّمات فی الإرادة التشریعیّة، فإنّ من جملتها التصدیق بفائدتها، و الحال أنّه لا فائدة لها بالنسبة إلی الأمر حتّی یرید صدورها من الغیر، فإنّ المأمور إذا أراد الامتثال فلا محالة یأتی بالمقدّمات و إن لم تکن مورداً لإرادة الآمر، و إذا لم یکن قاصداً لامتثال الأمر بالفعل فتعلّق الإرادة بالمقدّمات لغو غیر مؤثّر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قلنا بترشّح إرادتها من إرادته بحیث لا تتوقّف إرادة المقدّمات علی مبادٍ أصلاً، لکان لما ذکر وجه؛ لأنّ العلّة یترتّب علیها المعلول قهراً إلاّ أنّک عرفت أنّ هذا الکلام بمکان من البطلان، کما لا یخفی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إنّه استدلّ أبو الحسن البصری</w:t>
      </w:r>
      <w:r>
        <w:rPr>
          <w:rStyle w:val="FootnoteAnchor"/>
          <w:rtl w:val="true"/>
        </w:rPr>
        <w:footnoteReference w:id="85"/>
      </w:r>
      <w:r>
        <w:rPr>
          <w:rFonts w:ascii="IRNazanin" w:hAnsi="IRNazanin" w:eastAsia="IRNazanin"/>
          <w:color w:val="111111"/>
          <w:sz w:val="28"/>
          <w:sz w:val="28"/>
          <w:szCs w:val="28"/>
          <w:rtl w:val="true"/>
          <w:lang w:bidi="fa-IR"/>
        </w:rPr>
        <w:t xml:space="preserve">لثبوت الملازمة بما یرد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النقض بالمتلازمین فی الوجود إذا وجب أحدهما دون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أورد علیه فی الکفایة</w:t>
      </w:r>
      <w:r>
        <w:rPr>
          <w:rStyle w:val="FootnoteAnchor"/>
          <w:rtl w:val="true"/>
        </w:rPr>
        <w:footnoteReference w:id="86"/>
      </w:r>
      <w:r>
        <w:rPr>
          <w:rFonts w:ascii="IRNazanin" w:hAnsi="IRNazanin" w:eastAsia="IRNazanin"/>
          <w:color w:val="111111"/>
          <w:sz w:val="28"/>
          <w:sz w:val="28"/>
          <w:szCs w:val="28"/>
          <w:rtl w:val="true"/>
          <w:lang w:bidi="fa-IR"/>
        </w:rPr>
        <w:t>، فراجعها</w:t>
      </w:r>
      <w:r>
        <w:rPr>
          <w:rFonts w:eastAsia="IRNazanin" w:cs="IRNazanin"/>
          <w:color w:val="111111"/>
          <w:sz w:val="28"/>
          <w:szCs w:val="28"/>
          <w:rtl w:val="true"/>
          <w:lang w:bidi="fa-IR"/>
        </w:rPr>
        <w:t>.</w:t>
      </w:r>
    </w:p>
    <w:p>
      <w:pPr>
        <w:pStyle w:val="Heading5"/>
        <w:numPr>
          <w:ilvl w:val="4"/>
          <w:numId w:val="1"/>
        </w:numPr>
        <w:rPr/>
      </w:pPr>
      <w:bookmarkStart w:id="176" w:name="__RefHeading___Toc5145731_73709187"/>
      <w:bookmarkStart w:id="177" w:name="_Toc65"/>
      <w:bookmarkEnd w:id="176"/>
      <w:r>
        <w:rPr>
          <w:rtl w:val="true"/>
        </w:rPr>
        <w:t>تذنیب</w:t>
      </w:r>
      <w:r>
        <w:rPr>
          <w:rtl w:val="true"/>
        </w:rPr>
        <w:t xml:space="preserve">: </w:t>
      </w:r>
      <w:r>
        <w:rPr>
          <w:rtl w:val="true"/>
        </w:rPr>
        <w:t>حول التفصیل بین السبب و الشرط الشرعی و غیرهما</w:t>
      </w:r>
      <w:bookmarkEnd w:id="177"/>
    </w:p>
    <w:p>
      <w:pPr>
        <w:pStyle w:val="BookText"/>
        <w:rPr/>
      </w:pPr>
      <w:r>
        <w:rPr>
          <w:rFonts w:ascii="IRNazanin" w:hAnsi="IRNazanin" w:eastAsia="IRNazanin"/>
          <w:color w:val="111111"/>
          <w:sz w:val="28"/>
          <w:sz w:val="28"/>
          <w:szCs w:val="28"/>
          <w:rtl w:val="true"/>
          <w:lang w:bidi="fa-IR"/>
        </w:rPr>
        <w:t>ثمّ إنّه قد یفصّل بین السبب و غیره و تقدّم الکلام فیه سابقاً، فراجع</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أنّه قد یفصّل بین الشرط الشرعی و غیره، و یقال بالوجوب فی الأوّل دون غیره؛ نظراً إلی أنّه لو لا وجوبه شرعاً لما کان شرطاً حیث إنّه لیس ممّا لا بدّ منه عقلاً أو عادةً‌</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bookmarkStart w:id="178" w:name="pg11586_104691"/>
    </w:p>
    <w:p>
      <w:pPr>
        <w:pStyle w:val="BookText"/>
        <w:rPr/>
      </w:pPr>
      <w:bookmarkEnd w:id="178"/>
      <w:r>
        <w:rPr>
          <w:rFonts w:ascii="IRNazanin" w:hAnsi="IRNazanin" w:eastAsia="IRNazanin"/>
          <w:color w:val="111111"/>
          <w:sz w:val="28"/>
          <w:sz w:val="28"/>
          <w:szCs w:val="28"/>
          <w:rtl w:val="true"/>
          <w:lang w:bidi="fa-IR"/>
        </w:rPr>
        <w:t>و مدّعاه فی غیر الشرط الشرعی حقّ، و أمّا الشرط الشرعی فیرد علی الاستدلال لوجوبه بما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کان المراد توقّف الشرطیة علی تعلّق الوجوب،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الواضح أنّ الوجوب لا یتعلّق إلاّ بما هو شرط واقعاً، فالحکم متأخّر عن الواقع، لا أنّ الواقع متوقّف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أراد أنّه بدون الوجوب لا نستکشف الشرطیة؛ لأنّ الشرط الشرعی لیس کالشرائط العقلیة و العادیة المعلومة، بل هو محتاج إلی دلالة الدلیل علیه، فالوجوب کاشف عن شرطیته،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الوجوب الغیری لا یمکن أن یکون کاشفاً، فإنّ الملازمة إن کانت بین إرادة الفعل و إرادة مقدّماته، فالإرادة التبعیة بالمقدّمات متوقّفة علی إحراز مقدّمیتها حتّی یحکم العقل بتعلّق الإرادة بها تبعاً لإرادة ذیها، و کذلک لو کانت الملازمة العقلیة بین البعث المتعلّق بالفعل و البعث المتعلّق بالمقدّمات، فإنّ حکم العقل بتعلّق البعث بها تبعاً لبعث ذیها متوقّف علی إحراز مقدّمیتها، و بدونه کیف یحکم بتعلّق البعث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أنّ طریق إحراز الشرط منحصر بالأمر النفسی المتعلّق بالفعل المقیّد ببعض القیود کمثل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مع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الأمر الغیری الذی یکون الحاکم به العقل، و من المعلوم توقّف حکمه علی إحراز موضوعه، کما هو واضح، فلا یمکن أن یکون کاشفاً، کما عرفت، فتأمّل جیّداً</w:t>
      </w:r>
      <w:r>
        <w:rPr>
          <w:rFonts w:eastAsia="IRNazanin" w:cs="IRNazanin"/>
          <w:color w:val="111111"/>
          <w:sz w:val="28"/>
          <w:szCs w:val="28"/>
          <w:rtl w:val="true"/>
          <w:lang w:bidi="fa-IR"/>
        </w:rPr>
        <w:t>.</w:t>
      </w:r>
    </w:p>
    <w:p>
      <w:pPr>
        <w:pStyle w:val="Heading5"/>
        <w:numPr>
          <w:ilvl w:val="4"/>
          <w:numId w:val="1"/>
        </w:numPr>
        <w:rPr/>
      </w:pPr>
      <w:bookmarkStart w:id="179" w:name="__RefHeading___Toc5145733_73709187"/>
      <w:bookmarkStart w:id="180" w:name="_Toc66"/>
      <w:bookmarkEnd w:id="179"/>
      <w:r>
        <w:rPr>
          <w:rtl w:val="true"/>
        </w:rPr>
        <w:t>تتمیم</w:t>
      </w:r>
      <w:r>
        <w:rPr>
          <w:rtl w:val="true"/>
        </w:rPr>
        <w:t xml:space="preserve">: </w:t>
      </w:r>
      <w:r>
        <w:rPr>
          <w:rtl w:val="true"/>
        </w:rPr>
        <w:t>فی مقدّمة المستحب و المکروه و الحرام</w:t>
      </w:r>
      <w:bookmarkEnd w:id="180"/>
    </w:p>
    <w:p>
      <w:pPr>
        <w:pStyle w:val="BookText"/>
        <w:rPr/>
      </w:pPr>
      <w:r>
        <w:rPr>
          <w:rFonts w:ascii="IRNazanin" w:hAnsi="IRNazanin" w:eastAsia="IRNazanin"/>
          <w:color w:val="111111"/>
          <w:sz w:val="28"/>
          <w:sz w:val="28"/>
          <w:szCs w:val="28"/>
          <w:rtl w:val="true"/>
          <w:lang w:bidi="fa-IR"/>
        </w:rPr>
        <w:t>لا یخفی أنّ جمیع ما ذکر فی مقدّمة الواجب یجری فی مقدّمة المستحبّ طابق النعل بالنعل، و حیث إنّک عرفت أنّ الأقوی فی الاُولی عدم ثبوت الملازمة کما حقّقناه، فالحکم فی الثانیة أیضاً کذلک بلا تفاوت، کما هو واضح</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هل تکون مقدّمة الحرام کمقدّمة الواجب، فتکون محرّمةً مطلقاً،</w:t>
      </w:r>
    </w:p>
    <w:p>
      <w:pPr>
        <w:pStyle w:val="BookText"/>
        <w:rPr/>
      </w:pPr>
      <w:r>
        <w:rPr>
          <w:rFonts w:ascii="IRNazanin" w:hAnsi="IRNazanin" w:eastAsia="IRNazanin"/>
          <w:color w:val="111111"/>
          <w:sz w:val="28"/>
          <w:sz w:val="28"/>
          <w:szCs w:val="28"/>
          <w:rtl w:val="true"/>
          <w:lang w:bidi="fa-IR"/>
        </w:rPr>
        <w:t>أو لا تکون حراماً کذلک، أو یفصّل بین المقدّمات التی تکون من قبیل الأسباب التولیدیّة فتحرم، و بین غیره فلا تحرم، أو بین المقدّمة الموصلة و غیرها، أو بین ما قصد التوصّل به إلی الحرام و غیره؟ وجوه یظهر ثالثها من المحقّق الخراسانی فی الکفایة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ما ذکر فی وجهه وجود الفرق بین مقدّمات الواجب و بین مقدّمات الحرام، فإنّه حیث یکون المطلوب فی الأوّل وجود المراد، و هو متوقّف علیها، فلا محالة تتعلّق بها الإرادة، و أمّا المطلوب فی الثانی ترک الشیء، و هو لا یتوقّف علی ترک جمیع المقدّمات بحیث لو أتی بواحد منها لما کان متمکّناً من الترک، فإنّه یتمکّن منه و لو أتی بجمیع المقدّمات، لتوسط الإرادة بینها و بینه، و هی لا یمکن أن یتعلّق بها الطلب بعثاً أو زجراً، لعدم کونها من الاُمور الاختیاریة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الفعل بحیث لم یتمکّن من ترکه بعد الإتیان ببعض المقدّمات؛ لعدم توسط الإرادة بینها و بینه، تکون تلک المقدّمة المترتّبة علیها الفعل قهراً محرّمة دون سائر المقدّمات</w:t>
      </w:r>
      <w:r>
        <w:rPr>
          <w:rStyle w:val="FootnoteAnchor"/>
          <w:rtl w:val="true"/>
        </w:rPr>
        <w:footnoteReference w:id="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ملخّص ما أفاده فی الکفایة</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لا یخفی أنّ هذا الکلام إنّما یتمّ لو وجد فی الأفعال الخارجیة شیء منها تکون الإرادة متوسطة بینها و بین المقدّمات بحیث یکون الموجد للفعل و المؤثّر فیه نفس الإرادة من دون توقّف علی حصول شیء آخر بعدها مع أنّا لم نظفر بمثل هذا الفعل، فإنّ جمیع الأفعال الاختیاریة یکون الجزء الأخیر لحصولها غیر الإرادة بمعنی أنّه لا یترتّب علیها الفعل بمجرّدها من دون توسیط بعض الأفعال الاُخر أیضاً، فإن تحقّق الشرب فی الخارج یتوقّف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تعلّق الإرادة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مثل تحریک العضلات، و نحو الإناء الموجود فیه الماء مثلاً</w:t>
      </w:r>
      <w:bookmarkStart w:id="181" w:name="pg11586_104693"/>
    </w:p>
    <w:p>
      <w:pPr>
        <w:pStyle w:val="BookText"/>
        <w:rPr/>
      </w:pPr>
      <w:bookmarkEnd w:id="181"/>
      <w:r>
        <w:rPr>
          <w:rFonts w:ascii="IRNazanin" w:hAnsi="IRNazanin" w:eastAsia="IRNazanin"/>
          <w:color w:val="111111"/>
          <w:sz w:val="28"/>
          <w:sz w:val="28"/>
          <w:szCs w:val="28"/>
          <w:rtl w:val="true"/>
          <w:lang w:bidi="fa-IR"/>
        </w:rPr>
        <w:t>و أخذه بالید و جعله محاذیاً للفم و إلقائه فیه، و بعد تحقّق جمیع هذه المقدّمات یتوقّف علی إعمال الآلات المعدّة لبلعه الذی عبارة عن الشرب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فجمیع الأفعال الاختیاریة إنّما یتوقّف بعد تعلّق الإرادة بها علی بعض الاُمور الجزئیة التی یؤثّر فی حصولها، فلا فرق بینها و بین الأفعال التولیدیة أصلاً، فإنّ الإرادة لا مدخلیة لها فی التأثیر فی حصول الفعل، کیف و هی من الاُمور التجرّدیة التی یمتنع أن تؤثّر فی المادّیات بحیث کانت مفیضةً لها، کما لا یخفی</w:t>
      </w:r>
      <w:r>
        <w:rPr>
          <w:rFonts w:eastAsia="IRNazanin" w:cs="IRNazanin"/>
          <w:color w:val="111111"/>
          <w:sz w:val="28"/>
          <w:szCs w:val="28"/>
          <w:rtl w:val="true"/>
          <w:lang w:bidi="fa-IR"/>
        </w:rPr>
        <w:t>.</w:t>
      </w:r>
    </w:p>
    <w:p>
      <w:pPr>
        <w:pStyle w:val="Heading5"/>
        <w:numPr>
          <w:ilvl w:val="4"/>
          <w:numId w:val="1"/>
        </w:numPr>
        <w:rPr/>
      </w:pPr>
      <w:bookmarkStart w:id="182" w:name="__RefHeading___Toc5145735_73709187"/>
      <w:bookmarkStart w:id="183" w:name="_Toc67"/>
      <w:bookmarkEnd w:id="182"/>
      <w:r>
        <w:rPr>
          <w:rtl w:val="true"/>
        </w:rPr>
        <w:t>ثمّ إنّه ذکر فی الدّرر أنّ العناوین المحرّمة علی ضربین</w:t>
      </w:r>
      <w:r>
        <w:rPr>
          <w:rtl w:val="true"/>
        </w:rPr>
        <w:t>:</w:t>
      </w:r>
      <w:bookmarkEnd w:id="183"/>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العنوان بما هو مبغوضاً من دون تقییده بالاختیار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الفعل الصادر عن إرادة و اختیار مبغوضاً بحیث لو صدر من غیر اختیاره لم یکن منافیاً لغرض المولی، فعلی الأوّل علّة الحرام هی المقدّمات الخارجیة من دون مدخلیة الإرادة، بل هی علّة لوجود علّة الحرام، و علی الثانی تکون الإرادة من أجزاء العلّة التامّة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أنّ المراجعة إلی الوجدان تقضی بتحقّق الملازمة بین کراهة الشیء و کراهة العلّة التامّة له، و فی القسم الثانی لمّا کانت العلّة التامّة مرکّبة من الأجزاء الخارجیة و من الإرادة، و لا یصحّ استناد الترک إلاّ إلی عدم الإرادة؛ لأنّه أسبق رتبةً من سائر المقدّمات، فلا یتّصف الأجزاء الخارجیة بالحرمة أصلاً</w:t>
      </w:r>
      <w:r>
        <w:rPr>
          <w:rStyle w:val="FootnoteAnchor"/>
          <w:rtl w:val="true"/>
        </w:rPr>
        <w:footnoteReference w:id="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موضع الحاجة من ملخّص کلامه</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أنت 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لو کان المبغوض عبارةً عن الفعل الصادر عن إرادة و اختیار، فالإرادة لها مدخلیة فی نفس الحرام، لا أن تکون من أجزاء العلّة</w:t>
      </w:r>
    </w:p>
    <w:p>
      <w:pPr>
        <w:pStyle w:val="BookText"/>
        <w:rPr/>
      </w:pPr>
      <w:r>
        <w:rPr>
          <w:rFonts w:ascii="IRNazanin" w:hAnsi="IRNazanin" w:eastAsia="IRNazanin"/>
          <w:color w:val="111111"/>
          <w:sz w:val="28"/>
          <w:sz w:val="28"/>
          <w:szCs w:val="28"/>
          <w:rtl w:val="true"/>
          <w:lang w:bidi="fa-IR"/>
        </w:rPr>
        <w:t>التامّة، فإنّ المحرّم هو الفعل الإرادیّ بما أنّه إرادیّ، فلا بدّ من ملاحظة مقدّمات هذا العنوان المقیّد، و لیست الإرادة من جملتها، فلا فرق بین هذا القسم و القسم الأوّل أصلاً، فلا بدّ أن تکون إحدی المقدّمات علی سبیل التخییر محرّمةً إلاّ مع وجود باقی الأجزاء، و انحصار الاختیار فی واحدة منها، فتحرم شخصاً کالقسم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التحقیق أنّه لو قلنا بالملازمة فی مقدّمة الواجب، فالتحریم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عبارة عن الزجر عن المحرّم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یختصّ بالمقدّمة الأخیرة التی یترتّب علیها ذوها من دون فصل فی جمیع الأفعال؛ إذ قد عرفت أنّه لا یوجد فی الأفعال الخارجیة فعل توسّطت الإرادة بینه و بین مقدّماته بأن تکون هی المؤثّر فی تحقّقه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ما عرفت فیما تقدّم من أنّ الإرادة أیضاً قابلة لتعلّق التکلیف بها؛ لکونها من الاُمور الاختیاریّة، و لکن هذا کلّه إنّما هو علی تقدیر القول بالملازمة فی مقدّمات الواجب، و لکن قد عرفت سابقاً أنّ مقتضی التحقیق خلافه</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تمام الکلام فی مبحث المقدّمة</w:t>
      </w:r>
      <w:r>
        <w:rPr>
          <w:rFonts w:eastAsia="IRNazanin" w:cs="IRNazanin"/>
          <w:color w:val="111111"/>
          <w:sz w:val="28"/>
          <w:szCs w:val="28"/>
          <w:rtl w:val="true"/>
          <w:lang w:bidi="fa-IR"/>
        </w:rPr>
        <w:t>.</w:t>
      </w:r>
      <w:bookmarkStart w:id="184" w:name="pg11586_104695"/>
    </w:p>
    <w:p>
      <w:pPr>
        <w:pStyle w:val="Heading3"/>
        <w:numPr>
          <w:ilvl w:val="2"/>
          <w:numId w:val="1"/>
        </w:numPr>
        <w:rPr/>
      </w:pPr>
      <w:bookmarkStart w:id="185" w:name="__RefHeading___Toc5145737_73709187"/>
      <w:bookmarkStart w:id="186" w:name="_Toc68"/>
      <w:bookmarkEnd w:id="184"/>
      <w:bookmarkEnd w:id="185"/>
      <w:r>
        <w:rPr>
          <w:rtl w:val="true"/>
        </w:rPr>
        <w:t>الفصل الخامس فی اقتضاء الأمر بالشیء للنهی عن ضدّه</w:t>
      </w:r>
      <w:bookmarkEnd w:id="186"/>
    </w:p>
    <w:p>
      <w:pPr>
        <w:pStyle w:val="Heading4"/>
        <w:numPr>
          <w:ilvl w:val="3"/>
          <w:numId w:val="1"/>
        </w:numPr>
        <w:rPr/>
      </w:pPr>
      <w:bookmarkStart w:id="187" w:name="__RefHeading___Toc5145739_73709187"/>
      <w:bookmarkStart w:id="188" w:name="_Toc69"/>
      <w:bookmarkEnd w:id="187"/>
      <w:r>
        <w:rPr>
          <w:rtl w:val="true"/>
        </w:rPr>
        <w:t>اشارة</w:t>
      </w:r>
      <w:bookmarkEnd w:id="188"/>
    </w:p>
    <w:p>
      <w:pPr>
        <w:pStyle w:val="BookText"/>
        <w:rPr/>
      </w:pPr>
      <w:r>
        <w:rPr>
          <w:rFonts w:ascii="IRNazanin" w:hAnsi="IRNazanin" w:eastAsia="IRNazanin"/>
          <w:color w:val="111111"/>
          <w:sz w:val="28"/>
          <w:sz w:val="28"/>
          <w:szCs w:val="28"/>
          <w:rtl w:val="true"/>
          <w:lang w:bidi="fa-IR"/>
        </w:rPr>
        <w:t>و تنقیح البحث فیه یستدعی تقدیم امور</w:t>
      </w:r>
      <w:r>
        <w:rPr>
          <w:rFonts w:eastAsia="IRNazanin" w:cs="IRNazanin"/>
          <w:color w:val="111111"/>
          <w:sz w:val="28"/>
          <w:szCs w:val="28"/>
          <w:rtl w:val="true"/>
          <w:lang w:bidi="fa-IR"/>
        </w:rPr>
        <w:t>:</w:t>
      </w:r>
    </w:p>
    <w:p>
      <w:pPr>
        <w:pStyle w:val="Heading4"/>
        <w:numPr>
          <w:ilvl w:val="3"/>
          <w:numId w:val="1"/>
        </w:numPr>
        <w:rPr/>
      </w:pPr>
      <w:bookmarkStart w:id="189" w:name="__RefHeading___Toc5145741_73709187"/>
      <w:bookmarkStart w:id="190" w:name="_Toc70"/>
      <w:bookmarkEnd w:id="189"/>
      <w:r>
        <w:rPr>
          <w:rtl w:val="true"/>
        </w:rPr>
        <w:t>الأمر الأوّل</w:t>
      </w:r>
      <w:r>
        <w:rPr>
          <w:rtl w:val="true"/>
        </w:rPr>
        <w:t xml:space="preserve">: </w:t>
      </w:r>
      <w:r>
        <w:rPr>
          <w:rtl w:val="true"/>
        </w:rPr>
        <w:t>هل هذه المسألة اصولیّة أم لا؟</w:t>
      </w:r>
      <w:bookmarkEnd w:id="190"/>
    </w:p>
    <w:p>
      <w:pPr>
        <w:pStyle w:val="BookText"/>
        <w:rPr/>
      </w:pPr>
      <w:r>
        <w:rPr>
          <w:rFonts w:ascii="IRNazanin" w:hAnsi="IRNazanin" w:eastAsia="IRNazanin"/>
          <w:color w:val="111111"/>
          <w:sz w:val="28"/>
          <w:sz w:val="28"/>
          <w:szCs w:val="28"/>
          <w:rtl w:val="true"/>
          <w:lang w:bidi="fa-IR"/>
        </w:rPr>
        <w:t xml:space="preserve">ذکر فی التقریرات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المحقّق النائینی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إشکال فی کون المسألة من المسائل الاُصولیّة؛ لأنّ نتیجتها تقع فی طریق الاستنباط، و کذا فی عدم کونها من المباحث اللفظیة؛ لوضوح أنّ المراد من الأمر فی العنوان الأعمّ من اللفظی و اللبّی المستکشف من الإجماع و نحوه، و ذکر أیضاً أنّ المراد من الاقتضاء فی العنوان الأعمّ من کونه علی نحو العینیّة أو التضمّن أو الالتزام بالمعنی الأخصّ أو الأعمّ، لأنّ لکلٍّ وجهاً بل قائلاً</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کون المسألة من المسائل الاُصولیّة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ذکرنا فی مسألة دلالة الأمر علی الوجوب أو الاستحباب أنّ نظائر هذه المسألة من المسائل</w:t>
      </w:r>
      <w:bookmarkStart w:id="191" w:name="pg11586_104696"/>
    </w:p>
    <w:p>
      <w:pPr>
        <w:pStyle w:val="BookText"/>
        <w:rPr/>
      </w:pPr>
      <w:bookmarkEnd w:id="191"/>
      <w:r>
        <w:rPr>
          <w:rFonts w:ascii="IRNazanin" w:hAnsi="IRNazanin" w:eastAsia="IRNazanin"/>
          <w:color w:val="111111"/>
          <w:sz w:val="28"/>
          <w:sz w:val="28"/>
          <w:szCs w:val="28"/>
          <w:rtl w:val="true"/>
          <w:lang w:bidi="fa-IR"/>
        </w:rPr>
        <w:t xml:space="preserve">اللغویة، لأنّه لا فرق بین النزاع فی مدلول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الوارد فی آیة التیمّم</w:t>
      </w:r>
      <w:r>
        <w:rPr>
          <w:rStyle w:val="FootnoteAnchor"/>
          <w:rtl w:val="true"/>
        </w:rPr>
        <w:footnoteReference w:id="91"/>
      </w:r>
      <w:r>
        <w:rPr>
          <w:rFonts w:ascii="IRNazanin" w:hAnsi="IRNazanin" w:eastAsia="IRNazanin"/>
          <w:color w:val="111111"/>
          <w:sz w:val="28"/>
          <w:sz w:val="28"/>
          <w:szCs w:val="28"/>
          <w:rtl w:val="true"/>
          <w:lang w:bidi="fa-IR"/>
        </w:rPr>
        <w:t>أنّه هل هو التراب الخالص أو مطلق وجه الأرض مثلاً، و بین النزاع فی مدلول الأمر مثلاً من حیث دلالته علی الوجوب، و کذا من حیث دلالته علی النهی عن الضدّ،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کثیراً من المسائل اللغویة تکون من المسائل الاُصولیة، و ذکر بعضها فی الاُصول إنّما هو لشدّة الاحتیاج به،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کونها من المباحث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یخفی أنّ الجمع بینها و بین تفسیر الاقتضاء بما یعمّ العینیّة و الجزئیّة اللّتین هما من الدلالات اللفظیة عندهم و إن کان یمکن المناقشة فی الثانی کالجمع بین المتضادّین</w:t>
      </w:r>
      <w:r>
        <w:rPr>
          <w:rFonts w:eastAsia="IRNazanin" w:cs="IRNazanin"/>
          <w:color w:val="111111"/>
          <w:sz w:val="28"/>
          <w:szCs w:val="28"/>
          <w:rtl w:val="true"/>
          <w:lang w:bidi="fa-IR"/>
        </w:rPr>
        <w:t>.</w:t>
      </w:r>
    </w:p>
    <w:p>
      <w:pPr>
        <w:pStyle w:val="Heading4"/>
        <w:numPr>
          <w:ilvl w:val="3"/>
          <w:numId w:val="1"/>
        </w:numPr>
        <w:rPr/>
      </w:pPr>
      <w:bookmarkStart w:id="192" w:name="__RefHeading___Toc5145743_73709187"/>
      <w:bookmarkStart w:id="193" w:name="_Toc71"/>
      <w:bookmarkEnd w:id="192"/>
      <w:r>
        <w:rPr>
          <w:rtl w:val="true"/>
        </w:rPr>
        <w:t>الأمر الثانی</w:t>
      </w:r>
      <w:r>
        <w:rPr>
          <w:rtl w:val="true"/>
        </w:rPr>
        <w:t xml:space="preserve">: </w:t>
      </w:r>
      <w:r>
        <w:rPr>
          <w:rtl w:val="true"/>
        </w:rPr>
        <w:t>معنی الاقتضاء فی عنوان المسألة</w:t>
      </w:r>
      <w:bookmarkEnd w:id="193"/>
    </w:p>
    <w:p>
      <w:pPr>
        <w:pStyle w:val="BookText"/>
        <w:rPr/>
      </w:pPr>
      <w:r>
        <w:rPr>
          <w:rFonts w:ascii="IRNazanin" w:hAnsi="IRNazanin" w:eastAsia="IRNazanin"/>
          <w:color w:val="111111"/>
          <w:sz w:val="28"/>
          <w:sz w:val="28"/>
          <w:szCs w:val="28"/>
          <w:rtl w:val="true"/>
          <w:lang w:bidi="fa-IR"/>
        </w:rPr>
        <w:t xml:space="preserve">ثمّ تفسیر الاقتضاء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عبارة عن التأثیر و السببیة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یعمّهما تفسیر بارد، و لا مناسبة بین معناه الحقیقی و بین هذا المعنی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فالأولی فی التعبیر عن عنوان النزاع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إسقاط القول بالعینیة و بالجزئیة لکونهما ممّا لا إشکال فی بطلانهما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الأمر بالشیء یلازم النهی عن ضدّه أم لا؟ غایة الأمر أنّ عمدة النزاع فی الملازمة ینشأ من توقّف الشیء علی ترک ضدّه بأن یکون ترک الضدّ مقدّمةً لفعل الضدّ الآخر، فتصیر المسألة من صغریات مبحث المقدّمة، کما لا یخفی</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المراد بالضدّ أعمّ من الضدّ الخاصّ، فیشمل الضدّ العامّ الذی بمعنی النقیض أیضاً</w:t>
      </w:r>
      <w:r>
        <w:rPr>
          <w:rFonts w:eastAsia="Amiri" w:cs="Amiri" w:ascii="Amiri" w:hAnsi="Amiri"/>
          <w:color w:val="111111"/>
          <w:sz w:val="28"/>
          <w:szCs w:val="28"/>
          <w:rtl w:val="true"/>
          <w:lang w:bidi="ar-SA"/>
        </w:rPr>
        <w:t>.</w:t>
      </w:r>
      <w:bookmarkStart w:id="194" w:name="pg11586_104697"/>
    </w:p>
    <w:p>
      <w:pPr>
        <w:pStyle w:val="BookText"/>
        <w:rPr/>
      </w:pPr>
      <w:bookmarkEnd w:id="194"/>
      <w:r>
        <w:rPr>
          <w:rFonts w:ascii="IRNazanin" w:hAnsi="IRNazanin" w:eastAsia="IRNazanin"/>
          <w:color w:val="111111"/>
          <w:sz w:val="28"/>
          <w:sz w:val="28"/>
          <w:szCs w:val="28"/>
          <w:rtl w:val="true"/>
          <w:lang w:bidi="fa-IR"/>
        </w:rPr>
        <w:t>إذا عرفت ذلک،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الأمر بالشیء یستلزم النهی عن الضدّ مطلقاً، أو لا یستلزم کذلک، أو یستلزم بالنسبة إلی الضدّ العامّ دون الخاصّ؟ وجوه بل أقوال</w:t>
      </w:r>
      <w:r>
        <w:rPr>
          <w:rFonts w:eastAsia="IRNazanin" w:cs="IRNazanin"/>
          <w:color w:val="111111"/>
          <w:sz w:val="28"/>
          <w:szCs w:val="28"/>
          <w:rtl w:val="true"/>
          <w:lang w:bidi="fa-IR"/>
        </w:rPr>
        <w:t>.</w:t>
      </w:r>
    </w:p>
    <w:p>
      <w:pPr>
        <w:pStyle w:val="Heading4"/>
        <w:numPr>
          <w:ilvl w:val="3"/>
          <w:numId w:val="1"/>
        </w:numPr>
        <w:rPr/>
      </w:pPr>
      <w:bookmarkStart w:id="195" w:name="__RefHeading___Toc5145745_73709187"/>
      <w:bookmarkStart w:id="196" w:name="_Toc72"/>
      <w:bookmarkEnd w:id="195"/>
      <w:r>
        <w:rPr>
          <w:rtl w:val="true"/>
        </w:rPr>
        <w:t>الأمر الثالث</w:t>
      </w:r>
      <w:r>
        <w:rPr>
          <w:rtl w:val="true"/>
        </w:rPr>
        <w:t xml:space="preserve">: </w:t>
      </w:r>
      <w:r>
        <w:rPr>
          <w:rtl w:val="true"/>
        </w:rPr>
        <w:t>المهمّ من الأقوال فی المسألة</w:t>
      </w:r>
      <w:bookmarkEnd w:id="196"/>
    </w:p>
    <w:p>
      <w:pPr>
        <w:pStyle w:val="Heading5"/>
        <w:numPr>
          <w:ilvl w:val="4"/>
          <w:numId w:val="1"/>
        </w:numPr>
        <w:rPr/>
      </w:pPr>
      <w:bookmarkStart w:id="197" w:name="__RefHeading___Toc5145747_73709187"/>
      <w:bookmarkStart w:id="198" w:name="_Toc73"/>
      <w:bookmarkEnd w:id="197"/>
      <w:r>
        <w:rPr>
          <w:rtl w:val="true"/>
        </w:rPr>
        <w:t>اشارة</w:t>
      </w:r>
      <w:bookmarkEnd w:id="198"/>
    </w:p>
    <w:p>
      <w:pPr>
        <w:pStyle w:val="BookText"/>
        <w:rPr/>
      </w:pPr>
      <w:r>
        <w:rPr>
          <w:rFonts w:ascii="IRNazanin" w:hAnsi="IRNazanin" w:eastAsia="IRNazanin"/>
          <w:color w:val="111111"/>
          <w:sz w:val="28"/>
          <w:sz w:val="28"/>
          <w:szCs w:val="28"/>
          <w:rtl w:val="true"/>
          <w:lang w:bidi="fa-IR"/>
        </w:rPr>
        <w:t>و حیث إنّ العمدة فی استدلال القائلین بالاقتضاء فی الضدّ الخاصّ إنّما هو إثبات المقدّمیة بین ترک الضدّ و وجود الضدّ الآخر، فلا بأس بالإشارة إلی ما هو الحقّ فی هذا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لیعلم أوّلاً أنّ إثبات الاقتضاء فی الضدّ الخاصّ لا یتوقّف علی مجرّد إثبات المقدّمیة، بل بعد ثبوت ذلک یتوقّف علی القول بالملازمة فی مقدّمة الواجب و إثبات کونها واجبةً بعد وجوب ذیها، ثمّ بعد ذلک علی إثبات أنّ وجوب الترک ملازم لحرمة الفعل، و هذا یرجع إلی إثبات الاقتضاء بالنسبة إلی الضدّ العامّ أیضاً</w:t>
      </w:r>
      <w:r>
        <w:rPr>
          <w:rFonts w:eastAsia="IRNazanin" w:cs="IRNazanin"/>
          <w:color w:val="111111"/>
          <w:sz w:val="28"/>
          <w:szCs w:val="28"/>
          <w:rtl w:val="true"/>
          <w:lang w:bidi="fa-IR"/>
        </w:rPr>
        <w:t>.</w:t>
      </w:r>
    </w:p>
    <w:p>
      <w:pPr>
        <w:pStyle w:val="Heading5"/>
        <w:numPr>
          <w:ilvl w:val="4"/>
          <w:numId w:val="1"/>
        </w:numPr>
        <w:rPr/>
      </w:pPr>
      <w:bookmarkStart w:id="199" w:name="__RefHeading___Toc5145749_73709187"/>
      <w:bookmarkStart w:id="200" w:name="_Toc74"/>
      <w:bookmarkEnd w:id="199"/>
      <w:r>
        <w:rPr>
          <w:rtl w:val="true"/>
        </w:rPr>
        <w:t>الاستدلال علی الاقتضاء فی الضدّ الخاصّ من طریق المقدّمیّة</w:t>
      </w:r>
      <w:bookmarkEnd w:id="200"/>
    </w:p>
    <w:p>
      <w:pPr>
        <w:pStyle w:val="BookText"/>
        <w:rPr/>
      </w:pPr>
      <w:r>
        <w:rPr>
          <w:rFonts w:ascii="Amiri" w:hAnsi="Amiri" w:eastAsia="Amiri" w:cs="Amiri"/>
          <w:color w:val="111111"/>
          <w:sz w:val="28"/>
          <w:sz w:val="28"/>
          <w:szCs w:val="28"/>
          <w:rtl w:val="true"/>
          <w:lang w:bidi="ar-SA"/>
        </w:rPr>
        <w:t>فتحصّل أنّ القول بالاقتضاء فی الضدّ الخاصّ یتوقّف علی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کون ترک أحد الضدّین مقدّمةً لوجود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بالملازمة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بالاقتضاء فی الضدّ العامّ أیضاً</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أنّ هذه المقدّمات الثلاث کلّها محلّ منع، أمّا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عرفت ما هو الحقّ فیها فی مسألة مقدّمة الواجب، فراجع، و أمّا الأخیر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فسیجیء، و العمدة هی الاُولی</w:t>
      </w:r>
      <w:r>
        <w:rPr>
          <w:rFonts w:eastAsia="IRNazanin" w:cs="IRNazanin"/>
          <w:color w:val="111111"/>
          <w:sz w:val="28"/>
          <w:szCs w:val="28"/>
          <w:rtl w:val="true"/>
          <w:lang w:bidi="fa-IR"/>
        </w:rPr>
        <w:t>.</w:t>
      </w:r>
      <w:bookmarkStart w:id="201" w:name="pg11586_104698"/>
    </w:p>
    <w:p>
      <w:pPr>
        <w:pStyle w:val="BookText"/>
        <w:rPr/>
      </w:pPr>
      <w:bookmarkEnd w:id="201"/>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 عن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المقدّمیة من الجانبین، و عن بعض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ثبوت المقدّمیة بالنسبة إلی ترک الضدّ، و عن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ذلک، و عن 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التفصیل بین الضدّ الموجود، فیتوقّف علی رفعه وجود الضدّ الآخر، و بین الضدّ المعدوم، فلا یتوقّف علیه وجود الضدّ الآخر، و عن 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إنکار المقدّمیة مطلقاً</w:t>
      </w:r>
      <w:r>
        <w:rPr>
          <w:rStyle w:val="FootnoteAnchor"/>
          <w:rtl w:val="true"/>
        </w:rPr>
        <w:footnoteReference w:id="92"/>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2" w:name="__RefHeading___Toc5145751_73709187"/>
      <w:bookmarkStart w:id="203" w:name="_Toc75"/>
      <w:bookmarkEnd w:id="202"/>
      <w:r>
        <w:rPr>
          <w:rtl w:val="true"/>
        </w:rPr>
        <w:t>إنکار المحقّق الخراسانی المقدّمیّة مطلقاً</w:t>
      </w:r>
      <w:bookmarkEnd w:id="203"/>
    </w:p>
    <w:p>
      <w:pPr>
        <w:pStyle w:val="BookText"/>
        <w:rPr/>
      </w:pPr>
      <w:r>
        <w:rPr>
          <w:rFonts w:ascii="IRNazanin" w:hAnsi="IRNazanin" w:eastAsia="IRNazanin"/>
          <w:color w:val="111111"/>
          <w:sz w:val="28"/>
          <w:sz w:val="28"/>
          <w:szCs w:val="28"/>
          <w:rtl w:val="true"/>
          <w:lang w:bidi="fa-IR"/>
        </w:rPr>
        <w:t>ثمّ إنّ من القائلین بالقول الخامس المنکرین للمقدّمیة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المحقّق الخراسانی فی الکفایة، بل یظهر من بعض عباراته کون الشیء و ترک ضدّه فی رتبة واحدة حیث قال فی مقام الجواب عن توهّم المقدّمیة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المعاندة و المنافرة بین الشیئین لا تقتضی إلاّ عدم اجتماعهما فی التحقّق، و حیث لا منافاة أصلاً بین أحد العینین و ما هو نقیض الآخر و بدیله بل بینهما کمال الملاءمة، کان أحد العینین مع ما هو نقیض الآخر و بدیله فی مرتبة واحدة من دون أن یکون فی البین ما یقتضی تقدّم أحدهما علی الآخر، کما لا یخفی‌</w:t>
      </w:r>
      <w:r>
        <w:rPr>
          <w:rStyle w:val="FootnoteAnchor"/>
          <w:rtl w:val="true"/>
        </w:rPr>
        <w:footnoteReference w:id="9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أنت خبیر بأنّ مجرّد أن یکون بینهما کمال الملاءمة لا یقتضی ثبوت التقارن، کیف و من الواضح أن یکون بین المعلول و عدم العلّة کمال الملاءمة، مع أنّ فرض التقارن بینهما یقتضی کون المعلول مع العلّة أیضاً کذلک؛ لأنّ النقیضین فی رتبة واحدة بلا إشکال، کما صرّح به فی الکفایة بعد هذه العبارة</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توجیه هذا الکلام بأنّه کما یصدق علی الضدّ ما یکون ذلک من</w:t>
      </w:r>
    </w:p>
    <w:p>
      <w:pPr>
        <w:pStyle w:val="BookText"/>
        <w:rPr/>
      </w:pPr>
      <w:r>
        <w:rPr>
          <w:rFonts w:ascii="IRNazanin" w:hAnsi="IRNazanin" w:eastAsia="IRNazanin"/>
          <w:color w:val="111111"/>
          <w:sz w:val="28"/>
          <w:sz w:val="28"/>
          <w:szCs w:val="28"/>
          <w:rtl w:val="true"/>
          <w:lang w:bidi="fa-IR"/>
        </w:rPr>
        <w:t>أفراده حقیقة بالحمل الشائع الذاتی الذی مرجعه إلی کون المصداق داخلاً فی حقیقة المحمول، کذلک یصدق علیه عدم الضدّ الآخر بالحمل الشائع العرضی الذی یرجع إلی ثبوت المحمول له بالعرض، فالشیء الواحد یکون مصداقاً لشیء بالذات و لشیء آخر بالعرض، فیستلزم ذلک کون المتصادقین فی رتبة واحدة؛ لأنّ المفروض کون المصداق لهما شیئاً واحداً،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لا یخفی أنّ حمل العدم علی الوجود لیس حملاً حقیقیّاً راجعاً إلی کون ذلک الوجود واجداً لذلک العدم، ککونه واجداً للصفات الوجودیة، کیف و معنی الواجدیة کون شیء مرتبطاً مع شیء آخر، مع أنّ العدم مطلقاً لیس بشیء حتّی یکون شیء آخر واجداً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تقسیم القضایا إلی قضیّة موجبة و سالبة محصّلة و موجبة سالبة المحمول و سالبة معدولة لا یدلّ علی إمکان حمل السلب و العدم علی شیء؛ لأنّ ذلک إنّما هو علی سبیل المسامحة، بل ما عدا الأوّل یرجع إلی نفی الربط بین الموضوع، و ذلک الحکم المسلوب، لا إلی ثبوت الربط بینهما، کیف و العدم لیس بشیء حتّی تحقّقت الرابطة بینه و بین موجود آخر، و صدق القضایا السلبیة لیس بمعنی مطابقتها للواقع حتّی یکون لها واقع یطابقه، بل صدقه بمعنی خلوّ الواقع عن الارتباط، و ثبوت المحمول للموضوع، کما لا یخفی، کما أنّ ما اشتهر من أنّ عدم العلّة علّة للعدم إنّما هو علی نحو المسامحة قیاساً إلی الوجود و تشبیهاً به، و التعبیر عمّا من شأنه أن یکون له وجود بعدم الملکة لیس المراد منه أنّ العدم فیه الشأنیة لکذا، کیف و هی من الحیثیّات الثبوتیّة الممتنعة الاجتماع مع الحیثیّات السلبیة</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فکون العدم مقابلاً للوجود خارجاً عن حیطة الشیئیة ممّا لا ینبغی الارتیاب فیه، فکلّ ما یوهم بظاهره الخلاف من ثبوته لشیء أو ثبوت</w:t>
      </w:r>
      <w:bookmarkStart w:id="204" w:name="pg11586_104700"/>
    </w:p>
    <w:p>
      <w:pPr>
        <w:pStyle w:val="BookText"/>
        <w:rPr/>
      </w:pPr>
      <w:bookmarkEnd w:id="204"/>
      <w:r>
        <w:rPr>
          <w:rFonts w:ascii="IRNazanin" w:hAnsi="IRNazanin" w:eastAsia="IRNazanin"/>
          <w:color w:val="111111"/>
          <w:sz w:val="28"/>
          <w:sz w:val="28"/>
          <w:szCs w:val="28"/>
          <w:rtl w:val="true"/>
          <w:lang w:bidi="fa-IR"/>
        </w:rPr>
        <w:t>شیء له فیجب تأویله،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فانقدح من جمیع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عدم الضدّ لیس بشیء حتّی یصدق علی شیء آخر، کیف و لو قلنا بذلک لا یرتفع الإشکال المتقدّم، فإنّ المعلول کما یصدق علیه ماهیّته صدقاً حقیقیّاً کذلک یصدق علیه عدم العلّة صدقاً عرضیاً، فیلزم أن یکون المعلول فی رتبة العلّة لکونه فی رتبة عدمها الذی هو فی رتبة وجودها، کما هو المفروض فی النقیضین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أنّ ما ذکره فی الکفایة لم ینهض حجّةً علی اتّحاد رتبة الشیء و ترک ضدّه،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العبارة المتقدّمة التی کان غرضه منها إثبات التقارن بینهما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 بصدد تشبیه الضدّین بالنقیضین،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أنّ قضیّة المنافاة بین المتناقضین لا تقتضی تقدّم ارتفاع أحدهما فی ثبوت الآخر کذلک فی المتضادّین</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5" w:name="__RefHeading___Toc5145753_73709187"/>
      <w:bookmarkStart w:id="206" w:name="_Toc76"/>
      <w:bookmarkEnd w:id="205"/>
      <w:r>
        <w:rPr>
          <w:rtl w:val="true"/>
        </w:rPr>
        <w:t>ما أفاده المحقّق القوچانی فی المقام</w:t>
      </w:r>
      <w:bookmarkEnd w:id="206"/>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المستفاد ممّا ذکره بعض الأعاظم من تلامذته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الشیخ علی القوچانی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حاشیته علی الکفایة فی شرح مراد العبارة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مقصوده من هذه العبارة أیضاً إثبات کون الشیء و ترک ضدّه فی مرتبة واحدة حیث قال ما 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إشکال فی أنّ بین کلّ متقابلین من أقسام التقابل اتّحاد و تکافؤ فی المرتبة، أمّا المتناقضین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النقیض للوجود هو العدم البدلی الکائن فی رتبته لولاه الغیر المجتمع معه لا السابقی و لا اللّاحقی المجتمع معه فی دار التحقّق،</w:t>
      </w:r>
    </w:p>
    <w:p>
      <w:pPr>
        <w:pStyle w:val="BookText"/>
        <w:rPr/>
      </w:pPr>
      <w:r>
        <w:rPr>
          <w:rFonts w:ascii="IRNazanin" w:hAnsi="IRNazanin" w:eastAsia="IRNazanin"/>
          <w:color w:val="111111"/>
          <w:sz w:val="28"/>
          <w:sz w:val="28"/>
          <w:szCs w:val="28"/>
          <w:rtl w:val="true"/>
          <w:lang w:bidi="fa-IR"/>
        </w:rPr>
        <w:t>فالنقیض لوجود زید هو عدمه فی مدّة وجوده الکائن مقامه لولاه، و إلّا فالعدم قبل وجوده أو بعد وجوده لیس نقیضاً له مع اجتماعه مع وجوده فی دار التحقّق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فی السابق و اللّاحق بحسب الرتبة، فإنّ النقیض للمعلول هو عدمه فی رتبة وجوده، لا العدم فی رتبة العلّة المجامع معه فی التحقّق، و إلّا لزم ارتفاع النقیضین فی مرتبة سلب أحدهما مقدّمة للآخر، و لما کان الوجود عین الرفع لعدمه النقیض، کما لا یخفی، و لما کان متنافیاً معه فی التحقّق ذاتاً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الکلام فی المتضادّین، فإنّ المضادّة إنّما هو بین الوجودین فی رتبة واحدة، فالضدّ للوجود هو الوجود البدلی الثابت فی رتبته لولاه، فإذا ثبت ذلک فی المتناقضین و المتضادّین یثبت اتّحاد الرتبة فی المقام، فإنّه إذا کان نقیض أحد الضدّین فی رتبة وجوده الذی هو فی رتبة وجود الضدّ الآخر، فاللّازم کونه فی رتبة وجود الضدّ الآخر، و هو المطلوب</w:t>
      </w:r>
      <w:r>
        <w:rPr>
          <w:rStyle w:val="FootnoteAnchor"/>
          <w:rtl w:val="true"/>
        </w:rPr>
        <w:footnoteReference w:id="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ملخّص کلامه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لا یخفی بطلان جمیع المقدّمات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ذکره فی المتناقضین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النقیض للوجود فی زمان مخصوص لیس عدمه فی ذلک الزمان بأن یکون الظرف قیداً للعدم و الرفع حتّی یوجب ذلک کون العدم مقیّداً بذلک الوقت، فیکون فی مرتبة الوجود فیه، بل نقیض الوجود فی زمان مخصوص هو عدم هذا المقیّد علی أن یکون القید قیداً للمرفوع لا للرفع، کیف و معنی تقیید العدم یرجع إلی الموجبة المعدولة، فتصیر القضیة کاذبةً، فإنّ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الوجود المقیّد بهذا الزمان متحقّقاً، قضیّة صادقة، بخلاف قولنا</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الوجود فی هذا الزمان لیس فی هذا الزمان، علی أن یکون الظرف قیداً للسلب الراجع إلی حمل السلب المقیّد علی الوجود کذلک، کما هو واضح، فلا بدّ من أن</w:t>
      </w:r>
    </w:p>
    <w:p>
      <w:pPr>
        <w:pStyle w:val="BookText"/>
        <w:rPr/>
      </w:pPr>
      <w:r>
        <w:rPr>
          <w:rFonts w:ascii="IRNazanin" w:hAnsi="IRNazanin" w:eastAsia="IRNazanin"/>
          <w:color w:val="111111"/>
          <w:sz w:val="28"/>
          <w:sz w:val="28"/>
          <w:szCs w:val="28"/>
          <w:rtl w:val="true"/>
          <w:lang w:bidi="fa-IR"/>
        </w:rPr>
        <w:t>یکون علی نحو السالبة المحصّلة، و معه لا یثبت اتّحاد الرتبة أصلاً،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ذکره فی المتضادّین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فکون التضادّ بین الوجودین فی زمان واحد فی محلّ واحد مسلّم، و لکن لا یثبت بذلک اتّحاد رتبتهما، کیف و الحکم باتّحاد الرتبة و عدمه من الأحکام العقلیة المتوقّفة علی إحراز ملاک التقدّم و صاحبیه، و مجرّد التقارن فی الخارج لا یقتضی اتّحاد رتبتهما بحسب العقل، کیف و المعلول مقارن لوجود العلّة فی الخارج مع اختلافهما بحسب الرتبة،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فالتقدّم و التأخّر و التقارن بحسب الخارج لا ربط لشیء منها بالرتب العقلیة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لو سلّم اتّحاد رتبة المتناقضین و المتضادّین فذلک لا یستلزم اتّحاد رتبة نقیض الشیء مع الضدّ بقیاس المساواة، فإنّه فیما إذا کان الملاک فی الثالث موجوداً، و قد عرفت أنّ حکم العقل باتّحاد الرتبة متوقّف علی إحراز ملاکه، ککونهما معلولین لعلّة واحدة مثلاً، أمّا مجرّد کون نقیض الشیء متّحداً معه فی الرتبة و هو مع ضدّه أیضاً کذلک، فلا یستلزم کون النقیض مع الضدّ الآخر متّحداً فی الرتبة مع عدم ملاک له، کما لا یخفی</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فانقدح من جمیع ما ذکرنا أنّه لم یقم دلیل تامّ علی اتّحاد رتبة الضدّ مع نقیض ضدّه الآخر، و لنا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بقیام الدلیل علی العدم؛ لأنّ العدم لیس بشیء حتّی یحکم علیه بحکم إیجابی، و هو اتّحاد رتبته مع الوجود، کما أنّه لیس فی رتبة متقدّمة و لا متأخّرة، لأنّ کلّ ذلک من الأحکام الایجابیة المبتنیة علی ثبوت الموضوع لقاعدة الفرعیة المسلّمة عند العقل و العقلاء، فعدم الضدّ لا یکون متأخّراً عن الضدّ و لا متقدّماً علیه و لا مقارناً معه</w:t>
      </w:r>
      <w:r>
        <w:rPr>
          <w:rFonts w:eastAsia="IRNazanin" w:cs="IRNazanin"/>
          <w:color w:val="111111"/>
          <w:sz w:val="28"/>
          <w:szCs w:val="28"/>
          <w:rtl w:val="true"/>
          <w:lang w:bidi="fa-IR"/>
        </w:rPr>
        <w:t>.</w:t>
      </w:r>
      <w:bookmarkStart w:id="207" w:name="pg11586_104703"/>
    </w:p>
    <w:p>
      <w:pPr>
        <w:pStyle w:val="BookText"/>
        <w:rPr/>
      </w:pPr>
      <w:bookmarkEnd w:id="207"/>
      <w:r>
        <w:rPr>
          <w:rFonts w:ascii="IRNazanin" w:hAnsi="IRNazanin" w:eastAsia="IRNazanin"/>
          <w:color w:val="111111"/>
          <w:sz w:val="28"/>
          <w:sz w:val="28"/>
          <w:szCs w:val="28"/>
          <w:rtl w:val="true"/>
          <w:lang w:bidi="fa-IR"/>
        </w:rPr>
        <w:t>و لا یخفی أنّ حکمنا بنفی التأخّر و قسیمیه إنّما هو علی نحو السالبة المحصّلة الصادقة مع انتفاء الموضوع، کقولنا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شریک الباری ممتنع، و نظائره، و إلی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القضیة السالبة المحصّلة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کلّ ما ورد فی الکتب العقلیة ممّا یوهم بظاهره أنّ العدم له تقرّر، و یکون من الاُمور النفس الأمریة، مثل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العلّة علّة للعدم، و کذا عدم المانع مصحّح لفاعلیة الفاعل، أو قابلیة القابل، و أشباههما، فإنّه لا ینبغی الاغترار بظاهر هذه الجملات بعد کون الأمر فی محلّه واضحاً ضروریّاً، فإنّ التعبیر بأمثال هذه العبارات إنّما وقع علی سبیل المسامحة قیاساً إلی الوجود و تشبیهاً به، و الغرض منه تسهیل الأمر علی المتعلّمین اتّکالاً علی ما أوضحوه فی محلّه،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فالعدم لیس له تقرّر و واقعیّة حتّی یؤثّر فی شیء أو یتأثّر من شیء، و معه فلا یبقی مجال للنزاع فی مقدّمیة عدم الضدّ لوجود الضدّ الآخر و عدمها أصلاً، کما لا یخفی</w:t>
      </w:r>
      <w:r>
        <w:rPr>
          <w:rFonts w:eastAsia="IRNazanin" w:cs="IRNazanin"/>
          <w:color w:val="111111"/>
          <w:sz w:val="28"/>
          <w:szCs w:val="28"/>
          <w:rtl w:val="true"/>
          <w:lang w:bidi="fa-IR"/>
        </w:rPr>
        <w:t>.</w:t>
      </w:r>
    </w:p>
    <w:p>
      <w:pPr>
        <w:pStyle w:val="Heading5"/>
        <w:numPr>
          <w:ilvl w:val="4"/>
          <w:numId w:val="1"/>
        </w:numPr>
        <w:rPr/>
      </w:pPr>
      <w:bookmarkStart w:id="208" w:name="__RefHeading___Toc5145755_73709187"/>
      <w:bookmarkStart w:id="209" w:name="_Toc77"/>
      <w:bookmarkEnd w:id="208"/>
      <w:r>
        <w:rPr>
          <w:rtl w:val="true"/>
        </w:rPr>
        <w:t>مقالة المحقّق الأصفهانی فی المقام</w:t>
      </w:r>
      <w:bookmarkEnd w:id="209"/>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ذکرنا یظهر النظر فیما ذکره بعض المحقّقین من محشّی الکفایة، فإنّه قدس سره بعد ذکر التقدّم بالعلّیة و التقدّم الطبعی و بیان الفرق بینهما و أنّ ما فیه التقدّم فی الثانی هو الوجود، و فی الأوّل وجوب الوجود، و ذکر أنّ منشأ التقدّم الطبعی تارة کون المتقدّم من علل قوام المتأخّر، کالجزء و الکلّ، و اخری کون المتقدّم مؤثّراً، فیتقوّم بوجوده الأثر، کالمقتضی بالإضافة إلی المقتضی، و ثالثة کون المتقدّم مصحّحاً لفاعلیّة الفاعل، کالوضع و المحاذاة بالنسبة إلی إحراق النار، أو متمّماً لقابلیة القابل، کخلوّ المحلّ عن الرطوبة و خلوّ الموضوع عن السواد عند عروض البیاض، و بعد الاستشکال فی الدور الذی ذکره فی</w:t>
      </w:r>
    </w:p>
    <w:p>
      <w:pPr>
        <w:pStyle w:val="BookText"/>
        <w:rPr/>
      </w:pPr>
      <w:r>
        <w:rPr>
          <w:rFonts w:ascii="IRNazanin" w:hAnsi="IRNazanin" w:eastAsia="IRNazanin"/>
          <w:color w:val="111111"/>
          <w:sz w:val="28"/>
          <w:sz w:val="28"/>
          <w:szCs w:val="28"/>
          <w:rtl w:val="true"/>
          <w:lang w:bidi="fa-IR"/>
        </w:rPr>
        <w:t>الکفایة</w:t>
      </w:r>
      <w:r>
        <w:rPr>
          <w:rStyle w:val="FootnoteAnchor"/>
          <w:rtl w:val="true"/>
        </w:rPr>
        <w:footnoteReference w:id="96"/>
      </w:r>
      <w:r>
        <w:rPr>
          <w:rFonts w:ascii="IRNazanin" w:hAnsi="IRNazanin" w:eastAsia="IRNazanin"/>
          <w:color w:val="111111"/>
          <w:sz w:val="28"/>
          <w:sz w:val="28"/>
          <w:szCs w:val="28"/>
          <w:rtl w:val="true"/>
          <w:lang w:bidi="fa-IR"/>
        </w:rPr>
        <w:t>بأنّ عدم اتّصاف الجسم بالسواد لا یحتاج إلی فاعل و قابل کی یحتاج إلی مصحّح فاعلیّة الفاعل و متمّم قابلیة القابل کی یتوهّم توقّف عدم الضدّ علی وجود الضدّ أیضاً و بعد بیان أنّ الصلاة و الإزالة لهما التأخّر و التقدّم بالطبع، فإنّه لا وجود للإزالة إلاّ و الصلاة غیر موجودة، فکذا 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ما یقال من أنّ العدم لا ذات له فکیف یعقل أن یکون شرطاً؛ لأنّ ثبوت شیء لشیء فرع ثبوت المثبت له، فمدفوع بأنّ القابلیات و الاستعدادات و الإضافات و أعدام الملکات کلّها لا مطابق لها فی الخارج، بل شئون و حیثیّات انتزاعیة لأُمور موجودة، فعدم البیاض فی الموضوع الذی هو من أعدام الملکات کقابلیة الموضوع من الحیثیات الانتزاعیة منه، فکون الموضوع بحیث لا بیاض له هو بحیث یکون قابلاً لعروض السواد، فمتمّم القابلیة کنفس القابلیة حیثیّة انتزاعیة و ثبوت شیء لشیء لا یقتضی أزید من ثبوت المثبت له بنحو یناسب ثبوت الثابت</w:t>
      </w:r>
      <w:r>
        <w:rPr>
          <w:rStyle w:val="FootnoteAnchor"/>
          <w:rtl w:val="true"/>
        </w:rPr>
        <w:footnoteReference w:id="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موضع الحاجة من کلامه، زید فی علوّ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العجب منه قدس سره مع کونه من مهرة الفنّ أنّه کیف یمکن تشبیه أعدام الملکات بالقابلیات و الاستعدادات و الإضافات، مع أنّها من مراتب الوجود و إن لم تکن بحیث یمکن الإشارة إلیها و الأعدام مطلقاً مقابل للوجود لا حظّ لها منه أصلاً،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قضیّة کون الموضوع بحیث لا بیاض له قضیّة سالبة محصّلة لا موجبة معدولة حتّی تشابهت قضیّة کون الموضوع قابلاً، کما هو واضح</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فالأعدام مطلقاً خارجة عن حمی الوجود و حیطة الشیئیّة،</w:t>
      </w:r>
    </w:p>
    <w:p>
      <w:pPr>
        <w:pStyle w:val="BookText"/>
        <w:rPr/>
      </w:pPr>
      <w:r>
        <w:rPr>
          <w:rFonts w:ascii="IRNazanin" w:hAnsi="IRNazanin" w:eastAsia="IRNazanin"/>
          <w:color w:val="111111"/>
          <w:sz w:val="28"/>
          <w:sz w:val="28"/>
          <w:szCs w:val="28"/>
          <w:rtl w:val="true"/>
          <w:lang w:bidi="fa-IR"/>
        </w:rPr>
        <w:t>فلا یترتّب علیها شیء من الآثار الوجودیة من قبیل الشرطیة و اتّحاد الرتبة و نظائرهما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 من جمیع ذلک، بطلان المقدّمة الاُولی من المقدّمات الثلاثة المبتنیة علیها القول بالاقتضاء فی الضدّ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المقدّمة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هی عبارة عن الملازمة فی مقدّمة الواجب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عرفت سابقاً بطلانها بما لا مزید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المقدّمة الثالثة الراجعة إلی اقتضاء الأمر بالشیء للنهی عن الضدّ العامّ الذی بمعنی النقیض، فربّما قیل فیها بالاقتضاء بنحو العینیّة، و إنّ الأمر بالصلاة مثلاً عین النهی عن ترکها، فلا فرق بین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و بین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تترک الصلاة، فإنّهما یکونان بمنزلة الإنسان و البشر لفظین مترادفین</w:t>
      </w:r>
      <w:r>
        <w:rPr>
          <w:rStyle w:val="FootnoteAnchor"/>
          <w:rtl w:val="true"/>
        </w:rPr>
        <w:footnoteReference w:id="9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لکن لا یخفی فساده، فإنّ هیئة الأمر موضوعة للبعث، و هیئة النهی موضوعة للزجر، و لا معنی لاتّحادهما مفهوماً و إن کان الثانی متعلّقاً إلی ترک المبعوث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فمعنی الاتّحاد المفهومی یرجع إلی اتّحاد المعنی الموضوع له، مع أنّ هیئة الأمر موضوعة للبعث، و النهی للزّجر، و متعلّقه فی الأوّل هو الفعل، و فی الثانی هو الترک، و لا وضع لمجموع الهیئة المتعلّقة بالمادّة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أنّ المراد اتّحاد البعث عن الشیء و الزجر عن ترکه معنیً و مفهوماً، یدفعه وضوح فساده</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ذکرنا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القول بالجزئیة؛ فإنّ معنی الأمر هو البعث، و هو أمر بسیط لا ترکّب فیه أصلاً، و أمّا دعوی اللزوم بالمعنی الأخص فیظهر من</w:t>
      </w:r>
    </w:p>
    <w:p>
      <w:pPr>
        <w:pStyle w:val="BookText"/>
        <w:rPr/>
      </w:pPr>
      <w:r>
        <w:rPr>
          <w:rFonts w:ascii="IRNazanin" w:hAnsi="IRNazanin" w:eastAsia="IRNazanin"/>
          <w:color w:val="111111"/>
          <w:sz w:val="28"/>
          <w:sz w:val="28"/>
          <w:szCs w:val="28"/>
          <w:rtl w:val="true"/>
          <w:lang w:bidi="fa-IR"/>
        </w:rPr>
        <w:t xml:space="preserve">التقریرات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المحقّق النائینی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بأس به نظراً إلی أنّ نفس تصوّر الوجوب و الحتم یوجب تصوّر المنع من الترک و الانتقال إلیه</w:t>
      </w:r>
      <w:r>
        <w:rPr>
          <w:rStyle w:val="FootnoteAnchor"/>
          <w:rtl w:val="true"/>
        </w:rPr>
        <w:footnoteReference w:id="99"/>
      </w:r>
      <w:r>
        <w:rPr>
          <w:rFonts w:ascii="IRNazanin" w:hAnsi="IRNazanin" w:eastAsia="IRNazanin"/>
          <w:color w:val="111111"/>
          <w:sz w:val="28"/>
          <w:sz w:val="28"/>
          <w:szCs w:val="28"/>
          <w:rtl w:val="true"/>
          <w:lang w:bidi="fa-IR"/>
        </w:rPr>
        <w:t>، و أنت خبیر بأنّ مجرّد عدم انفکاک التصوّرین لا یوجب ثبوت المنع الشرعی الذی هو المقصود فی المقام، فإنّ النزاع إنّما هو فی أنّ الآمر إذا أمر بشیء هل یکون أمره به موجباً لنهیه عن ضدّه بمعنی أن یکون هنا شیئان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بالشیء، و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النهی عن نقیضه، و ذلک لا یثبت بمجرّد الانتقال من تصوّر الوجوب إلی تصوّر المنع من الترک،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أراد الدلالة علی المنع بالدلالة الالتزامیة من دون افتقار إلی النهی الصادر من المولی بعد الأمر، فیرد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اقتضاء الدلالة المذکورة لتعدّد الحکمین الموجب لتعدّد استحقاق المثوبة و العقوبة، و هو کما تری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ربّما یجعل الکلام فی الإرادة لا فی الأمر و النهی، و یقال بعدم انفکاک الإرادة المتعلّقة بالشیء عن الإرادة المتعلّقة بعدم ترکه، و لکن هذا یصحّ فی الإرادات التکوینیّة، و أمّا فی الإرادات التشریعیّة فلا یتمّ بناءً علی ما حقّقناه فی بحث مقدّمة الواجب من أنّ کلّ إرادة تحتاج إلی مبادئها من دون فرق بین الإرادة المتعلّقة بالمقدّمة و بین الإرادة المتعلّقة بذیها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قلنا بترتّب الإرادة الثانیة علی الإرادة الاُولی قهراً من دون توقّفها علی شیء من مبادئ الإرادة، فله وجه کما لا یخفی</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لا یذهب علیک أنّ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ابتناء القول بالاقتضاء من طریق التوقّف و المقدّمیة علی ثلاث مقدّمات إنّما هو علی القول بالملازمة مطلقاً، و أمّا لو قیل بوجوب خصوص المقدّمة الموصلة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ابتناء ذلک القول علی مقدّمة</w:t>
      </w:r>
      <w:bookmarkStart w:id="210" w:name="pg11586_104707"/>
    </w:p>
    <w:p>
      <w:pPr>
        <w:pStyle w:val="BookText"/>
        <w:rPr/>
      </w:pPr>
      <w:bookmarkEnd w:id="210"/>
      <w:r>
        <w:rPr>
          <w:rFonts w:ascii="IRNazanin" w:hAnsi="IRNazanin" w:eastAsia="IRNazanin"/>
          <w:color w:val="111111"/>
          <w:sz w:val="28"/>
          <w:sz w:val="28"/>
          <w:szCs w:val="28"/>
          <w:rtl w:val="true"/>
          <w:lang w:bidi="fa-IR"/>
        </w:rPr>
        <w:t>رابعة أیضاً، فإنّ الوجوب المقدّمی إنّما یتعلّق بترک الضدّ لا مطلقاً، بل بترکه الموصل إلی الضدّ المتوقّف علیه، و اقتضاء هذا الوجوب للنهی عن الضدّ العامّ بمعنی النقیض لا یفید إلاّ حرمة نقیض الترک الموصل، و هو ترک الترک الموصل، و هذا بمجرّده لا یقتضی حرمة الفعل إلاّ بناءً علی توافق حکم المتلازمین، و إلّا فقد عرفت سابقاً أنّ الفعل لا یکون نقیضاً للترک الموصل، فسرایة حکم النقیض إلی الفعل مبنیّ علی لزوم توافق حکم المتلازمین، فإنّ الفعل لا ینفکّ عن النقیض أصلاً و إن کان النقیض ربّما ینفکّ عن الفعل، کما إذا لم یأت فی المثال المشهور لا بالإزالة و لا بالصلاة، و حینئذٍ فعلی القول بالمقدّمة الموصلة یتوقّف إثبات الاقتضاء علی المقدّمة الرابعة التی جعلوها دلیلاً مستقلاًّ فی مقابل المقدّمیة، کما سیجیء، فلا تکون حینئذٍ دلیلاً ثانیاً، بل تصیر من مقدّمات الدلیل الأوّل،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فیما یتعلّق بالقول بالاقتضاء من جهة التوقّف و المقدّمیة التی عرفت أنّها هی العمدة فی المقام</w:t>
      </w:r>
      <w:r>
        <w:rPr>
          <w:rFonts w:eastAsia="IRNazanin" w:cs="IRNazanin"/>
          <w:color w:val="111111"/>
          <w:sz w:val="28"/>
          <w:szCs w:val="28"/>
          <w:rtl w:val="true"/>
          <w:lang w:bidi="fa-IR"/>
        </w:rPr>
        <w:t>.</w:t>
      </w:r>
    </w:p>
    <w:p>
      <w:pPr>
        <w:pStyle w:val="Heading5"/>
        <w:numPr>
          <w:ilvl w:val="4"/>
          <w:numId w:val="1"/>
        </w:numPr>
        <w:rPr/>
      </w:pPr>
      <w:bookmarkStart w:id="211" w:name="__RefHeading___Toc5145757_73709187"/>
      <w:bookmarkStart w:id="212" w:name="_Toc78"/>
      <w:bookmarkEnd w:id="211"/>
      <w:r>
        <w:rPr>
          <w:rtl w:val="true"/>
        </w:rPr>
        <w:t>الاستدلال علی الاقتضاء فی الضدّ الخاصّ من طریق التلازم</w:t>
      </w:r>
      <w:bookmarkEnd w:id="212"/>
    </w:p>
    <w:p>
      <w:pPr>
        <w:pStyle w:val="BookText"/>
        <w:rPr/>
      </w:pPr>
      <w:r>
        <w:rPr>
          <w:rFonts w:ascii="IRNazanin" w:hAnsi="IRNazanin" w:eastAsia="IRNazanin"/>
          <w:color w:val="111111"/>
          <w:sz w:val="28"/>
          <w:sz w:val="28"/>
          <w:szCs w:val="28"/>
          <w:rtl w:val="true"/>
          <w:lang w:bidi="fa-IR"/>
        </w:rPr>
        <w:t>و یظهر من بعضهم الاستدلال له بلزوم توافق حکمی المتلازمین، و هذا أیضاً یبتنی علی ثلاث مقدّمات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التلازم بین الشیء و ترک ضدّه،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اتّحاد المتلازمین من حیث الحکم،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اقتضاء الأمر بالشیء للنّهی عن ضدّه العامّ بمعنی النقیض</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المقدّمة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الشیء لا یمکن أن یصدق علیه ضدّه، و إلّا یلزم اجتماع المتضادّین الممتنع بالبدیهة، فالواجب أن یصدق علیه نقیض الضدّ، و إلّا یلزم ارتفاع النقیضین، فالبیاض مثلاً لا یمکن أن یصدق علیه السواد؛ للزوم</w:t>
      </w:r>
    </w:p>
    <w:p>
      <w:pPr>
        <w:pStyle w:val="BookText"/>
        <w:rPr/>
      </w:pPr>
      <w:r>
        <w:rPr>
          <w:rFonts w:ascii="IRNazanin" w:hAnsi="IRNazanin" w:eastAsia="IRNazanin"/>
          <w:color w:val="111111"/>
          <w:sz w:val="28"/>
          <w:sz w:val="28"/>
          <w:szCs w:val="28"/>
          <w:rtl w:val="true"/>
          <w:lang w:bidi="fa-IR"/>
        </w:rPr>
        <w:t>اجتماع الضدّین، فیجب أن یصدق علیه اللّاسواد، و إلّا یلزم ارتفاع النقیضین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المقدّمة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 لو کان أحد المتلازمین واجباً، فالآخر لا بدّ إمّا أن یکون واجباً فهو المطلوب، و إمّا أن یکون جائزاً ترکه بالجواز بالمعنی الأعمّ من الأحکام الأربعة الاُخر، فاللازم جواز ترکه المستلزم لجواز ترک الواجب لفرض التلازم، فیخرج الواجب عن کونه واجباً، و من المعلوم أیضاً أنّه یستحیل خلوّ الواقعة عن حکم من الأحکام الخمسة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المقدّمة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عرفت إثباتها سابقاً، فراجع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و لکن لا یخفی بطلان جمیع المقدّمات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بطلان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نقیض صدق السواد علی البیاض الممتنع بدیهة لیس هو صدق اللّاسواد علیه بل نقیضه عدم صدق السواد علیه علی نحو السالبة المحصّلة، و ذلک لأنّه لو کان نقیضه هو صدق اللّاسواد علیه علی نحو الموجبة المعدولة، یلزم ارتفاع النقیضین؛ لکذب القضیّتین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کذب قضیّة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البیاض 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کذب قضیّة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البیاض لا 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عرفت من أنّ العدم لیس بشیء حتّی یمکن أن یحمل علی شیء أو یحمل علیه شیء، و قد عرفت أنّ جمیع القضایا التی یکون العدم فیها موضوعاً أو محمولاً لا بدّ أن ترجع إلی السالبة المحصّلة،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بطلان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کون الترک و العدم واقعة حتّی یستحیل خلوّه عن حکم من الأحکام الخمسة، ممنوع؛ فإنّه لیس بشیء حتّی یکون فعلاً للمکلّف و یتعلّق الحکم به</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مضافاً إلی أنّ استحالة خلوّ الوقائع عن الحکم ممنوعة؛ فإنّ هذا لو</w:t>
      </w:r>
      <w:bookmarkStart w:id="213" w:name="pg11586_104709"/>
    </w:p>
    <w:p>
      <w:pPr>
        <w:pStyle w:val="BookText"/>
        <w:rPr/>
      </w:pPr>
      <w:bookmarkEnd w:id="213"/>
      <w:r>
        <w:rPr>
          <w:rFonts w:ascii="IRNazanin" w:hAnsi="IRNazanin" w:eastAsia="IRNazanin"/>
          <w:color w:val="111111"/>
          <w:sz w:val="28"/>
          <w:sz w:val="28"/>
          <w:szCs w:val="28"/>
          <w:rtl w:val="true"/>
          <w:lang w:bidi="fa-IR"/>
        </w:rPr>
        <w:t>سلّم فإنّما هو بحسب الحکم الواقعی لا الفعلی، مع إمکان أن یقال بعدم استحالة خلوّها عن الحکم بحسب الواقع أیضاً؛ فإنّ الإباحة التی منشأها عدم تعلّق حکم شرعی به بمعنی أنّ جواز فعله لعدم تعلّق النهی التحریمی و لا التنزیهی به و جواز ترکه؛ لعدم تعلّق الأمر الوجوبی و لا الاستحبابی به أیضاً فی الحقیقة لیست بحکم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الإباحة التی منشأها خلوّ الفعل عن المصلحة و المفسدة أو تساویهما الراجعة إلی جعل الشارع إیّاها لذلک، حکم من الأحکام الخمسة، بخلاف الإباحة بالمعنی الأوّل،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بطلان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عرفت تفصیله، و أنّ الأمر بالشیء لا یقتضی النهی عن نقیضه، لا بنحو العینیة، و لا علی طریق الجزئیة، و لا علی سبیل اللزوم، فتأمّل جیّداً</w:t>
      </w:r>
      <w:r>
        <w:rPr>
          <w:rFonts w:eastAsia="IRNazanin" w:cs="IRNazanin"/>
          <w:color w:val="111111"/>
          <w:sz w:val="28"/>
          <w:szCs w:val="28"/>
          <w:rtl w:val="true"/>
          <w:lang w:bidi="fa-IR"/>
        </w:rPr>
        <w:t>.</w:t>
      </w:r>
    </w:p>
    <w:p>
      <w:pPr>
        <w:pStyle w:val="Heading4"/>
        <w:numPr>
          <w:ilvl w:val="3"/>
          <w:numId w:val="1"/>
        </w:numPr>
        <w:rPr/>
      </w:pPr>
      <w:bookmarkStart w:id="214" w:name="__RefHeading___Toc5145759_73709187"/>
      <w:bookmarkStart w:id="215" w:name="_Toc79"/>
      <w:bookmarkEnd w:id="214"/>
      <w:r>
        <w:rPr>
          <w:rtl w:val="true"/>
        </w:rPr>
        <w:t>الأمر الرابع</w:t>
      </w:r>
      <w:r>
        <w:rPr>
          <w:rtl w:val="true"/>
        </w:rPr>
        <w:t xml:space="preserve">: </w:t>
      </w:r>
      <w:r>
        <w:rPr>
          <w:rtl w:val="true"/>
        </w:rPr>
        <w:t>فی ثمرة المسألة</w:t>
      </w:r>
      <w:bookmarkEnd w:id="215"/>
    </w:p>
    <w:p>
      <w:pPr>
        <w:pStyle w:val="Heading5"/>
        <w:numPr>
          <w:ilvl w:val="4"/>
          <w:numId w:val="1"/>
        </w:numPr>
        <w:rPr/>
      </w:pPr>
      <w:bookmarkStart w:id="216" w:name="__RefHeading___Toc5145761_73709187"/>
      <w:bookmarkStart w:id="217" w:name="_Toc80"/>
      <w:bookmarkEnd w:id="216"/>
      <w:r>
        <w:rPr>
          <w:rtl w:val="true"/>
        </w:rPr>
        <w:t>اشارة</w:t>
      </w:r>
      <w:bookmarkEnd w:id="217"/>
    </w:p>
    <w:p>
      <w:pPr>
        <w:pStyle w:val="BookText"/>
        <w:rPr/>
      </w:pPr>
      <w:r>
        <w:rPr>
          <w:rFonts w:ascii="IRNazanin" w:hAnsi="IRNazanin" w:eastAsia="IRNazanin"/>
          <w:color w:val="111111"/>
          <w:sz w:val="28"/>
          <w:sz w:val="28"/>
          <w:szCs w:val="28"/>
          <w:rtl w:val="true"/>
          <w:lang w:bidi="fa-IR"/>
        </w:rPr>
        <w:t>اعلم أنّ المشهور ذکروا فی ثمرة القول بالاقتضاء و عدمه أنّ القول بالاقتضاء بضمیمة أنّ النهی فی العبادات یوجب البطلان ینتج بطلان الضدّ لو کان عبادةً، بخلاف القول بالعدم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لکن لا یخفی انتفاء الثمرة و صحّة العبادة حتی علی القول بالاقتضاء، فإنّک عرفت أنّ منشأ القول بالاقتضاء إمّا توهّم مقدّمیة ترک الضدّ لفعل الضدّ الآخر، و إمّا توهّم الملازمة بینهما، و علی التقدیرین لا یثبت بطلان العبادة</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علی تقدیر المقدّمیة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النهی الناشئ من جهتها نهی مقدّمی غیری، و النهی الذی یؤثّر فی بطلان متعلّقه إذا کان عبادةً هو النهی الذی کان عن ملاک</w:t>
      </w:r>
    </w:p>
    <w:p>
      <w:pPr>
        <w:pStyle w:val="BookText"/>
        <w:rPr/>
      </w:pPr>
      <w:r>
        <w:rPr>
          <w:rFonts w:ascii="IRNazanin" w:hAnsi="IRNazanin" w:eastAsia="IRNazanin"/>
          <w:color w:val="111111"/>
          <w:sz w:val="28"/>
          <w:sz w:val="28"/>
          <w:szCs w:val="28"/>
          <w:rtl w:val="true"/>
          <w:lang w:bidi="fa-IR"/>
        </w:rPr>
        <w:t>من المفسدة فی المنهیّ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مجرّد تعلّق النهی بشیء لا لأجل اشتماله علی مفسدة ملزمة، بل لغرض التوصّل إلی شیء آخر، فلا یکون مؤثّراً فی البطلان، فإنّ الوجه فیه هو امتناع أن یکون ما هو المبغوض الذی یوجب البُعد عن المولی مقرّباً للعبد منه، کما لا یخفی و من المعلوم أنّ هذا لا یتحقّق فی النهی الغیری، فإنّ المنهیّ عنه بهذا النهی لا یکون مبغوضاً للمولی أصلاً، و أداء فعله إلی ترک مطلوبه لا یوجب مبغوضیة ذلک الفعل، بل المبغوض هو ترک المطلوب لا ما یؤدّی إلیه،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هذا یظهر أنّه لو قلنا بالاقتضاء من جهة الملازمة فلا یستلزم النهی الناشئ من جهة الملازمة بطلان المنهی عنه أصلاً؛ فإن تعلّق النهی بسبب الملازمة لا یوجب مبغوضیة متعلّقه فی حدّ ذاته حتّی یمتنع أن یکون مقرّباً، کما هو واضح، فالثمرة منتفیة، و العبادة صحیحة مطلقاً قلنا بالاقتضاء أم لا، و علی الأوّل لا فرق بین أن یکون الاقتضاء مستنداً إلی المقدّمیة أو إلی الملازمة</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حکی عن البهائی و جماعة أنّهم أنکروا الثمرة و حکموا ببطلان العبادة مطلقاً</w:t>
      </w:r>
      <w:r>
        <w:rPr>
          <w:rStyle w:val="FootnoteAnchor"/>
          <w:rtl w:val="true"/>
        </w:rPr>
        <w:footnoteReference w:id="100"/>
      </w:r>
      <w:r>
        <w:rPr>
          <w:rFonts w:ascii="IRNazanin" w:hAnsi="IRNazanin" w:eastAsia="IRNazanin"/>
          <w:color w:val="111111"/>
          <w:sz w:val="28"/>
          <w:sz w:val="28"/>
          <w:szCs w:val="28"/>
          <w:rtl w:val="true"/>
          <w:lang w:bidi="fa-IR"/>
        </w:rPr>
        <w:t>؛ نظراً إلی أنّ صحّتها متوقّفة علی تعلّق الأمر الفعلی بها، و حینئذٍ فلو لم نقل بالاقتضاء و أنّ الضدّ یصیر منهیّاً عنه فلا أقلّ من عدم تعلّق الأمر الفعلی به؛ لامتناع تعلّق الأمر بالمتضادّین، فبطلانه لو کان عبادةً یستند علی هذا إلی عدم تعلّق الأمر به، کما أنّ بطلانه بناءً علی الاقتضاء مسبّب عن تعلّق النهی به، فالضدّ العبادی باطل علی أیّ تقدیر</w:t>
      </w:r>
      <w:r>
        <w:rPr>
          <w:rFonts w:eastAsia="IRNazanin" w:cs="IRNazanin"/>
          <w:color w:val="111111"/>
          <w:sz w:val="28"/>
          <w:szCs w:val="28"/>
          <w:rtl w:val="true"/>
          <w:lang w:bidi="fa-IR"/>
        </w:rPr>
        <w:t>.</w:t>
      </w:r>
      <w:bookmarkStart w:id="218" w:name="pg11586_104711"/>
    </w:p>
    <w:p>
      <w:pPr>
        <w:pStyle w:val="Heading5"/>
        <w:numPr>
          <w:ilvl w:val="4"/>
          <w:numId w:val="1"/>
        </w:numPr>
        <w:rPr/>
      </w:pPr>
      <w:bookmarkStart w:id="219" w:name="__RefHeading___Toc5145763_73709187"/>
      <w:bookmarkStart w:id="220" w:name="_Toc81"/>
      <w:bookmarkEnd w:id="218"/>
      <w:bookmarkEnd w:id="219"/>
      <w:r>
        <w:rPr>
          <w:rtl w:val="true"/>
        </w:rPr>
        <w:t>و اجیب عنه بوجهین</w:t>
      </w:r>
      <w:r>
        <w:rPr>
          <w:rtl w:val="true"/>
        </w:rPr>
        <w:t>:</w:t>
      </w:r>
      <w:bookmarkEnd w:id="220"/>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فی الکفایة من منع کون صحّة العبادة متوقّفةً علی تعلّق الأمر الفعلی بها، بل یکفی مجرّد المحبوبیة للمولی، و الضدّ بناءً علی عدم حرمته یکون کذلک، فإنّ المزاحمة علی هذا لا یوجب إلاّ ارتفاع الأمر المتعلّق به فعلاً مع بقائه علی ما هو علیه من ملاکه؛ لعدم حدوث ما یوجب مبغوضیته و خروجه عن قابلیة التقرّب به کما حدث بناء علی الاقتضاء</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المحقّق الکرکی و جماعة ممّن تأخّر عنه</w:t>
      </w:r>
      <w:r>
        <w:rPr>
          <w:rStyle w:val="FootnoteAnchor"/>
          <w:rtl w:val="true"/>
        </w:rPr>
        <w:footnoteReference w:id="102"/>
      </w:r>
      <w:r>
        <w:rPr>
          <w:rFonts w:ascii="IRNazanin" w:hAnsi="IRNazanin" w:eastAsia="IRNazanin"/>
          <w:color w:val="111111"/>
          <w:sz w:val="28"/>
          <w:sz w:val="28"/>
          <w:szCs w:val="28"/>
          <w:rtl w:val="true"/>
          <w:lang w:bidi="fa-IR"/>
        </w:rPr>
        <w:t>من منع إطلاق مقالة البهائی، فإنّها تجری فی خصوص المتزاحمین المضیّقین، و أمّا لو فرض وقوع التزاحم بین مضیّق و موسّع، کما لو فرض مزاحمة الصلاة فی بعض أوقات وجوبها لواجب آخر مضیّق، ففی مثل هذا یمکن القول بصحّة الفرد المزاحم من الصلاة لذلک الواجب و لو قلنا بتوقّف صحّة العبادة علی الأمر</w:t>
      </w:r>
      <w:r>
        <w:rPr>
          <w:rFonts w:eastAsia="IRNazanin" w:cs="IRNazanin"/>
          <w:color w:val="111111"/>
          <w:sz w:val="28"/>
          <w:szCs w:val="28"/>
          <w:rtl w:val="true"/>
          <w:lang w:bidi="fa-IR"/>
        </w:rPr>
        <w:t>.</w:t>
      </w:r>
    </w:p>
    <w:p>
      <w:pPr>
        <w:pStyle w:val="Heading5"/>
        <w:numPr>
          <w:ilvl w:val="4"/>
          <w:numId w:val="1"/>
        </w:numPr>
        <w:rPr/>
      </w:pPr>
      <w:bookmarkStart w:id="221" w:name="__RefHeading___Toc5145765_73709187"/>
      <w:bookmarkStart w:id="222" w:name="_Toc82"/>
      <w:bookmarkEnd w:id="221"/>
      <w:r>
        <w:rPr>
          <w:rtl w:val="true"/>
        </w:rPr>
        <w:t>جواب آخر علی مسلک الترتّب</w:t>
      </w:r>
      <w:bookmarkEnd w:id="222"/>
    </w:p>
    <w:p>
      <w:pPr>
        <w:pStyle w:val="BookText"/>
        <w:rPr/>
      </w:pPr>
      <w:r>
        <w:rPr>
          <w:rFonts w:ascii="IRNazanin" w:hAnsi="IRNazanin" w:eastAsia="IRNazanin"/>
          <w:color w:val="111111"/>
          <w:sz w:val="28"/>
          <w:sz w:val="28"/>
          <w:szCs w:val="28"/>
          <w:rtl w:val="true"/>
          <w:lang w:bidi="fa-IR"/>
        </w:rPr>
        <w:t>ثمّ إنّه تصدّی جماعة من الأفاضل لتصحیح الأمر بالضدّین بنحو الترتّب بأن یکون الأمر بالأهمّ مطلقاً غیر مشروط و الأمر بالمهمّ مشروطاً بعصیان الأمر الأوّل بنحو الشرط المتأخّر، أو بالبناء علی معصیته</w:t>
      </w:r>
      <w:r>
        <w:rPr>
          <w:rStyle w:val="FootnoteAnchor"/>
          <w:rtl w:val="true"/>
        </w:rPr>
        <w:footnoteReference w:id="103"/>
      </w:r>
      <w:r>
        <w:rPr>
          <w:rFonts w:ascii="IRNazanin" w:hAnsi="IRNazanin" w:eastAsia="IRNazanin"/>
          <w:color w:val="111111"/>
          <w:sz w:val="28"/>
          <w:sz w:val="28"/>
          <w:szCs w:val="28"/>
          <w:rtl w:val="true"/>
          <w:lang w:bidi="fa-IR"/>
        </w:rPr>
        <w:t>، و لا یخفی أنّ اشتراط الأمر بالمهمّ بالعصیان أو بالبناء علیه لا یکون اشتراطاً شرعیّاً</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توضیحه یتوقّف علی بیان 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إشکال فی أنّ متعلّق الأوامر و النواهی هی الطبائع لا الأفراد، کما سیأتی تحقیقه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بالإطلاق هو أخذ الطبیعة فی مقام جعل الحکم علیه مطلقة غیر مقیّدة بشیء من القیود بمعنی أنّ المتکلّم المختار إذا صار بصدد بیان بعض الأحکام و لم یأخذ فی موضوعه إلاّ الطبیعة المعرّاة عن القیود، یستکشف من ذلک أنّ تمام الموضوع لذلک الحکم هی نفس الطبیعة بلا مدخلیة لشیء فی ترتّبه أصلاً، فمعنی الإطلاق لیس هو لحاظ سرایة الحکم إلی جمیع أفراد الطبیعة حتّی یتّحد مع العموم فی النتیجة، و هی ثبوت الحکم لجمیع أفراد الطبیعة؛ لأنّه لیس فی الإطلاق لحاظ الأفراد، بل لا یعقل أن تکون الطبیعة مرآةً و کاشفةً لوجوداتها التی ستحقّق بعد انضمام سائر العوارض إلیها فإنّ لفظ الإنسان مثلاً لم یوضع إلاّ لنفس ماهیة الحیوان الناطق و لا یعقل أن یحکی عن أفراد تلک الطبیعة بعد عدم کونه موضوعاً بإزائها،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فلیس معنی الإطلاق إلاّ مجرّد عدم مدخلیّة شیء من القیود بلا ملاحظة الأفراد،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المزاحمة الحاصلة بین الأمر بالأهمّ و الأمر بالمهمّ کالأمر بإزالة النجاسة عن المسجد و الأمر بالصلاة لیست متحقّقةً فی مرحلة تعلّق الأمر بهما؛ إذ لیس الأمر لطبیعة الصلاة مزاحماً للأمر لطبیعة الإزالة أصلاً، کما لا یخفی، و لیسا کالأمر بالنقیضین، بل المزاحمة بینهما إنّما تتحقّق بعد تعلّق الأمر و حصول الابتلاء بمعنی أنّه إذا ابتلی المکلّف بنجاسة المسجد فی زمان کونه مأموراً بالأمر الصلاتی تحصل المزاحمة بینهما، و من المعلوم أنّ الترتّب و الاشتراط الذی یقول به القائل بالترتّب إنّما هو بعد تحقّق المزاحمة المتأخّرة عن مرحلة الأمر، کما عرفت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حینئذٍ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کیف یمکن أن یکون أحد الأمرین مشروطاً بسبب</w:t>
      </w:r>
      <w:bookmarkStart w:id="223" w:name="pg11586_104713"/>
    </w:p>
    <w:p>
      <w:pPr>
        <w:pStyle w:val="BookText"/>
        <w:rPr/>
      </w:pPr>
      <w:bookmarkEnd w:id="223"/>
      <w:r>
        <w:rPr>
          <w:rFonts w:ascii="IRNazanin" w:hAnsi="IRNazanin" w:eastAsia="IRNazanin"/>
          <w:color w:val="111111"/>
          <w:sz w:val="28"/>
          <w:sz w:val="28"/>
          <w:szCs w:val="28"/>
          <w:rtl w:val="true"/>
          <w:lang w:bidi="fa-IR"/>
        </w:rPr>
        <w:t>المزاحمة التی تتحقّق بینهما بعداً؟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عرفت من أنّ معنی الإطلاق هو أخذ الطبیعة المرسلة موضوعاً للحکم و متعلّقاً للأمر بلا ملاحظة الأفراد و لا الحالات التی من جملتها فی المقام حال الابتلاء بالضدّ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فالآمر فی مقام الأمر لم یلاحظ الحالات بخصوصها حتّی صار بصدد علاج المزاحمة الحاصلة فی بعض الحالات المتأخّرة عن الأمر، کما هو واضح، و علی تقدیر تسلیم عدم الامتناع عقلاً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غیر واقع؛ إذ لیس فی الأدلّة الشرعیة ما یظهر منه تقیید الأمر بالمهمّ و اشتراطه کما یظهر بالمراجعة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فانقدح من جمیع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کان المراد بالاشتراط اشتراطاً شرعیاً، یرد علیه امتناعه، و علی تقدیر التسلیم عدم وقوعه فلا یفید أصلاً، کما لا یخفی، فیجب أن یکون المراد بالاشتراط اشتراطاً عقلیّاً</w:t>
      </w:r>
      <w:r>
        <w:rPr>
          <w:rFonts w:eastAsia="IRNazanin" w:cs="IRNazanin"/>
          <w:color w:val="111111"/>
          <w:sz w:val="28"/>
          <w:szCs w:val="28"/>
          <w:rtl w:val="true"/>
          <w:lang w:bidi="fa-IR"/>
        </w:rPr>
        <w:t>.</w:t>
      </w:r>
    </w:p>
    <w:p>
      <w:pPr>
        <w:pStyle w:val="Heading5"/>
        <w:numPr>
          <w:ilvl w:val="4"/>
          <w:numId w:val="1"/>
        </w:numPr>
        <w:rPr/>
      </w:pPr>
      <w:bookmarkStart w:id="224" w:name="__RefHeading___Toc5145767_73709187"/>
      <w:bookmarkStart w:id="225" w:name="_Toc83"/>
      <w:bookmarkEnd w:id="224"/>
      <w:r>
        <w:rPr>
          <w:rtl w:val="true"/>
        </w:rPr>
        <w:t>تحقیق فی الجواب علی مسلک الخطابات القانونیّة</w:t>
      </w:r>
      <w:bookmarkEnd w:id="225"/>
    </w:p>
    <w:p>
      <w:pPr>
        <w:pStyle w:val="BookText"/>
        <w:rPr/>
      </w:pPr>
      <w:r>
        <w:rPr>
          <w:rFonts w:ascii="IRNazanin" w:hAnsi="IRNazanin" w:eastAsia="IRNazanin"/>
          <w:color w:val="111111"/>
          <w:sz w:val="28"/>
          <w:sz w:val="28"/>
          <w:szCs w:val="28"/>
          <w:rtl w:val="true"/>
          <w:lang w:bidi="fa-IR"/>
        </w:rPr>
        <w:t>و تنقیح الکلام فی هذا المقام بحیث یظهر منه صحّة الاشتراط و لزومه أو عدمهما یتوقّف علی رسم مقدّمات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للحکم إلاّ مرتبتان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مرتبة الإنشاء و مرتبة الفعلیة، بل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إنّهما لیستا مرتبتین للحکم بأن یکون کلّ حکم ثابتاً له هاتان المرتبتان، بل هما مقسمان لطبیعة الحکم بمعنی أنّ الأحکام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الأحکام الإنشائیة، 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الأحکام الفعلیة، و المراد بالأُولی هی الأحکام التی لم یکن فیها ما یقتضی إجراءها بعد جعلها بل اوحی إلیها إلی النبی صلی الله علیه و آله و سلم و أودعها صلی الله علیه و آله و سلم إلی الأئمّة علیهم السلام حتّی یظهر قائمهم علیه السلام، فیجریها، کما أنّ المراد بالثانیة هی القوانین و الأحکام التی قد اجریت بعد الوحی، و هی الأحکام</w:t>
      </w:r>
    </w:p>
    <w:p>
      <w:pPr>
        <w:pStyle w:val="BookText"/>
        <w:rPr/>
      </w:pPr>
      <w:r>
        <w:rPr>
          <w:rFonts w:ascii="IRNazanin" w:hAnsi="IRNazanin" w:eastAsia="IRNazanin"/>
          <w:color w:val="111111"/>
          <w:sz w:val="28"/>
          <w:sz w:val="28"/>
          <w:szCs w:val="28"/>
          <w:rtl w:val="true"/>
          <w:lang w:bidi="fa-IR"/>
        </w:rPr>
        <w:t>المتداولة بین الناس التی أظهرها النبیّ صلی الله علیه و آله و سلم أو الأئمّة من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الدلیل علی ما ذکرنا من أنّه لیس الفعلیة و الإنشائیة مرتبتین للحکم بأن یکون العالم مثلاً حکمه فعلیّاً و الجاهل إنشائیاً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بالحکم الذی یجعلون له المرتبتین بل المراتب الأربع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الکفایة </w:t>
      </w:r>
      <w:r>
        <w:rPr>
          <w:rStyle w:val="FootnoteAnchor"/>
          <w:rtl w:val="true"/>
        </w:rPr>
        <w:footnoteReference w:id="1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هو العبارة المکتوبة فی القرآن أو فی کتب الحدیث فمن الواضح البدیهی أنّه لا یعرض له التغییر بتغیّر حالات المکلّف من حیث العلم و الجهل و القدرة و العجز و نظائرها، و إن کان المراد به هو حقیقة الحکم الراجعة إلی إرادة المبدأ الأعلی جلّ شأنه، فمن الواضح أیضاً أنّه لا یعرض لها التغییر باختلاف الحالات المذکورة؛ لامتناع عروض التغیّر له تعالی،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یذهب علیک ثبوت الفرق بین الخطاب بنحو العموم و بین الخطاب بنحو الخصوص فی بعض الموارد،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الابتلاء، فإنّه یشترط فی صحّة توجیه الخطاب الخاصّ و عدم استهجانه أن یکون المخاطب مبتلی بالواقعة المنهی عنها، کما أنّه یشترط فی صحّة توجیه الخطاب الخاصّ المتضمّن للأمر أن لا یکون للمخاطب داعٍ إلی إتیان المأمور به مع قطع النظر عن تعلّق الأمر</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السرّ فی ذلک أنّ الأمر و النهی إنّما هو للبعث و الزجر، و یقبح زجر المکلّف عمّا یکون متروکاً؛ لعدم الابتلاء به، کما هو واضح، و هذا بخلاف الخطاب بنحو العموم، کما هو الشأن فی جمیع الخطابات الواردة فی الشریعة، فإنّه لا یشترط فی صحّته أن یکون کلّ واحد من المخاطبین مبتلی بالواقعة المنهیّ عنها؛ لعدم انحلال ذلک الخطاب إلی خطابات عدیدة حسب تعدّد المخاطبین حتّی یشترط</w:t>
      </w:r>
    </w:p>
    <w:p>
      <w:pPr>
        <w:pStyle w:val="BookText"/>
        <w:rPr/>
      </w:pPr>
      <w:r>
        <w:rPr>
          <w:rFonts w:ascii="IRNazanin" w:hAnsi="IRNazanin" w:eastAsia="IRNazanin"/>
          <w:color w:val="111111"/>
          <w:sz w:val="28"/>
          <w:sz w:val="28"/>
          <w:szCs w:val="28"/>
          <w:rtl w:val="true"/>
          <w:lang w:bidi="fa-IR"/>
        </w:rPr>
        <w:t>فیه ذلک، بل یشترط فیه أن لا یکون جمیعهم أو أکثرهم تارکین للمنهی عنه؛ لعدم الابتلاء، و أمّا لو کان بعضهم تارکاً له و لم یکن فی البین ما یمیّز کلّ واحد من الطائفتین عن الاُخری، فلا یضرّ بصحّة الخطاب بنحو العموم أصلاً، فما اشتهر بینهم من أنّه إذا خرج بعض أطراف العلم الإجمالی عن مورد الابتلاء، لم یجب الاجتناب من الآخر أیضاً لیس فی محلّه، کما حقّقناه فی موضعه</w:t>
      </w:r>
      <w:r>
        <w:rPr>
          <w:rStyle w:val="FootnoteAnchor"/>
          <w:rtl w:val="true"/>
        </w:rPr>
        <w:footnoteReference w:id="10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الوجه فی عدم الانحلال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إشکال فی کون الکفّار و العصاة مکلّفین بالأحکام الشرعیة مع أنّه لو قیل بالانحلال إلی خطابات متکثّرة، یلزم عدم کونهم مکلّفین؛ لعدم صحّة توجیه الخطاب الخاصّ إلیهم بعد عدم انبعاثهم إلی فعل المأمور به، و عدم انزجارهم عن فعل المنهی عنه أصلاً، کما لا یخفی، فمن کونهم مکلّفین یستکشف أنّه لا یشترط فی الخطاب بنحو العموم کون کلّ واحد من المخاطبین واجداً لشرائط صحّة توجیه الخطاب الخاصّ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الدلیل علی عدم کون الخطابات الواردة فی الشریعة مقیّدة بالعلم و القدرة، مضافاً إلی ما نراه بالوجدان من عدم کونها مقیّدةً بنظائرهما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لو کانت مقیّدةً بالقدرة بحیث لم یکن العاجز مشمولاً لها و مکلّفاً بالتکالیف التی تتضمّنه تلک الخطابات یلزم فیما لو شکّ فی القدرة و عدمها إجراء البراءة؛ لأنّ مرجع الشکّ فیها إلی الشکّ فی التکلیف؛ لأنّ المفروض الشکّ فی تحقّق قیده، و إجراء البراءة فی موارد الشکّ فی التکلیف ممّا لا خلاف فیه بینهم مع أنّه یظهر منهم القول بالاحتیاط فی مورد الشکّ فی القدرة کما یظهر بمراجعة فتاویهم</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 لو کانت الخطابات مقیّدةً بالقدرة، یلزم جواز إخراج المکلّف نفسه عن عنوان القادر، فلا یشمله التکلیف، کما یجوز للحاضر أن یسافر، فلا یشمله</w:t>
      </w:r>
    </w:p>
    <w:p>
      <w:pPr>
        <w:pStyle w:val="BookText"/>
        <w:rPr/>
      </w:pPr>
      <w:r>
        <w:rPr>
          <w:rFonts w:ascii="IRNazanin" w:hAnsi="IRNazanin" w:eastAsia="IRNazanin"/>
          <w:color w:val="111111"/>
          <w:sz w:val="28"/>
          <w:sz w:val="28"/>
          <w:szCs w:val="28"/>
          <w:rtl w:val="true"/>
          <w:lang w:bidi="fa-IR"/>
        </w:rPr>
        <w:t>تکلیف الحاضر، و کما یجوز للمکلّف أن یعمل عملاً یمنعه عن صدق عنوان المستطیع علیه، و غیرهما من الموارد، مع أنّ ظاهرهم عدم الجواز فی المقام، و لیس ذلک کلّه إلاّ لعدم اختصاص الخطاب بالقادرین، بل یعمّ الجمیع غایة الأمر کون العاجز معذوراً فی مخالفة التکلیف المتعلّق به بحکم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کیف یمکن أن تتعلّق إرادة المولی بإتیان جمیع الناس مطلوباته مع أنّ العقل یحکم بامتناع تعلّق الإرادة من الحکیم بإتیان العاجز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لیس فی المقام إلاّ الإرادة التشریعیة، و معناها لیس إرادة المولی إتیان العبد، کیف و لازمه استحالة الانفکاک بالنسبة إلی اللّه جلّ شأنه؛ لما قرّر فی محلّه من عدم إمکان تخلّف مراده تعالی عن إرادته، بل معنی الإرادة التشریعیة لیست إلاّ الإرادة المتعلّقة بجعل القوانین المتضمّنة للبعث و الزجر، فمتعلّق الإرادة إنّما هو بعث الناس إلی محبوبه و زجرهم عن مبغوضه، لا انبعاثهم و انزجارهم حتّی یستحیل الانفکاک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فلا یشترط فی جعل القوانین العامّة إلاّ کونها صالحةً لانبعاث النوع و انزجار لسببه کما یظهر بمراجعة العقلاء المقنّنین للقوانین العرفیة، فتأمّل فی المقام؛ فإنّه من مزالّ الأقدام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أنّ کلّ واحد من الأمر بالأهمّ و الأمر بالمهمّ إنّما تعلّق بالطبیعة معراة عن جمیع القیود، و لیس فیها لحاظ الأفراد و لا لحاظ الحالات التی یطرأ بعد تعلّق الأمر بها حتّی صار المولی بصدد بیان العلاج و دفع التزاحم بین الأمرین فی حالة الاجتماع</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للعقل التصرّف فی أوامر المولی بتقییدها ببعض القیود، بل له أحکام توجب معذوریة المکلّف بالنسبة إلی مخالفة تکالیف المولی، فحکمه بقبح العقاب فی صورة الجهل أو العجز لا یرجع إلی تقیید الأحکام بصورة</w:t>
      </w:r>
    </w:p>
    <w:p>
      <w:pPr>
        <w:pStyle w:val="BookText"/>
        <w:rPr/>
      </w:pPr>
      <w:r>
        <w:rPr>
          <w:rFonts w:ascii="IRNazanin" w:hAnsi="IRNazanin" w:eastAsia="IRNazanin"/>
          <w:color w:val="111111"/>
          <w:sz w:val="28"/>
          <w:sz w:val="28"/>
          <w:szCs w:val="28"/>
          <w:rtl w:val="true"/>
          <w:lang w:bidi="fa-IR"/>
        </w:rPr>
        <w:t>العلم و القدرة حتّی لا یکون الجاهل أو العاجز مکلّفاً، بل الظاهر ثبوت التکلیف بالنسبة إلی جمیع الناس أعمّ من العالم و الجاهل و القادر و العاجز، غایة الأمر کون الجاهل و العاجز معذوراً فی المخالفة بحکم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یکون حکم العقل کاشفاً عن بعض الأحکام الشرعیة، فحکمه حینئذٍ طریق إلیه،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أنّ الخطابات الواردة فی الشریعة إنّما تکون علی نحو العموم، و لا یشترط فیها أن یکون کلّ واحد من المخاطبین قادراً علی إتیان متعلّقها، بل یعمّ القادر و العاجز، و معذوریّة العاجز إنّما هو لحکم العقل بقبح عقابه علی تقدیر المخالفة، لا لعدم ثبوت التکلیف فی حقّه، و حینئذٍ فالعجز إمّا أن یکون متعلّقاً بالإتیان بمتعلّق التکلیف الواحد، و حینئذٍ فلا إشکال فی معذوریة المکلّف فی مخالفته، و إمّا أن یکون متعلّقاً بالجمع بین الإتیان بمتعلّق التکلیفین أو أزید بأن لا یکون عاجزاً عن الإتیان بمتعلّق هذا التکلیف بخصوصه و لا یکون عاجزاً عن موافقة ذلک التکلیف بخصوصه أیضاً، بل یکون عاجزاً عن الجمع بین موافقة التکلیفین و متابعة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هذه المقدّمات،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الأمران متعلّقین بالضدّین المساویین من حیث الأهمّیة، فالمکلّف حینئذٍ إمّا أن یشتغل بفعل واحد منهما أو بأمرٍ آخر، و علی الثانی إمّا أن یکون ذلک الأمر محرّماً و إمّا أن لا یکون کذلک، فالصور ثلاثة</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الصورة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إشکال فیها فی ثبوت الأمرین معاً؛ لما عرفت فی المقدّمات السابقة، غایة الأمر کونه معذوراً فی مخالفة واحد منهما لحکم العقل بمعذوریة العاجز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فالمکلّف یستحقّ فیها ثلاث عقوبات، أمّا العقوبة علی ما اشتغل به من فعل المحرّم فواضح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العقوبة علی مخالفة کلٍّ من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فلکونه قد خالفهما من غیر عذر؛ لفرض کونه قادراً علی إتیان متعلّق کلّ واحد منهما، و عجزه إنّما هو عن الجمع بینهما، و الجمع لا یکون متعلّقاً للأمر حتّی یعذر فی مخالفته؛ لتحقّق العجز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فیظهر الحکم فیها ممّا ذکرنا فی الصورة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کان الأمران متعلّقین بمساویین من حیث الأهمّیة، و أمّا إذا کان أحد الضدّین أهمّ من الآخر، فالعقل یحکم بوجوب ترجیحه علی المهمّ فی مقام الإطاعة و الامتثال، و حینئذٍ فإذا امتثل الأمر بالأهمّ، فالعقل یحکم بمعذوریّته فی مخالفة الأمر بالمهمّ بعد کونه غیر مقدور عن إطاعته، و أمّا إذا امتثل الأمر بالمهمّ و صرف قدرته إلی طاعته دون الأمر بالأهمّ، فلا إشکال فی استحقاق المثوبة علی امتثاله، و عدم کونه معذوراً فی مخالفة الأمر بالأهمّ بعد ما عرفت من کونه مشمولاً لکلا الخطابین، و العقل لا یحکم بمعذوریته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یظهر أنّه لو خالف الأمرین معاً، یستحقّ العقوبة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المتحصّل من جمیع ما ذکرنا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ما حکی عن البهائی من أنّه لو قیل بعدم الاقتضاء فلا أقلّ من عدم تعلّق الأمر بالضدّ، فإنّک قد عرفت أنّه لا منافاة بین الأمرین أصلاً، بل الظاهر ثبوتهما من دون أن یکون أحدهما مترتّباً علی الآخر، بل یکونان فی عرض واحد بلا ترتّب و طولیّة</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استحقاق العقابین علی تقدیر مخالفة کلا الأمرین، و لا إشکال فیه، کما عرفت</w:t>
      </w:r>
      <w:r>
        <w:rPr>
          <w:rFonts w:eastAsia="IRNazanin" w:cs="IRNazanin"/>
          <w:color w:val="111111"/>
          <w:sz w:val="28"/>
          <w:szCs w:val="28"/>
          <w:rtl w:val="true"/>
          <w:lang w:bidi="fa-IR"/>
        </w:rPr>
        <w:t>.</w:t>
      </w:r>
      <w:bookmarkStart w:id="226" w:name="pg11586_104719"/>
    </w:p>
    <w:p>
      <w:pPr>
        <w:pStyle w:val="Heading5"/>
        <w:numPr>
          <w:ilvl w:val="4"/>
          <w:numId w:val="1"/>
        </w:numPr>
        <w:rPr/>
      </w:pPr>
      <w:bookmarkStart w:id="227" w:name="__RefHeading___Toc5145769_73709187"/>
      <w:bookmarkStart w:id="228" w:name="_Toc84"/>
      <w:bookmarkEnd w:id="226"/>
      <w:bookmarkEnd w:id="227"/>
      <w:r>
        <w:rPr>
          <w:rtl w:val="true"/>
        </w:rPr>
        <w:t>تحقیق فی الترتّب</w:t>
      </w:r>
      <w:bookmarkEnd w:id="228"/>
    </w:p>
    <w:p>
      <w:pPr>
        <w:pStyle w:val="BookText"/>
        <w:rPr/>
      </w:pPr>
      <w:r>
        <w:rPr>
          <w:rFonts w:ascii="IRNazanin" w:hAnsi="IRNazanin" w:eastAsia="IRNazanin"/>
          <w:color w:val="111111"/>
          <w:sz w:val="28"/>
          <w:sz w:val="28"/>
          <w:szCs w:val="28"/>
          <w:rtl w:val="true"/>
          <w:lang w:bidi="fa-IR"/>
        </w:rPr>
        <w:t>ثمّ إنّه یظهر من المحقّق النائینی قدس سره القول بالترتّب، و قد أطال الکلام فی ذلک بإقامة مقدّمات کثیرة</w:t>
      </w:r>
      <w:r>
        <w:rPr>
          <w:rStyle w:val="FootnoteAnchor"/>
          <w:rtl w:val="true"/>
        </w:rPr>
        <w:footnoteReference w:id="106"/>
      </w:r>
      <w:r>
        <w:rPr>
          <w:rFonts w:ascii="IRNazanin" w:hAnsi="IRNazanin" w:eastAsia="IRNazanin"/>
          <w:color w:val="111111"/>
          <w:sz w:val="28"/>
          <w:sz w:val="28"/>
          <w:szCs w:val="28"/>
          <w:rtl w:val="true"/>
          <w:lang w:bidi="fa-IR"/>
        </w:rPr>
        <w:t>، و نحن نقتصر علی ما یرد علیها، فنقول</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المقدّمة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الراجعة إلی إثبات أنّ ما أوقع المکلّف فی مضیقة، الجمع بین الضدّین و أوجبه علیه هل هو نفس الخطابین الفعلیین أو إطلاقهما و شمولهما لحالتی فعل الآخر و عدمه، فهی و إن کانت بنفسها صحیحةً إلاّ أنّه لا یترتّب علیه النتیجة، کما سیأتی، و یبقی فیها ما أورده علی الشیخ من المناقضة بین ما اختاره فی هذا المقام من إنکار الترتّب غایة الإنکار</w:t>
      </w:r>
      <w:r>
        <w:rPr>
          <w:rStyle w:val="FootnoteAnchor"/>
          <w:rtl w:val="true"/>
        </w:rPr>
        <w:footnoteReference w:id="107"/>
      </w:r>
      <w:r>
        <w:rPr>
          <w:rFonts w:ascii="IRNazanin" w:hAnsi="IRNazanin" w:eastAsia="IRNazanin"/>
          <w:color w:val="111111"/>
          <w:sz w:val="28"/>
          <w:sz w:val="28"/>
          <w:szCs w:val="28"/>
          <w:rtl w:val="true"/>
          <w:lang w:bidi="fa-IR"/>
        </w:rPr>
        <w:t>و بین ما ذکره الشیخ فی مبحث التعادل و الترجیح من الفرائد حیث قال فی الجواب عمّا قیل من أنّ الأصل فی المتعارضین عدم حجّیة أحدهما ما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لمّا کان امتثال التکلیف بالعمل بکلٍّ 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کسائر التکالیف الشرعیّة و العرفیّة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مشروطاً بالقدرة، و المفروض أنّ کلاًّ منهما مقدور فی حال ترک الآخر، و غیر مقدور مع إیجاد الآخر، فکلٌّ منهما مع ترک الآخر مقدور یحرم ترکه و یتعیّن فعله، و مع إیجاد الآخر یجوز ترکه، و لا یعاقب علیه، فوجوب الأخذ بأحدهما نتیجة أدلّة وجوب الامتثال، و العمل بکلٍّ منهما بعد تقیید وجوب الامتثال بالقدرة، و هذا ممّا یحکم به بدیهة العقل، کما فی کلّ واجبین اجتمعا علی المکلّف، و لا مانع من تعیین کلٍّ منهما علی المکلّف بمقتضی دلیله إلاّ تعیین</w:t>
      </w:r>
    </w:p>
    <w:p>
      <w:pPr>
        <w:pStyle w:val="BookText"/>
        <w:rPr/>
      </w:pPr>
      <w:r>
        <w:rPr>
          <w:rFonts w:ascii="IRNazanin" w:hAnsi="IRNazanin" w:eastAsia="IRNazanin"/>
          <w:color w:val="111111"/>
          <w:sz w:val="28"/>
          <w:sz w:val="28"/>
          <w:szCs w:val="28"/>
          <w:rtl w:val="true"/>
          <w:lang w:bidi="fa-IR"/>
        </w:rPr>
        <w:t>الآخر علیه کذلک</w:t>
      </w:r>
      <w:r>
        <w:rPr>
          <w:rStyle w:val="FootnoteAnchor"/>
          <w:rtl w:val="true"/>
        </w:rPr>
        <w:footnoteReference w:id="1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موضع الحاجة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محصّل الإیراد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الکلام صریح فی أنّ التخییر فی الواجبین المتزاحمین إنّما هو من نتیجة اشتراط کلٍّ منهما بالقدرة علیه، و تحقّقها فی حال ترک الآخر، فیجب کلٌّ منهما عند ترک الآخر، فیلزم الترتّب من الجانبین مع أنّه قد أنکره من جانب واحد، ولیت شعری أن ضمّ ترتّب إلی ترتّب آخر کیف یوجب تصحیحه؟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الواضح الذی لا یعتریه ریب أنّ کلامه هناک لا یدلّ علی الترتّب من الطرفین أصلاً، کیف و معنی الترتّب کون الأمر الثانی فی طول الأمر الأوّل لاشتراطه بما یتأخّر عنه رتبةً، و حینئذٍ فکیف یمکن أن یکون کلٌّ من الأمرین فی طول الآخر و متأخّراً عنه رتبةً؟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مقتضاه إمکان تقدّم الشیء علی نفسه المستحیل بداهة، بل المراد من العبارة ما ذکرناه و حقّقناه فی هذا المقام من أنّ الأمرین باقیان علی إطلاقهما من دون أن یکون أحدهما مقیّداً بما یتأخّر عن الآخر أو بشیء آخر، غایة الأمر أنّ وجوب الامتثال الذی هو حکم عقلی مشروط بالقدرة علیه، و حیث إنّه لا ترجیح بین الامتثالین هناک، فالعقل یحکم بتخییر المکلّف و معذوریّته فی مخالفة ترک الآخر لو لم یخالف المجموع، فالمقیّد بالقدرة و نظائرها إنّما هو حکم العقل بوجوب الامتثال، لا أصل الخطابین، و هذا هو ظاهر کلام الشیخ حیث ذکر أنّ المقیّد بالقدرة إنّما هو حکم العقل</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یرد علی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الفرق بین المقامین حیث حکم باستحالة ثبوت الأمرین فی المقام مع أنّه اختار ثبوتهما هناک، فإنّ الظاهر جریان هذا الوجه بعینه فی المقام بلا فرق بینهما أصلاً، کما هو واضح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المقدّمة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الراجعة إلی أنّ الواجب المشروط بعد تحقّق شرطه حاله حاله قبل تحقّق شرطه من حیث إنّه بعدُ علی صفة الاشتراط، و لا یتّصف بصفة الإطلاق، و ذلک لأنّ الشرط فیه یرجع إلی قیود الموضوع، إلی آخر 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فیرد علیها ما تقدّم منّا فی الواجب المطلق و المشروط من أنّ أخذ القید بحسب الواقع و نفس الأمر علی وجهین، فإنّه قد یکون الشیء محبوباً للإنسان عند حصول شرط بحیث لا یکون بدونه مطلوباً و إن کان ربّما یمنع عن تحقّق القید، و قد یکون الشیء المقیّد محبوباً له بحیث ربّما یتحمّل لأجل تحقّق مطلوبه مشاقّاً کثیرة، فالصلاة فی المسجد قد تکون محبوبةً للإنسان لأجل ما یترتّب علیها، فلو لم یکن مسجد یصیر بصدد بنائه لأجل تحقّق مطلوبه، و قد تکون الصلاة محبوبةً له علی تقدیر تحقّق المسجد بحیث یشتاق إلی عدم تحقّق المسجد لأجل انزجاره من الصلاة، و لکن علی تقدیر تحقّقه یتعلّق حبّه بها، و حینئذٍ فمع کون الأمر فی الواقع علی قسمین، فلا وجه لإرجاع جمیع القیود إلی قیود الموضوع مع ترتّب الثمرة بین الوجهین فی مواضع کثیرة،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الاستصحاب، بل لا یجوز ذلک أصلاً،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علی تقدیر التسلیم فإرجاع القیود إلی الموضوع إنّما هو فی القیود التی أخذها المولی فی مقام الحکم، و جعله مقیّداً بها دون ما یأتی من ناحیة العقل، کما فی المقام، حیث إنّه یحکم بناء علی الترتّب بکون الأمر بالمهم مقیّداً بما یتأخّر عن الأمر بالأهمّ، فالتقیید تقیید عقلی لا ربط له بالخطابین، فإنّهما مطلقان، کما لا یخفی</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یظهر منه أنّه لو لم یکن الشرط من قیود الموضوع فاللّازم أن یکون من علل التشریع مع أنّ هنا أمراً ثالثاً یرجع إلیه الواجب المشروط، و هو أن</w:t>
      </w:r>
    </w:p>
    <w:p>
      <w:pPr>
        <w:pStyle w:val="BookText"/>
        <w:rPr/>
      </w:pPr>
      <w:r>
        <w:rPr>
          <w:rFonts w:ascii="IRNazanin" w:hAnsi="IRNazanin" w:eastAsia="IRNazanin"/>
          <w:color w:val="111111"/>
          <w:sz w:val="28"/>
          <w:sz w:val="28"/>
          <w:szCs w:val="28"/>
          <w:rtl w:val="true"/>
          <w:lang w:bidi="fa-IR"/>
        </w:rPr>
        <w:t xml:space="preserve">یکون المجعول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مقیّداً بذلک الشرط، فإنّه لا مجال لأن یقال بأنّ الشرط فیه من علل التشریع، بل المشروع و المجعول مقیّداً به و ثابت علی تقدیر تحقّقه،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یخفی أنّ عدم انقلاب الواجب المشروط عن کونه کذلک بعد تحقّق شرطه لا یتوقّف علی کون الشرط من قیود الموضوع، بل الظاهر عدم الانقلاب بناءً علی ما اخترناه و حقّقناه فی الواجب المشروط أیضاً، فإنّ المراد بالحکم الذی یتوهّم انقلابه عند تحقّق شرطه هل هو الجزاء المترتّب علی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الجملة المتضمّنة للبعث، فمن الواضح عدم معقولیة عروض الانقلاب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کان المراد به هی الإرادة التشریعیة، فقد عرفت أنّ معناها لیس إرادة إتیان العبد به، کیف و من المستحیل انفکاک الإتیان عنها، بل معناها یرجع إلی إرادة الجعل و التشریع التی یعبّر عنها بالفارسیة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المعلوم استحالة عروض التغیّر و الانقلاب لها، بل لا معنی لانقلابها،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المقدّمة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فمقارنة زمان الشرط و التکلیف و الامتثال و إن کانت مسلّمةً إلاّ أنّ ما أجاب به عن الإشکال الثانی الذی یرجع إلی أنّ الترتّب مستلزم لإیجاب الجمع لا یتمّ، کما سیجیء فی الجواب عن المقدّمة الخامسة</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المقدّمة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یبتنی علیها الترتّب و الطولیة، فیرد علی التقسیم إلی الأقسام الثلاثة أنّ الإطلاق لیس معناه إلاّ مجرّد أخذ الشیء موضوعاً للحکم مع عدم تقییده ببعض القیود، فمن أجل أنّه فاعل مختار یمکن له بیان ما لَه دخلٌ فی موضوع حکمه، و مع ذلک فلم یأخذ شیئاً آخر، یستفاد أنّ ذلک الشیء تمام الموضوع، فالإطلاق اللحاظی بالمعنی الذی ذکره لا وجه له أصلاً، بل لا معنی له، و حینئذٍ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الإطلاق بالمعنی الذی ذکرنا علی</w:t>
      </w:r>
    </w:p>
    <w:p>
      <w:pPr>
        <w:pStyle w:val="BookText"/>
        <w:rPr/>
      </w:pPr>
      <w:r>
        <w:rPr>
          <w:rFonts w:ascii="IRNazanin" w:hAnsi="IRNazanin" w:eastAsia="IRNazanin"/>
          <w:color w:val="111111"/>
          <w:sz w:val="28"/>
          <w:sz w:val="28"/>
          <w:szCs w:val="28"/>
          <w:rtl w:val="true"/>
          <w:lang w:bidi="fa-IR"/>
        </w:rPr>
        <w:t>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یمکن للعبد أن یحتجّ به علی المولی، کما فی القیود و التقادیر المتصوّرة علی القسمین الأوّلین، و قسم لا یمکن للعبد ذلک، کما بالنسبة إلی القیود التی یقتضیه نفس الخطاب، و هو القسم الثالث الذی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فغایة هذه المقدّمة إثبات الترتّب و الطولیة، و هو لا یستلزم الخروج عن إیجاب الجمع، کما سنبیّن فیما یتعلّق علی المقدّمة الخامسة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المقدّمة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سیقت لبیان أنّ الترتّب لا یقتضی إیجاب الجمع، فینبغی أوّلاً الإشارة إلی وجه تأخّر العصیان المشروط به خطاب المهمّ عن الأمر بالأهمّ، ثمّ النظر إلی أنّه علی فرض الترتّب هل یجدی ذلک فی إخراج المسألة عن إیجاب الجمع بین الضدّین أو لا؟</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الوجه فی تأخّر عصیان الأمر بالأهمّ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العصیان نقیض للإطاعة و الامتثال؛ إذ هو ترک المأمور به لا عن عذر، و الإطاعة متأخّر عن الأمر؛ لأنّ الانبعاث متأخّر عن البعث؛ إذ هو معلول له، و الإتیان بمتعلّق الأمر و إن لم یکن متأخّراً عنه إلاّ أنّ صدق الامتثال و الإطاعة علیه یتوقّف علی تحقّقه و الالتفات إلیه، و حینئذٍ فإذا ثبت تأخّر الإطاعة عن الأمر فیظهر تأخّر العصیان عنه أیضاً؛ لأنّه نقیض لها، و النقیضان متساویان فی الرتبة و ما مع المتقدّم فی الرتبة یکون متقدّماً فی الرتبة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لکن قد عرفت سابقاً منع اتّحاد النقیضین من حیث الرتبة، و لو سلّم فما مع المتقدّم فی الرتبة لا یکون متقدّماً فی الرتبة؛ لما عرفت سابقاً من أنّ التقدّم و التأخّر بحسب العقل مستند إلی ملاکهما، و مع عدم الملاک لا یحکم بالتقدّم أو التأخّر</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العمدة فی منع تأخّر العصیان عن الأمر ما عرفت من أنّ معنی العصیان هو ترک المأمور به لا عن عذر، و هو من الأعدام و الأعدام لا تکون</w:t>
      </w:r>
    </w:p>
    <w:p>
      <w:pPr>
        <w:pStyle w:val="BookText"/>
        <w:rPr/>
      </w:pPr>
      <w:r>
        <w:rPr>
          <w:rFonts w:ascii="IRNazanin" w:hAnsi="IRNazanin" w:eastAsia="IRNazanin"/>
          <w:color w:val="111111"/>
          <w:sz w:val="28"/>
          <w:sz w:val="28"/>
          <w:szCs w:val="28"/>
          <w:rtl w:val="true"/>
          <w:lang w:bidi="fa-IR"/>
        </w:rPr>
        <w:t>متأخّرة عن شیء و لا متقدّمة علیه؛ لأنّه لیس بشیء حتّی یحکم علیه بحکم وجودی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یعقل أن یکون خطاب المهم مشروطاً به بعد کونه من الأعدام، و لا یعقل ثبوت التأثیر لها أصلاً، کما هو واضح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فعلی تقدیر تسلیم الترتّب و الطولیة بین الأمرین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لا یجدی فی رفع غائلة استحالة طلب الضدّین، فإنّ شرط خطاب المهمّ إمّا أن یکون نفس العصیان بحسب وجوده الخارجی المتوقّف علی مضیّ زمان لا یمکن معه الامتثال فی الزمان الباقی، و هو الذی یترتّب علیه سقوط الأمر بالأهم؛ لأنّ بقاءه مستلزم لتعلّق الطلب بغیر المقدور، کما هو المفروض، و إمّا أن یکون العنوان الذی ینتزع منه بعد کونه متحقّقاً فی ظرفه بحسب الواقع و نفس الأمر، و هو کون المکلّف ممّن یعصی أو تعقّب العصیان و تأخّره و نظائرهما، و إمّا أن یکون الشرط التلبّس بالعصیان و الشروع فیه، و إمّا أن یکون أحد العناوین الاُخر المنطبقة علی أحد الوجوه المتقدّمة</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ذلک،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کان الشرط هو العصیان الخارجی الذی عرفت أنّه لا یتحقّق إلاّ بعد مضیّ مقدار من الزمان لا یمکن معه الامتثال فی الباقی، فمن الواضح أنّه بمجرّد تحقّقه یسقط الأمر بالأهمّ، کما أنّ قبل تحقّقه لا یکون الأمر بالمهمّ موجوداً؛ لعدم تحقّق شرطه بعد فقبل تحقّق العصیان لا یتحقّق الأمر بالمهمّ، و بعد تحقّقه لا یبقی الأمر بالأهمّ، فأین یلزم اجتماع الأمرین الذی علیه یبتنی القول بالترتّب، و أمّا لو کان الشرط هو العنوان الذی ینتزع من العصیان المتأخّر، فمن الواضح لزوم طلب الجمع؛ لأنّ بمجرّد تحقّق الزوال مثلاً الذی یتحقّق معه شرط خطاب المهمّ یکون مأموراً بإتیان الأهمّ و یحرّکه الأمر المتعلّق به نحوه، و بإتیان المهمّ أیضاً لتحقّق شرطه، و هکذا لو کان الشرط هو التلبّس</w:t>
      </w:r>
      <w:bookmarkStart w:id="229" w:name="pg11586_104725"/>
    </w:p>
    <w:p>
      <w:pPr>
        <w:pStyle w:val="BookText"/>
        <w:rPr/>
      </w:pPr>
      <w:bookmarkEnd w:id="229"/>
      <w:r>
        <w:rPr>
          <w:rFonts w:ascii="IRNazanin" w:hAnsi="IRNazanin" w:eastAsia="IRNazanin"/>
          <w:color w:val="111111"/>
          <w:sz w:val="28"/>
          <w:sz w:val="28"/>
          <w:szCs w:val="28"/>
          <w:rtl w:val="true"/>
          <w:lang w:bidi="fa-IR"/>
        </w:rPr>
        <w:t>بالعصیان لو کان له معنی 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الشرط أیّ شیء کان مؤثّراً فی سقوط خطاب الأهمّ، فلا یبقی مجال للترتّب، و إمّا أن لا یکون کذلک، فیلزم طلب الجمع، کما هو واضح</w:t>
      </w:r>
      <w:r>
        <w:rPr>
          <w:rFonts w:eastAsia="IRNazanin" w:cs="IRNazanin"/>
          <w:color w:val="111111"/>
          <w:sz w:val="28"/>
          <w:szCs w:val="28"/>
          <w:rtl w:val="true"/>
          <w:lang w:bidi="fa-IR"/>
        </w:rPr>
        <w:t>.</w:t>
      </w:r>
    </w:p>
    <w:p>
      <w:pPr>
        <w:pStyle w:val="Heading5"/>
        <w:numPr>
          <w:ilvl w:val="4"/>
          <w:numId w:val="1"/>
        </w:numPr>
        <w:rPr/>
      </w:pPr>
      <w:bookmarkStart w:id="230" w:name="__RefHeading___Toc5145771_73709187"/>
      <w:bookmarkStart w:id="231" w:name="_Toc85"/>
      <w:bookmarkEnd w:id="230"/>
      <w:r>
        <w:rPr>
          <w:rtl w:val="true"/>
        </w:rPr>
        <w:t>حول أمثلة الترتّب</w:t>
      </w:r>
      <w:bookmarkEnd w:id="231"/>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لا یخفی أنّ الفروع التی أوردها فی التقریرات للإلزام بصحّة الخطاب الترتّبی</w:t>
      </w:r>
      <w:r>
        <w:rPr>
          <w:rStyle w:val="FootnoteAnchor"/>
          <w:rtl w:val="true"/>
        </w:rPr>
        <w:footnoteReference w:id="109"/>
      </w:r>
      <w:r>
        <w:rPr>
          <w:rFonts w:ascii="IRNazanin" w:hAnsi="IRNazanin" w:eastAsia="IRNazanin"/>
          <w:color w:val="111111"/>
          <w:sz w:val="28"/>
          <w:sz w:val="28"/>
          <w:szCs w:val="28"/>
          <w:rtl w:val="true"/>
          <w:lang w:bidi="fa-IR"/>
        </w:rPr>
        <w:t>، مضافاً إلی أنّ غایة ما یدلّ علیها هو إمکان أن یکون بعض الخطابات مترتّباً علی البعض الآخر و فی طوله، و هو ممّا لا ینکره أحد حتّی القائلین بامتناع الترتّب؛ لوروده فی الشرع کثیراً، نظیر الأمر بالتوبة، المترتّب علی تحقّق العصیان و الذنب، و غیر ذلک من الموارد الکثیرة، بل الذی یقول به القائل بالامتناع هو عدم تأثیر الترتّب فی دفع غائلة طلب الجمع بین الضدّین المستحیل بالبداهة، و لا یظهر من الفروع ذلک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معنی النقض بشیء هو أن یکون المنقوض به مسلّماً بین المتخاصمین بحیث لا مجال لهما لإنکاره، و حینئذٍ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مسألة الإقامة التی أوردها فیها لا تکون مورداً للنقض؛ لأنّ الذی ورد فی الشرع هو وجوب الصوم و الإتمام علی تقدیر قصد الإقامة عشرة أیّام، لا معلّقاً علی نفس الإقامة، و حینئذٍ فلو کان ذلک القصد محرّماً، لتعلّق النذر أو العهد أو الیمین بعدمه، فما دام لم یتحقّق لا یکون وجوب الصوم و الإتمام متحقّقاً، و بمجرّد تحقّقه الذی یسقط بسببه النهی المتعلّق به لحصول العصیان بتحقّق الأمر بالإتمام و لکن بعد سقوط النهی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لو سلّم کون الشرط لوجوب القصر و الإتمام هو نفس الإقامة مثلاً، فمن المعلوم أنّ تحقّقه موقوف علی تحقّق الإقامة عشرة أیّام، و حینئذٍ فإذا تحقّقت یجیء الأمر بالإتمام و بالصوم، فقبل تحقّقها لا یکون هنا إلاّ النهی، و بعد تحقّقها المستلزم لسقوط النهی بالعصیان لا یکون هنا إلاّ الأمر بالصوم و بالإتمام، فأین یلزم الترتّب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لو سلّم الجمیع، فالکلام إنّما هو فیما لو کان الأمر الثانی مشروطاً بما یتأخّر عن الأمر الأوّل من عصیان و نحوه، مع أنّ مورد النقض یکون الأمر بالصوم أو الإتمام مترتّباً علی نفس الإقامة بناءً علیه، و من المعلوم أنّ الإقامة لا یکون متأخّراً عن النهی المتعلّق بها حتّی یلزم الترتّب، فالمقام یکون طلباً للجمع حینئذٍ مع عدم الترتّب و الطولیة، کما لا یخفی</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لنختم بذلک الکلام فی الترتّب، و قد عرفت فی صدر المبحث ما هو مقتضی التحقیق، فتأمّل جیّداً</w:t>
      </w:r>
      <w:r>
        <w:rPr>
          <w:rFonts w:eastAsia="IRNazanin" w:cs="IRNazanin"/>
          <w:color w:val="111111"/>
          <w:sz w:val="28"/>
          <w:szCs w:val="28"/>
          <w:rtl w:val="true"/>
          <w:lang w:bidi="fa-IR"/>
        </w:rPr>
        <w:t>.</w:t>
      </w:r>
      <w:bookmarkStart w:id="232" w:name="pg11586_104727"/>
    </w:p>
    <w:p>
      <w:pPr>
        <w:pStyle w:val="BookText"/>
        <w:rPr/>
      </w:pPr>
      <w:bookmarkEnd w:id="232"/>
      <w:r>
        <w:rPr>
          <w:rFonts w:ascii="IRNazanin" w:hAnsi="IRNazanin" w:eastAsia="IRNazanin"/>
          <w:color w:val="111111"/>
          <w:sz w:val="28"/>
          <w:sz w:val="28"/>
          <w:szCs w:val="28"/>
          <w:rtl w:val="true"/>
          <w:lang w:bidi="fa-IR"/>
        </w:rPr>
        <w:t>أمر الآمر مع علمه بانتفاء الشرط‌</w:t>
      </w:r>
    </w:p>
    <w:p>
      <w:pPr>
        <w:pStyle w:val="Heading3"/>
        <w:numPr>
          <w:ilvl w:val="2"/>
          <w:numId w:val="1"/>
        </w:numPr>
        <w:rPr/>
      </w:pPr>
      <w:bookmarkStart w:id="233" w:name="__RefHeading___Toc5145773_73709187"/>
      <w:bookmarkStart w:id="234" w:name="_Toc86"/>
      <w:bookmarkEnd w:id="233"/>
      <w:r>
        <w:rPr>
          <w:rtl w:val="true"/>
        </w:rPr>
        <w:t>الفصل السادس فی جواز الأمر مع العلم بانتفاء شرطه</w:t>
      </w:r>
      <w:bookmarkEnd w:id="234"/>
    </w:p>
    <w:p>
      <w:pPr>
        <w:pStyle w:val="BookText"/>
        <w:rPr/>
      </w:pPr>
      <w:r>
        <w:rPr>
          <w:rFonts w:ascii="IRNazanin" w:hAnsi="IRNazanin" w:eastAsia="IRNazanin"/>
          <w:color w:val="111111"/>
          <w:sz w:val="28"/>
          <w:sz w:val="28"/>
          <w:szCs w:val="28"/>
          <w:rtl w:val="true"/>
          <w:lang w:bidi="fa-IR"/>
        </w:rPr>
        <w:t>ربّما یحتمل فی عنوان النزاع احتمالات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المراد بالجواز الإمکان الوقوعی، و الضمیر فی شرطه راجعاً إلی نفس الأمر، فمرجع النزاع حینئذٍ إلی إمکان تحقّق المعلول من دون تمامیة علّته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الضمیر أیضاً راجعاً إلی نفس الأمر و لکن کان المراد بالجواز الإمکان الذاتی، فمرجع النزاع حینئذٍ إلی أنّ تحقّق الأمر مع عدم تحقّق علّته هل هو من الممکنات الذاتیة التی لا ینافی عروض الامتناع لها و الوجوب من ناحیة وجود العلّة و 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الضمیر راجعاً إلی المأمور به أو المأمور، فیرجع النزاع إلی جواز الأمر مع العلم بکون المکلّف غیر قادر علی إتیان المأمور به إمّا لفقد شرطه أو لعلّة فیه</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 لکن النزاع علی الوجهین الأوّلین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کونه بعیداً عن محلّ الخلاف بین الأعلام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ینافی ظاهر العنوان من حیث أخذ العلم فیه، فإنّه لو کان</w:t>
      </w:r>
    </w:p>
    <w:p>
      <w:pPr>
        <w:pStyle w:val="BookText"/>
        <w:rPr/>
      </w:pPr>
      <w:r>
        <w:rPr>
          <w:rFonts w:ascii="IRNazanin" w:hAnsi="IRNazanin" w:eastAsia="IRNazanin"/>
          <w:color w:val="111111"/>
          <w:sz w:val="28"/>
          <w:sz w:val="28"/>
          <w:szCs w:val="28"/>
          <w:rtl w:val="true"/>
          <w:lang w:bidi="fa-IR"/>
        </w:rPr>
        <w:t>النزاع فی إمکان تحقّق المعلول بدون علّة بالإمکان الوقوعی أو الذاتی، فلا مجال لکون العلم دخیلاً فیه أصلاً، کما هو واضح، فینحصر أن یکون المراد هو الاحتمال الثالث، و مرجعه إلی النزاع بین العدلیة و الأشاعرة، فإنّهم اختلفوا فی جواز التکلیف بالمحال، فذهب الطائفة الاُولی إلی عدم الجواز خلافاً للطائفة الثانیة القائلین بالجواز، و لعلّ قولهم بالجواز مبنی علی ما ذکروه فی مبحث الطلب و الإرادة و کونهما مختلفین، و إلّا فلا یعقل أن تتحقّق الإرادة بالنسبة إلی مَنْ یعلم عدم صدور الفعل منه،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فالذی یقتضیه التحقیق فی مورد النزاع هو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الأوامر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الأوامر الشخصیة الجزئیة المتوجّهة إلی أشخاص المأمورین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الأوامر الکلیّة المتوجّهة إلی المکلّفین بنحو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یکون من قبیل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فعدم إمکان تحقّقه فی صورة العلم بانتفاء شرط تحقّق المأمور به واضح ضروری، و ذلک لأنّ غایة البعث إنّما هو الانبعاث و حرکة المکلّف نحو المطلوب، فإذا فرض العلم بعدم إمکان تحقّق الانبعاث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فیستحیل تحقّق البعث و التحریک من الآمر؛ إذ مع العلم بعدم ترتّب الغایة علیه کیف یمکن أن ینقدح فی نفسه إرادة البعث مع أنّ من مبادئ الإرادة التصدیق بفائدة المراد، و لعمری أنّ هذا واضح جدّاً</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یکون من قبیل القسم الثانی الذی إلیه ترجع الخطابات الشرعیة الواردة بنحو العموم المتوجّهة إلی الناس کذلک أیضاً، فلا یخفی أنّه لا یضرّ بذلک کون بعض المکلّفین غیر قادرین علی الإتیان بالمأمور به، فإنّ توجیه الأمر بهذا النحو لا یشترط فیه إلاّ کون الأمر صالحاً لانبعاث المکلّفین بحسب النوع، و أمّا مجرّد العلم بعدم تحقّق الانبعاث بالنسبة إلی بعض المکلّفین فلا یضرّ بتوجیه</w:t>
      </w:r>
    </w:p>
    <w:p>
      <w:pPr>
        <w:pStyle w:val="BookText"/>
        <w:rPr/>
      </w:pPr>
      <w:r>
        <w:rPr>
          <w:rFonts w:ascii="IRNazanin" w:hAnsi="IRNazanin" w:eastAsia="IRNazanin"/>
          <w:color w:val="111111"/>
          <w:sz w:val="28"/>
          <w:sz w:val="28"/>
          <w:szCs w:val="28"/>
          <w:rtl w:val="true"/>
          <w:lang w:bidi="fa-IR"/>
        </w:rPr>
        <w:t>الأمر بهذا النحو</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کان المکلّفون بحسب النوع غیر منبعثین، لاستحال تعلّق الأمر بهذا النحو أیضاً، و قد عرفت تفصیل الکلام فی الفرق بین قسمی الأمر و الخطاب فی صدر مبحث الترتّب، فراجع</w:t>
      </w:r>
      <w:r>
        <w:rPr>
          <w:rFonts w:eastAsia="IRNazanin" w:cs="IRNazanin"/>
          <w:color w:val="111111"/>
          <w:sz w:val="28"/>
          <w:szCs w:val="28"/>
          <w:rtl w:val="true"/>
          <w:lang w:bidi="fa-IR"/>
        </w:rPr>
        <w:t>.</w:t>
      </w:r>
      <w:bookmarkStart w:id="235" w:name="pg11586_104730"/>
    </w:p>
    <w:p>
      <w:pPr>
        <w:pStyle w:val="BookText"/>
        <w:rPr/>
      </w:pPr>
      <w:bookmarkEnd w:id="235"/>
      <w:r>
        <w:rPr>
          <w:rFonts w:ascii="IRNazanin" w:hAnsi="IRNazanin" w:eastAsia="IRNazanin"/>
          <w:color w:val="111111"/>
          <w:sz w:val="28"/>
          <w:sz w:val="28"/>
          <w:szCs w:val="28"/>
          <w:rtl w:val="true"/>
          <w:lang w:bidi="fa-IR"/>
        </w:rPr>
        <w:t>متعلَّق الأوامر و النواهی</w:t>
      </w:r>
    </w:p>
    <w:p>
      <w:pPr>
        <w:pStyle w:val="Heading3"/>
        <w:numPr>
          <w:ilvl w:val="2"/>
          <w:numId w:val="1"/>
        </w:numPr>
        <w:rPr/>
      </w:pPr>
      <w:bookmarkStart w:id="236" w:name="__RefHeading___Toc5145775_73709187"/>
      <w:bookmarkStart w:id="237" w:name="_Toc87"/>
      <w:bookmarkEnd w:id="236"/>
      <w:r>
        <w:rPr>
          <w:rtl w:val="true"/>
        </w:rPr>
        <w:t>الفصل السابع فی أنّ متعلّق الطلب هل هی الطبیعة أو الأفراد؟</w:t>
      </w:r>
      <w:bookmarkEnd w:id="237"/>
    </w:p>
    <w:p>
      <w:pPr>
        <w:pStyle w:val="BookText"/>
        <w:rPr/>
      </w:pPr>
      <w:r>
        <w:rPr>
          <w:rFonts w:ascii="IRNazanin" w:hAnsi="IRNazanin" w:eastAsia="IRNazanin"/>
          <w:color w:val="111111"/>
          <w:sz w:val="28"/>
          <w:sz w:val="28"/>
          <w:szCs w:val="28"/>
          <w:rtl w:val="true"/>
          <w:lang w:bidi="fa-IR"/>
        </w:rPr>
        <w:t>و قبل الخوض فی تحقیق المقام لا بدّ من تحریر محلّ النزاع،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العنوان محتمل لاحتمالات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المراد بالطبیعة هی الماهیّة و بالأفراد هو الوجود بحیث کان مرجع النزاع فی هذا المقام إلی النزاع المعروف المشهور فی الفلسفة، و هو أنّ الأصیل هل هی الماهیّة أو الوجود؟ فالقائلون بأصالة الماهیّة یقولون بتعلّق الطلب بها لکونها أصیلاً، و القائلون بأصالة الوجود یقولون بتعلّق الطلب به لکونه أصیلاً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لکن لا یخفی أنّ النزاع علی هذا الوجه بعید عن محلّ الکلام بین الاُصولیین</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النزاع راجعاً و مبنیّاً علی القول بأنّ الطبیعی هل یکون موجوداً فی الخارج أو أنّ وجوده بمعنی وجود أفراده؟ و کون النزاع علی هذا</w:t>
      </w:r>
    </w:p>
    <w:p>
      <w:pPr>
        <w:pStyle w:val="BookText"/>
        <w:rPr/>
      </w:pPr>
      <w:r>
        <w:rPr>
          <w:rFonts w:ascii="IRNazanin" w:hAnsi="IRNazanin" w:eastAsia="IRNazanin"/>
          <w:color w:val="111111"/>
          <w:sz w:val="28"/>
          <w:sz w:val="28"/>
          <w:szCs w:val="28"/>
          <w:rtl w:val="true"/>
          <w:lang w:bidi="fa-IR"/>
        </w:rPr>
        <w:t>الوجه و إن کان ربّما یظهر من بعض الاستدلالات کما نقله فی الفصول</w:t>
      </w:r>
      <w:r>
        <w:rPr>
          <w:rStyle w:val="FootnoteAnchor"/>
          <w:rtl w:val="true"/>
        </w:rPr>
        <w:footnoteReference w:id="110"/>
      </w:r>
      <w:r>
        <w:rPr>
          <w:rFonts w:ascii="IRNazanin" w:hAnsi="IRNazanin" w:eastAsia="IRNazanin"/>
          <w:color w:val="111111"/>
          <w:sz w:val="28"/>
          <w:sz w:val="28"/>
          <w:szCs w:val="28"/>
          <w:rtl w:val="true"/>
          <w:lang w:bidi="fa-IR"/>
        </w:rPr>
        <w:t>إلاّ أنّ الظاهر أنّه أیضاً بعید عن محلّ الخلاف بین الاُصولیین،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النزاع راجعاً إلی النزاع فی موادّ المشتقّات، فالقائلون بکونها موضوعةً لنفس الطبائع بالوضع العامّ و الموضوع له العامّ یقولون بتعلّق الطلب بالطبیعة؛ لأنّها مدلولة للمادّة، کما أنّ القائلین بکونها موضوعةً بنحو الوضع العامّ و الموضوع له الخاصّ یقولون بتعلّق الطلب بالأفراد؛ لأنّها موضوع لها للمادّة، و المفروض أنّ الهیئة لا تدلّ إلاّ علی البعث بما تتضمّنه المادّة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مرجع النزاع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الاتّفاق علی أنّ موادّ المشتقّات موضوعة للماهیة لا بشرط کما نقله السکّاکی </w:t>
      </w:r>
      <w:r>
        <w:rPr>
          <w:rStyle w:val="FootnoteAnchor"/>
          <w:rtl w:val="true"/>
        </w:rPr>
        <w:footnoteReference w:id="1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المادّة بعد تعلّق الطلب بها هل تشرب معنی الوجود لأنّ الطلب إنّما یتعلّق بها من هذه الحیثیّة، أو أنّ الطلب إنّما یتعلّق بنفس مدلولها الذی هی الماهیّة لا بشرط؟</w:t>
      </w:r>
    </w:p>
    <w:p>
      <w:pPr>
        <w:pStyle w:val="BookText"/>
        <w:rPr/>
      </w:pPr>
      <w:r>
        <w:rPr>
          <w:rFonts w:ascii="IRNazanin" w:hAnsi="IRNazanin" w:eastAsia="IRNazanin"/>
          <w:color w:val="111111"/>
          <w:sz w:val="28"/>
          <w:sz w:val="28"/>
          <w:szCs w:val="28"/>
          <w:rtl w:val="true"/>
          <w:lang w:bidi="fa-IR"/>
        </w:rPr>
        <w:t>و النزاع علی الوجهین الأخیرین یرجع إلی النزاع فی الأمر اللغوی، کما أنّه علی الوجهین الأوّلین یکون عقلیّاً، و قد عرفت أنّه علی الوجهین الأوّلین بعید عن محلّ الخلاف بین الاُصولیّین، کما أنّه علی الأخیرین یلزم اختصاص النزاع بما إذا کان الطلب بصیغة الأمر بالنسبة إلی مادّتها فقط، و أمّا لو کان الطلب بغیر صیغة الأمر أو کان الطلب بها و لکن کانت المادّة مقیّدةً بأمر آخر، کقوله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مع الطهارة، فلا یجری، بناءً علیهما، مع أنّ الظاهر دخول جمیع الأقسام و الصور فی محلّ النزاع</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التحقیق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مورد النزاع إنّما هو أنّ متعلّق الطلب هل هی</w:t>
      </w:r>
    </w:p>
    <w:p>
      <w:pPr>
        <w:pStyle w:val="BookText"/>
        <w:rPr/>
      </w:pPr>
      <w:r>
        <w:rPr>
          <w:rFonts w:ascii="IRNazanin" w:hAnsi="IRNazanin" w:eastAsia="IRNazanin"/>
          <w:color w:val="111111"/>
          <w:sz w:val="28"/>
          <w:sz w:val="28"/>
          <w:szCs w:val="28"/>
          <w:rtl w:val="true"/>
          <w:lang w:bidi="fa-IR"/>
        </w:rPr>
        <w:t>الماهیّة من حیث هی هی، أو أنّه هی الماهیّة بلحاظ وجودها فی الخارج؟ إذ لا یعقل أن یتعلّق الطلب بالفرد؛ للزوم تحصیل الحاصل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الظاهر هو الأوّل، و ذلک لأنّه بعد کون المصلحة الباعثة علی الطلب قائمةً بنفس الماهیّة من دون مدخلیة لشیء آخر أصلاً، کما هو المفروض، و من المعلوم أنّ اللّفظ لا یحکی إلاّ عن مدلوله الذی هی نفس الماهیّة فی المقام، فسرایة الطلب منها إلی غیرها مستلزم لکون بعض المطلوب ممّا لیس له دخل فی حصول الغرض أصلاً، و لکون اللّفظ حاکیاً عمّا لیس بموضوع له، و اتّحاد الماهیّة مع وجوداتها فی الخارج لا یستلزم أن یکون اللّفظ الموضوع بإزائها دالاًّ علیها أیضاً، کیف و باب الألفاظ لا ربط له بباب الحقائق،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الماهیّة من حیث هی هی لیست إلاّ هی لا موجودة و لا معدومة و لا مطلوبة و لا غیر مطلوبة، فکیف یمکن أن یتعلّق الطلب بها من هذه الحیثیة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معنی هذا الکلام عدم کون الموجودیة و المعدومیة و نظائرهما مأخوذةً فی الماهیّة بحیث کانت تمامَ ذاتها أو جزءَ ذاتها، و هذا لا یستلزم استحالة تعلّق الطلب بها من حیث نفسها، کیف و لا ارتباط بین المقامین أصلاً،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یتوهّم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الماهیّة من دون لحاظ وجودها فی الخارج لیست منشأً لأثر؛ إذ الآثار إنّما یترتّب علی الوجود علی ما هو مقتضی التحقیق، فکیف یجوز أن تجعل فی حیّز الطلب</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لکنّه مدفوع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الماهیّة من هذه الحیثیة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مع لحاظ وجودها فی الخارج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لسقوط الطلب، فالمصحّح لتعلّقه بها إنّما هو هذه الحیثیة</w:t>
      </w:r>
    </w:p>
    <w:p>
      <w:pPr>
        <w:pStyle w:val="BookText"/>
        <w:rPr/>
      </w:pPr>
      <w:r>
        <w:rPr>
          <w:rFonts w:ascii="IRNazanin" w:hAnsi="IRNazanin" w:eastAsia="IRNazanin"/>
          <w:color w:val="111111"/>
          <w:sz w:val="28"/>
          <w:sz w:val="28"/>
          <w:szCs w:val="28"/>
          <w:rtl w:val="true"/>
          <w:lang w:bidi="fa-IR"/>
        </w:rPr>
        <w:t>التی لا تکون الماهیّة بها منشأً للأثر؛ إذ لحاظ التحقّق فی الخارج إنّما هو لحاظ السقوط و حصول المطلوب،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الطلب إنّما تعلّق بنفس الماهیّة، غایة الأمر أنّ صدق عنوانها یتوقّف علی التحقّق الخارجی، فالأمر بإکرام زید مثلاً إنّما تعلّق بنفس طبیعة الإکرام، غایة الأمر أنّ صدق عنوان الإکرام و تحقّقه یتوقّف علی وجوده؛ إذ ماهیّة الإکرام لا تکون إکراماً، کما هو واضح</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لا یخفی أنّ فی التقریرات المنسوبة إلی المحقّق العراقی قدس سره قد عقد بعد هذا الفصل فصلاً آخر لسرایة الطلب المتعلّق بصرف وجود الطبیعة إلی حصصها أو الخصوصیات الفردیة</w:t>
      </w:r>
      <w:r>
        <w:rPr>
          <w:rStyle w:val="FootnoteAnchor"/>
          <w:rtl w:val="true"/>
        </w:rPr>
        <w:footnoteReference w:id="112"/>
      </w:r>
      <w:r>
        <w:rPr>
          <w:rFonts w:ascii="IRNazanin" w:hAnsi="IRNazanin" w:eastAsia="IRNazanin"/>
          <w:color w:val="111111"/>
          <w:sz w:val="28"/>
          <w:sz w:val="28"/>
          <w:szCs w:val="28"/>
          <w:rtl w:val="true"/>
          <w:lang w:bidi="fa-IR"/>
        </w:rPr>
        <w:t>، و کلامه فیه مبنی علی ما یقوله الرجل الهمدانی، و قد فصّل مع جوابه فی محلّه، فراجع</w:t>
      </w:r>
      <w:r>
        <w:rPr>
          <w:rFonts w:eastAsia="IRNazanin" w:cs="IRNazanin"/>
          <w:color w:val="111111"/>
          <w:sz w:val="28"/>
          <w:szCs w:val="28"/>
          <w:rtl w:val="true"/>
          <w:lang w:bidi="fa-IR"/>
        </w:rPr>
        <w:t>.</w:t>
      </w:r>
      <w:bookmarkStart w:id="238" w:name="pg11586_104734"/>
    </w:p>
    <w:p>
      <w:pPr>
        <w:pStyle w:val="BookText"/>
        <w:rPr/>
      </w:pPr>
      <w:bookmarkEnd w:id="238"/>
      <w:r>
        <w:rPr>
          <w:rFonts w:ascii="IRNazanin" w:hAnsi="IRNazanin" w:eastAsia="IRNazanin"/>
          <w:color w:val="111111"/>
          <w:sz w:val="28"/>
          <w:sz w:val="28"/>
          <w:szCs w:val="28"/>
          <w:rtl w:val="true"/>
          <w:lang w:bidi="fa-IR"/>
        </w:rPr>
        <w:t>بقاء الجواز بعد نسخ الوجوب</w:t>
      </w:r>
    </w:p>
    <w:p>
      <w:pPr>
        <w:pStyle w:val="Heading3"/>
        <w:numPr>
          <w:ilvl w:val="2"/>
          <w:numId w:val="1"/>
        </w:numPr>
        <w:rPr/>
      </w:pPr>
      <w:bookmarkStart w:id="239" w:name="__RefHeading___Toc5145777_73709187"/>
      <w:bookmarkStart w:id="240" w:name="_Toc88"/>
      <w:bookmarkEnd w:id="239"/>
      <w:r>
        <w:rPr>
          <w:rtl w:val="true"/>
        </w:rPr>
        <w:t>الفصل الثامن فی بقاء الجواز بعد نسخ الوجوب</w:t>
      </w:r>
      <w:bookmarkEnd w:id="240"/>
    </w:p>
    <w:p>
      <w:pPr>
        <w:pStyle w:val="Heading4"/>
        <w:numPr>
          <w:ilvl w:val="3"/>
          <w:numId w:val="1"/>
        </w:numPr>
        <w:rPr/>
      </w:pPr>
      <w:bookmarkStart w:id="241" w:name="__RefHeading___Toc5145779_73709187"/>
      <w:bookmarkStart w:id="242" w:name="_Toc89"/>
      <w:bookmarkEnd w:id="241"/>
      <w:r>
        <w:rPr>
          <w:rtl w:val="true"/>
        </w:rPr>
        <w:t>اشارة</w:t>
      </w:r>
      <w:bookmarkEnd w:id="242"/>
    </w:p>
    <w:p>
      <w:pPr>
        <w:pStyle w:val="BookText"/>
        <w:rPr/>
      </w:pPr>
      <w:r>
        <w:rPr>
          <w:rFonts w:ascii="IRNazanin" w:hAnsi="IRNazanin" w:eastAsia="IRNazanin"/>
          <w:color w:val="111111"/>
          <w:sz w:val="28"/>
          <w:sz w:val="28"/>
          <w:szCs w:val="28"/>
          <w:rtl w:val="true"/>
          <w:lang w:bidi="fa-IR"/>
        </w:rPr>
        <w:t>و الکلام هنا تارة یقع فی الإرادة الحتمیة التی ینشأ منها البعث، و اخری فی البعث و الوجوب، و علی التقدیرین تارة یقع الکلام فی إمکان بقاء الجواز بعد النسخ، و اخری فی بیان مقتضی الجمع بین الدلیلین، و أنّه هل یقتضی الدلیل ثبوته بعد الفراغ عن إمکان البقاء ثبوتاً، فالبحث یتمّ فی ضمن امور</w:t>
      </w:r>
      <w:r>
        <w:rPr>
          <w:rFonts w:eastAsia="IRNazanin" w:cs="IRNazanin"/>
          <w:color w:val="111111"/>
          <w:sz w:val="28"/>
          <w:szCs w:val="28"/>
          <w:rtl w:val="true"/>
          <w:lang w:bidi="fa-IR"/>
        </w:rPr>
        <w:t>:</w:t>
      </w:r>
    </w:p>
    <w:p>
      <w:pPr>
        <w:pStyle w:val="Heading4"/>
        <w:numPr>
          <w:ilvl w:val="3"/>
          <w:numId w:val="1"/>
        </w:numPr>
        <w:rPr/>
      </w:pPr>
      <w:bookmarkStart w:id="243" w:name="__RefHeading___Toc5145781_73709187"/>
      <w:bookmarkStart w:id="244" w:name="_Toc90"/>
      <w:bookmarkEnd w:id="243"/>
      <w:r>
        <w:rPr>
          <w:rtl w:val="true"/>
        </w:rPr>
        <w:t>الأمر الأوّل</w:t>
      </w:r>
      <w:r>
        <w:rPr>
          <w:rtl w:val="true"/>
        </w:rPr>
        <w:t xml:space="preserve">: </w:t>
      </w:r>
      <w:r>
        <w:rPr>
          <w:rtl w:val="true"/>
        </w:rPr>
        <w:t>فی إمکان بقاء الجواز</w:t>
      </w:r>
      <w:bookmarkEnd w:id="244"/>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الکلام فی الإرادة الحتمیة فقد یقال بإمکان بقاء أصلها بعد نسخها بتلک المرتبة القویّة، نظراً إلی أنّ الإرادة و إن کانت من البسائط إلاّ أنّ صدقها علی أفرادها إنّما هو علی سبیل التشکیک، کما یظهر بمراجعة الوجدان، فإنّ الإنسان قد یرید شیئاً بحیث لا یمکن ردعه عنها، و قد یرید شیئاً و لکنّه یمکن أن ینصرف عنها لتحقّق بعض الموانع، و حینئذٍ فإذا نسخت بتلک المرتبة القویّة،</w:t>
      </w:r>
      <w:bookmarkStart w:id="245" w:name="pg11586_104735"/>
    </w:p>
    <w:p>
      <w:pPr>
        <w:pStyle w:val="BookText"/>
        <w:rPr/>
      </w:pPr>
      <w:bookmarkEnd w:id="245"/>
      <w:r>
        <w:rPr>
          <w:rFonts w:ascii="IRNazanin" w:hAnsi="IRNazanin" w:eastAsia="IRNazanin"/>
          <w:color w:val="111111"/>
          <w:sz w:val="28"/>
          <w:sz w:val="28"/>
          <w:szCs w:val="28"/>
          <w:rtl w:val="true"/>
          <w:lang w:bidi="fa-IR"/>
        </w:rPr>
        <w:t>فلا مانع من بقائها و لو فی ضمن المرتبة الضعیفة</w:t>
      </w:r>
      <w:r>
        <w:rPr>
          <w:rStyle w:val="FootnoteAnchor"/>
          <w:rtl w:val="true"/>
        </w:rPr>
        <w:footnoteReference w:id="11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لکن لا یخفی أنّ معنی البساطة هو عدم کون تلک الحقیقة البسیطة مرکّبةً من شیء مشترک بین أفرادها بحیث کانت التفاوت الموجود بینها خارجاً عن الحقیقة، بل کانت تفاوت أفراد الطبیعة من حیث القوّة و الضعف و نظائرهما بحیث یکون ما به الاختلاف عین ما به الاشتراک، و حینئذٍ فکیف یعقل ارتفاع بعض الأفراد و بقاء شیء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یتوهّم أحد أنّه لو ارتفع الوجوب من الواجب الوجود یبقی أصل الوجود حتّی یمکن أن یصیر مادیّاً؟</w:t>
      </w:r>
    </w:p>
    <w:p>
      <w:pPr>
        <w:pStyle w:val="BookText"/>
        <w:rPr/>
      </w:pPr>
      <w:r>
        <w:rPr>
          <w:rFonts w:ascii="IRNazanin" w:hAnsi="IRNazanin" w:eastAsia="IRNazanin"/>
          <w:color w:val="111111"/>
          <w:sz w:val="28"/>
          <w:sz w:val="28"/>
          <w:szCs w:val="28"/>
          <w:rtl w:val="true"/>
          <w:lang w:bidi="fa-IR"/>
        </w:rPr>
        <w:t>و بالجملة، فمن الواضح عدم إمکان البقاء فی مثل البسائط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فی الإرادة، و أمّا الوجوب فکذلک أیضاً، فإنّه مع بساطته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اعترف به القائل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یمکن بقاء شیء منه،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فالتحقیق أنّه لا یمکن البقاء ثبوتاً حتّی یبحث فی مقام الإثبات</w:t>
      </w:r>
      <w:r>
        <w:rPr>
          <w:rFonts w:eastAsia="IRNazanin" w:cs="IRNazanin"/>
          <w:color w:val="111111"/>
          <w:sz w:val="28"/>
          <w:szCs w:val="28"/>
          <w:rtl w:val="true"/>
          <w:lang w:bidi="fa-IR"/>
        </w:rPr>
        <w:t>.</w:t>
      </w:r>
    </w:p>
    <w:p>
      <w:pPr>
        <w:pStyle w:val="Heading4"/>
        <w:numPr>
          <w:ilvl w:val="3"/>
          <w:numId w:val="1"/>
        </w:numPr>
        <w:rPr/>
      </w:pPr>
      <w:bookmarkStart w:id="246" w:name="__RefHeading___Toc5145783_73709187"/>
      <w:bookmarkStart w:id="247" w:name="_Toc91"/>
      <w:bookmarkEnd w:id="246"/>
      <w:r>
        <w:rPr>
          <w:rtl w:val="true"/>
        </w:rPr>
        <w:t>الأمر الثانی</w:t>
      </w:r>
      <w:r>
        <w:rPr>
          <w:rtl w:val="true"/>
        </w:rPr>
        <w:t xml:space="preserve">: </w:t>
      </w:r>
      <w:r>
        <w:rPr>
          <w:rtl w:val="true"/>
        </w:rPr>
        <w:t>فی مقتضی الأدلّة إثباتاً بعد فرض إمکانه</w:t>
      </w:r>
      <w:bookmarkEnd w:id="247"/>
    </w:p>
    <w:p>
      <w:pPr>
        <w:pStyle w:val="BookText"/>
        <w:rPr/>
      </w:pPr>
      <w:r>
        <w:rPr>
          <w:rFonts w:ascii="IRNazanin" w:hAnsi="IRNazanin" w:eastAsia="IRNazanin"/>
          <w:color w:val="111111"/>
          <w:sz w:val="28"/>
          <w:sz w:val="28"/>
          <w:szCs w:val="28"/>
          <w:rtl w:val="true"/>
          <w:lang w:bidi="fa-IR"/>
        </w:rPr>
        <w:t>ثمّ إنّه لو سلّمنا إمکان البقاء بحسب مقام الثبوت فهل یقتضی الدلیل بقاء الجواز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لأنّ ذلک مقتضی الجمع بین دلیلی الناسخ و المنسوخ، نظیر ما إذا ورد دلیل علی وجوب شیء و دلیل آخر علی عدم وجوبه، فإنّه لا إشکال فی أنّ مقتضی الجمع بینهما هو حمل الأوّل علی الاستحباب، فلیکن المقام کذلک أیضاً؛ لأنّه لا فرق بینهما أصلاً</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لکن لا یخفی أنّ قیاس المقام بذلک المثال قیاس مع الفارق؛ لأنّ</w:t>
      </w:r>
      <w:bookmarkStart w:id="248" w:name="pg11586_104736"/>
    </w:p>
    <w:p>
      <w:pPr>
        <w:pStyle w:val="BookText"/>
        <w:rPr/>
      </w:pPr>
      <w:bookmarkEnd w:id="248"/>
      <w:r>
        <w:rPr>
          <w:rFonts w:ascii="IRNazanin" w:hAnsi="IRNazanin" w:eastAsia="IRNazanin"/>
          <w:color w:val="111111"/>
          <w:sz w:val="28"/>
          <w:sz w:val="28"/>
          <w:szCs w:val="28"/>
          <w:rtl w:val="true"/>
          <w:lang w:bidi="fa-IR"/>
        </w:rPr>
        <w:t xml:space="preserve">الحمل علی الاستحباب هناک لقیام الدلیل علی عدم کون البعث ناشئاً من الإرادة الحتمیة حتّی ینتزع منه الوجوب بناءً علی ما ذکرنا فی معنی هیئة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بناء علی ما ذکروه فقیام الدلیل الآخر علی عدم الوجوب قرینة علی إرادة معنی مجازی من الصیغة الظاهرة فی الوجوب عند التجرّد عن القرینة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هنا فمن المعلوم أنّ دلیل المنسوخ ظاهر فی الوجوب، و لیس له ظهورات متعدّدة حسب تعدّد مراتب الوجوب، بل لیس له إلاّ ظهور واحد فی خصوص الوجوب، غایة الأمر أنّه یکشف عن ثبوت الجواز و الرجحان أیضاً، و حینئذٍ فمع قیام الدلیل علی ارتفاعه الراجع إلی ارتفاع الکاشف لا یبقی وجه لثبوتهما بعد انعدام ما یکشف عنهما؛ إذ قد عرفت أنّه لیس هنا ظهورات ثلاثة حتّی یکون مقتضی دلیل الناسخ ارتفاع أحدها بحیث لا ینافی ثبوت الباقی، فالحقّ أنّه لو قلنا بإمکان بقاء الجواز ثبوتاً، فلا یکون هنا دلیل علی بقائه</w:t>
      </w:r>
      <w:r>
        <w:rPr>
          <w:rFonts w:eastAsia="IRNazanin" w:cs="IRNazanin"/>
          <w:color w:val="111111"/>
          <w:sz w:val="28"/>
          <w:szCs w:val="28"/>
          <w:rtl w:val="true"/>
          <w:lang w:bidi="fa-IR"/>
        </w:rPr>
        <w:t>.</w:t>
      </w:r>
    </w:p>
    <w:p>
      <w:pPr>
        <w:pStyle w:val="Heading4"/>
        <w:numPr>
          <w:ilvl w:val="3"/>
          <w:numId w:val="1"/>
        </w:numPr>
        <w:rPr/>
      </w:pPr>
      <w:bookmarkStart w:id="249" w:name="__RefHeading___Toc5145785_73709187"/>
      <w:bookmarkStart w:id="250" w:name="_Toc92"/>
      <w:bookmarkEnd w:id="249"/>
      <w:r>
        <w:rPr>
          <w:rtl w:val="true"/>
        </w:rPr>
        <w:t>الأمر الثالث</w:t>
      </w:r>
      <w:r>
        <w:rPr>
          <w:rtl w:val="true"/>
        </w:rPr>
        <w:t xml:space="preserve">: </w:t>
      </w:r>
      <w:r>
        <w:rPr>
          <w:rtl w:val="true"/>
        </w:rPr>
        <w:t>فی استصحاب الجواز عند الشکّ فی بقائه</w:t>
      </w:r>
      <w:bookmarkEnd w:id="250"/>
    </w:p>
    <w:p>
      <w:pPr>
        <w:pStyle w:val="BookText"/>
        <w:rPr/>
      </w:pPr>
      <w:r>
        <w:rPr>
          <w:rFonts w:ascii="IRNazanin" w:hAnsi="IRNazanin" w:eastAsia="IRNazanin"/>
          <w:color w:val="111111"/>
          <w:sz w:val="28"/>
          <w:sz w:val="28"/>
          <w:szCs w:val="28"/>
          <w:rtl w:val="true"/>
          <w:lang w:bidi="fa-IR"/>
        </w:rPr>
        <w:t>قد یتمسّک فی ذلک بالاستصحاب</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یرد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أنّ جریانه موقوف علی جریان الاستصحاب فی القسم الثالث من أقسام استصحاب الکلّی مع أنّه محلّ إشکال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قلنا بالجریان فی هذا القسم فهو إنّما فیما إذا لم یختلّ بعض ممّا یعتبر فی جریان الاستصحاب، و أمّا إذا اختلّ کما فی المقام لأنّ الجواز المستصحب لا یکون موضوعاً لمجعول شرعی حتّی یترتّب علیه بالاستصحاب الحکم الذی جعل موضوعاً له، و لا یکون بنفسه مجعولاً حتّی یثبت بالاستصحاب فی الزمان اللّاحق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عدم کونه موضوعاً لمجعول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فواضح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عدم کونه مجعولاً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الجعل إنّما تعلّق بالوجوب لا به</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توهّم تعلّق الجعل به تبعاً، 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 یکون الجواز جزء للوجوب حتّی یتعلّق الجعل به بالتبع؛ لما عرفت من کونه بسیطاً</w:t>
      </w:r>
      <w:r>
        <w:rPr>
          <w:rFonts w:eastAsia="IRNazanin" w:cs="IRNazanin"/>
          <w:color w:val="111111"/>
          <w:sz w:val="28"/>
          <w:szCs w:val="28"/>
          <w:rtl w:val="true"/>
          <w:lang w:bidi="fa-IR"/>
        </w:rPr>
        <w:t>.</w:t>
      </w:r>
      <w:bookmarkStart w:id="251" w:name="pg11586_104738"/>
    </w:p>
    <w:p>
      <w:pPr>
        <w:pStyle w:val="BookText"/>
        <w:rPr/>
      </w:pPr>
      <w:bookmarkEnd w:id="251"/>
      <w:r>
        <w:rPr>
          <w:rFonts w:ascii="IRNazanin" w:hAnsi="IRNazanin" w:eastAsia="IRNazanin"/>
          <w:color w:val="111111"/>
          <w:sz w:val="28"/>
          <w:sz w:val="28"/>
          <w:szCs w:val="28"/>
          <w:rtl w:val="true"/>
          <w:lang w:bidi="fa-IR"/>
        </w:rPr>
        <w:t>الواجب التعیینی و التخییری</w:t>
      </w:r>
    </w:p>
    <w:p>
      <w:pPr>
        <w:pStyle w:val="Heading3"/>
        <w:numPr>
          <w:ilvl w:val="2"/>
          <w:numId w:val="1"/>
        </w:numPr>
        <w:rPr/>
      </w:pPr>
      <w:bookmarkStart w:id="252" w:name="__RefHeading___Toc5145787_73709187"/>
      <w:bookmarkStart w:id="253" w:name="_Toc93"/>
      <w:bookmarkEnd w:id="252"/>
      <w:r>
        <w:rPr>
          <w:rtl w:val="true"/>
        </w:rPr>
        <w:t>الفصل التاسع فی الواجب التعیینی و التخییری</w:t>
      </w:r>
      <w:bookmarkEnd w:id="253"/>
    </w:p>
    <w:p>
      <w:pPr>
        <w:pStyle w:val="Heading4"/>
        <w:numPr>
          <w:ilvl w:val="3"/>
          <w:numId w:val="1"/>
        </w:numPr>
        <w:rPr/>
      </w:pPr>
      <w:bookmarkStart w:id="254" w:name="__RefHeading___Toc5145789_73709187"/>
      <w:bookmarkStart w:id="255" w:name="_Toc94"/>
      <w:bookmarkEnd w:id="254"/>
      <w:r>
        <w:rPr>
          <w:rtl w:val="true"/>
        </w:rPr>
        <w:t>اشارة</w:t>
      </w:r>
      <w:bookmarkEnd w:id="255"/>
    </w:p>
    <w:p>
      <w:pPr>
        <w:pStyle w:val="BookText"/>
        <w:rPr/>
      </w:pPr>
      <w:r>
        <w:rPr>
          <w:rFonts w:ascii="IRNazanin" w:hAnsi="IRNazanin" w:eastAsia="IRNazanin"/>
          <w:color w:val="111111"/>
          <w:sz w:val="28"/>
          <w:sz w:val="28"/>
          <w:szCs w:val="28"/>
          <w:rtl w:val="true"/>
          <w:lang w:bidi="fa-IR"/>
        </w:rPr>
        <w:t>ربّما یقسّم الواجب إلی تعیینی و تخییری باعتبار أنّه لو کان متعلّق الوجوب شیئاً واحداً، فهو واجب تعیینی، و لو کان شیئین أو أزید، فهو واجب تخییری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 بامتناع الثانی؛ نظراً إلی أنّه لا یعقل تعلّق الإرادة بأحد الشیئین أو الأشیاء علی نحو التردید بأن یکون التعلّق بحسب الواقع و نفس الأمر مردّداً، و ذلک لأنّ تشخّص الإرادة إنّما هو بالمراد، و من المعلوم أنّ التشخّص الذی هو مساوق للوجود منافٍ للإبهام و التردّد؛ إذ لا یعقل عروض الوجود للشیء المردّد بین الأمرین أو امور بأن یکون المردّد من حیث هو مردّد موجوداً فی الواقع، نعم لا بأس بأن یکون الواقع المعیّن مردّداً عندنا و مجهولاً لنا، و لکنّه لا یعقل التردّد مع قطع النظر عن علمنا و جهلنا</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فالإرادة من الصفات الحقیقیة للنفس کالعلم و نظائره، و لها أیضاً إضافة إلی المراد کإضافة العلم إلی المعلوم، فکما أنّ تشخّص العلم إنّما هو</w:t>
      </w:r>
    </w:p>
    <w:p>
      <w:pPr>
        <w:pStyle w:val="BookText"/>
        <w:rPr/>
      </w:pPr>
      <w:r>
        <w:rPr>
          <w:rFonts w:ascii="IRNazanin" w:hAnsi="IRNazanin" w:eastAsia="IRNazanin"/>
          <w:color w:val="111111"/>
          <w:sz w:val="28"/>
          <w:sz w:val="28"/>
          <w:szCs w:val="28"/>
          <w:rtl w:val="true"/>
          <w:lang w:bidi="fa-IR"/>
        </w:rPr>
        <w:t>بالمعلوم، و لا یعقل تعلّق العلم بالمردّد الواقعی کذلک تشخّص الإرادة و تعیّنها إنّما هو بالمراد، فلا یعقل تعلّقها بالمردّد بحسب نفس الأمر أو بأزید من شیء واحد، و هذا فی إرادة الفاعل واضح، و معلوم أنّه لا فرق بینها و بین إرادة الأمر، فلا یمکن تعلّقها أیضاً بالمردّد الواقعی و المبهم النفسی الأمری، فظهر أنّه لا یعقل الواجب التخییری، و حینئذٍ فیجب صرف ما ظاهره ذلک ممّا ورد فی الشرعیات و العرفیات عن ظاهرها، و یقال بأحد الأقوال التی کلّها مبنیّة علی امتناع الواجب التخییری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غایة ما یمکن أن یقال فی امتناع الواجب التخییری و لکنّه لا یخفی ما فیه؛ فإنّ قیاس الإرادة التشریعیة بالإرادة الفاعلیة قیاس مع الفارق، فإنّ معنی الإرادة التشریعیة لیس راجعاً إلی إرادة الآمر إتیان المأمور بالمأمور به، کیف و یستحیل تخلّفه بالنسبة إلی الواجب تعالی، بل معناها لیس إلاّ إرادة التشریع و البعث و التحریک، و حینئذٍ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تعلّق الإرادة بأحد الشیئین أو الأشیاء مردّداً و مبهماً و إن کان مستحیلاً، بداهة إلاّ أنّه لا یلزم فی الواجب التخییری هذا المحذور أصلاً، فإنّ الآمر بعد ما یتصوّر الشیئین مثلاً و یری أنّ کل واحد منهما مؤثّر فی حصول غرضه الواحد أو کان هناک غرضان یترتّب أحدهما علی أحد الشیئین و الآخر علی الآخر و لکن مع حصول أحد الغرضین لا یمکن تحصیل الآخر أو لا یکون تحصیله لازماً، فبعد ما رأی ذلک یرید أن یبعث العبد نحوهما فیبعث، و لکن یفهم العبد ذلک، أی کون أحدهما غیر واجب مع حصول الآخر بأن یخلّل بین البعثین کلمة أو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هناک شیء متعلّق بالمردّد الواقعی لا تصوّر المولی و لا إرادته البعث و لا نفس البعث</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الواضح أنّ البعث إلی الشیئین لا یعقل بدون تصوّرهما،</w:t>
      </w:r>
    </w:p>
    <w:p>
      <w:pPr>
        <w:pStyle w:val="BookText"/>
        <w:rPr/>
      </w:pPr>
      <w:r>
        <w:rPr>
          <w:rFonts w:ascii="Amiri" w:hAnsi="Amiri" w:eastAsia="Amiri" w:cs="Amiri"/>
          <w:color w:val="111111"/>
          <w:sz w:val="28"/>
          <w:sz w:val="28"/>
          <w:szCs w:val="28"/>
          <w:rtl w:val="true"/>
          <w:lang w:bidi="ar-SA"/>
        </w:rPr>
        <w:t>و حیث إنّ المتصوّر متعدّد فلا محالة یکون التصوّر کذلک؛ لما عرفت من أنّ تشخّصه إنّما هو بتشخّصه، فهناک تصوّران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إرادته البعث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فواضح تعدّدها بعد ما یرید البعث إلی هذا و البعث إلی 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وجه تعدّد البعثین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القول بالواجب التخییری مستلزم لکون متعلّق البعث الواحد مردّداً بین الشیئین أو الأشیاء مع وضوح استحالته؛ لأنّه و إن کان من الاُمور الاعتباریة إلاّ أنّ تعلّقها بالمردّد مستحیل کتعلّق الاُمور الحقیقیة به، و هل یعقل اعتبار ملکیة المردّد بین الثوب و الدار و نظائره؟</w:t>
      </w:r>
    </w:p>
    <w:p>
      <w:pPr>
        <w:pStyle w:val="BookText"/>
        <w:rPr/>
      </w:pPr>
      <w:r>
        <w:rPr>
          <w:rFonts w:ascii="IRNazanin" w:hAnsi="IRNazanin" w:eastAsia="IRNazanin"/>
          <w:color w:val="111111"/>
          <w:sz w:val="28"/>
          <w:sz w:val="28"/>
          <w:szCs w:val="28"/>
          <w:rtl w:val="true"/>
          <w:lang w:bidi="fa-IR"/>
        </w:rPr>
        <w:t>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ذلک کلّه مبنی علی أن یکون البعث واحداً و المبعوث إلیه متعدّداً، مع أنّک عرفت تعدّد البعث حسب تعدّد المبعوث إلیه فی الواجب التخییری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الواجب التخییری لیس نحواً آخر من الوجوب و سنخاً آخر من البعث، بل لا فرق بینه و بین التعیینی من حیث الوجوب و البعث أصلاً، غایة الأمر أنّه یعتبر التعیینیّة و التخییریة بعد ملاحظة وحدة الواجب و تعدّده، فالحقّ إمکان الواجب التخییری، و معه لا مجال لرفع الید عمّا ظاهره ذلک من الأدلّة الشرعیة و الأوامر العرفیة کما أنّه لا تصل النوبة إلی الأقوال الکثیرة التی عرفت أنّ کلّها مبنیّة علی امتناع الواجب التخییری</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ما ذکره فی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لو کان هناک غرض واحد مترتّب علی الشیئین أو الأشیاء، فلا محالة یکون الواجب هو الجامع و القدر المشترک بینهما أو بینها؛ لأنّه لا یمکن صدور الغرض الواحد من المتعدّد بما هو متعدّد، فحیث إنّ</w:t>
      </w:r>
      <w:bookmarkStart w:id="256" w:name="pg11586_104741"/>
    </w:p>
    <w:p>
      <w:pPr>
        <w:pStyle w:val="BookText"/>
        <w:rPr/>
      </w:pPr>
      <w:bookmarkEnd w:id="256"/>
      <w:r>
        <w:rPr>
          <w:rFonts w:ascii="IRNazanin" w:hAnsi="IRNazanin" w:eastAsia="IRNazanin"/>
          <w:color w:val="111111"/>
          <w:sz w:val="28"/>
          <w:sz w:val="28"/>
          <w:szCs w:val="28"/>
          <w:rtl w:val="true"/>
          <w:lang w:bidi="fa-IR"/>
        </w:rPr>
        <w:t>الغرض یترتّب علی الجامع، فلا محالة یکون الجامع واجباً</w:t>
      </w:r>
      <w:r>
        <w:rPr>
          <w:rStyle w:val="FootnoteAnchor"/>
          <w:rtl w:val="true"/>
        </w:rPr>
        <w:footnoteReference w:id="114"/>
      </w:r>
      <w:r>
        <w:rPr>
          <w:rFonts w:ascii="IRNazanin" w:hAnsi="IRNazanin" w:eastAsia="IRNazanin"/>
          <w:color w:val="111111"/>
          <w:sz w:val="28"/>
          <w:sz w:val="28"/>
          <w:szCs w:val="28"/>
          <w:rtl w:val="true"/>
          <w:lang w:bidi="fa-IR"/>
        </w:rPr>
        <w:t xml:space="preserve">، 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منع ما ذکره من عدم إمکان صدور الشیء الواحد من المتعدّد فإنّ ذلک إنّما هو فی موارد مخصوصة، کما حقّق فی محلّه </w:t>
      </w:r>
      <w:r>
        <w:rPr>
          <w:rStyle w:val="FootnoteAnchor"/>
          <w:rtl w:val="true"/>
        </w:rPr>
        <w:footnoteReference w:id="1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سلّم ترتّب الغرض علی الجامع، فلا ارتباط لذلک بالمقام؛ إذ لیس الکلام فی أنّ المترتّب علیه الغرض هل هو شیء واحد أو متعدّد، و لیس التقسیم أیضاً ناظراً إلی الغرض، بل التقسیم إنّما هو للوجوب باعتبار الواجب، فالحکم بکون الواجب فی الغرض واجباً تعیینیّاً لکون الغرض واحداً، و المؤثّر فی حصوله أیضاً کذلک ممنوع جدّاً بعد ما کان الواجب بحسب الظاهر شیئین أو أشیاء، و کون التقسیم بملاحظته، و لا منافاة بین کون الغرض مترتّباً علی الجامع و الأمر متعلّقاً بما هو فی ضمنه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یذهب علیک أنّ البعث إلی أحد الأشیاء و نظائره من العناوین الکلیّة الانتزاعیة إنّما هو من قبیل الواجب التعیینی؛ لأنّ متعلّق الوجوب شیء واحد و إن کان کلّیاً انتزاعیّاً، فتأمّل جیّداً</w:t>
      </w:r>
      <w:r>
        <w:rPr>
          <w:rFonts w:eastAsia="IRNazanin" w:cs="IRNazanin"/>
          <w:color w:val="111111"/>
          <w:sz w:val="28"/>
          <w:szCs w:val="28"/>
          <w:rtl w:val="true"/>
          <w:lang w:bidi="fa-IR"/>
        </w:rPr>
        <w:t>.</w:t>
      </w:r>
    </w:p>
    <w:p>
      <w:pPr>
        <w:pStyle w:val="Heading4"/>
        <w:numPr>
          <w:ilvl w:val="3"/>
          <w:numId w:val="1"/>
        </w:numPr>
        <w:rPr/>
      </w:pPr>
      <w:bookmarkStart w:id="257" w:name="__RefHeading___Toc5145791_73709187"/>
      <w:bookmarkStart w:id="258" w:name="_Toc95"/>
      <w:bookmarkEnd w:id="257"/>
      <w:r>
        <w:rPr>
          <w:rtl w:val="true"/>
        </w:rPr>
        <w:t>تذنیب</w:t>
      </w:r>
      <w:r>
        <w:rPr>
          <w:rtl w:val="true"/>
        </w:rPr>
        <w:t xml:space="preserve">: </w:t>
      </w:r>
      <w:r>
        <w:rPr>
          <w:rtl w:val="true"/>
        </w:rPr>
        <w:t>التخییر بین الأقلّ و الأکثر</w:t>
      </w:r>
      <w:bookmarkEnd w:id="258"/>
    </w:p>
    <w:p>
      <w:pPr>
        <w:pStyle w:val="BookText"/>
        <w:rPr/>
      </w:pPr>
      <w:r>
        <w:rPr>
          <w:rFonts w:ascii="IRNazanin" w:hAnsi="IRNazanin" w:eastAsia="IRNazanin"/>
          <w:color w:val="111111"/>
          <w:sz w:val="28"/>
          <w:sz w:val="28"/>
          <w:szCs w:val="28"/>
          <w:rtl w:val="true"/>
          <w:lang w:bidi="fa-IR"/>
        </w:rPr>
        <w:t>هل یمکن التخییر عقلاً بین الأقلّ و الأکثر أم لا؟</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لیعلم أنّ مورد النزاع ما إذا اخذ الأقلّ لا بشرط من حیث الزیادة، و أمّا إذا اخذ بشرط لا، فهو مباین للأکثر، و التخییر بینه و بین الأکثر حینئذٍ یکون من التخییر بین المتباینین، و لا إشکال فی جوازه</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ذلک،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للمسألة صور؛ فإنّ الأقلّ و الأکثر قد یکونان من الاُمور التی تحصل تدریجاً، و قد یکونان من الاُمور التی تحصل دفعةً، و علی التقدیرین قد یکون هنا غرض واحد یترتّب علی کلّ واحد منهما، و قد یکون هنا غرضان یترتّب أحدهما علی الأقلّ و الآخر علی الأکثر و لکن لا یمکن تحصیل أحدهما مع حصول الآخر، أو لا یجب تحصیله و إن أمکن</w:t>
      </w:r>
      <w:r>
        <w:rPr>
          <w:rFonts w:eastAsia="IRNazanin" w:cs="IRNazanin"/>
          <w:color w:val="111111"/>
          <w:sz w:val="28"/>
          <w:szCs w:val="28"/>
          <w:rtl w:val="true"/>
          <w:lang w:bidi="fa-IR"/>
        </w:rPr>
        <w:t>.</w:t>
      </w:r>
      <w:bookmarkStart w:id="259" w:name="pg11586_104743"/>
    </w:p>
    <w:p>
      <w:pPr>
        <w:pStyle w:val="BookText"/>
        <w:rPr/>
      </w:pPr>
      <w:bookmarkEnd w:id="259"/>
      <w:r>
        <w:rPr>
          <w:rFonts w:ascii="IRNazanin" w:hAnsi="IRNazanin" w:eastAsia="IRNazanin"/>
          <w:color w:val="111111"/>
          <w:sz w:val="28"/>
          <w:sz w:val="28"/>
          <w:szCs w:val="28"/>
          <w:rtl w:val="true"/>
          <w:lang w:bidi="fa-IR"/>
        </w:rPr>
        <w:t>الواجب العینی و الکفائی</w:t>
      </w:r>
    </w:p>
    <w:p>
      <w:pPr>
        <w:pStyle w:val="Heading3"/>
        <w:numPr>
          <w:ilvl w:val="2"/>
          <w:numId w:val="1"/>
        </w:numPr>
        <w:rPr/>
      </w:pPr>
      <w:bookmarkStart w:id="260" w:name="__RefHeading___Toc5145793_73709187"/>
      <w:bookmarkStart w:id="261" w:name="_Toc96"/>
      <w:bookmarkEnd w:id="260"/>
      <w:r>
        <w:rPr>
          <w:rtl w:val="true"/>
        </w:rPr>
        <w:t>الفصل العاشر فی الواجب العینی و الکفائی</w:t>
      </w:r>
      <w:bookmarkEnd w:id="261"/>
    </w:p>
    <w:p>
      <w:pPr>
        <w:pStyle w:val="Heading4"/>
        <w:numPr>
          <w:ilvl w:val="3"/>
          <w:numId w:val="1"/>
        </w:numPr>
        <w:rPr/>
      </w:pPr>
      <w:bookmarkStart w:id="262" w:name="__RefHeading___Toc5145795_73709187"/>
      <w:bookmarkStart w:id="263" w:name="_Toc97"/>
      <w:bookmarkEnd w:id="262"/>
      <w:r>
        <w:rPr>
          <w:rtl w:val="true"/>
        </w:rPr>
        <w:t>اشارة</w:t>
      </w:r>
      <w:bookmarkEnd w:id="263"/>
    </w:p>
    <w:p>
      <w:pPr>
        <w:pStyle w:val="BookText"/>
        <w:rPr/>
      </w:pPr>
      <w:r>
        <w:rPr>
          <w:rFonts w:ascii="IRNazanin" w:hAnsi="IRNazanin" w:eastAsia="IRNazanin"/>
          <w:color w:val="111111"/>
          <w:sz w:val="28"/>
          <w:sz w:val="28"/>
          <w:szCs w:val="28"/>
          <w:rtl w:val="true"/>
          <w:lang w:bidi="fa-IR"/>
        </w:rPr>
        <w:t>ربّما یقسّم الواجب إلی عینی و کفائی، و المراد بالأوّل هو ما یعتبر فی سقوط الوجوب و حصول الامتثال بالإتیان به مباشرةً، و لا یسقط بفعل الغیر، و المراد بالثانی هو ما لا یعتبر فیه ذلک، بل یسقط التکلیف عن الجمیع بفعل بعض المکلّفین، و یعاقب الجمیع لو لم یمتثل، و هذا کوقوعه فی الشرع ممّا لا إشکال فیه و لا کلام، و إنّما الکلام فی الواجب الکفائی فی کیفیّة تعلّق الوجوب بالمکلّفین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الوجوب متعلّق بمجموع المکلّفین من حیث المجموع أو بالواحد لا بعینه أو بالواحد المردّد أو بکلّ واحد من المکلّفین؟ وجوه و احتمالات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تفصیل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یعقل کون الوجوب متعلّقاً بالمجموع من حیث المجموع؛ لأنّه لا وجود للمجموع من حیث هو سوی الوجودات و الأفراد، کما أنّه لا یعقل تعلّقه بالواحد لا بعینه؛ لأنّه لا وجود له؛ لأنّ الوجود مساوق للعینیة، کما برهن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الواحد المردّد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عرفت فی مبحث الوجوب التخییری أنّه لا یعقل تعلّق البعث بالشیء المردّد، و من المعلوم أنّه لا فرق بین المبعوث و المبعوث إلیه من هذه الجهة؛ إذ کما أنّ البعث له إضافة إلی المبعوث إلیه کذلک له إضافة إلی المبعوث الذی هو المکلّف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عن بعض الأعاظم من ثبوت الفرق بینهما</w:t>
      </w:r>
      <w:r>
        <w:rPr>
          <w:rStyle w:val="FootnoteAnchor"/>
          <w:rtl w:val="true"/>
        </w:rPr>
        <w:footnoteReference w:id="116"/>
      </w:r>
      <w:r>
        <w:rPr>
          <w:rFonts w:ascii="IRNazanin" w:hAnsi="IRNazanin" w:eastAsia="IRNazanin"/>
          <w:color w:val="111111"/>
          <w:sz w:val="28"/>
          <w:sz w:val="28"/>
          <w:szCs w:val="28"/>
          <w:rtl w:val="true"/>
          <w:lang w:bidi="fa-IR"/>
        </w:rPr>
        <w:t>لا نعرف له وجهاً أصلاً،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تعلّقه بکلّ واحد من المکلّفین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عن بعض أعاظم المعاصرین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هی کیفیّة تعلّق الوجوب فی الواجب الکفائی، و الفرق بینه و بین الواجب العینی حینئذٍ مع اشتراکه معه فی ذلک إنّما هو فی الإطلاق و التقیید، بمعنی أنّ متعلّق الطلب فی العینی إنّما هی الطبیعة المتقیّدة بقید المباشرة، بخلاف متعلّقه فی الواجب الکفائی فإنّه هی الطبیعة المطلقة المعرّاة عن قید المباشرة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الدلیل علی ذلک أنّه لو شک فی الواجب أنّه عینی أو کفائی، یبنی علی الثانی، و لیس ذلک إلاّ لکون المطلوب فیه مطلقاً بخلاف الأوّل</w:t>
      </w:r>
      <w:r>
        <w:rPr>
          <w:rStyle w:val="FootnoteAnchor"/>
          <w:rtl w:val="true"/>
        </w:rPr>
        <w:footnoteReference w:id="117"/>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تقریرات المحقّق النائینی أنّ التحقیق فی تصویر الواجب الکفائی أنّه عبارة عمّا کان الغرض منه مترتّباً علی صدور الفعل من صرف وجود المکلّف، بخلاف العینی الذی لا یحصل الغرض إلاّ بصدوره من مطلق وجود المکلّف الساری فی الجمیع</w:t>
      </w:r>
      <w:r>
        <w:rPr>
          <w:rStyle w:val="FootnoteAnchor"/>
          <w:rtl w:val="true"/>
        </w:rPr>
        <w:footnoteReference w:id="1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bookmarkStart w:id="264" w:name="pg11586_104745"/>
    </w:p>
    <w:p>
      <w:pPr>
        <w:pStyle w:val="Heading4"/>
        <w:numPr>
          <w:ilvl w:val="3"/>
          <w:numId w:val="1"/>
        </w:numPr>
        <w:rPr/>
      </w:pPr>
      <w:bookmarkStart w:id="265" w:name="__RefHeading___Toc5145797_73709187"/>
      <w:bookmarkStart w:id="266" w:name="_Toc98"/>
      <w:bookmarkEnd w:id="264"/>
      <w:bookmarkEnd w:id="265"/>
      <w:r>
        <w:rPr>
          <w:rtl w:val="true"/>
        </w:rPr>
        <w:t>أقسام الواجب الکفائی</w:t>
      </w:r>
      <w:bookmarkEnd w:id="266"/>
    </w:p>
    <w:p>
      <w:pPr>
        <w:pStyle w:val="BookText"/>
        <w:rPr/>
      </w:pPr>
      <w:r>
        <w:rPr>
          <w:rFonts w:ascii="IRNazanin" w:hAnsi="IRNazanin" w:eastAsia="IRNazanin"/>
          <w:color w:val="111111"/>
          <w:sz w:val="28"/>
          <w:sz w:val="28"/>
          <w:szCs w:val="28"/>
          <w:rtl w:val="true"/>
          <w:lang w:bidi="fa-IR"/>
        </w:rPr>
        <w:t>و التحقیق فی المقام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الواجب الکفائی علی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یکون للطبیعة المأمور بها إلاّ فرد واحد بمعنی أنّه لا یعقل تحقّقها بعد وجود فرد واحد منها، کقتل سابّ النبی و دفن المیّت و أمثالهم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لها أفراد متعدّدة و وجودات متکثّرة بمعنی أنّه یمکن أن تتحقّق الطبیعة بعد تحقّق فرد واحد منها کالصلاة علی المیّت 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التقدیر الثانی قد یکون المأمور به هو الفرد الواحد منها، و قد یکون هو صرف وجودها الصادق علی الأفراد المتعدّدة، و علی التقدیرین قد یکون الفرد الآخر أو صرف وجودها الآخر مبغوضاً للمولی، و قد یکون لا محبوباً و لا مبغوضاً، و علی التقادیر قد یکون المکلّف هو صرف وجوده و قد یکون هو الجمیع</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ذلک،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لم یکن للطبیعة المأمور بها إلاّ فرد واحد و وجود فارد، فلا معنی لأن یکون التکلیف فیه متعلّقاً بکلّ واحد من المکلّفین أو بصرف وجوده؛ إذ من الواضح أنّ البعث إنّما هو لغرض الانبعاث، و لا یعقل أن ینبعث المکلّفین إلی عمل لا یمکن تحقّقه إلاّ من واحد منهم، و هل یعقل أن یأمر المولی عبیده بشرب الماء الموجود فی الإناء الذی لا یمکن تحقّقه إلاّ من واحد من عبیده؟ هکذا لو کان التکلیف متعلّقاً بصرف وجود المکلّف؛ لأنّه یصدق علی الجمیع أیضاً، فلا بدّ إمّا أن یقال بکون الخطاب فی أمثال المثال مشروطاً بعدم إتیان الآخر به، و إمّا أن یقال بالنحو الذی ذکرنا فی الواجب التخییری، غایة الأمر أنّ التخییر هاهنا بالنسبة إلی المکلّف و هناک بالنسبة إلی المکلّف به، و إمّا أن یقال بأنّ المکلّف إنّما هو واحد من الأناسی المنطبق علی جمیعهم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ما إذا کانت للطبیعة أفراد متعدّدة، و لکن کان فرد واحد منها متعلّقاً للأمر، سواء کان الزائد علیه مبغوضاً أو غیر مبغوض، فإنّه لا یعقل أن یکون التکلیف به متوجّهاً إلی جمیع المکلّفین أو إلی صرف وجود المکلّف بالتقریب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المأمور به هو صرف وجود الطبیعة، فیمکن أن یکون التکلیف متعلّقاً بصرف وجود المکلّف</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فی تقریرات المحقّق النائینی من کون التکلیف متوجّهاً إلی صرف وجود المکلّف من دون التفریق بین الأقسام المذکورة لا یتمّ أصلاً، کما لا یخفی</w:t>
      </w:r>
      <w:r>
        <w:rPr>
          <w:rFonts w:eastAsia="IRNazanin" w:cs="IRNazanin"/>
          <w:color w:val="111111"/>
          <w:sz w:val="28"/>
          <w:szCs w:val="28"/>
          <w:rtl w:val="true"/>
          <w:lang w:bidi="fa-IR"/>
        </w:rPr>
        <w:t>.</w:t>
      </w:r>
      <w:bookmarkStart w:id="267" w:name="pg11586_104748"/>
    </w:p>
    <w:p>
      <w:pPr>
        <w:pStyle w:val="Heading2"/>
        <w:numPr>
          <w:ilvl w:val="1"/>
          <w:numId w:val="1"/>
        </w:numPr>
        <w:rPr/>
      </w:pPr>
      <w:bookmarkStart w:id="268" w:name="__RefHeading___Toc5145799_73709187"/>
      <w:bookmarkStart w:id="269" w:name="_Toc99"/>
      <w:bookmarkEnd w:id="267"/>
      <w:bookmarkEnd w:id="268"/>
      <w:r>
        <w:rPr>
          <w:rtl w:val="true"/>
        </w:rPr>
        <w:t>المقصد الثانی فی النواهی</w:t>
      </w:r>
      <w:bookmarkEnd w:id="269"/>
    </w:p>
    <w:p>
      <w:pPr>
        <w:pStyle w:val="Heading3"/>
        <w:numPr>
          <w:ilvl w:val="2"/>
          <w:numId w:val="1"/>
        </w:numPr>
        <w:rPr/>
      </w:pPr>
      <w:bookmarkStart w:id="270" w:name="__RefHeading___Toc5145801_73709187"/>
      <w:bookmarkStart w:id="271" w:name="_Toc100"/>
      <w:bookmarkEnd w:id="270"/>
      <w:r>
        <w:rPr>
          <w:rtl w:val="true"/>
        </w:rPr>
        <w:t>اشارة</w:t>
      </w:r>
      <w:bookmarkEnd w:id="271"/>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فصول</w:t>
      </w:r>
      <w:r>
        <w:rPr>
          <w:rFonts w:eastAsia="IRNazanin" w:cs="IRNazanin"/>
          <w:color w:val="111111"/>
          <w:sz w:val="28"/>
          <w:szCs w:val="28"/>
          <w:rtl w:val="true"/>
          <w:lang w:bidi="fa-IR"/>
        </w:rPr>
        <w:t>:</w:t>
      </w:r>
      <w:bookmarkStart w:id="272" w:name="pg11586_104750"/>
    </w:p>
    <w:p>
      <w:pPr>
        <w:pStyle w:val="Heading3"/>
        <w:numPr>
          <w:ilvl w:val="2"/>
          <w:numId w:val="1"/>
        </w:numPr>
        <w:rPr/>
      </w:pPr>
      <w:bookmarkStart w:id="273" w:name="__RefHeading___Toc5145803_73709187"/>
      <w:bookmarkStart w:id="274" w:name="_Toc101"/>
      <w:bookmarkEnd w:id="272"/>
      <w:bookmarkEnd w:id="273"/>
      <w:r>
        <w:rPr>
          <w:rtl w:val="true"/>
        </w:rPr>
        <w:t>الفصل الأوّل فی صیغة النهی</w:t>
      </w:r>
      <w:bookmarkEnd w:id="274"/>
    </w:p>
    <w:p>
      <w:pPr>
        <w:pStyle w:val="Heading4"/>
        <w:numPr>
          <w:ilvl w:val="3"/>
          <w:numId w:val="1"/>
        </w:numPr>
        <w:rPr/>
      </w:pPr>
      <w:bookmarkStart w:id="275" w:name="__RefHeading___Toc5145805_73709187"/>
      <w:bookmarkStart w:id="276" w:name="_Toc102"/>
      <w:bookmarkEnd w:id="275"/>
      <w:r>
        <w:rPr>
          <w:rtl w:val="true"/>
        </w:rPr>
        <w:t>اشارة</w:t>
      </w:r>
      <w:bookmarkEnd w:id="276"/>
    </w:p>
    <w:p>
      <w:pPr>
        <w:pStyle w:val="BookText"/>
        <w:rPr/>
      </w:pPr>
      <w:r>
        <w:rPr>
          <w:rFonts w:ascii="IRNazanin" w:hAnsi="IRNazanin" w:eastAsia="IRNazanin"/>
          <w:color w:val="111111"/>
          <w:sz w:val="28"/>
          <w:sz w:val="28"/>
          <w:szCs w:val="28"/>
          <w:rtl w:val="true"/>
          <w:lang w:bidi="fa-IR"/>
        </w:rPr>
        <w:t xml:space="preserve">اعلم أنّ هیئة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وُضعت فی اللغة للزجر عن وجود الطبیعة التی تعرض لها تلک الهیئة، کما أنّ هیئة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موضوعة للبعث إلی وجودها، فالفرق بین الأمر و النهی بعد الاشتراک فی تعلّقهما بالوجود إنّما هو فی کون الأوّل موضوعاً و مفیداً للبعث، و الثانی دالاًّ علی الزجر، و حینئذٍ فلا یبقی للنزاع المعروف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المطلوب فی باب النواهی هل هو الکفّ أو نفس أن لا تفعل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 أصلاً؛ إذ ذلک النزاع متفرّع علی اشتراکهما فی الدلالة علی الطلب، غایة الأمر ثبوت الاختلاف فی باب النواهی فی أنّ متعلّق الطلب هل هو الأمر الوجودی أی الکفّ أو الأمر العدمی، أی نفس أن لا تفعل، و قد عرفت أنّ النهی لا یدلّ علی الطلب حتّی ینازع فی تعیین المطلوب و أنّه أمر وجودی أو عدمی، بل إنّما هو موضوع للزجر، و متعلّقه إنّما هو وجود الطبیعة لا غیر، کما هو واضح</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علی تقدیر دلالة النهی علی الطلب فلا مجال لاحتمال کون المطلوب هو العدم، و ذلک لأنّ العدم لیس بشیء حتّی یمکن تعلّق الطلب به، و هذا واضح جدّاً</w:t>
      </w:r>
      <w:r>
        <w:rPr>
          <w:rFonts w:eastAsia="IRNazanin" w:cs="IRNazanin"/>
          <w:color w:val="111111"/>
          <w:sz w:val="28"/>
          <w:szCs w:val="28"/>
          <w:rtl w:val="true"/>
          <w:lang w:bidi="fa-IR"/>
        </w:rPr>
        <w:t>.</w:t>
      </w:r>
      <w:bookmarkStart w:id="277" w:name="pg11586_104751"/>
    </w:p>
    <w:p>
      <w:pPr>
        <w:pStyle w:val="BookText"/>
        <w:rPr/>
      </w:pPr>
      <w:bookmarkEnd w:id="277"/>
      <w:r>
        <w:rPr>
          <w:rFonts w:ascii="IRNazanin" w:hAnsi="IRNazanin" w:eastAsia="IRNazanin"/>
          <w:color w:val="111111"/>
          <w:sz w:val="28"/>
          <w:sz w:val="28"/>
          <w:szCs w:val="28"/>
          <w:rtl w:val="true"/>
          <w:lang w:bidi="fa-IR"/>
        </w:rPr>
        <w:t>و منه انقدح فساد ما فی الکفایة من کون المطلوب فی باب النواهی هو العدم لا الکفّ‌</w:t>
      </w:r>
      <w:r>
        <w:rPr>
          <w:rStyle w:val="FootnoteAnchor"/>
          <w:rtl w:val="true"/>
        </w:rPr>
        <w:footnoteReference w:id="119"/>
      </w:r>
      <w:r>
        <w:rPr>
          <w:rFonts w:ascii="IRNazanin" w:hAnsi="IRNazanin" w:eastAsia="IRNazanin"/>
          <w:color w:val="111111"/>
          <w:sz w:val="28"/>
          <w:sz w:val="28"/>
          <w:szCs w:val="28"/>
          <w:rtl w:val="true"/>
          <w:lang w:bidi="fa-IR"/>
        </w:rPr>
        <w:t>؛ إذ لیس وجه استحالة تعلّق الطلب به کونه خارجاً عن تحت القدرة و الاختیار حتّی یرد بما ذکر فیها، بل الوجه فیها أنّه لیس بشیء و لا حقیقة له حتّی صار لسببها مطلوباً و مراداً</w:t>
      </w:r>
      <w:r>
        <w:rPr>
          <w:rFonts w:eastAsia="IRNazanin" w:cs="IRNazanin"/>
          <w:color w:val="111111"/>
          <w:sz w:val="28"/>
          <w:szCs w:val="28"/>
          <w:rtl w:val="true"/>
          <w:lang w:bidi="fa-IR"/>
        </w:rPr>
        <w:t>.</w:t>
      </w:r>
    </w:p>
    <w:p>
      <w:pPr>
        <w:pStyle w:val="Heading4"/>
        <w:numPr>
          <w:ilvl w:val="3"/>
          <w:numId w:val="1"/>
        </w:numPr>
        <w:rPr/>
      </w:pPr>
      <w:bookmarkStart w:id="278" w:name="__RefHeading___Toc5145807_73709187"/>
      <w:bookmarkStart w:id="279" w:name="_Toc103"/>
      <w:bookmarkEnd w:id="278"/>
      <w:r>
        <w:rPr>
          <w:rtl w:val="true"/>
        </w:rPr>
        <w:t>فی منشأ الفرق بین مُرادَی الأمر و النهی</w:t>
      </w:r>
      <w:bookmarkEnd w:id="279"/>
    </w:p>
    <w:p>
      <w:pPr>
        <w:pStyle w:val="BookText"/>
        <w:rPr/>
      </w:pPr>
      <w:r>
        <w:rPr>
          <w:rFonts w:ascii="IRNazanin" w:hAnsi="IRNazanin" w:eastAsia="IRNazanin"/>
          <w:color w:val="111111"/>
          <w:sz w:val="28"/>
          <w:sz w:val="28"/>
          <w:szCs w:val="28"/>
          <w:rtl w:val="true"/>
          <w:lang w:bidi="fa-IR"/>
        </w:rPr>
        <w:t>ثمّ إنّه لا إشکال عند العقلاء فی ثبوت الفرق بین الأوامر و النواهی بکفایة الإتیان بفرد من الطبیعة المأمور بها فی تحقّق امتثال الأمر المتعلّق به و سقوطه؛ لحصول الغرض، و هو تحقّقها بإیجاد فرد منها فی الخارج، و أنّه لا یحصل الغرض بتمامه إلاّ بترک جمیع أفراد الطبیعة المنهی عنها فی باب النواهی، إنّما الإشکال فی وجه الفرق، فقد یقال بأنّ الحاکم به إنّما هو العقل؛ نظراً إلی أنّ وجود الطبیعة إنّما هو بوجود فرد واحد، و عدمها لا یکاد یتحقّق إلاّ بعد انعدام جمیع الأفراد</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لکن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الکلام بمعزل عن التحقیق؛ فإنّ معنی تحقّق الطبیعة بوجود فرد ما کون کلّ واحد من الأفراد هو تمام تلک الطبیعة، و لا ینقص عنها أصلاً؛ إذ لو کانت الطبیعة متحصّصة بحصص عدیدة حسب تعدّد الأفراد، لکان وجودها فی الخارج متوقّفاً علی وجود جمیع الأفراد؛ لکی یتحصّل جمیع الحصص، فوجودها بوجود فرد واحد مساوق لکون کلّ فرد تمام طبیعته، فزید تمام الإنسان، و کذا عمرو، و بکر، فإذا کان وجود زید کافیاً فی وجود حقیقة</w:t>
      </w:r>
    </w:p>
    <w:p>
      <w:pPr>
        <w:pStyle w:val="BookText"/>
        <w:rPr/>
      </w:pPr>
      <w:r>
        <w:rPr>
          <w:rFonts w:ascii="IRNazanin" w:hAnsi="IRNazanin" w:eastAsia="IRNazanin"/>
          <w:color w:val="111111"/>
          <w:sz w:val="28"/>
          <w:sz w:val="28"/>
          <w:szCs w:val="28"/>
          <w:rtl w:val="true"/>
          <w:lang w:bidi="fa-IR"/>
        </w:rPr>
        <w:t>الإنسان فکیف یعقل أن لا یکون عدمه کافیاً فی عدمها، و هل هذا إلاّ المناقضة فی القول من غیر التفات؟</w:t>
      </w:r>
    </w:p>
    <w:p>
      <w:pPr>
        <w:pStyle w:val="BookText"/>
        <w:rPr/>
      </w:pPr>
      <w:r>
        <w:rPr>
          <w:rFonts w:ascii="IRNazanin" w:hAnsi="IRNazanin" w:eastAsia="IRNazanin"/>
          <w:color w:val="111111"/>
          <w:sz w:val="28"/>
          <w:sz w:val="28"/>
          <w:szCs w:val="28"/>
          <w:rtl w:val="true"/>
          <w:lang w:bidi="fa-IR"/>
        </w:rPr>
        <w:t>و توهّم أنّ لازم ما ذکر کون طبیعة واحدة موجودةً و معدومةً معاً فیما إذا وجد زید و عدم عمرو، مع أنّ ذلک غیر معقول، یدفعه أنّ الطبیعة إنّما تتکثّر حسب تکثّر الأفراد، فزید و عمرو إنسانان لا إنسان واحد، و حینئذٍ فلا بأس باتّصافها بالوجود من ناحیة وجود بعض الأفراد و بالعدم من قِبَل انعدام بعضها الآخر، کما أنّه یتّصف بالبیاض و السواد، و بالطول و القصر، و بالحرکة و السکون، و بالقیام و القعود فی آنٍ واحد، و لیس ذلک إلاّ لکونه متکثّراً و متعدّداً حسب تکثّر الوجودات و تعدّد الأفراد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فرق بین وجود الطبیعة و عدمها من هذه الحیثیة فی نظر العقل أصلاً، و کما أنّ وجود بعض الأفراد یکفی فی تحصّل الطبیعة فکذلک عدمه کافٍ فی انعدامها، فاستناد الفرق بین الأوامر و النواهی إلی حکم العقل ممّا لا مجال له أصلاً، کما لا یخفی، کما أنّ دعوی کون ذلک مستنداً إلی فهم العرف من الألفاظ بحسب معانیها اللغویة و حقائقها التی وُضعت تلک الألفاظ بإزائها ممّا لم یعرف له وجه، کما هو واضح، فانحصر أن یکون منشأ ذلک حکم العقلاء بذلک من غیر ارتباط له بباب الألفاظ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دلالة النهی علی الزجر بعد المخالفة أیضاً إنّما هو لکون مدلوله هو الزجر عن الطبیعة المتعلّقة له، لا العدم حتّی یقال بأنّه متی تحقّقت المخالفة فقد انتقض إلی الوجود، و لا مجال لبقائه بعد تحقّق عصیانه، بل النهی لأجل کونه دالاًّ علی الزجر عن جمیع وجودات الطبیعة، لا مجال لسقوطه بمجرّد تحقّق بعض وجوداته، و لا دلیل علی کون المخالفة و العصیان مسقطاً</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کان متعلّق النهی هو أوّل الطبیعة، فبمجرّد تحقّقه یسقط، لا لکون</w:t>
      </w:r>
    </w:p>
    <w:p>
      <w:pPr>
        <w:pStyle w:val="BookText"/>
        <w:rPr/>
      </w:pPr>
      <w:r>
        <w:rPr>
          <w:rFonts w:ascii="IRNazanin" w:hAnsi="IRNazanin" w:eastAsia="IRNazanin"/>
          <w:color w:val="111111"/>
          <w:sz w:val="28"/>
          <w:sz w:val="28"/>
          <w:szCs w:val="28"/>
          <w:rtl w:val="true"/>
          <w:lang w:bidi="fa-IR"/>
        </w:rPr>
        <w:t xml:space="preserve">المخالفة من حیث هی مسقطاً، بل لأجل أنّه لا یمکن امتثاله فیما بعد أصلاً؛ لأنّ المفروض أنّ المبغوض إنّما هو أوّل وجود الطبیعة، و قد حصل، و حینئذٍ فلو فرض عدم تقییده بذلک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أکثر النواهی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المتعلّق فیها الطبیعة بجمیع وجوداتها، فلا وجه لسقوطه بعد تحقّقها ببعض وجوداتها، فالنهی مع أنّه تکلیف واحد و حکم فارد له عصیانات متعدّدة و إطاعات متکثّرة،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قد تصدّی بعض من المحقّقین لإثبات بقاء النهی بکون مدلوله علی نحو العموم الاستغراقی، کما فی تقریرات المحقّق النائینی</w:t>
      </w:r>
      <w:r>
        <w:rPr>
          <w:rStyle w:val="FootnoteAnchor"/>
          <w:rtl w:val="true"/>
        </w:rPr>
        <w:footnoteReference w:id="121"/>
      </w:r>
      <w:r>
        <w:rPr>
          <w:rFonts w:ascii="IRNazanin" w:hAnsi="IRNazanin" w:eastAsia="IRNazanin"/>
          <w:color w:val="111111"/>
          <w:sz w:val="28"/>
          <w:sz w:val="28"/>
          <w:szCs w:val="28"/>
          <w:rtl w:val="true"/>
          <w:lang w:bidi="fa-IR"/>
        </w:rPr>
        <w:t>، أو بکون المجعول هی الملازمة بین طبیعی الطلب و طبیعی المتعلّق، کما فی حاشیة بعض المحقّقین فی محشّی الکفایة</w:t>
      </w:r>
      <w:r>
        <w:rPr>
          <w:rStyle w:val="FootnoteAnchor"/>
          <w:rtl w:val="true"/>
        </w:rPr>
        <w:footnoteReference w:id="122"/>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کلّ ذلک ممّا لا دلیل علیه، لو لم نقل بثبوت الدلیل علی خلافه</w:t>
      </w:r>
      <w:r>
        <w:rPr>
          <w:rFonts w:eastAsia="IRNazanin" w:cs="IRNazanin"/>
          <w:color w:val="111111"/>
          <w:sz w:val="28"/>
          <w:szCs w:val="28"/>
          <w:rtl w:val="true"/>
          <w:lang w:bidi="fa-IR"/>
        </w:rPr>
        <w:t>.</w:t>
      </w:r>
      <w:bookmarkStart w:id="280" w:name="pg11586_104754"/>
    </w:p>
    <w:p>
      <w:pPr>
        <w:pStyle w:val="BookText"/>
        <w:rPr/>
      </w:pPr>
      <w:bookmarkEnd w:id="280"/>
      <w:r>
        <w:rPr>
          <w:rFonts w:ascii="IRNazanin" w:hAnsi="IRNazanin" w:eastAsia="IRNazanin"/>
          <w:color w:val="111111"/>
          <w:sz w:val="28"/>
          <w:sz w:val="28"/>
          <w:szCs w:val="28"/>
          <w:rtl w:val="true"/>
          <w:lang w:bidi="fa-IR"/>
        </w:rPr>
        <w:t>اجتماع الأمر و النهی</w:t>
      </w:r>
    </w:p>
    <w:p>
      <w:pPr>
        <w:pStyle w:val="Heading3"/>
        <w:numPr>
          <w:ilvl w:val="2"/>
          <w:numId w:val="1"/>
        </w:numPr>
        <w:rPr/>
      </w:pPr>
      <w:bookmarkStart w:id="281" w:name="__RefHeading___Toc5145809_73709187"/>
      <w:bookmarkStart w:id="282" w:name="_Toc104"/>
      <w:bookmarkEnd w:id="281"/>
      <w:r>
        <w:rPr>
          <w:rtl w:val="true"/>
        </w:rPr>
        <w:t>الفصل الثانی فی اجتماع الأمر و النهی</w:t>
      </w:r>
      <w:bookmarkEnd w:id="282"/>
    </w:p>
    <w:p>
      <w:pPr>
        <w:pStyle w:val="Heading4"/>
        <w:numPr>
          <w:ilvl w:val="3"/>
          <w:numId w:val="1"/>
        </w:numPr>
        <w:rPr/>
      </w:pPr>
      <w:bookmarkStart w:id="283" w:name="__RefHeading___Toc5145811_73709187"/>
      <w:bookmarkStart w:id="284" w:name="_Toc105"/>
      <w:bookmarkEnd w:id="283"/>
      <w:r>
        <w:rPr>
          <w:rtl w:val="true"/>
        </w:rPr>
        <w:t>و قبل الخوض فی ذکر أدلّة الطرفین و بیان أدلّة المختار لا بدّ من تقدیم امور</w:t>
      </w:r>
      <w:r>
        <w:rPr>
          <w:rtl w:val="true"/>
        </w:rPr>
        <w:t>:</w:t>
      </w:r>
      <w:bookmarkEnd w:id="284"/>
    </w:p>
    <w:p>
      <w:pPr>
        <w:pStyle w:val="Heading5"/>
        <w:numPr>
          <w:ilvl w:val="4"/>
          <w:numId w:val="1"/>
        </w:numPr>
        <w:rPr/>
      </w:pPr>
      <w:bookmarkStart w:id="285" w:name="__RefHeading___Toc5145813_73709187"/>
      <w:bookmarkStart w:id="286" w:name="_Toc106"/>
      <w:bookmarkEnd w:id="285"/>
      <w:r>
        <w:rPr>
          <w:rtl w:val="true"/>
        </w:rPr>
        <w:t>الأمر الأوّل</w:t>
      </w:r>
      <w:r>
        <w:rPr>
          <w:rtl w:val="true"/>
        </w:rPr>
        <w:t xml:space="preserve">: </w:t>
      </w:r>
      <w:r>
        <w:rPr>
          <w:rtl w:val="true"/>
        </w:rPr>
        <w:t>فی عنوان المسألة و تحریر مصبّ النزاع</w:t>
      </w:r>
      <w:bookmarkEnd w:id="286"/>
    </w:p>
    <w:p>
      <w:pPr>
        <w:pStyle w:val="BookText"/>
        <w:rPr/>
      </w:pPr>
      <w:r>
        <w:rPr>
          <w:rFonts w:ascii="IRNazanin" w:hAnsi="IRNazanin" w:eastAsia="IRNazanin"/>
          <w:color w:val="111111"/>
          <w:sz w:val="28"/>
          <w:sz w:val="28"/>
          <w:szCs w:val="28"/>
          <w:rtl w:val="true"/>
          <w:lang w:bidi="fa-IR"/>
        </w:rPr>
        <w:t xml:space="preserve">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مورد النزاع فی هذا الباب هو اجتماع الأمر و النهی فی واحد، و أنّ المراد بالواحد لیس خصوص الواحد الشخصی بل کلّ ما یکون له جهتان و مندرجاً تحت عنوانین و لو کان واحداً جنسیاً أو نوعیاً، کالحرکة الصلاتیة الکلّیة المتّحدة مع الحرکة الکلّیة الغصبیة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لکن لا یخفی أنّ الواحد الشخصی لا یعقل أن یتعلّق تکلیف واحد به فضلاً عن تکلیفین؛ لأنّ الخارج ظرف لسقوط التکلیف لا ثبوته، کما هو واضح</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الواحد الجنسی أو النوعی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کان منه مثل السجود للّه و السجود للصنم، فلا ینبغی الارتیاب فی جواز تعلّق الأمر و النهی به، و ما کان منه مثل الحرکة و السکون الکلّیتین المعنونین بعنوان الصلاتیة و الغصبیة، فمع قطع</w:t>
      </w:r>
      <w:bookmarkStart w:id="287" w:name="pg11586_104755"/>
    </w:p>
    <w:p>
      <w:pPr>
        <w:pStyle w:val="BookText"/>
        <w:rPr/>
      </w:pPr>
      <w:bookmarkEnd w:id="287"/>
      <w:r>
        <w:rPr>
          <w:rFonts w:ascii="IRNazanin" w:hAnsi="IRNazanin" w:eastAsia="IRNazanin"/>
          <w:color w:val="111111"/>
          <w:sz w:val="28"/>
          <w:sz w:val="28"/>
          <w:szCs w:val="28"/>
          <w:rtl w:val="true"/>
          <w:lang w:bidi="fa-IR"/>
        </w:rPr>
        <w:t>النظر عن اتّحادهما فی الخارج و تصادقهما علی شیء فلا ینبغی أیضاً الإشکال فی جوازه لأنّ الحرکة لیست جنساً للصلاة أو الغصب، و أمّا مع ملاحظة التصادق علی وجود واحد و الانطباق علی الخارج فیرجع الکلام إلی الواحد الشخصی،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ظهر فساد ما فی الکفایة</w:t>
      </w:r>
      <w:r>
        <w:rPr>
          <w:rStyle w:val="FootnoteAnchor"/>
          <w:rtl w:val="true"/>
        </w:rPr>
        <w:footnoteReference w:id="123"/>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الأولی أن یعبّر عن محلّ النزاع بأنّه هل یجوز تعلّق الأمر و النهی بالعنوانین المتصادقین علی واحد شخصی أو لا؛ إذ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أنّه لا یرد علیه شیء ممّا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یندفع به الإشکال المعروف، و هو أنّه یکون البحث فی المقام صغرویّاً، و لازم التعبیر بما عبّروه کونه کبرویّاً، مع أنّه لا إشکال فیه و لا نزاع؛ إذ تضادّ الأحکام الخمسة بأسرها ممّا لم یناقش فیه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الاندفاع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بناء علی هذا التعبیر الذی ذکرنا لا إشکال فی کون البحث کبرویّاً أصلاً، کما هو واضح</w:t>
      </w:r>
      <w:r>
        <w:rPr>
          <w:rFonts w:eastAsia="IRNazanin" w:cs="IRNazanin"/>
          <w:color w:val="111111"/>
          <w:sz w:val="28"/>
          <w:szCs w:val="28"/>
          <w:rtl w:val="true"/>
          <w:lang w:bidi="fa-IR"/>
        </w:rPr>
        <w:t>.</w:t>
      </w:r>
    </w:p>
    <w:p>
      <w:pPr>
        <w:pStyle w:val="Heading5"/>
        <w:numPr>
          <w:ilvl w:val="4"/>
          <w:numId w:val="1"/>
        </w:numPr>
        <w:rPr/>
      </w:pPr>
      <w:bookmarkStart w:id="288" w:name="__RefHeading___Toc5145815_73709187"/>
      <w:bookmarkStart w:id="289" w:name="_Toc107"/>
      <w:bookmarkEnd w:id="288"/>
      <w:r>
        <w:rPr>
          <w:rtl w:val="true"/>
        </w:rPr>
        <w:t>الأمر الثانی</w:t>
      </w:r>
      <w:r>
        <w:rPr>
          <w:rtl w:val="true"/>
        </w:rPr>
        <w:t xml:space="preserve">: </w:t>
      </w:r>
      <w:r>
        <w:rPr>
          <w:rtl w:val="true"/>
        </w:rPr>
        <w:t>فی الفرق بین هذه المسألة و مسألة النهی عن العبادة</w:t>
      </w:r>
      <w:bookmarkEnd w:id="289"/>
    </w:p>
    <w:p>
      <w:pPr>
        <w:pStyle w:val="BookText"/>
        <w:rPr/>
      </w:pPr>
      <w:r>
        <w:rPr>
          <w:rFonts w:ascii="IRNazanin" w:hAnsi="IRNazanin" w:eastAsia="IRNazanin"/>
          <w:color w:val="111111"/>
          <w:sz w:val="28"/>
          <w:sz w:val="28"/>
          <w:szCs w:val="28"/>
          <w:rtl w:val="true"/>
          <w:lang w:bidi="fa-IR"/>
        </w:rPr>
        <w:t xml:space="preserve">الفرق بین هذه المسألة و مسألة النهی عن العبادة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سیجیء إن شاء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ذاتی لا خفاء فیه أصلاً؛ لعدم اتّحاد المسألتین لا فی الموضوع و لا فی المحمول،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لا ینبغی الإشکال فی کون المسألة اصولیة؛ إذ هی مندرجة تحت ضابطة مسائل علم الاُصول</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ذکره فی الکفایة من إمکان کونهما من مسائل علم الکلام أو من</w:t>
      </w:r>
      <w:bookmarkStart w:id="290" w:name="pg11586_104756"/>
    </w:p>
    <w:p>
      <w:pPr>
        <w:pStyle w:val="BookText"/>
        <w:rPr/>
      </w:pPr>
      <w:bookmarkEnd w:id="290"/>
      <w:r>
        <w:rPr>
          <w:rFonts w:ascii="IRNazanin" w:hAnsi="IRNazanin" w:eastAsia="IRNazanin"/>
          <w:color w:val="111111"/>
          <w:sz w:val="28"/>
          <w:sz w:val="28"/>
          <w:szCs w:val="28"/>
          <w:rtl w:val="true"/>
          <w:lang w:bidi="fa-IR"/>
        </w:rPr>
        <w:t>غیره</w:t>
      </w:r>
      <w:r>
        <w:rPr>
          <w:rStyle w:val="FootnoteAnchor"/>
          <w:rtl w:val="true"/>
        </w:rPr>
        <w:footnoteReference w:id="124"/>
      </w:r>
      <w:r>
        <w:rPr>
          <w:rFonts w:ascii="IRNazanin" w:hAnsi="IRNazanin" w:eastAsia="IRNazanin"/>
          <w:color w:val="111111"/>
          <w:sz w:val="28"/>
          <w:sz w:val="28"/>
          <w:szCs w:val="28"/>
          <w:rtl w:val="true"/>
          <w:lang w:bidi="fa-IR"/>
        </w:rPr>
        <w:t>فیتمّ لو تصرّف فی عنوان النزاع، و إلّا فظاهره یأبی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بأس بجعلها من المبادئ الأحکامیة، و کذا لا إشکال فی کون المسألة عقلیةً محضة، و لا ارتباط لها بباب الألفاظ أصلاً، و کذا فی ثبوت المناط فی أقسام الوجوب و التحریم النفسی و التعیینی و العینی و الغیری و التخییری و الکفائی</w:t>
      </w:r>
      <w:r>
        <w:rPr>
          <w:rFonts w:eastAsia="IRNazanin" w:cs="IRNazanin"/>
          <w:color w:val="111111"/>
          <w:sz w:val="28"/>
          <w:szCs w:val="28"/>
          <w:rtl w:val="true"/>
          <w:lang w:bidi="fa-IR"/>
        </w:rPr>
        <w:t>.</w:t>
      </w:r>
    </w:p>
    <w:p>
      <w:pPr>
        <w:pStyle w:val="Heading5"/>
        <w:numPr>
          <w:ilvl w:val="4"/>
          <w:numId w:val="1"/>
        </w:numPr>
        <w:rPr/>
      </w:pPr>
      <w:bookmarkStart w:id="291" w:name="__RefHeading___Toc5145817_73709187"/>
      <w:bookmarkStart w:id="292" w:name="_Toc108"/>
      <w:bookmarkEnd w:id="291"/>
      <w:r>
        <w:rPr>
          <w:rtl w:val="true"/>
        </w:rPr>
        <w:t>الأمر الثالث</w:t>
      </w:r>
      <w:r>
        <w:rPr>
          <w:rtl w:val="true"/>
        </w:rPr>
        <w:t xml:space="preserve">: </w:t>
      </w:r>
      <w:r>
        <w:rPr>
          <w:rtl w:val="true"/>
        </w:rPr>
        <w:t>عدم اعتبار قید المندوحة</w:t>
      </w:r>
      <w:bookmarkEnd w:id="292"/>
    </w:p>
    <w:p>
      <w:pPr>
        <w:pStyle w:val="BookText"/>
        <w:rPr/>
      </w:pPr>
      <w:r>
        <w:rPr>
          <w:rFonts w:ascii="IRNazanin" w:hAnsi="IRNazanin" w:eastAsia="IRNazanin"/>
          <w:color w:val="111111"/>
          <w:sz w:val="28"/>
          <w:sz w:val="28"/>
          <w:szCs w:val="28"/>
          <w:rtl w:val="true"/>
          <w:lang w:bidi="fa-IR"/>
        </w:rPr>
        <w:t>إنّه ربّما یؤخذ فی عنوان النزاع قید المندوحة؛ نظراً إلی أنّ بدونها لا إشکال و لا خلاف فی امتناع الاجتماع، و لکن الحقّ ما فی الکفایة من أنّ وجود المندوحة و عدمها لا یرتبط بما هو المهم فی محل البحث و المقصود فی مورد النزاع، فإنّ العمدة فی المقام هو إمکان الاجتماع و استحالته من هذه الحیثیّة</w:t>
      </w:r>
      <w:r>
        <w:rPr>
          <w:rStyle w:val="FootnoteAnchor"/>
          <w:rtl w:val="true"/>
        </w:rPr>
        <w:footnoteReference w:id="12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النزاع إنّما هو استکشاف حال نفس التکلیف من حیث الإمکان و الاستحالة لا حال المکلّف به من حیث المقدوریة و عدمها، و هذا واضح جدّاً</w:t>
      </w:r>
      <w:r>
        <w:rPr>
          <w:rFonts w:eastAsia="IRNazanin" w:cs="IRNazanin"/>
          <w:color w:val="111111"/>
          <w:sz w:val="28"/>
          <w:szCs w:val="28"/>
          <w:rtl w:val="true"/>
          <w:lang w:bidi="fa-IR"/>
        </w:rPr>
        <w:t>.</w:t>
      </w:r>
    </w:p>
    <w:p>
      <w:pPr>
        <w:pStyle w:val="Heading5"/>
        <w:numPr>
          <w:ilvl w:val="4"/>
          <w:numId w:val="1"/>
        </w:numPr>
        <w:rPr/>
      </w:pPr>
      <w:bookmarkStart w:id="293" w:name="__RefHeading___Toc5145819_73709187"/>
      <w:bookmarkStart w:id="294" w:name="_Toc109"/>
      <w:bookmarkEnd w:id="293"/>
      <w:r>
        <w:rPr>
          <w:rtl w:val="true"/>
        </w:rPr>
        <w:t>الأمر الرابع</w:t>
      </w:r>
      <w:r>
        <w:rPr>
          <w:rtl w:val="true"/>
        </w:rPr>
        <w:t xml:space="preserve">: </w:t>
      </w:r>
      <w:r>
        <w:rPr>
          <w:rtl w:val="true"/>
        </w:rPr>
        <w:t>جریان النزاع حتّی مع تعلّق الأوامر و النواهی بالأفراد</w:t>
      </w:r>
      <w:bookmarkEnd w:id="294"/>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ربّما یتوهّم ابتناء النزاع فی هذه المسألة علی مسألة کون متعلّق التکالیف هل هی الطبائع أو الأفراد تارةً بمعنی أنّ النزاع إنّما یجری علی خصوص القول الأوّل فی تلک المسألة، و أمّا بناء علی القول الثانی فلا بدّ من القول</w:t>
      </w:r>
      <w:bookmarkStart w:id="295" w:name="pg11586_104757"/>
    </w:p>
    <w:p>
      <w:pPr>
        <w:pStyle w:val="BookText"/>
        <w:rPr/>
      </w:pPr>
      <w:bookmarkEnd w:id="295"/>
      <w:r>
        <w:rPr>
          <w:rFonts w:ascii="IRNazanin" w:hAnsi="IRNazanin" w:eastAsia="IRNazanin"/>
          <w:color w:val="111111"/>
          <w:sz w:val="28"/>
          <w:sz w:val="28"/>
          <w:szCs w:val="28"/>
          <w:rtl w:val="true"/>
          <w:lang w:bidi="fa-IR"/>
        </w:rPr>
        <w:t>بالامتناع فی مسألتنا هذه، و اخری بمعنی أنّ القول بالجواز مبنی علی القول بالطبائع، و الامتناع علی القول بالأفراد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لکن تحقیق الکلام مبنی علی استکشاف مرادهم فی تلک المسألة من الفرد،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مرادهم من الفرد هو الموجود الشخصی الواحد، فهذا ممّا یستحیل تعلّق التکلیف له؛ للزوم تحصیل الحاصل،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هو عنوان الفرد المعروض للکلّیة بمعنی أنّ متعلّق الطلب هو عنوان فرد الطبیعة، فلا إشکال فی جریان النزاع فی المقام علی کلا القولین فی تلک المسألة؛ لأنّ القائل بالاجتماع یقول بتعلّق الأمر و النهی بعنوان الفرد، کقوله بتعلّقهما بالطبیعة بناءً علی القول الآخر فی تلک المسألة، و کذا لو کان مرادهم من الفرد هو الوجود الخاصّ بنحو العموم و الکلّیة فی مقابل الطبیعة التی هی بمعنی الوجود السعی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مرادهم من الفرد هی الخصوصیات و المقارنات المتّحدة فی الخارج مع وجود الطبیعة بحیث کان مرجع قولهم إلی سرایة الأمر من الطبیعة إلی الخصوصیّات المقارنة له فی الوجود، و کذا النهی، فیصیر المقام مبنیّاً علی تلک المسألة؛ لأنّ خصوصیة الغصبیة حینئذٍ مثلاً تصیر مورداً لتعلّق الأمر، و خصوصیة الصلاتیّة مورداً لتعلّق النهی، فکأنّه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فی المکان المغصوب، و لا تغصب فی الصلاة، و لکن یبعد أن یکون مرادهم من الفرد ذلک، فظهر عدم ابتناء النزاع علی تلک المسألة أصلاً، کما لا یخفی</w:t>
      </w:r>
      <w:r>
        <w:rPr>
          <w:rFonts w:eastAsia="IRNazanin" w:cs="IRNazanin"/>
          <w:color w:val="111111"/>
          <w:sz w:val="28"/>
          <w:szCs w:val="28"/>
          <w:rtl w:val="true"/>
          <w:lang w:bidi="fa-IR"/>
        </w:rPr>
        <w:t>.</w:t>
      </w:r>
    </w:p>
    <w:p>
      <w:pPr>
        <w:pStyle w:val="Heading5"/>
        <w:numPr>
          <w:ilvl w:val="4"/>
          <w:numId w:val="1"/>
        </w:numPr>
        <w:rPr/>
      </w:pPr>
      <w:bookmarkStart w:id="296" w:name="__RefHeading___Toc5145821_73709187"/>
      <w:bookmarkStart w:id="297" w:name="_Toc110"/>
      <w:bookmarkEnd w:id="296"/>
      <w:r>
        <w:rPr>
          <w:rtl w:val="true"/>
        </w:rPr>
        <w:t>الأمر الخامس</w:t>
      </w:r>
      <w:r>
        <w:rPr>
          <w:rtl w:val="true"/>
        </w:rPr>
        <w:t xml:space="preserve">: </w:t>
      </w:r>
      <w:r>
        <w:rPr>
          <w:rtl w:val="true"/>
        </w:rPr>
        <w:t>حول اعتبار وجود المناطین فی المجتمع</w:t>
      </w:r>
      <w:bookmarkEnd w:id="297"/>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فی الکفایة 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یکاد یکون من باب الاجتماع إلاّ إذا کان فی کلّ واحد من متعلّقی الحکمین مناط حکمه مطلقاً حتّی فی مورد</w:t>
      </w:r>
    </w:p>
    <w:p>
      <w:pPr>
        <w:pStyle w:val="BookText"/>
        <w:rPr/>
      </w:pPr>
      <w:r>
        <w:rPr>
          <w:rFonts w:ascii="IRNazanin" w:hAnsi="IRNazanin" w:eastAsia="IRNazanin"/>
          <w:color w:val="111111"/>
          <w:sz w:val="28"/>
          <w:sz w:val="28"/>
          <w:szCs w:val="28"/>
          <w:rtl w:val="true"/>
          <w:lang w:bidi="fa-IR"/>
        </w:rPr>
        <w:t>التصادق و الاجتماع، و أمّا إذا لم یکن لهما مناط حکمه کذلک، فلا یکون من هذا الباب</w:t>
      </w:r>
      <w:r>
        <w:rPr>
          <w:rStyle w:val="FootnoteAnchor"/>
          <w:rtl w:val="true"/>
        </w:rPr>
        <w:footnoteReference w:id="1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موضع الحاجة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مراده من ذلک أنّ مورد النزاع فی المقام هو ما کان متعلّقا الحکمین ذا مناط مطلقاً حتّی فی مورد الاجتماع بحیث کان مرجعه إلی تقیید فی عنوان النزاع، فلا یخفی أنّه لا ارتباط لذلک بما هو المهم فی مقصود البحث و مورد النزاع؛ لما عرفت فی وجه عدم تقیید النزاع بقید المندوحة من أنّ المهم فی هذا المقام جواز الاجتماع و استحالته من هذه الحیثیّة أی حیثیة الاجتماع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کون مراده ذلک اختلاف التعبیر فی هذا المقام و فی مسألة المندوحة حیث إنّه عبّر هنا بأنّه لا یکاد یکون من باب الاجتماع، فإنّ ظاهره تطبیق عنوان النزاع علی الموارد الخارجیة، کما لا یخفی</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کان مراده من ذلک بیان الفارق بین المقام الذی هو من قبیل التزاحم و بین باب التعارض، و دفع توهّم التناقض بین الکلمات حیث إنّهم ذکروا فی باب التعارض أنّ من أقسامه التعارض بالعموم و الخصوص من وجه و لم یذکروا فی وجه العلاج فی ذلک المقام أنّ من جملة وجوهه الجمع بنحو یقوله القائل بالاجتماع فی ذلک المقام، بل ذکروا أنّ علاجه الأخذ بالأظهر إن کان، و إلّا التوقّف، أو الرجوع إلی المرجّحات السندیة علی الخلاف، و بیان الدفع علی ما یظهر منه أنّ مسألتنا هذه مبنیّ علی إحراز المناط فی مورد الاجتماع بالنسبة إلی الحکمین، بخلاف باب التعارض، فإنّه مبنی علی وحدة الملاک و المناط فی الواقع، و لکن لا یعلم أنّ الملاک الموجود هَل هو ملاک الأمر أو النهی، فإن کان مراده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صاحب الکفایة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هذا التوهّم، فیرد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کون باب</w:t>
      </w:r>
      <w:bookmarkStart w:id="298" w:name="pg11586_104759"/>
    </w:p>
    <w:p>
      <w:pPr>
        <w:pStyle w:val="BookText"/>
        <w:rPr/>
      </w:pPr>
      <w:bookmarkEnd w:id="298"/>
      <w:r>
        <w:rPr>
          <w:rFonts w:ascii="IRNazanin" w:hAnsi="IRNazanin" w:eastAsia="IRNazanin"/>
          <w:color w:val="111111"/>
          <w:sz w:val="28"/>
          <w:sz w:val="28"/>
          <w:szCs w:val="28"/>
          <w:rtl w:val="true"/>
          <w:lang w:bidi="fa-IR"/>
        </w:rPr>
        <w:t>التعارض مبنیّاً علی إحراز وحدة الملاک و المناط، فإنّ التعارض و الاختلاف موضوع عرفی وقع فی الروایات الواردة فی علاج المتعارضین المستدلّ بها فی ذلک الباب، فکلّ ما صدق علیه هذا العنوان بنظر العرف یترتّب علیه أحکامه المذکورة فی تلک الروایات، سواء کان المناطان موجودین فی مورد الاجتماع أم لا، فإنّه لا ارتباط له بباب المناط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فباب التعارض من الأبواب العرفیة التی لا مجال للعقل و لا طریق له إلیه أصلاً، فکلّ مورد حکم العرف بصدق هذا الموضوع یترتّب علیه أحکامه، بخلاف مسألتنا هذه، فإنّها مسألة عقلیة محضة لا طریق للعرف إلیها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تطبیق هذه المسألة علی الموارد الخارجیة نحتاج إلی إحراز المناطین فی مورد الاجتماع، بخلاف باب التعارض، فإنّه غیر مرتبط بباب المناط أصلاً، بل لا بدّ من الرجوع إلی العرف فی تشخیص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فالفرق بین المقام و بین باب التعارض بهذا الوجه الذی ذکره فی الکفایة</w:t>
      </w:r>
      <w:r>
        <w:rPr>
          <w:rStyle w:val="FootnoteAnchor"/>
          <w:rtl w:val="true"/>
        </w:rPr>
        <w:footnoteReference w:id="127"/>
      </w:r>
      <w:r>
        <w:rPr>
          <w:rFonts w:ascii="Amiri" w:hAnsi="Amiri" w:eastAsia="Amiri" w:cs="Amiri"/>
          <w:color w:val="111111"/>
          <w:sz w:val="28"/>
          <w:sz w:val="28"/>
          <w:szCs w:val="28"/>
          <w:rtl w:val="true"/>
          <w:lang w:bidi="ar-SA"/>
        </w:rPr>
        <w:t>ممّا لم یعرف له وجه أصلاً</w:t>
      </w:r>
      <w:r>
        <w:rPr>
          <w:rFonts w:eastAsia="Amiri" w:cs="Amiri" w:ascii="Amiri" w:hAnsi="Amiri"/>
          <w:color w:val="111111"/>
          <w:sz w:val="28"/>
          <w:szCs w:val="28"/>
          <w:rtl w:val="true"/>
          <w:lang w:bidi="ar-SA"/>
        </w:rPr>
        <w:t>.</w:t>
      </w:r>
    </w:p>
    <w:p>
      <w:pPr>
        <w:pStyle w:val="Heading5"/>
        <w:numPr>
          <w:ilvl w:val="4"/>
          <w:numId w:val="1"/>
        </w:numPr>
        <w:rPr/>
      </w:pPr>
      <w:bookmarkStart w:id="299" w:name="__RefHeading___Toc5145823_73709187"/>
      <w:bookmarkStart w:id="300" w:name="_Toc111"/>
      <w:bookmarkEnd w:id="299"/>
      <w:r>
        <w:rPr>
          <w:rtl w:val="true"/>
        </w:rPr>
        <w:t>الأمر السادس</w:t>
      </w:r>
      <w:r>
        <w:rPr>
          <w:rtl w:val="true"/>
        </w:rPr>
        <w:t xml:space="preserve">: </w:t>
      </w:r>
      <w:r>
        <w:rPr>
          <w:rtl w:val="true"/>
        </w:rPr>
        <w:t>فی ثمرة بحث الاجتماع</w:t>
      </w:r>
      <w:bookmarkEnd w:id="300"/>
    </w:p>
    <w:p>
      <w:pPr>
        <w:pStyle w:val="Heading6"/>
        <w:numPr>
          <w:ilvl w:val="5"/>
          <w:numId w:val="1"/>
        </w:numPr>
        <w:rPr/>
      </w:pPr>
      <w:bookmarkStart w:id="301" w:name="__RefHeading___Toc5145825_73709187"/>
      <w:bookmarkStart w:id="302" w:name="_Toc112"/>
      <w:bookmarkEnd w:id="301"/>
      <w:r>
        <w:rPr>
          <w:rtl w:val="true"/>
        </w:rPr>
        <w:t>اشارة</w:t>
      </w:r>
      <w:bookmarkEnd w:id="302"/>
    </w:p>
    <w:p>
      <w:pPr>
        <w:pStyle w:val="BookText"/>
        <w:rPr/>
      </w:pPr>
      <w:r>
        <w:rPr>
          <w:rFonts w:ascii="IRNazanin" w:hAnsi="IRNazanin" w:eastAsia="IRNazanin"/>
          <w:color w:val="111111"/>
          <w:sz w:val="28"/>
          <w:sz w:val="28"/>
          <w:szCs w:val="28"/>
          <w:rtl w:val="true"/>
          <w:lang w:bidi="fa-IR"/>
        </w:rPr>
        <w:t>و فیه جهات من البحث</w:t>
      </w:r>
      <w:r>
        <w:rPr>
          <w:rFonts w:eastAsia="IRNazanin" w:cs="IRNazanin"/>
          <w:color w:val="111111"/>
          <w:sz w:val="28"/>
          <w:szCs w:val="28"/>
          <w:rtl w:val="true"/>
          <w:lang w:bidi="fa-IR"/>
        </w:rPr>
        <w:t>:</w:t>
      </w:r>
    </w:p>
    <w:p>
      <w:pPr>
        <w:pStyle w:val="Heading6"/>
        <w:numPr>
          <w:ilvl w:val="5"/>
          <w:numId w:val="1"/>
        </w:numPr>
        <w:rPr/>
      </w:pPr>
      <w:bookmarkStart w:id="303" w:name="__RefHeading___Toc5145827_73709187"/>
      <w:bookmarkStart w:id="304" w:name="_Toc113"/>
      <w:bookmarkEnd w:id="303"/>
      <w:r>
        <w:rPr>
          <w:rtl w:val="true"/>
        </w:rPr>
        <w:t>الجهة الاُولی</w:t>
      </w:r>
      <w:r>
        <w:rPr>
          <w:rtl w:val="true"/>
        </w:rPr>
        <w:t xml:space="preserve">: </w:t>
      </w:r>
      <w:r>
        <w:rPr>
          <w:rtl w:val="true"/>
        </w:rPr>
        <w:t>ثمرة النزاع علی القول بجواز الاجتماع</w:t>
      </w:r>
      <w:bookmarkEnd w:id="304"/>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إنّهم ذکروا فی ثمرة النزاع أنّه بناء علی القول بجواز الاجتماع لا إشکال</w:t>
      </w:r>
    </w:p>
    <w:p>
      <w:pPr>
        <w:pStyle w:val="BookText"/>
        <w:rPr/>
      </w:pPr>
      <w:r>
        <w:rPr>
          <w:rFonts w:ascii="IRNazanin" w:hAnsi="IRNazanin" w:eastAsia="IRNazanin"/>
          <w:color w:val="111111"/>
          <w:sz w:val="28"/>
          <w:sz w:val="28"/>
          <w:szCs w:val="28"/>
          <w:rtl w:val="true"/>
          <w:lang w:bidi="fa-IR"/>
        </w:rPr>
        <w:t>فی صحّة الصلاة فی الدار المغصوبة و حصول الامتثال بها و إن کان معصیةً؛ للنهی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التحقیق یقتضی خلافه، و أنّ القائل بالجواز لا یمکن له القول بالصحّة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ینبغی أوّلاً حکایة ما ذکره المحقّق النائینی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فی تقریراته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وجه القول بجواز الاجتماع من المقدّمات التی لو تمّت یترتّب علیها صحّة الصلاة فی الدار المغصوبة، ثمّ بیان ما یمکن أن یورد علیه من الإیرادات، و هذه المقدّمات و إن کانت طویلةً؛ لما عرفت من کونها مصنوعةً لإثبات القول بالجواز، إلاّ أنّا نذکرها بطریق الاختصار، و نحیل التفصیل إلی مقامه،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بساطة المقولات، و أنّ ما به الاشتراک فیها عین ما به الامتیاز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تغایر المقولات بحسب الحقیقة و الهویّة و اعتبارها بشرط لا بالنسبة إلی أنفسها، فاجتماعها لا یعقل أن یکون علی نحو الاتّحاد بحیث یکون ما بحذاء أحدهما فی الخارج عین ما بحذاء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الحرکة فی کلّ مقولة عین تلک المقولة، و لا تکون الحرکة جنساً للمقولات حتّی یلزم الترکیب فیها، و لا هی أیضاً من الأعراض المستقلّة حتّی یلزم قیام عرض بعرض</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هذه المقدّمات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متعلّق الأمر و النهی؛ إذ الصلاة إنّما تکون من مقولة الوضع سواء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المأمور به فی مثل الرکوع و السجود هو الهیئة کما هو مختار الجواهر</w:t>
      </w:r>
      <w:r>
        <w:rPr>
          <w:rStyle w:val="FootnoteAnchor"/>
          <w:rtl w:val="true"/>
        </w:rPr>
        <w:footnoteReference w:id="128"/>
      </w:r>
      <w:r>
        <w:rPr>
          <w:rFonts w:ascii="IRNazanin" w:hAnsi="IRNazanin" w:eastAsia="IRNazanin"/>
          <w:color w:val="111111"/>
          <w:sz w:val="28"/>
          <w:sz w:val="28"/>
          <w:szCs w:val="28"/>
          <w:rtl w:val="true"/>
          <w:lang w:bidi="fa-IR"/>
        </w:rPr>
        <w:t>أو الفعل کما هو المختار، فیکون الانحناء إلی الرکوع أوضاعاً متلاصقة متّصلة، و الغصب إنّما یکون من مقولة الأین؛ إذ لیس الغصب</w:t>
      </w:r>
    </w:p>
    <w:p>
      <w:pPr>
        <w:pStyle w:val="BookText"/>
        <w:rPr/>
      </w:pPr>
      <w:r>
        <w:rPr>
          <w:rFonts w:ascii="IRNazanin" w:hAnsi="IRNazanin" w:eastAsia="IRNazanin"/>
          <w:color w:val="111111"/>
          <w:sz w:val="28"/>
          <w:sz w:val="28"/>
          <w:szCs w:val="28"/>
          <w:rtl w:val="true"/>
          <w:lang w:bidi="fa-IR"/>
        </w:rPr>
        <w:t>إلاّ عبارة عن شاغلیة الشخص للمکان، فتوهّم اجتماع الصلاة و الغصب فی الحرکة مع وحدتها مندفع بأنّه إن کان المراد من وحدة الحرکة وحدتها بالعدد بحیث تعدّ حرکة واحدة، فهذا ممّا لا ینفع، و إن کان المراد منها وحدة الحرکة الصلاتیة و الحرکة الغصبیة بالهویة و الحقیقة، فهذا ممّا لا یعقل؛ لاستدعاء ذلک اتّحاد المقولتین؛ لما عرفت من أنّ الحرکة فی کلّ مقولة عین تلک المقولة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الحرکة لا یعقل أن تکون بمنزلة الجنس للصلاة و الغصب، و بحیث یشترکان فیها و یمتازان بأمر آخر؛ للزوم الترکیب فی الأعراض، و لیست عرضاً آخر غیر المقولات؛ للزوم قیام العرض بالعرض، و هو محال، فلا بدّ من أن تکون الحرکة فی کلّ مقولة عین تلک المقولة، و حینئذٍ یظهر أنّه کما أنّ الصلاة مغایرة بالحقیقة للغصب، فکذا الحرکة الصلاتیة مغایرة للحرکة الغصبیة، و یکون فی المجمع حرکتان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حرکة صلاتیة، و حرکة غصبیة، و لیس المراد من الحرکة رفع الید و وضعه و حرکة الرأس و الرجل و وضعهما، فإنّ ذلک لا دخل له فی المقام حتّی یبحث عن أنّها واحدة أو متعدّدة، بل المراد من الحرکة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الحرکة الصلاتیة و الحرکة الغصبیة، و هما متعدّدتان، فلا محالة، فأین یلزم تعلّق الأمر و النهی بعین ما تعلّق به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مضافاً إلی أنّ الإضافة الحاصلة بین المکان و المکین و نسبته إلیه لا یعقل أن تختلف بین أن یکون المکین من مقولة الجوهر أو من مقولة الأعراض، و کما لا یعقل الترکیب الاتّحادی بین الجوهر و الإضافة فی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فی الدار، کذلک لا یعقل الترکیب الاتّحادی بین الضرب و الإضافة فی قولک</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ضرب زید فی الدار، أو الصلاة و الإضافة فی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زید فی الدار، و کما</w:t>
      </w:r>
    </w:p>
    <w:p>
      <w:pPr>
        <w:pStyle w:val="BookText"/>
        <w:rPr/>
      </w:pPr>
      <w:r>
        <w:rPr>
          <w:rFonts w:ascii="IRNazanin" w:hAnsi="IRNazanin" w:eastAsia="IRNazanin"/>
          <w:color w:val="111111"/>
          <w:sz w:val="28"/>
          <w:sz w:val="28"/>
          <w:szCs w:val="28"/>
          <w:rtl w:val="true"/>
          <w:lang w:bidi="fa-IR"/>
        </w:rPr>
        <w:t>لا یکون زید غصباً کذلک لا تکون الصلاة غصباً</w:t>
      </w:r>
      <w:r>
        <w:rPr>
          <w:rStyle w:val="FootnoteAnchor"/>
          <w:rtl w:val="true"/>
        </w:rPr>
        <w:footnoteReference w:id="1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 فی غایة التلخیص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الکلام لو تمّ لترتّب علیه صحّة الصلاة فی الدار المغصوبة؛ لأنّه بعد کون الحرکة الصلاتیة مغایرة للحرکة الغصبیة لا یکون المبغوض و المبعّد عن ساحة المولی بعینه محبوباً و مقرّباً للعبد نحو المولی حتّی یقال باستحالة کون المبعّد مقرّباً، فإنّ المبغوض هی الحرکة الغصبیة، و المحبوب هی الحرکة الصلاتیة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بعد فرض تعدّد الحرکة لا یبقی مجال للإشکال فی صحّة الصلاة؛ لعدم الارتباط بین الحرکتین، فالحرکة الصلاتیة تؤثّر فی القرب، و الغصبیة تؤثّر فی البعد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لکن یرد علی ما ذکره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الصلاة لیست بنفسها من المقولات؛ لأنّها مرکّب اعتباری، و اجزاؤها عبارة عن الحقائق المختلفة و الهویّات المتشتّتة، فلا یعقل أن تکون بنفسها مندرجةً تحت مقولة واحدة، و کذا الغصب لیس مندرجاً تحت مقولة أصلاً، فإنّه عبارة عن الاستیلاء و التسلّط علی مال الغیر عدواناً، و من المعلوم أنّ ذلک أمر اعتباری یعتبره العرف و العقلاء، و لیس من الاُمور الواقعیة و الحقائق، نظیر سلطة الشخص علی مال نفسه</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مضافاً إلی أنّ ما یتّحد مع الصلاة فی الدار المغصوبة لیس هو الغصب؛ لما عرفت من أنّه عبارة عن التسلّط علی مال الغیر عدواناً، و هذا المعنی ممّا لا یرتبط بالصلاة أصلاً، بل الذی یتّحد معها هو التصرّف فی مال الغیر بغیر إذنه، الذی محرّم آخر غیر الغصب، و بینهما عموم من وجه،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أنّ التصرّف جامع انتزاعی للأفعال المرتبطة إلی مال الغیر من الکون فیه و سائر التصرّفات، و لیس التصرّف بنفسه من المقولات أصلاً، بل المندرج تحتها إنّما هو مصادیق التصرّف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أنّ ما یکون مندرجاً تحت مقولة من المقولات من مصادیق التصرّف المتّحدة مع الصلاة إنّما هو الکون فی المکان المغصوب، الذی هو من مقولة الأین، و إلّا فالغصب و کذا التصرّف بعنوانه لیسا من المقولة أصلاً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الرکوع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الفعل الخاصّ الصادر من المکلّف کما هو الأقوی وفاقاً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یکون من مقولة الأین؛ لما ذکره المستدلّ من أنّ الحرکة فی کلّ مقولة عین تلک المقولة، فالرأس المتحیّز فی حیّز مخصوص إذا تحرّک منه إلی مکان آخر، یکون ذلک حرکة فی الأین، و إن کان بالإضافة إلی حدوث حالة اخری و کیفیة حادثة بالنسبة إلی أجزاء الإنسان بعضها مع بعض یکون حرکةً فی الوضع، و حینئذٍ فالرکوع الذی یکون حرکة واحدة أینیّة صار متعلّقاً للحبّ و البغض؛ لعدم کون المقولتین حینئذٍ متعدّداً حتّی یستحیل ترکیب الاتّحادی بینهما، بل صار کلٌّ من الرکوع و الکون فی مکان مغصوب، الذی هو مصداق للتصرّف فی مال الغیر مندرجاً تحت مقولة الأین، فصارت الحرکة حرکةً واحدة أینیّة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ما ذکرناه من أنّ مصادیق التصرّف فی مال الغیر تکون مندرجةً تحت المقولات فإنّما هو مبنی علی المسامحة، ضرورة أنّ المندرج تحتها إنّما هو مصداق ذات التصرّف، لا مقیّداً بکونه فی مال الغیر، فالکون فی المکان إنّما یکون مندرجاً تحت مقولة الأین، لا الکون فی المکان المغصوب، فإنّ غصبیة المکان خارج عن ذلک أصلاً</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أیضاً ممّا یورد به علی المستدلّ، فإنّه بعد العدول عن الغصب إلی</w:t>
      </w:r>
      <w:bookmarkStart w:id="305" w:name="pg11586_104764"/>
    </w:p>
    <w:p>
      <w:pPr>
        <w:pStyle w:val="BookText"/>
        <w:rPr/>
      </w:pPr>
      <w:bookmarkEnd w:id="305"/>
      <w:r>
        <w:rPr>
          <w:rFonts w:ascii="IRNazanin" w:hAnsi="IRNazanin" w:eastAsia="IRNazanin"/>
          <w:color w:val="111111"/>
          <w:sz w:val="28"/>
          <w:sz w:val="28"/>
          <w:szCs w:val="28"/>
          <w:rtl w:val="true"/>
          <w:lang w:bidi="fa-IR"/>
        </w:rPr>
        <w:t>التصرّف فی مال الغیر، و عنه إلی مصادیقه یبقی الإشکال فی عدم کون مصادیق التصرّف فی مال الغیر بما هی مصادیق له مندرجاً تحت مقولة؛ لما عرفت من عدم مدخلیة مال الغیر فی ذلک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من جمیع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المقرّب و المبعّد إنّما هو شیء واحد و أمر فارد، و هی الحرکة الأینیّة، و مع فرض کونه مبعّداً لا یمکن أن یکون مقرّباً، فلا یصلح أن یکون جزءاً للعمل العبادی أصلاً، فالصلاة فی الدار المغصوبة باطلة و لو علی القول بالجواز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فیما یتعلّق بالقول بالجواز</w:t>
      </w:r>
      <w:r>
        <w:rPr>
          <w:rFonts w:eastAsia="IRNazanin" w:cs="IRNazanin"/>
          <w:color w:val="111111"/>
          <w:sz w:val="28"/>
          <w:szCs w:val="28"/>
          <w:rtl w:val="true"/>
          <w:lang w:bidi="fa-IR"/>
        </w:rPr>
        <w:t>.</w:t>
      </w:r>
    </w:p>
    <w:p>
      <w:pPr>
        <w:pStyle w:val="Heading6"/>
        <w:numPr>
          <w:ilvl w:val="5"/>
          <w:numId w:val="1"/>
        </w:numPr>
        <w:rPr/>
      </w:pPr>
      <w:bookmarkStart w:id="306" w:name="__RefHeading___Toc5145829_73709187"/>
      <w:bookmarkStart w:id="307" w:name="_Toc114"/>
      <w:bookmarkEnd w:id="306"/>
      <w:r>
        <w:rPr>
          <w:rtl w:val="true"/>
        </w:rPr>
        <w:t>الجهة الثانیة</w:t>
      </w:r>
      <w:r>
        <w:rPr>
          <w:rtl w:val="true"/>
        </w:rPr>
        <w:t xml:space="preserve">: </w:t>
      </w:r>
      <w:r>
        <w:rPr>
          <w:rtl w:val="true"/>
        </w:rPr>
        <w:t>ثمرة النزاع علی القول بالامتناع و تقدیم جانب الأمر</w:t>
      </w:r>
      <w:bookmarkEnd w:id="307"/>
    </w:p>
    <w:p>
      <w:pPr>
        <w:pStyle w:val="BookText"/>
        <w:rPr/>
      </w:pPr>
      <w:r>
        <w:rPr>
          <w:rFonts w:ascii="IRNazanin" w:hAnsi="IRNazanin" w:eastAsia="IRNazanin"/>
          <w:color w:val="111111"/>
          <w:sz w:val="28"/>
          <w:sz w:val="28"/>
          <w:szCs w:val="28"/>
          <w:rtl w:val="true"/>
          <w:lang w:bidi="fa-IR"/>
        </w:rPr>
        <w:t>و أمّا بناء علی القول بالامتناع و تقدیم جانب الأمر فقد یقال بصحّة الصلاة مطلقاً، مثل ما إذا قیل بالجواز، غایة الأمر أنّه لا معصیة بناء علیه 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لا یخفی أنّه لا یتمّ ذلک بإطلاقه، بل إنّما یتمّ فیما لو لم تکن له مندوحة و لم یتمکّن من الامتثال فی غیر المکان الغصبی، و أمّا مع وجود المندوحة و التمکّن من الامتثال فی غیر الدار المغصوبة فظاهرٌ أنّه لو صلّی فیها لا تکون صلاته صحیحةً، ضرورة أنّ مزاحمة ملاک الصلاة لملاک الغصب و تقدیم الاُولی للأهمّیة لا یقتضی أزید من سقوط ملاک الثانی عن التأثیر فیما لو دار الأمر بین إتیان الاُولی أو ارتکاب الثانی</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الأمر بین إتیان الاُولی أو ارتکاب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الأمر بین امتثال الأمر و مخالفة النهی و بین موافقة النهی و مخالفة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لو تمکّن من امتثال الأمر و موافقة النهی معاً، فمن الواضح أنّه لا تسقط ملاک النهی عن التأثیر أصلاً</w:t>
      </w:r>
      <w:r>
        <w:rPr>
          <w:rFonts w:eastAsia="IRNazanin" w:cs="IRNazanin"/>
          <w:color w:val="111111"/>
          <w:sz w:val="28"/>
          <w:szCs w:val="28"/>
          <w:rtl w:val="true"/>
          <w:lang w:bidi="fa-IR"/>
        </w:rPr>
        <w:t>.</w:t>
      </w:r>
      <w:bookmarkStart w:id="308" w:name="pg11586_104765"/>
    </w:p>
    <w:p>
      <w:pPr>
        <w:pStyle w:val="BookText"/>
        <w:rPr/>
      </w:pPr>
      <w:bookmarkEnd w:id="308"/>
      <w:r>
        <w:rPr>
          <w:rFonts w:ascii="IRNazanin" w:hAnsi="IRNazanin" w:eastAsia="IRNazanin"/>
          <w:color w:val="111111"/>
          <w:sz w:val="28"/>
          <w:sz w:val="28"/>
          <w:szCs w:val="28"/>
          <w:rtl w:val="true"/>
          <w:lang w:bidi="fa-IR"/>
        </w:rPr>
        <w:t>و نظیر ذلک یتصوّر فی الأمرین، فإنّ أهمّیة إنقاذ الولد المأمور به بالنسبة إلی إنقاذ الأخ المأمور به أیضاً لا یقتضی إلاّ سقوط الأمر الثانی فی خصوص ما إذا دار الأمر بین إنقاذ الولد و الأخ بمعنی أنّه لم یمکن اجتماعهما، و أمّا فیما أمکن امتثال کلا الأمرین بإنقاذ کلا الغریقین، فلا یجدی الأهمّیة شیئاً أصلاً، کما هو واضح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بناء علی تقدیم جانب الأمر</w:t>
      </w:r>
      <w:r>
        <w:rPr>
          <w:rFonts w:eastAsia="IRNazanin" w:cs="IRNazanin"/>
          <w:color w:val="111111"/>
          <w:sz w:val="28"/>
          <w:szCs w:val="28"/>
          <w:rtl w:val="true"/>
          <w:lang w:bidi="fa-IR"/>
        </w:rPr>
        <w:t>.</w:t>
      </w:r>
    </w:p>
    <w:p>
      <w:pPr>
        <w:pStyle w:val="Heading6"/>
        <w:numPr>
          <w:ilvl w:val="5"/>
          <w:numId w:val="1"/>
        </w:numPr>
        <w:rPr/>
      </w:pPr>
      <w:bookmarkStart w:id="309" w:name="__RefHeading___Toc5145831_73709187"/>
      <w:bookmarkStart w:id="310" w:name="_Toc115"/>
      <w:bookmarkEnd w:id="309"/>
      <w:r>
        <w:rPr>
          <w:rtl w:val="true"/>
        </w:rPr>
        <w:t>الجهة الثالثة</w:t>
      </w:r>
      <w:r>
        <w:rPr>
          <w:rtl w:val="true"/>
        </w:rPr>
        <w:t xml:space="preserve">: </w:t>
      </w:r>
      <w:r>
        <w:rPr>
          <w:rtl w:val="true"/>
        </w:rPr>
        <w:t>ثمرة النزاع علی القول بالامتناع و تقدیم جانب النهی</w:t>
      </w:r>
      <w:bookmarkEnd w:id="310"/>
    </w:p>
    <w:p>
      <w:pPr>
        <w:pStyle w:val="BookText"/>
        <w:rPr/>
      </w:pPr>
      <w:r>
        <w:rPr>
          <w:rFonts w:ascii="IRNazanin" w:hAnsi="IRNazanin" w:eastAsia="IRNazanin"/>
          <w:color w:val="111111"/>
          <w:sz w:val="28"/>
          <w:sz w:val="28"/>
          <w:szCs w:val="28"/>
          <w:rtl w:val="true"/>
          <w:lang w:bidi="fa-IR"/>
        </w:rPr>
        <w:t>و أمّا بناء علی تقدیم جانب النهی فلا إشکال فی بطلان العبادة مع الالتفات إلی موضوع المحرّم و إلی تحریمه أو مع الجهل تقصیراً، ضرورة أنّ الفعل لا یصلح مع ذلک لأن یتقرّب به مع أنّه لا یکاد یتمشّی قصد التقرّب من الملتفت أصلاً، إنّما الإشکال فی بطلانها مع الجهل قصوراً</w:t>
      </w:r>
      <w:r>
        <w:rPr>
          <w:rFonts w:eastAsia="IRNazanin" w:cs="IRNazanin"/>
          <w:color w:val="111111"/>
          <w:sz w:val="28"/>
          <w:szCs w:val="28"/>
          <w:rtl w:val="true"/>
          <w:lang w:bidi="fa-IR"/>
        </w:rPr>
        <w:t>.</w:t>
      </w:r>
    </w:p>
    <w:p>
      <w:pPr>
        <w:pStyle w:val="Heading6"/>
        <w:numPr>
          <w:ilvl w:val="5"/>
          <w:numId w:val="1"/>
        </w:numPr>
        <w:rPr/>
      </w:pPr>
      <w:bookmarkStart w:id="311" w:name="__RefHeading___Toc5145833_73709187"/>
      <w:bookmarkStart w:id="312" w:name="_Toc116"/>
      <w:bookmarkEnd w:id="311"/>
      <w:r>
        <w:rPr>
          <w:rtl w:val="true"/>
        </w:rPr>
        <w:t>حکم العبادة مع الجهل عن قصور</w:t>
      </w:r>
      <w:bookmarkEnd w:id="312"/>
    </w:p>
    <w:p>
      <w:pPr>
        <w:pStyle w:val="BookText"/>
        <w:rPr/>
      </w:pPr>
      <w:r>
        <w:rPr>
          <w:rFonts w:ascii="IRNazanin" w:hAnsi="IRNazanin" w:eastAsia="IRNazanin"/>
          <w:color w:val="111111"/>
          <w:sz w:val="28"/>
          <w:sz w:val="28"/>
          <w:szCs w:val="28"/>
          <w:rtl w:val="true"/>
          <w:lang w:bidi="fa-IR"/>
        </w:rPr>
        <w:t>ظاهر الکفایة بل صریحها صحّة العبادة معه</w:t>
      </w:r>
      <w:r>
        <w:rPr>
          <w:rStyle w:val="FootnoteAnchor"/>
          <w:rtl w:val="true"/>
        </w:rPr>
        <w:footnoteReference w:id="13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یخفی أنّ إثبات الصحة موقوفة علی إثبات جهتین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المجمع مشتملاً علی کلا مناطی الحکمین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مناط الوجوب و مناط التحریم</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کفایة مناط الوجوب فی الصحة بعد سقوط مناط التحریم عن التأثیر فی الحکم الفعلی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الکلام فی الجهة الاُولی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ثبوت المضادّة و المنافرة بین مناطی الوجوب و التحریم کثبوت المضادّة بین أنفسهما، بل الأوّل أولی؛ لإمکان المناقشة فی التضادّ بین الأحکام، کما سیجیء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الواضح أنّ مناط الحکم و ملاکه إنّما یقوم بالموجود الخارجی، ضرورة أنّ شرب الخمر المتحقّق فی الواقع یکون ذا مفسدة لا عنوان شرب الخمر، و حینئذٍ فیُسأل عن القائل بالامتناع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المستند فی ذلک إلی ثبوت التضادّ بین الأحکام و أنّ متعلّق التکالیف هو فعل المکلّف و ما هو فی الخارج یصدر عنه و أنّ تعدّد العنوان لا یوجب تعدّد المعنون و أنّ الموجود بوجود واحد له ماهیّة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أنّه هل حامل المصلحة و المفسدة فی الوجود الخارجی هی الحیثیّة الواقعیة الواحدة أو الحیثیتین؟ فإن قال بالأوّل، فیردّه وضوح التضادّ بین المناطین، و إن قال بالثانی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أنّه لا بدّ من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فیرد علیه سؤال الفرق بین المناط و بین نفس الحکم، فإذا جاز قیام المصلحة بحیثیّة و قیام المفسدة بحیثیة اخری، فلِمَ لا یجوز کون الأمر متعلّقاً بالحیثیة الاُولی و النهی بالحیثیة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فلا یجتمع القول بالامتناع نظراً إلی أنّه تکلیف محال مع القول بکون المجمع مشتملاً علی کلا المناطین، فبعد ما کان المفروض هو القول بالامتناع و تقدیم جانب النهی لا یبقی مجال للقول بالصحّة أصلاً و لو قلنا بکفایة الملاک فی صحّة العبادة و عدم احتیاجها إلی تعلّق الأمر بها، ضرورة أنّه بناءً علی ما ذکرنا لا یکون المجمع إلاّ مشتملاً علی مناط التحریم فقط</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الکلام فی الجهة الثانیة،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سلّم کون المجمع واجداً للمناطین بناءً علی القول بالامتناع، فهل یکفی مناط الوجوب فی صحّة العبادة بعد فرض سقوط مناط التحریم عن التأثیر؟ و بعد فرض کفایة المناط فی صحّة العبادة و عدم الافتقار إلی تعلّق الأمر بها أم لا؟ 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تقریرات المحقّق</w:t>
      </w:r>
    </w:p>
    <w:p>
      <w:pPr>
        <w:pStyle w:val="BookText"/>
        <w:rPr/>
      </w:pPr>
      <w:r>
        <w:rPr>
          <w:rFonts w:ascii="IRNazanin" w:hAnsi="IRNazanin" w:eastAsia="IRNazanin"/>
          <w:color w:val="111111"/>
          <w:sz w:val="28"/>
          <w:sz w:val="28"/>
          <w:szCs w:val="28"/>
          <w:rtl w:val="true"/>
          <w:lang w:bidi="fa-IR"/>
        </w:rPr>
        <w:t xml:space="preserve">النائینی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بالعدم؛ نظراً إلی أنّ تصحیح العبادة بالملاک إنّما یکون بعد الفراغ عن ثبوت حکمها و تشریعه مطلقاً، غایة الأمر أنّه وقع التزاحم بین ذلک الحکم و بین حکم آخر فی مقام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خلاصة کلامه فی هذا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التزاحم قد یکون بین الحکمین، و قد یکون بین المقتضیین، مثل مورد الاجتماع، بناء علی القول بالامتناع، و بینهما بون بعید؛ فإنّ تزاحم الحکمین إنّما یکون فی مقام الفعلیّة و تحقّق الموضوع بعد الفراغ عن تشریعهما علی طبق موضوعاتهما المقدّر وجودها، و فی هذا القسم من التزاحم یکون لعلم المکلّف و جهله دخلٌ حیث إنّ الحکم المجهول لا یصلح أن یکون مزاحماً لغیره، فإنّه لا یکون شاغلاً لنفسه، فبأن لا یکون شاغلاً عن غیره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تزاحم المقتضیین فإنّما یکون فی مقام الجعل و التشریع حیث یتزاحم المقتضیان فی نفس الآمر و إرادته، و یقع الکسر و الانکسار بینهما فی ذلک المقام، و یکون لعلم الآمر و جهله دخل فی تزاحم المقتضیین حیث لو یعلم الآمر بثبوتهما لا یعقل أن یقع التزاحم بینهما، و علم المکلّف و جهله أجنبی عن ذلک؛ فإنّ عالم الجعل و التشریع إنّما یکون بید الآمر، و المأمور أجنبی عنه، کما أنّ عالم الامتثال إنّما یکون بید المکلّف، و الآمر أجنبی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أنّه بناءً علی الامتناع تندرج المسألة فی صغری التعارض؛ للزوم تعلّق الأمر حینئذٍ بعین ما تعلّق به النهی، و استلزامه اجتماع الضدّین فی واحد شخصی عدداً و هویّةً، و علیه لا بدّ من إعمال قواعد التعارض، و مع ترجیح جانب النهی لم یبق مجال للقول بالصحّة أصلاً؛ لما عرفت من أنّ فی هذا الباب لا دخل لعلم المکلّف و جهله أصلاً</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توهّم أنّ الصحّة عند الجهل إنّما هی لوجود الملاک و المقتضی، مدفوع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الملاک المغلوب بما هو أقوی منه و المکسور بغیره فی عالم الجعل و التشریع لا یصلح أن یکون موجباً للصحّة، فإنّ الموجب لها هو الملاک التامّ الذی لا یکون مکسوراً بما هو أقوی منه فی عالم التشریع</w:t>
      </w:r>
      <w:r>
        <w:rPr>
          <w:rStyle w:val="FootnoteAnchor"/>
          <w:rtl w:val="true"/>
        </w:rPr>
        <w:footnoteReference w:id="131"/>
      </w:r>
      <w:r>
        <w:rPr>
          <w:rFonts w:ascii="IRNazanin" w:hAnsi="IRNazanin" w:eastAsia="IRNazanin"/>
          <w:color w:val="111111"/>
          <w:sz w:val="28"/>
          <w:sz w:val="28"/>
          <w:szCs w:val="28"/>
          <w:rtl w:val="true"/>
          <w:lang w:bidi="fa-IR"/>
        </w:rPr>
        <w:t>انتهی ملخّص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بوقوع الکسر و الانکسار بین الملاکین لیس صیرورة الملاک المکسور و المغلوب معدوماً فی مقابل الملاک الغالب بحیث یکون الفعل مع تلک الغلبة مشتملاً علی ملاک الغالب فقط، بل المراد کونه جامعاً لکلا الملاکین، غایة الأمر أنّ أقوائیة ملاک الغالب صار مانعاً من تشریع الحکم علی طبق الملاک المغلوب، و حینئذٍ فیرد علیه سؤال الفرق بین صورتی التزاحم، 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التزاحم بین الحکمین و التزاحم بین المقتضیین، فإن قال فی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فی الثانی یرجع التقیید إلی مقام الثبوت و الواقع بمعنی أنّه یکون المأمور به مثلاً حینئذٍ فی المقام بناءً علی الامتناع و ترجیح جانب النهی هی الصلاة المقیّدة بما عدا الفرد المجامع للغصب، بخلاف الأوّل؛ فإنّ سقوط الأمر بالمهم مثلاً إنّما هو لعدم إمکان امتثالهما بعد الفراغ عن تشریعهما مطلقاً، فیرد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السقوط لا بدّ أن یرجع إلی التقیید، فإن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التقیید فی تزاحم المقتضیین إنّما هو فی مقام جعل الحکم الإنشائی، بخلاف تزاحم الحکمین، فإنّ التقیید إنّما هو فی مقام فعلیة الحکم، فیقال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نسلّم رجوع التقیید فی تزاحم المقتضیین إلی مقام جعل الحکم الإنشائی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إطلاق الحکم فیه یستلزم اللغویة، مدفوعة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بمنع لزومها بعد ظهور ثمرته فی صورة الجهل</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 فبعد کون ملاک الأمر تامّاً بمعنی کونه صالحاً لتعلّق الأمر به لو</w:t>
      </w:r>
      <w:bookmarkStart w:id="313" w:name="pg11586_104769"/>
    </w:p>
    <w:p>
      <w:pPr>
        <w:pStyle w:val="BookText"/>
        <w:rPr/>
      </w:pPr>
      <w:bookmarkEnd w:id="313"/>
      <w:r>
        <w:rPr>
          <w:rFonts w:ascii="IRNazanin" w:hAnsi="IRNazanin" w:eastAsia="IRNazanin"/>
          <w:color w:val="111111"/>
          <w:sz w:val="28"/>
          <w:sz w:val="28"/>
          <w:szCs w:val="28"/>
          <w:rtl w:val="true"/>
          <w:lang w:bidi="fa-IR"/>
        </w:rPr>
        <w:t>لم یمنع عنه مانع لا یبقی مجال للإشکال فی صحّة الصلاة بناءً علی هذا القول الفاسد لو قیل باشتمالها لها علی الملاک و بکفایة الملاک فی صحّة العبادة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لکنّک عرفت أنّ المقدّمة الاُولی ممنوعة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هنا انقدح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یمکن أن یستکشف من مجرّد حکم المشهور بالصحّة فی موارد العذر أنّهم قائلون بالجواز؛ نظراً إلی أنّه بناء علی الامتناع تکون الصلاة فاسدةً مطلقاً، فإنّک عرفت أنّ الحکم بالصحّة لا ینافی القول بالامتناع، فتأمّل جیّداً</w:t>
      </w:r>
      <w:r>
        <w:rPr>
          <w:rFonts w:eastAsia="IRNazanin" w:cs="IRNazanin"/>
          <w:color w:val="111111"/>
          <w:sz w:val="28"/>
          <w:szCs w:val="28"/>
          <w:rtl w:val="true"/>
          <w:lang w:bidi="fa-IR"/>
        </w:rPr>
        <w:t>.</w:t>
      </w:r>
    </w:p>
    <w:p>
      <w:pPr>
        <w:pStyle w:val="Heading5"/>
        <w:numPr>
          <w:ilvl w:val="4"/>
          <w:numId w:val="1"/>
        </w:numPr>
        <w:rPr/>
      </w:pPr>
      <w:bookmarkStart w:id="314" w:name="__RefHeading___Toc5145835_73709187"/>
      <w:bookmarkStart w:id="315" w:name="_Toc117"/>
      <w:bookmarkEnd w:id="314"/>
      <w:r>
        <w:rPr>
          <w:rtl w:val="true"/>
        </w:rPr>
        <w:t>الأمر السابع</w:t>
      </w:r>
      <w:r>
        <w:rPr>
          <w:rtl w:val="true"/>
        </w:rPr>
        <w:t xml:space="preserve">: </w:t>
      </w:r>
      <w:r>
        <w:rPr>
          <w:rtl w:val="true"/>
        </w:rPr>
        <w:t>شمول النزاع للعنوانین بینهما عموم و خصوص مطلقاً</w:t>
      </w:r>
      <w:bookmarkEnd w:id="315"/>
    </w:p>
    <w:p>
      <w:pPr>
        <w:pStyle w:val="BookText"/>
        <w:rPr/>
      </w:pPr>
      <w:r>
        <w:rPr>
          <w:rFonts w:ascii="IRNazanin" w:hAnsi="IRNazanin" w:eastAsia="IRNazanin"/>
          <w:color w:val="111111"/>
          <w:sz w:val="28"/>
          <w:sz w:val="28"/>
          <w:szCs w:val="28"/>
          <w:rtl w:val="true"/>
          <w:lang w:bidi="fa-IR"/>
        </w:rPr>
        <w:t>لا إشکال فی دخول العامّین من وجه فی الجملة فی مورد النزاع و محلّ البحث، کما أنّه لا إشکال فی خروج المتباینین عنه؛ لعدم شمول ظاهر عنوان النزاع له، مضافاً إلی وضوح إمکان تعلّق الأمر بشیء و النهی بمباینه، و کذلک لا إشکال أیضاً فی خروج المتساویین عن محلّ النزاع و إن کان ظاهر العنوان التعمیم؛ ضرورة استحالة تعلّق الأمر و النهی بهما، إنّما الإشکال و الکلام فی دخول العامّین مطلقاً، فقد یقال بالخروج، کما عن المحقّقین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القمّی و النائینی</w:t>
      </w:r>
      <w:r>
        <w:rPr>
          <w:rStyle w:val="FootnoteAnchor"/>
          <w:rtl w:val="true"/>
        </w:rPr>
        <w:footnoteReference w:id="132"/>
      </w:r>
      <w:r>
        <w:rPr>
          <w:rFonts w:ascii="IRNazanin" w:hAnsi="IRNazanin" w:eastAsia="IRNazanin"/>
          <w:color w:val="111111"/>
          <w:sz w:val="28"/>
          <w:sz w:val="28"/>
          <w:szCs w:val="28"/>
          <w:rtl w:val="true"/>
          <w:lang w:bidi="fa-IR"/>
        </w:rPr>
        <w:t>و جماعة اخری، و قد یقال بالدخول، کما عن صاحب الفصول قدس سره</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التحقیق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العامّین مطلقاً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لا یکون عنوان العامّ مأخوذاً فی عنوان الخاصّ و مفهومه، بل مفهومهما متغایران، غایة الأمر أنّ</w:t>
      </w:r>
    </w:p>
    <w:p>
      <w:pPr>
        <w:pStyle w:val="BookText"/>
        <w:rPr/>
      </w:pPr>
      <w:r>
        <w:rPr>
          <w:rFonts w:ascii="IRNazanin" w:hAnsi="IRNazanin" w:eastAsia="IRNazanin"/>
          <w:color w:val="111111"/>
          <w:sz w:val="28"/>
          <w:sz w:val="28"/>
          <w:szCs w:val="28"/>
          <w:rtl w:val="true"/>
          <w:lang w:bidi="fa-IR"/>
        </w:rPr>
        <w:t>المفهومین متصادقان فی الخارج تصادقاً کلّیّاً من جانب الخصوص و جزئیّاً من جانب العموم، و قسم یکون مفهوم العامّ مأخوذاً فی عنوان الخاصّ، و هو الذی یعبّر عنه بالمطلق و المقیّد، کالصلاة المأخوذة فی عنوان الصلاة فی الدار الغصبیة، و ظاهر العبارة المحکیة عن صاحب الفصول بل صریحها دخول القسم الأوّل فقط فی مورد النزاع، و الحقّ دخول القسمین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 بعد فرض کون العنوانین متغایرین لا یبقی فرق بینه و بین العامّین من وجه؛ ضرورة أنّه لو کان مجرّد التصادق الموجود الخارجی مانعاً عن تعلّق الأمر و النهی بالمفهومین المتصادقین، فهذه العلّة مشترکة بینه و بین العامّین من وجه و لو لم یکن ذلک مانعاً باعتبار أنّ متعلّق الحکم إنّما هو نفس العناوین و المفاهیم، فبعد فرض ثبوت التغایر بین العنوانین فی المقام لا یبقی مجال لتوهّم الفرق أصلاً،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یقال بخروجه عن محلّ البحث؛ نظراً إلی سرایة حکم المطلق إلی المقیّد؛ فإنّ المطلق المأخوذ متعلّقاً للحکم لیس ما یکون قید الإطلاق جزءاً له و مأخوذاً فیه، بل المراد هی الطبیعة المجرّدة اللّابشرط، و حینئذٍ فیسری حکمها إلی المقیّد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الحکم المتعلّق بالمقیّد و إن لم یکن ساریاً من متعلّقه إلی المطلق إلاّ أنّ حکم المطلق یسری إلی المقیّد؛ إذ لیس المطلق منافیاً له، و السرایة من طرف واحد تکفی فی ثبوت استحالة الاجتماع، کما لا یخفی</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لا یذهب علیک أنّ اتّحاد المطلق و المقیّد إنّما یکون بحسب الخارج، و أمّا بحسب المفهوم فهما متغایران، ضرورة تغایر مفهوم طبیعة الصلاة مع مفهوم الصلاة فی الدار الغصبیة، و حینئذٍ فلا یبقی مجال للإشکال فی دخوله فی محلّ النزاع؛ لأنّ الضابط فیه هو کلّ عنوانین متغایرین المتصادقین علی وجود</w:t>
      </w:r>
    </w:p>
    <w:p>
      <w:pPr>
        <w:pStyle w:val="BookText"/>
        <w:rPr/>
      </w:pPr>
      <w:r>
        <w:rPr>
          <w:rFonts w:ascii="IRNazanin" w:hAnsi="IRNazanin" w:eastAsia="IRNazanin"/>
          <w:color w:val="111111"/>
          <w:sz w:val="28"/>
          <w:sz w:val="28"/>
          <w:szCs w:val="28"/>
          <w:rtl w:val="true"/>
          <w:lang w:bidi="fa-IR"/>
        </w:rPr>
        <w:t>خارجی، و هذا المعنی متحقّق فی المطلق و المقیّد، فالحق دخول کلا القسمین فی مورد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العامّان من وجه فقد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دخوله فی محلّ النزاع لیس علی الإطلاق، بل الظاهر اشتراطه ببعض القیود، و هو أن تکون هذه النسبة متحقّقةً بین نفس الفعلین الصادرین عن المکلّف بإرادة و اختیار من دون واسطة مع کون الترکیب بینهما انضمامیّاً لا اتّحادیّاً، و أمّا إذا کانت النسبة ثابتةً بین الموضوعین، کما فی العالم و الفاسق فی مثل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 العالم، و لا تکرم الفاسق، فهو خارج عن محلّ البحث؛ لأنّ الترکیب فی مثل ذلک یکون علی جهة الاتّحاد، و یکون متعلّق الأمر بعینه هو متعلّق النهی، بل هو مندرج فی باب التعارض، کما أنّه لیس من مسألة الاجتماع ما إذا کانت النسبة بین العناوین المتولّدة من الفعل الصادر عن المکلّف کما لو قام فی المثال المتقدّم بقصد تعظیم العالم و الفاسق معاً، فإنّ القیام فعل واحد تولّد من إکرام العالم المأمور به و إکرام الفاسق المنهی عنه</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وجه خروجه عن محلّ النزاع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لمّا کانت تلک العناوین من المسبّبات التولیدیّة التی لم تتعلّق إرادة المکلّف بها أوّلاً و بالذات؛ لکونها غیر مقدورة له بلا واسطة، فلا جرم یکون متعلّق التکلیف هو السبب الذی یتولّد منه ذلک، و من المعلوم أنّه فعل واحد بالحقیقة و الهویّة، فلا یمکن أن یتعلّق بها الحکمان، بل نفس کون النسبة بین الفعلین الصادرین من المکلّف العموم من وجه لا یکفی ما لم یکن الترکیب انضمامیّاً، فمثل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اشرب الماء و لا تغصب، فیما إذا شرب الماء المغصوب خارج عن مورد النزاع؛ فإنّ شرب الماء بنفسه یکون مصداقاً لکلٍّ من متعلّقی الأمر و النهی، و لا بدّ فی مثل ذلک من إعمال قواعد التعارض، و هذا بخلاف شرب الماء المباح فی المکان المغصوب؛ فإنّه من مسألة الاجتماع، کما لا یخفی</w:t>
      </w:r>
      <w:r>
        <w:rPr>
          <w:rFonts w:eastAsia="IRNazanin" w:cs="IRNazanin"/>
          <w:color w:val="111111"/>
          <w:sz w:val="28"/>
          <w:szCs w:val="28"/>
          <w:rtl w:val="true"/>
          <w:lang w:bidi="fa-IR"/>
        </w:rPr>
        <w:t>.</w:t>
      </w:r>
      <w:bookmarkStart w:id="316" w:name="pg11586_104772"/>
    </w:p>
    <w:p>
      <w:pPr>
        <w:pStyle w:val="BookText"/>
        <w:rPr/>
      </w:pPr>
      <w:bookmarkEnd w:id="316"/>
      <w:r>
        <w:rPr>
          <w:rFonts w:ascii="IRNazanin" w:hAnsi="IRNazanin" w:eastAsia="IRNazanin"/>
          <w:color w:val="111111"/>
          <w:sz w:val="28"/>
          <w:sz w:val="28"/>
          <w:szCs w:val="28"/>
          <w:rtl w:val="true"/>
          <w:lang w:bidi="fa-IR"/>
        </w:rPr>
        <w:t>و السرّ فی ذلک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کلاًّ من الأمر و النهی تعلّق بموضوع خارجی ففیما إذا کان الترکیب اتّحادیاً یلزم أن یتعلّق کلٌّ منهما بعین ما تعلّق به الآخر، و هذا ممّا لا شکّ فی استحالته</w:t>
      </w:r>
      <w:r>
        <w:rPr>
          <w:rStyle w:val="FootnoteAnchor"/>
          <w:rtl w:val="true"/>
        </w:rPr>
        <w:footnoteReference w:id="1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ملخّص ما فی تقریرات المحقّق النائینی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خبیر بعدم تمامیّة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اعتبار کون الترکیب اتّحادیاً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الوجه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اعترف به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و النهی إنّما یتعلّق کلّ واحد منهما بموضوع خارجی، و نحن سنبیّن فساد ذلک مفصّلاً، فانتظر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کون متعلّق التکالیف فی العناوین التولیدیة هی السبب الذی یتولّد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عرفت سابقاً أنّه لا وجه لصرف الأمر عن المسبّب بعد کونه مقدوراً و لو مع الواسطة؛ إذ هذا المقدار من المقدوریة کافٍ فی تصحیح تعلّق التکلیف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فانقدح من جمیع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العامّین من وجه مطلقاً و کذا العامّین مطلقاً بقسمیه داخل فی محلّ النزاع</w:t>
      </w:r>
      <w:r>
        <w:rPr>
          <w:rFonts w:eastAsia="IRNazanin" w:cs="IRNazanin"/>
          <w:color w:val="111111"/>
          <w:sz w:val="28"/>
          <w:szCs w:val="28"/>
          <w:rtl w:val="true"/>
          <w:lang w:bidi="fa-IR"/>
        </w:rPr>
        <w:t>.</w:t>
      </w:r>
    </w:p>
    <w:p>
      <w:pPr>
        <w:pStyle w:val="Heading4"/>
        <w:numPr>
          <w:ilvl w:val="3"/>
          <w:numId w:val="1"/>
        </w:numPr>
        <w:rPr/>
      </w:pPr>
      <w:bookmarkStart w:id="317" w:name="__RefHeading___Toc5145837_73709187"/>
      <w:bookmarkStart w:id="318" w:name="_Toc118"/>
      <w:bookmarkEnd w:id="317"/>
      <w:r>
        <w:rPr>
          <w:rtl w:val="true"/>
        </w:rPr>
        <w:t>التحقیق فی جواز الاجتماع</w:t>
      </w:r>
      <w:bookmarkEnd w:id="318"/>
    </w:p>
    <w:p>
      <w:pPr>
        <w:pStyle w:val="Heading5"/>
        <w:numPr>
          <w:ilvl w:val="4"/>
          <w:numId w:val="1"/>
        </w:numPr>
        <w:rPr/>
      </w:pPr>
      <w:bookmarkStart w:id="319" w:name="__RefHeading___Toc5145839_73709187"/>
      <w:bookmarkStart w:id="320" w:name="_Toc119"/>
      <w:bookmarkEnd w:id="319"/>
      <w:r>
        <w:rPr>
          <w:rtl w:val="true"/>
        </w:rPr>
        <w:t>اشارة</w:t>
      </w:r>
      <w:bookmarkEnd w:id="320"/>
    </w:p>
    <w:p>
      <w:pPr>
        <w:pStyle w:val="BookText"/>
        <w:rPr/>
      </w:pPr>
      <w:r>
        <w:rPr>
          <w:rFonts w:ascii="IRNazanin" w:hAnsi="IRNazanin" w:eastAsia="IRNazanin"/>
          <w:color w:val="111111"/>
          <w:sz w:val="28"/>
          <w:sz w:val="28"/>
          <w:szCs w:val="28"/>
          <w:rtl w:val="true"/>
          <w:lang w:bidi="fa-IR"/>
        </w:rPr>
        <w:t>إذا عرفت هذه الاُمور، فاعلم أنّ الأقوی فی المسألة هو القول بالجواز، و تحقیق ذلک یتمّ برسم مقدّمات</w:t>
      </w:r>
      <w:r>
        <w:rPr>
          <w:rFonts w:eastAsia="IRNazanin" w:cs="IRNazanin"/>
          <w:color w:val="111111"/>
          <w:sz w:val="28"/>
          <w:szCs w:val="28"/>
          <w:rtl w:val="true"/>
          <w:lang w:bidi="fa-IR"/>
        </w:rPr>
        <w:t>:</w:t>
      </w:r>
    </w:p>
    <w:p>
      <w:pPr>
        <w:pStyle w:val="Heading5"/>
        <w:numPr>
          <w:ilvl w:val="4"/>
          <w:numId w:val="1"/>
        </w:numPr>
        <w:rPr/>
      </w:pPr>
      <w:bookmarkStart w:id="321" w:name="__RefHeading___Toc5145841_73709187"/>
      <w:bookmarkStart w:id="322" w:name="_Toc120"/>
      <w:bookmarkEnd w:id="321"/>
      <w:r>
        <w:rPr>
          <w:rtl w:val="true"/>
        </w:rPr>
        <w:t>المقدّمة الاُولی</w:t>
      </w:r>
      <w:r>
        <w:rPr>
          <w:rtl w:val="true"/>
        </w:rPr>
        <w:t>:</w:t>
      </w:r>
      <w:bookmarkEnd w:id="322"/>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الحکم الوجوبی أو التحریمی المتعلّق إلی طبیعة لا یسری منها إلی مقارناته الوجودیة و ملازماته العینیة، ضرورة أنّ تعلّق</w:t>
      </w:r>
      <w:bookmarkStart w:id="323" w:name="pg11586_104773"/>
    </w:p>
    <w:p>
      <w:pPr>
        <w:pStyle w:val="BookText"/>
        <w:rPr/>
      </w:pPr>
      <w:bookmarkEnd w:id="323"/>
      <w:r>
        <w:rPr>
          <w:rFonts w:ascii="IRNazanin" w:hAnsi="IRNazanin" w:eastAsia="IRNazanin"/>
          <w:color w:val="111111"/>
          <w:sz w:val="28"/>
          <w:sz w:val="28"/>
          <w:szCs w:val="28"/>
          <w:rtl w:val="true"/>
          <w:lang w:bidi="fa-IR"/>
        </w:rPr>
        <w:t>الحکم بها إنّما هو لأجل الملاک المتحقّق فیها؛ إذ لا یعقل أن یصدر من الحاکم حکم متعلّق بشیء من دون أن یکون ملاک ذلک الحکم متحقّقاً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نظیر الإرادة التکوینیة المتعلّقة بالأفعال الخارجیة، فإنّه کما لا یعقل تعلّق الإرادة بشیء من دون حصول مبادئها من تصوّر ذلک الشیء و التصدیق بفائدته و غیرهما فکذلک لا یعقل البعث إلیه مثلاً من دون أن یکون فیه خصوصیة مقتضیة له و حیثیة موجبة لتحقّقه، و حینئذٍ فبعد ما کان المفروض أنّ المقارنات الوجودیة و الملازمات العینیة ممّا لا مدخلیة لها أصلاً فی ثبوت الملاک المقتضی للبعث أو الزجر، ضرورة أنّه لو کان کذلک لکانت الطبیعة متقیّدةً بها متعلّقة للأمر أو النهی، و المفروض خلافه، فلا یبقی مجال لتوهّم سرایة الحکم من الطبیعة إلیها أصلاً، کما هو أوضح من أن یخفی</w:t>
      </w:r>
      <w:r>
        <w:rPr>
          <w:rFonts w:eastAsia="IRNazanin" w:cs="IRNazanin"/>
          <w:color w:val="111111"/>
          <w:sz w:val="28"/>
          <w:szCs w:val="28"/>
          <w:rtl w:val="true"/>
          <w:lang w:bidi="fa-IR"/>
        </w:rPr>
        <w:t>.</w:t>
      </w:r>
    </w:p>
    <w:p>
      <w:pPr>
        <w:pStyle w:val="Heading5"/>
        <w:numPr>
          <w:ilvl w:val="4"/>
          <w:numId w:val="1"/>
        </w:numPr>
        <w:rPr/>
      </w:pPr>
      <w:bookmarkStart w:id="324" w:name="__RefHeading___Toc5145843_73709187"/>
      <w:bookmarkStart w:id="325" w:name="_Toc121"/>
      <w:bookmarkEnd w:id="324"/>
      <w:r>
        <w:rPr>
          <w:rtl w:val="true"/>
        </w:rPr>
        <w:t>المقدّمة الثانیة</w:t>
      </w:r>
      <w:r>
        <w:rPr>
          <w:rtl w:val="true"/>
        </w:rPr>
        <w:t>:</w:t>
      </w:r>
      <w:bookmarkEnd w:id="325"/>
    </w:p>
    <w:p>
      <w:pPr>
        <w:pStyle w:val="BookText"/>
        <w:rPr/>
      </w:pPr>
      <w:r>
        <w:rPr>
          <w:rFonts w:ascii="IRNazanin" w:hAnsi="IRNazanin" w:eastAsia="IRNazanin"/>
          <w:color w:val="111111"/>
          <w:sz w:val="28"/>
          <w:sz w:val="28"/>
          <w:szCs w:val="28"/>
          <w:rtl w:val="true"/>
          <w:lang w:bidi="fa-IR"/>
        </w:rPr>
        <w:t>أنّ معنی الإطلاق لیس عبارة عن لحاظ سریان الحکم إلی جمیع الخصوصیات و الأفراد بحیث کان معنی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أعتق رقبة، مثلاً راجعاً 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أعتق رقبة سواء کانت مؤمنة أو فاسقة؛ لأنّه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أنّه لو کان معنی الإطلاق ذلک یلزم عدم الفرق بینه و بین العموم کما لا یخفی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یعقل أن تکون الطبیعة مرآةً للخصوصیّات و حاکیةً لها، ضرورة ثبوت المباینة بینها و بین تلک الخصوصیات فی عالم المفهوم، فکیف یمکن أن یکون لفظ الإنسان مثلاً حاکیاً عن الطول و القصر مثلاً مع أنّهما مفهومان متغایران</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فالتحقیق أنّ لفظ الإنسان لا یحکی إلاّ عمّا جعل ذلک اللّفظ موضوعاً بإزائه، و هو طبیعة الإنسانیة، بل الإطلاق عبارة عن عدم مدخلیة شیء من القیود فی متعلّق الحکم، فإنّ المتکلّم المختار بعد ما فرض کونه بصدد بیان تمام متعلّق حکمه و مع ذلک لم یأخذ شیئاً من الخصوصیات لیستکشف العقل أنّ هذا تمام موضوع حکمه، و لا مدخلیة لشیء آخر فیه أصلاً، ففی الحقیقة لا یکون</w:t>
      </w:r>
      <w:bookmarkStart w:id="326" w:name="pg11586_104774"/>
    </w:p>
    <w:p>
      <w:pPr>
        <w:pStyle w:val="BookText"/>
        <w:rPr/>
      </w:pPr>
      <w:bookmarkEnd w:id="326"/>
      <w:r>
        <w:rPr>
          <w:rFonts w:ascii="IRNazanin" w:hAnsi="IRNazanin" w:eastAsia="IRNazanin"/>
          <w:color w:val="111111"/>
          <w:sz w:val="28"/>
          <w:sz w:val="28"/>
          <w:szCs w:val="28"/>
          <w:rtl w:val="true"/>
          <w:lang w:bidi="fa-IR"/>
        </w:rPr>
        <w:t>الإطلاق من الدلالات اللفظیة، بل من الدلالات العقلیة، نظیر حکم العقل بکون معنی اللّفظ الصادر من المتکلّم المختار مراداً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فالإطلاق عبارة عن تمامیة ما جعل متعلّقاً للحکم من حیث کونه متعلّقاً له بمعنی عدم مدخلیة شیء آخر فیه، و أین هذا ممّا ذکر من أنّه عبارة عن ملاحظة الشمول و السریان، و قد عرفت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اشتهر بینهم من أنّ الطبیعة اللابشرط یجتمع مع ألف شرط لیس معناه اتّحادها مع الشروط فی عالم المفهومیة بحیث تکون حاکیةً لها و کاشفةً عنها، بل معناه عدم إبائها عن اتّحاد بعض المفاهیم الاُخر معها فی عالم الوجود الذی هو جامع العناوین المختلفة و المفاهیم المتشتّتة، و إلّا فکیف یمکن أن یکشف بعض المفاهیم عن البعض الآخر فی عالم المفهومیة مع ثبوت الاختلاف بینهما، کما هو واضح</w:t>
      </w:r>
      <w:r>
        <w:rPr>
          <w:rFonts w:eastAsia="IRNazanin" w:cs="IRNazanin"/>
          <w:color w:val="111111"/>
          <w:sz w:val="28"/>
          <w:szCs w:val="28"/>
          <w:rtl w:val="true"/>
          <w:lang w:bidi="fa-IR"/>
        </w:rPr>
        <w:t>.</w:t>
      </w:r>
    </w:p>
    <w:p>
      <w:pPr>
        <w:pStyle w:val="Heading5"/>
        <w:numPr>
          <w:ilvl w:val="4"/>
          <w:numId w:val="1"/>
        </w:numPr>
        <w:rPr/>
      </w:pPr>
      <w:bookmarkStart w:id="327" w:name="__RefHeading___Toc5145845_73709187"/>
      <w:bookmarkStart w:id="328" w:name="_Toc122"/>
      <w:bookmarkEnd w:id="327"/>
      <w:r>
        <w:rPr>
          <w:rtl w:val="true"/>
        </w:rPr>
        <w:t xml:space="preserve">المقدّمة الثالثة </w:t>
      </w:r>
      <w:r>
        <w:rPr>
          <w:rtl w:val="true"/>
        </w:rPr>
        <w:t xml:space="preserve">- </w:t>
      </w:r>
      <w:r>
        <w:rPr>
          <w:rtl w:val="true"/>
        </w:rPr>
        <w:t xml:space="preserve">التی هی العمدة فی هذا الباب </w:t>
      </w:r>
      <w:r>
        <w:rPr>
          <w:rtl w:val="true"/>
        </w:rPr>
        <w:t>-:</w:t>
      </w:r>
      <w:bookmarkEnd w:id="328"/>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متعلّق التکالیف و الأحکام إنّما هی نفس الطبائع و العناوین، لا الطبیعة الموجودة فی العین و لا الماهیّة المتحقّقة فی الذهن، فاتّصافها بکونها موجودةً فی الذهن أو الخارج خارج عن مرحلة تعلّق الأحکام بها، نظیر سائر الأحکام الطارئة علی الطبائع من الکلّیة و الاشتراک و نحوهما، ضرورة أنّ الطبیعة الموجودة فی الخارج لا یعقل أن تتّصف بالکلّیة؛ لإبائها عن الصدق علی الکثیرین، و کذا الطبیعة بوصف وجودها فی الذهن، بداهة أنّها أیضاً تکون جزئیّاً غیر قابل للصدق و اتّصافها بوصف الکلّیة و الاشتراک و نحوهما و إن کان فی الذهن إلاّ أنّه لا ینافی ذلک کون المعروض لهما إنّما هی نفس الطبیعة بلا ملاحظة وجودها الذهنی، ضرورة أنّه بمجرّد تصوّرها یحمل علیه تلک الأحکام، و لو کان اتّصافها بالوجود الذهنی دخیلاً فی هذا الحمل، لاحتاج إلی تصوّر آخر متعلّقاً بالطبیعة متقیّدة</w:t>
      </w:r>
    </w:p>
    <w:p>
      <w:pPr>
        <w:pStyle w:val="BookText"/>
        <w:rPr/>
      </w:pPr>
      <w:r>
        <w:rPr>
          <w:rFonts w:ascii="IRNazanin" w:hAnsi="IRNazanin" w:eastAsia="IRNazanin"/>
          <w:color w:val="111111"/>
          <w:sz w:val="28"/>
          <w:sz w:val="28"/>
          <w:szCs w:val="28"/>
          <w:rtl w:val="true"/>
          <w:lang w:bidi="fa-IR"/>
        </w:rPr>
        <w:t>بکونها متصوّرة بالتصوّر الأوّلی؛ إذ التصوّر الأوّل إنّما تعلّق بنفس الطبیعة فقط، و لا یعقل أن یتعلّق بها مع وصف کونها متصوّرةً بهذا التصوّر،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فلا إشکال فی کون المعروض لوصف الکلّیة و الاشتراک و نحوهما إنّما هی الطبیعة المجرّدة عن الوجود العینی و الذهنی، و إنّما الإشکال فی متعلّق الأحکام و أنّه هل متعلّقاتها هی نفس الطبائع مع قطع النظر عن الوجودین و إن کان ظرف التعلّق الذهن، نظیر الکلّیة المعروضة لها فی الذهن و لکن لم یکن ذلک مأخوذاً علی نحو القضیة الشرطیة، بل علی نحو القضیة الحینیّة، و إلّا لما کان یعرض لها بمجرّد تصوّرها و وجودها فی الذهن؛ إذ لا یمکن فی هذا اللحاظ تصوّر تعلّق اللحاظ بها أیضاً، کما هو واضح، أو أنّ متعلّقات الأحکام هی الطبائع المتّصفة بالوجود الذهنی، أو أنّ متعلّقاتها هی الطبائع المنصبغة بصبغة الوجود الخارجی؟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یقضی بأنّ معروض الأحکام هو بعینه معروض الکلّیة و الاشتراک و نحوهما من لوازم نفس الماهیّات مع قطع النظر عن الوجودین، و ذلک لأنّه لو کانت الأحکام متعلّقةً بالطبائع مع اتّصافها بوجودها فی الذهن، لکان امتثالها ممتنعاً؛ إذ لا یعقل انطباق الموجود فی الذهن بوصف کونه موجوداً فیه علی الخارج؛ لأنّه أیضاً نظیر الموجودات الخارجیة یکون جزئیّاً و متشخّصاً، و لازمه الإباء عن الصدق، کما هو واضح</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کانت الأحکام موضوعاتها هی الطبائع الموجودة فی الخارج یلزم أن یکون تحقّقها متوقّفاً علی وجودها فی الخارج؛ إذ لا یعقل تقدّم الحکم علی متعلّقه، و من الواضح أنّ الغرض من البعث مثلاً إنّما هو انبعاث المکلّف بعد العلم به و بما یترتّب علی مخالفته من استحقاق العقوبة و علی موافقته من استحقاق المثوبة و یتحرّک عضلاته نحو المبعوث إلیه، فالبعث متقدّم علی الانبعاث</w:t>
      </w:r>
    </w:p>
    <w:p>
      <w:pPr>
        <w:pStyle w:val="BookText"/>
        <w:rPr/>
      </w:pPr>
      <w:r>
        <w:rPr>
          <w:rFonts w:ascii="IRNazanin" w:hAnsi="IRNazanin" w:eastAsia="IRNazanin"/>
          <w:color w:val="111111"/>
          <w:sz w:val="28"/>
          <w:sz w:val="28"/>
          <w:szCs w:val="28"/>
          <w:rtl w:val="true"/>
          <w:lang w:bidi="fa-IR"/>
        </w:rPr>
        <w:t>المتقدّم علی تحقّق المبعوث إلیه، فکیف یمکن أن یکون متأخّراً عنه مع استلزام ذلک للّغویة؛ لأنّه بعد تحقّق المبعوث إلیه المشتمل علی المصلحة التی هی الباعثة علی تعلّق البعث به یکون طلبه تحصیلاً للحاصل فی الأوامر، و بعد تحقّق المزجور عنه فی النواهی یکون الزجر عنه مستلزماً لطلب أعدام ما هو حاصل بنحو لم یحصل، و کلاهما مستحیل بداهة، و لعمری أنّ سخافة هذا الاحتمال الذی هو ظاهر بعض الأعلام</w:t>
      </w:r>
      <w:r>
        <w:rPr>
          <w:rStyle w:val="FootnoteAnchor"/>
          <w:rtl w:val="true"/>
        </w:rPr>
        <w:footnoteReference w:id="135"/>
      </w:r>
      <w:r>
        <w:rPr>
          <w:rFonts w:ascii="IRNazanin" w:hAnsi="IRNazanin" w:eastAsia="IRNazanin"/>
          <w:color w:val="111111"/>
          <w:sz w:val="28"/>
          <w:sz w:val="28"/>
          <w:szCs w:val="28"/>
          <w:rtl w:val="true"/>
          <w:lang w:bidi="fa-IR"/>
        </w:rPr>
        <w:t>ممّا لا تکاد تخفی علی عاقل فضلاً عن فاضل، فلم یبق فی البین إلاّ الالتزام بکون موضوعات الأحکام هی نفس الطبائع مع قطع النظر عن الوجودین، و الأغراض و إن کانت مترتّبةً علی الوجودات الخارجیة إلاّ أنّه یتوصّل المولی إلی تحصیلها بسبب البعث إلی نفس الطبیعة؛ إذ لا یتحقّق الانبعاث منه و لا یحصل موافقته إلاّ بإیجاد المبعوث إلیه فی الخارج، و التأمّل فی الأوامر العرفیة الصادرة من الموالی بالنسبة إلی عبیدهم یقضی بأنّ المولی فی مقام إصدار الأمر لا ینظر إلاّ إلی نفس الطبیعة من دون توجّه إلی الخصوصیّات المقارنة لها فی الوجود الغیر المنفکّة عنها، و یبعث العبد نحوها، غایة الأمر أنّ تحصیل الموافقة یتوقّف علی إیجاد مطلوب المولی فی الخارج و إخراجه من کتم العدم إلی صفحة الوجود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اشتهر بینهم من التمسّک بقول أهل المعقول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الماهیّة من حیث هی لیست إلاّ هی لا موجودة و لا معدومة و لا مطلوبة و لا غیر مطلوبة لإثبات أنّ نفس الماهیّة مع قطع النظر عن الوجودین لا یمکن أن یتعلّق بها الحکم؛ لأنّها لیست إلاّ هی، کما أنّها لا تکون کلّیة؛ لأنّها من حیث هی لا تکون کلّیةً و لا جزئیةً، و لذا التجأ بعض المجوّزین فی المقام إلی أنّ متعلّق الأحکام إنّما هی</w:t>
      </w:r>
    </w:p>
    <w:p>
      <w:pPr>
        <w:pStyle w:val="BookText"/>
        <w:rPr/>
      </w:pPr>
      <w:r>
        <w:rPr>
          <w:rFonts w:ascii="IRNazanin" w:hAnsi="IRNazanin" w:eastAsia="IRNazanin"/>
          <w:color w:val="111111"/>
          <w:sz w:val="28"/>
          <w:sz w:val="28"/>
          <w:szCs w:val="28"/>
          <w:rtl w:val="true"/>
          <w:lang w:bidi="fa-IR"/>
        </w:rPr>
        <w:t>الماهیّة المتّصفة بوصف الوجود الکلّی</w:t>
      </w:r>
      <w:r>
        <w:rPr>
          <w:rStyle w:val="FootnoteAnchor"/>
          <w:rtl w:val="true"/>
        </w:rPr>
        <w:footnoteReference w:id="136"/>
      </w:r>
      <w:r>
        <w:rPr>
          <w:rFonts w:ascii="IRNazanin" w:hAnsi="IRNazanin" w:eastAsia="IRNazanin"/>
          <w:color w:val="111111"/>
          <w:sz w:val="28"/>
          <w:sz w:val="28"/>
          <w:szCs w:val="28"/>
          <w:rtl w:val="true"/>
          <w:lang w:bidi="fa-IR"/>
        </w:rPr>
        <w:t xml:space="preserve">، غفلة و ذهول عن فهم مرادهم من هذا القول، فإنّ مرادهم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صریح کلامهم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الماهیّة فی مرتبة ذاتها لا یکون الوجود محمولاً علیها بالحمل الأوّلی، و کذا العدم بمعنی أنّهما لا یکونان عین ذات الماهیّة و لا جزءها، و هکذا المطلوبیّة و اللّامطلوبیة، و الکلّیة و الجزئیة، و الوحدة و الکثرة، و جمیع الصفات المتضادّة أو المتناقضة، فإنّها بأجمعها منتفیة عن مرتبة ذات الماهیّة، و لا یکون شیء منها عین الماهیّة و لا جزءها، و إلّا فکیف یمکن أن یرتفع عنها المتناقضان و کذا الضدّان لا ثالث لهما فی مقام الحمل الشائع الصناعی، و حینئذٍ فلا منافاة بین أن لا یکون وصف الکلّیة مأخوذاً فی ذاتیات الماهیّة بحیث یکون عینها أو جزءها و بین أن یکون المعروض له هی نفس الماهیّة مع قطع النظر عن الوجودین، کما هو مقتضی التحقیق؛ ضرورة أنّه بمجرّد تصوّرها مجرّدةً عن کافّة الوجودات ینتقل الذهن إلی أنّها کلّیة غیر آبیة عن الصدق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مسألة تعلّق الأحکام بنفس الطبائع لا تنافی کونها خارجةً عن مرتبة ذاتها، فالاستدلال لنفی تعلّقها بنفس الطبائع بهذه القاعدة الغیر المرتبطة بهذه المسألة أصلاً فی غیر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فلا مناص إلاّ عن الالتزام بما ذکرنا من أنّ متعلّقات الأحکام هی نفس الطبائع، ضرورة أنّ البعث إنّما هو لغرض إیجاد ما لم یکن موجوداً بعدُ، و من المعلوم أنّه لیس هنا شیء کان متّصفاً بالعدم قبل إیجاد المکلّف، فصار متّصفاً بالوجود بعد إیجاده، إلاّ الماهیّة المحفوظة فی کلتا الحالتین؛ لأنّ الوجودین</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العینی و الذهنی لا ینقلبان عمّا هما علیه،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فانقدح من جمیع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المقدّمة الثانیة من المقدّمات التی مهّدها فی الکفایة لإثبات الامتناع، الراجعة إلی أنّ متعلّق الأحکام هو فعل المکلّف، و ما هو فی الخارج یصدر عنه و هو فاعله و جاعله</w:t>
      </w:r>
      <w:r>
        <w:rPr>
          <w:rStyle w:val="FootnoteAnchor"/>
          <w:rtl w:val="true"/>
        </w:rPr>
        <w:footnoteReference w:id="137"/>
      </w:r>
      <w:r>
        <w:rPr>
          <w:rFonts w:ascii="IRNazanin" w:hAnsi="IRNazanin" w:eastAsia="IRNazanin"/>
          <w:color w:val="111111"/>
          <w:sz w:val="28"/>
          <w:sz w:val="28"/>
          <w:szCs w:val="28"/>
          <w:rtl w:val="true"/>
          <w:lang w:bidi="fa-IR"/>
        </w:rPr>
        <w:t>، إذ قد عرفت بما لا مزید علیه أنّه لا یعقل أن تتعلّق الأحکام بالوجودات الخارجیة، و أنّ متعلّقها إنّما هی نفس الطبائع مع قطع النظر عن الوجودین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یظهر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الاستدلال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تقریرات المحقّق النائینی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إثبات الجواز بثبوت التعدّد بین المتعلّقین فی الخارج، و کون الترکیب بینهما انضمامیّاً لا اتّحادیاً؛ نظراً إلی أنّه لو سلّم اتّحاد المتعلّقین فی الخارج، و کون الترکیب بینهما اتّحادیاً لا یبقی مجال لدعوی تغایر متعلّق الأمر و النهی أصلاً</w:t>
      </w:r>
      <w:r>
        <w:rPr>
          <w:rStyle w:val="FootnoteAnchor"/>
          <w:rtl w:val="true"/>
        </w:rPr>
        <w:footnoteReference w:id="138"/>
      </w:r>
      <w:r>
        <w:rPr>
          <w:rFonts w:ascii="IRNazanin" w:hAnsi="IRNazanin" w:eastAsia="IRNazanin"/>
          <w:color w:val="111111"/>
          <w:sz w:val="28"/>
          <w:sz w:val="28"/>
          <w:szCs w:val="28"/>
          <w:rtl w:val="true"/>
          <w:lang w:bidi="fa-IR"/>
        </w:rPr>
        <w:t>، لیس بصحیح؛ لما عرفت من أنّ متعلّق الأمر و النهی إنّما هی نفس الطبائع، و هی مختلفة فی عالم المفهومیة، و لا اتّحاد بینهما، سواء کان الترکیب بینهما فی الخارج اتّحادیاً أو انضمامیّاً، بل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مورد النزاع بینهم هو ما إذا کان الموجود الخارجی بتمام هویّته مصداقاً للطبیعة المأمور بها و للطبیعة المنهیّ عنها؛ لأنّه مع فرض کون الترکیب انضمامیّاً لا یبقی مجال للنزاع فی الجواز و الامتناع أصلاً؛ إذ یصیر حینئذٍ القول بالجواز من البدیهیّات التی لا یعتریها ریب، نظیر تعلّق الأمر بالصلاة، و النهی بالزنا مثلاً، کما لا یخفی</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تمهّد لک هذه المقدّمات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تعرف أنّ مقتضی التحقیق هو القول بالجواز؛ لعدم اجتماع الأمر و النهی فی شیء أصلاً؛ لأنّ فی مرحلة تعلّق الأحکام لا إشکال فی اختلاف متعلّق الأمر و النهی؛ لوضوح المغایرة بین المفاهیم فی عالم</w:t>
      </w:r>
      <w:bookmarkStart w:id="329" w:name="pg11586_104779"/>
    </w:p>
    <w:p>
      <w:pPr>
        <w:pStyle w:val="BookText"/>
        <w:rPr/>
      </w:pPr>
      <w:bookmarkEnd w:id="329"/>
      <w:r>
        <w:rPr>
          <w:rFonts w:ascii="IRNazanin" w:hAnsi="IRNazanin" w:eastAsia="IRNazanin"/>
          <w:color w:val="111111"/>
          <w:sz w:val="28"/>
          <w:sz w:val="28"/>
          <w:szCs w:val="28"/>
          <w:rtl w:val="true"/>
          <w:lang w:bidi="fa-IR"/>
        </w:rPr>
        <w:t>المفهومیة، و فی مرحلة التحقّق فی الخارج التی یجتمع فیها المتعلّقان لا إشکال فی عدم کونهما مأموراً به و منهیّاً عنه؛ لأنّ الخارج ظرف الامتثال لا ظرف ثبوت التکلیف، کما عرفت بما لا مزید علیه، فأین یلزم الاجتماع؟</w:t>
      </w:r>
    </w:p>
    <w:p>
      <w:pPr>
        <w:pStyle w:val="Heading4"/>
        <w:numPr>
          <w:ilvl w:val="3"/>
          <w:numId w:val="1"/>
        </w:numPr>
        <w:rPr/>
      </w:pPr>
      <w:bookmarkStart w:id="330" w:name="__RefHeading___Toc5145847_73709187"/>
      <w:bookmarkStart w:id="331" w:name="_Toc123"/>
      <w:bookmarkEnd w:id="330"/>
      <w:r>
        <w:rPr>
          <w:rtl w:val="true"/>
        </w:rPr>
        <w:t>حول استدلال القائلین بالامتناع</w:t>
      </w:r>
      <w:bookmarkEnd w:id="331"/>
    </w:p>
    <w:p>
      <w:pPr>
        <w:pStyle w:val="Heading5"/>
        <w:numPr>
          <w:ilvl w:val="4"/>
          <w:numId w:val="1"/>
        </w:numPr>
        <w:rPr/>
      </w:pPr>
      <w:bookmarkStart w:id="332" w:name="__RefHeading___Toc5145849_73709187"/>
      <w:bookmarkStart w:id="333" w:name="_Toc124"/>
      <w:bookmarkEnd w:id="332"/>
      <w:r>
        <w:rPr>
          <w:rtl w:val="true"/>
        </w:rPr>
        <w:t>اشارة</w:t>
      </w:r>
      <w:bookmarkEnd w:id="333"/>
    </w:p>
    <w:p>
      <w:pPr>
        <w:pStyle w:val="BookText"/>
        <w:rPr/>
      </w:pPr>
      <w:r>
        <w:rPr>
          <w:rFonts w:ascii="IRNazanin" w:hAnsi="IRNazanin" w:eastAsia="IRNazanin"/>
          <w:color w:val="111111"/>
          <w:sz w:val="28"/>
          <w:sz w:val="28"/>
          <w:szCs w:val="28"/>
          <w:rtl w:val="true"/>
          <w:lang w:bidi="fa-IR"/>
        </w:rPr>
        <w:t>استدلّ القائلون بالامتناع علی امور</w:t>
      </w:r>
      <w:r>
        <w:rPr>
          <w:rFonts w:eastAsia="IRNazanin" w:cs="IRNazanin"/>
          <w:color w:val="111111"/>
          <w:sz w:val="28"/>
          <w:szCs w:val="28"/>
          <w:rtl w:val="true"/>
          <w:lang w:bidi="fa-IR"/>
        </w:rPr>
        <w:t>:</w:t>
      </w:r>
    </w:p>
    <w:p>
      <w:pPr>
        <w:pStyle w:val="Heading5"/>
        <w:numPr>
          <w:ilvl w:val="4"/>
          <w:numId w:val="1"/>
        </w:numPr>
        <w:rPr/>
      </w:pPr>
      <w:bookmarkStart w:id="334" w:name="__RefHeading___Toc5145851_73709187"/>
      <w:bookmarkStart w:id="335" w:name="_Toc125"/>
      <w:bookmarkEnd w:id="334"/>
      <w:r>
        <w:rPr>
          <w:rtl w:val="true"/>
        </w:rPr>
        <w:t>الأمر الأوّل</w:t>
      </w:r>
      <w:r>
        <w:rPr>
          <w:rtl w:val="true"/>
        </w:rPr>
        <w:t xml:space="preserve">: </w:t>
      </w:r>
      <w:r>
        <w:rPr>
          <w:rtl w:val="true"/>
        </w:rPr>
        <w:t>لزوم اجتماع الأمر و النهی</w:t>
      </w:r>
      <w:bookmarkEnd w:id="335"/>
    </w:p>
    <w:p>
      <w:pPr>
        <w:pStyle w:val="BookText"/>
        <w:rPr/>
      </w:pPr>
      <w:r>
        <w:rPr>
          <w:rFonts w:ascii="IRNazanin" w:hAnsi="IRNazanin" w:eastAsia="IRNazanin"/>
          <w:color w:val="111111"/>
          <w:sz w:val="28"/>
          <w:sz w:val="28"/>
          <w:szCs w:val="28"/>
          <w:rtl w:val="true"/>
          <w:lang w:bidi="fa-IR"/>
        </w:rPr>
        <w:t xml:space="preserve">و منه ظهر بطلان استدلال القائلین بالامتناع بأنّ لازم القول بالجواز اجتماع الأمر و النهی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کونهما متضادّین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شیء واحد؛ إذ لو سلّمنا ثبوت التضادّ بین الأحکام و لکن ذلک فرع اجتماعها فی شیء واحد، و قد عرفت أنّه لا یلزم الاجتماع أصلاً</w:t>
      </w:r>
      <w:r>
        <w:rPr>
          <w:rFonts w:eastAsia="IRNazanin" w:cs="IRNazanin"/>
          <w:color w:val="111111"/>
          <w:sz w:val="28"/>
          <w:szCs w:val="28"/>
          <w:rtl w:val="true"/>
          <w:lang w:bidi="fa-IR"/>
        </w:rPr>
        <w:t>.</w:t>
      </w:r>
    </w:p>
    <w:p>
      <w:pPr>
        <w:pStyle w:val="Heading5"/>
        <w:numPr>
          <w:ilvl w:val="4"/>
          <w:numId w:val="1"/>
        </w:numPr>
        <w:rPr/>
      </w:pPr>
      <w:bookmarkStart w:id="336" w:name="__RefHeading___Toc5145853_73709187"/>
      <w:bookmarkStart w:id="337" w:name="_Toc126"/>
      <w:bookmarkEnd w:id="336"/>
      <w:r>
        <w:rPr>
          <w:rtl w:val="true"/>
        </w:rPr>
        <w:t>الأمر الثانی</w:t>
      </w:r>
      <w:r>
        <w:rPr>
          <w:rtl w:val="true"/>
        </w:rPr>
        <w:t xml:space="preserve">: </w:t>
      </w:r>
      <w:r>
        <w:rPr>
          <w:rtl w:val="true"/>
        </w:rPr>
        <w:t>لزوم اجتماع الحبّ و البغض و غیرهما</w:t>
      </w:r>
      <w:bookmarkEnd w:id="337"/>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استدلالهم علی الامتناع بلزوم تعلّق الحبّ و البغض و کذا الإرادة و الکراهة بشیء واحد و لزوم کونه ذا مصلحة ملزمة و مفسدة کذلک معاً مع وضوح التضادّ بین هذه الأوصاف، فیرد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المحبوبیة و المبغوضیة لیستا من الأوصاف الحقیقیة للأشیاء الخارجیة، نظیر السواد و البیاض و غیرهما من الأعراض الخارجیة، کیف و لازم ذلک استحالة کون شیء واحد فی آن واحد مبغوضاً لشخص و محبوباً لشخص آخر، کما أنّه یستحیل أن یتّصف الجسم الخارجی بالسواد و البیاض معاً فی آنٍ واحد و لو من ناحیة شخصین بداهة، بل</w:t>
      </w:r>
    </w:p>
    <w:p>
      <w:pPr>
        <w:pStyle w:val="BookText"/>
        <w:rPr/>
      </w:pPr>
      <w:r>
        <w:rPr>
          <w:rFonts w:ascii="IRNazanin" w:hAnsi="IRNazanin" w:eastAsia="IRNazanin"/>
          <w:color w:val="111111"/>
          <w:sz w:val="28"/>
          <w:sz w:val="28"/>
          <w:szCs w:val="28"/>
          <w:rtl w:val="true"/>
          <w:lang w:bidi="fa-IR"/>
        </w:rPr>
        <w:t>و لازمه عدم اتّصاف الفعل قبل وجوده الخارجی بشیء منهما، نظیر أنّه لا یعقل أن یتّصف الجسم بالسواد مثلاً قبل تحقّقه فی الخارج، بداهة أنّه یستحیل أن یوجد الوصف الحقیقی قبل تحقّق موصوفه، و من المعلوم فی المقام أنّ الاتّصاف بالمحبوبیة قبل وجود المحبوب و تحقّقه فی الخارج، بل کثیراً ما یکون الداعی و المحرِّک إلی إیجاده فی الخارج إنّما هو تعلّق الحبّ به، و کونه متّصفاً بالمحبوبیّة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فهذا المعنی ممّا لا یتّکل إلیه أصلاً، بل المحبوبیّة و المبغوضیّة وصفان اعتباریان ینتزعان من تعلّق الحبّ و البغض بالصورة الحاکیة عن المحبوب و المبغوض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إشکال فی أنّ الحبّ و کذا البغض إنّما یکون من الأوصاف النفسانیة القائمة بالنفس، و حیث إنّ تحقّقه فی النفس بنحو الإطلاق غیر مضاف إلی شیء ممّا لا یعقل، فلا محالة یحتاج فی تحقّقه إلی متعلّق مضاف إلیه و مشخّص یتشخّص به، و لا یعقل أن یکون ذلک المشخّص هو الموجود الخارجی؛ لأنّه یستحیل أن یکون الأمر الخارج عن النفس مشخّصاً للصفة القائمة بها، کما هو واضح</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مضافاً إلی ما عرفت من أنّ المحبوب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الفعل الخارجی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یکون محبوباً قبل تحقّقه و وجوده فی الخارج، فکیف یمکن أن یکون الأمر الذی لا یتحقّق فی الخارج أصلاً أو لم یتحقّق بعدُ و لکن یوجد فی الاستقبال مشخّصاً 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واضح، فلا محالة یکون المشخّص هو الأمر الذهنی الموجود فی النفس، و المحبوب إنّما هو ذلک الأمر، غایة الأمر أنّه حیث یکون ذلک الأمر صورةً ذهنیة للفعل الخارجی و وجهاً و عنواناً له ینسب إلیه المحبوبیة بالعرض؛ لفناء تلک الصورة فی ذیها، و ذلک الوجه فی ذی الوجه، و لا یخفی أنّ</w:t>
      </w:r>
      <w:bookmarkStart w:id="338" w:name="pg11586_104781"/>
    </w:p>
    <w:p>
      <w:pPr>
        <w:pStyle w:val="BookText"/>
        <w:rPr/>
      </w:pPr>
      <w:bookmarkEnd w:id="338"/>
      <w:r>
        <w:rPr>
          <w:rFonts w:ascii="IRNazanin" w:hAnsi="IRNazanin" w:eastAsia="IRNazanin"/>
          <w:color w:val="111111"/>
          <w:sz w:val="28"/>
          <w:sz w:val="28"/>
          <w:szCs w:val="28"/>
          <w:rtl w:val="true"/>
          <w:lang w:bidi="fa-IR"/>
        </w:rPr>
        <w:t>معنی الفناء و الوجه و المرآتیة لیس راجعاً إلاّ سببیّة ذلک لتعلّق الحبّ به و طریقته إلیه، بل معنی تعلّق الحبّ به تعلّقه بوجهه و عنوانه فقط، نظیر العلم و أشباهه، فإنّه أیضاً من الصفات النفسانیة القائمة بالنفس المتحقّقة فیها المتشخّصة بصورة المعلوم الحاکیة له الموجودة فی النفس، و توصیف الخارج بالمعلومیة إنّما هو بالعرض، و إلّا فکیف یمکن أن یتّصف بذلک قبل تحقّقه؟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أنّا نعلم بالبداهة کثیراً من الاُمور المستقبلة، مضافاً إلی أنّه کیف یمکن حینئذٍ أن یکون شیء واحد معلوماً لأحد و مجهولاً 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فظهر أنّ المحبوبیّة و المبغوضیة إنّما تنتزعان من تعلّق الحبّ و البغض بالصور الذهنیة للأشیاء الخارجیة، و لا ریب فی أنّ تعدّد الأمر الانتزاعی و کذا وحدته إنّما هو بلحاظ تعدّد منشأ انتزاعه و وحدته، و من المعلوم تعدّده فی المقام؛ إذ لا شکّ فی أنّ الصورة الحاکیة عن وجود الصلاة تغایر الصورة الحاکیة عن وجود الغصب؛ إذ لا یعقل أن یکون عنوان الصلاة و وجهها عنواناً للغصب و وجهاً له، کما هو واضح، فکیف یلزم أن یکون شیء واحد مبغوضاً و محبوباً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یظهر أنّه لا یلزم اجتماع الإرادة و الکراهة أیضاً</w:t>
      </w:r>
      <w:r>
        <w:rPr>
          <w:rFonts w:eastAsia="IRNazanin" w:cs="IRNazanin"/>
          <w:color w:val="111111"/>
          <w:sz w:val="28"/>
          <w:szCs w:val="28"/>
          <w:rtl w:val="true"/>
          <w:lang w:bidi="fa-IR"/>
        </w:rPr>
        <w:t>.</w:t>
      </w:r>
    </w:p>
    <w:p>
      <w:pPr>
        <w:pStyle w:val="Heading5"/>
        <w:numPr>
          <w:ilvl w:val="4"/>
          <w:numId w:val="1"/>
        </w:numPr>
        <w:rPr/>
      </w:pPr>
      <w:bookmarkStart w:id="339" w:name="__RefHeading___Toc5145855_73709187"/>
      <w:bookmarkStart w:id="340" w:name="_Toc127"/>
      <w:bookmarkEnd w:id="339"/>
      <w:r>
        <w:rPr>
          <w:rtl w:val="true"/>
        </w:rPr>
        <w:t>الأمر الثالث</w:t>
      </w:r>
      <w:r>
        <w:rPr>
          <w:rtl w:val="true"/>
        </w:rPr>
        <w:t xml:space="preserve">: </w:t>
      </w:r>
      <w:r>
        <w:rPr>
          <w:rtl w:val="true"/>
        </w:rPr>
        <w:t>لزوم اجتماع الصلاح و الفساد</w:t>
      </w:r>
      <w:bookmarkEnd w:id="340"/>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لزوم اجتماع الصلاح و الفساد فی شیء واحد، فیدفعه أنّ الصلاح و الفساد لیسا من الاُمور الحقیقیّة القائمة بالفعل بحیث یتحقّقان بتحقّقه، بل إنّما هما نظیر الحسن و القبح المتّصف بهما الأشیاء، و من المعلوم أنّه لا ریب فی إمکان اتّصاف شیء بالحسن لأجل انطباق عنوان حسن علیه، و بالقبح أیضاً لأجل انطباق عنوان قبیح علیه، فکذا فی المقام نقول بأنّه لا بأس أن یتّصف شیء</w:t>
      </w:r>
    </w:p>
    <w:p>
      <w:pPr>
        <w:pStyle w:val="BookText"/>
        <w:rPr/>
      </w:pPr>
      <w:r>
        <w:rPr>
          <w:rFonts w:ascii="IRNazanin" w:hAnsi="IRNazanin" w:eastAsia="IRNazanin"/>
          <w:color w:val="111111"/>
          <w:sz w:val="28"/>
          <w:sz w:val="28"/>
          <w:szCs w:val="28"/>
          <w:rtl w:val="true"/>
          <w:lang w:bidi="fa-IR"/>
        </w:rPr>
        <w:t>واحد بکونه ذا صلاح و فساد معاً لأجل انطباق عنوانین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ذا مصلحة، و الآخر ذا مفسدة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بالجملة، فاتّصاف الشیء بکونه ذا مصلحة إنّما هو لکونه مصداقاً للعنوان الذی یکون کذلک، و کذا اتّصافه بکونه ذا مفسدة، فإذا جاز أن یکون شیء واحد مصداقاً لعنوانین متغایرین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المفروض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لا یجوز أن یتّصف بالصلاح و الفساد معاً لأجل کونه مصداقاً لهما؟ فهل یشکّ العقل فی صلاح حفظ ولد المولی مثلاً من الهلکة فی دار الغیر؟ من حیث إنّه حفظ له و فی فساده من حیث التصرّف فی مال الغیر، و لا یجوز المدح من الحیثیّة الاُولی، و الذمّ من الحیثیّة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تظهر المناقشة فیما ذکرناه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ترتّب صحّة الصلاة فی الدار المغصوبة علی القول بجواز الاجتماع؛ لاستحالة أن یکون المبعّد مقرّباً</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معنی البعد و القرب لیس هو البُعْد و القرب المکانی حتّی یستحیل أن یکون المقرّب مبعّداً أو بالعکس، بل معناهما هو القرب و البُعْد بحسب المکانة و المنزلة، و من المعلوم أنّ تحصیل المنزلة و القرب بساحة المولی بسبب الإطاعة إنّما هو لکون الفعل الخارجی مصداقاً للعنوان الذی یکون متعلّقاً لأمر المولی، کما أنّ حصول البُعْد عن ساحته إنّما هو للإتیان بالفعل الذی یکون مصداقاً للعنوان المزجور عنه، و حینئذٍ فأیّ مانع یلزم من أن یکون فعل واحد مقرّباً للعبد من حیث مصداقیّته للمأمور به، و مبعّداً له أیضاً من حیث تحقّق العنوان المزجور عنه به، و حینئذٍ فلا یتمّ ما اشتهر فی ألسن المتأخّرین من أنّ المبعّد لا یمکن أن یکون مقرّباً</w:t>
      </w:r>
      <w:r>
        <w:rPr>
          <w:rFonts w:eastAsia="IRNazanin" w:cs="IRNazanin"/>
          <w:color w:val="111111"/>
          <w:sz w:val="28"/>
          <w:szCs w:val="28"/>
          <w:rtl w:val="true"/>
          <w:lang w:bidi="fa-IR"/>
        </w:rPr>
        <w:t>.</w:t>
      </w:r>
      <w:bookmarkStart w:id="341" w:name="pg11586_104783"/>
    </w:p>
    <w:p>
      <w:pPr>
        <w:pStyle w:val="Heading4"/>
        <w:numPr>
          <w:ilvl w:val="3"/>
          <w:numId w:val="1"/>
        </w:numPr>
        <w:rPr/>
      </w:pPr>
      <w:bookmarkStart w:id="342" w:name="__RefHeading___Toc5145857_73709187"/>
      <w:bookmarkStart w:id="343" w:name="_Toc128"/>
      <w:bookmarkEnd w:id="341"/>
      <w:bookmarkEnd w:id="342"/>
      <w:r>
        <w:rPr>
          <w:rtl w:val="true"/>
        </w:rPr>
        <w:t>حول التضادّ بین الأحکام الخمسة</w:t>
      </w:r>
      <w:bookmarkEnd w:id="343"/>
    </w:p>
    <w:p>
      <w:pPr>
        <w:pStyle w:val="BookText"/>
        <w:rPr/>
      </w:pPr>
      <w:r>
        <w:rPr>
          <w:rFonts w:ascii="IRNazanin" w:hAnsi="IRNazanin" w:eastAsia="IRNazanin"/>
          <w:color w:val="111111"/>
          <w:sz w:val="28"/>
          <w:sz w:val="28"/>
          <w:szCs w:val="28"/>
          <w:rtl w:val="true"/>
          <w:lang w:bidi="fa-IR"/>
        </w:rPr>
        <w:t>و قد انقدح من جمیع ما ذکرنا أنّ مقتضی التحقیق هو القول بالجواز و لو سلّم ثبوت التضادّ بین الأحکام، کما هو الشائع، مضافاً إلی أنّه لا نسلّم ذلک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الضدّین عبارة عن الماهیّتین النوعیتین المشترکتین فی جنس قریب مع ثبوت الاختلاف و البُعْد بینهما، کما فی تعریف المتقدّمین من الحکماء، أو غایة البعد و الاختلاف، کما فی تعریف المتأخّرین منهم، و حینئذٍ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الحکم عبارة عن الإرادة المظهرة، فلا ینطبق علیه تعریف الضدّین أصلاً؛ لأنّه حینئذٍ ماهیة واحدة، و هی حقیقة الإرادة المتحقّقة فی جمیع الأحکام، ضرورة أنّها بأجمعها أفعال للمولی مسبوقة بالإرادة بلا فرق بین الحکم التحریمی و الوجوبی من هذه الجهة و إن کان متعلّق الإرادة فی الأوّل هو الزجر، و فی الثانی هو البعث، إلاّ أنّ ذلک لا یوجب الاختلاف بینهما؛ لأنّ قضیّة تشخّص الإرادة بالمراد هو کون اختلاف المرادات موجباً لتحقّق أشخاص من الإرادة، و لا یوجب ذلک تعدّد حقیقة الإرادة و ماهیّتها،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فاعتبار کون الضدّین ماهیّتین یخرج الإرادة و أمثالها من الحقائق بالنسبة إلی أفرادها عن التعریف کما لا یخفی</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الحکم عبارة عن نفس البعث و الزجر المتحقّقین بقول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افعل و لا تفعل، مثلاً، فهو أیضاً خارج عن التعریف؛ لأنّه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 البعث فی الوجوب و الاستحباب علی نهج واحد، غایة الأمر ثبوت الاختلاف بینهما فی إرادته حیث إنّ الوجوب عبارة عن البعث الناشئ من الإرادة القویة، و الاستحباب عبارة عن البعث الناشئ عن الإرادة الضعیفة، و کذا الزجر فی الحرمة و الکراهة، فإنّه فیهما علی نحو واحد و الاختلاف إنّما هو فی إرادته،</w:t>
      </w:r>
    </w:p>
    <w:p>
      <w:pPr>
        <w:pStyle w:val="BookText"/>
        <w:rPr/>
      </w:pPr>
      <w:r>
        <w:rPr>
          <w:rFonts w:ascii="IRNazanin" w:hAnsi="IRNazanin" w:eastAsia="IRNazanin"/>
          <w:color w:val="111111"/>
          <w:sz w:val="28"/>
          <w:sz w:val="28"/>
          <w:szCs w:val="28"/>
          <w:rtl w:val="true"/>
          <w:lang w:bidi="fa-IR"/>
        </w:rPr>
        <w:t>و حینئذٍ فکیف یمکن القول بالتضادّ بین الوجوب و الاستحباب، و کذا بین الحرمة و الکراهة؟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القائل یدّعی تضادّ الأحکام بأسرها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لو سلّم الاختلاف فی جمیع الأحکام و قطعنا النظر عن عدم اختلاف حقیقة الوجوب و الاستحباب و کذا الحرمة و الکراهة، فلا نسلّم التضاد بینها؛ لأنّ ثبوته مبنیّ علی أن یکون متعلّق البعث و الزجر هو الوجود الخارجی؛ إذ لو کان متعلّقهما هی الطبائع و الماهیّات الکلّیة، کما عرفت بما لا مزید علیه أنّه هو مقتضی التحقیق، فهما لا یکونان بمتضادّین أیضاً؛ لأنّ الماهیّة قابلة لاجتماع العناوین المتضادّة فیها، و لاتّصافها بکل واحد منها فی زمان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لا تری أنّ ماهیة الإنسان موجودة و معدومة فی زمان واحد، کما عرفت، و کذا ماهیّة الجسم متّصفة بالسواد و البیاض معاً فی زمان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أنّه لو کان متعلّق البعث و الزجر هی طبیعة واحدة، فاستحالته لیس من جهة لزوم اجتماع المتضادّین علی شیء واحد، بل من جهة أمر آخر، و هو لزوم التکلیف بالمحال من جهة عدم القدرة علی الامتثال، و إلّا یلزم عدم إمکان تعلّق البعث و الزجر بطبیعة واحدة و لو من ناحیة شخصین، کما أنّه لا یعقل تحقّق البیاض و السواد و اجتماعهما علی موجود خارجی مطلقاً و لو کان له علّتان، و من الواضح فی المقام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فعلّة ثبوت التضادّ بین شیئین إنّما هو عدم اجتماعهما علی الموجود الخارجی الواحد، و إلّا یلزم عدم تحقّق التضادّ أصلاً؛ لما عرفت من أنّ الماهیّة قابلة للاتّصاف بجمیع العناوین المتضادّة فی زمان واحد، و قد عرفت أنّ متعلّق البعث و الزجر لیس هو الوجود الخارجی بمعنی أنّه لا یعقل أن یصیر الموجود فی الخارج مبعوثاً إلیه و مزجوراً عنه أصلاً</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الحکم عبارةً عن الأمر الاعتباری المنتزع عن البعث و الزجر،</w:t>
      </w:r>
      <w:bookmarkStart w:id="344" w:name="pg11586_104785"/>
    </w:p>
    <w:p>
      <w:pPr>
        <w:pStyle w:val="BookText"/>
        <w:rPr/>
      </w:pPr>
      <w:bookmarkEnd w:id="344"/>
      <w:r>
        <w:rPr>
          <w:rFonts w:ascii="IRNazanin" w:hAnsi="IRNazanin" w:eastAsia="IRNazanin"/>
          <w:color w:val="111111"/>
          <w:sz w:val="28"/>
          <w:sz w:val="28"/>
          <w:szCs w:val="28"/>
          <w:rtl w:val="true"/>
          <w:lang w:bidi="fa-IR"/>
        </w:rPr>
        <w:t>فعدم ثبوت التضادّ بینها أظهر من أن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جمیع ما ذکرنا ظهر بطلان المقدّمة الاُولی التی مهّدها فی الکفایة</w:t>
      </w:r>
      <w:r>
        <w:rPr>
          <w:rStyle w:val="FootnoteAnchor"/>
          <w:rtl w:val="true"/>
        </w:rPr>
        <w:footnoteReference w:id="139"/>
      </w:r>
      <w:r>
        <w:rPr>
          <w:rFonts w:ascii="IRNazanin" w:hAnsi="IRNazanin" w:eastAsia="IRNazanin"/>
          <w:color w:val="111111"/>
          <w:sz w:val="28"/>
          <w:sz w:val="28"/>
          <w:szCs w:val="28"/>
          <w:rtl w:val="true"/>
          <w:lang w:bidi="fa-IR"/>
        </w:rPr>
        <w:t>لإثبات التضادّ بین الأحکام الخمسة بأسرها، و ظهر أیضاً أنّ إثبات القول الامتناع من طریق التضادّ بین الأحکام لا یتمّ أصلاً، مضافاً إلی ما عرفت من أنّه لو سلّم التضادّ بین الأحکام، فاختلاف المتعلّقین و تعدّدهما یخرج المقام عن مسألة التضادّ فتأمّل جیّداً</w:t>
      </w:r>
      <w:r>
        <w:rPr>
          <w:rFonts w:eastAsia="IRNazanin" w:cs="IRNazanin"/>
          <w:color w:val="111111"/>
          <w:sz w:val="28"/>
          <w:szCs w:val="28"/>
          <w:rtl w:val="true"/>
          <w:lang w:bidi="fa-IR"/>
        </w:rPr>
        <w:t>.</w:t>
      </w:r>
    </w:p>
    <w:p>
      <w:pPr>
        <w:pStyle w:val="Heading4"/>
        <w:numPr>
          <w:ilvl w:val="3"/>
          <w:numId w:val="1"/>
        </w:numPr>
        <w:rPr/>
      </w:pPr>
      <w:bookmarkStart w:id="345" w:name="__RefHeading___Toc5145859_73709187"/>
      <w:bookmarkStart w:id="346" w:name="_Toc129"/>
      <w:bookmarkEnd w:id="345"/>
      <w:r>
        <w:rPr>
          <w:rtl w:val="true"/>
        </w:rPr>
        <w:t>تنبیهات</w:t>
      </w:r>
      <w:bookmarkEnd w:id="346"/>
    </w:p>
    <w:p>
      <w:pPr>
        <w:pStyle w:val="Heading5"/>
        <w:numPr>
          <w:ilvl w:val="4"/>
          <w:numId w:val="1"/>
        </w:numPr>
        <w:rPr/>
      </w:pPr>
      <w:bookmarkStart w:id="347" w:name="__RefHeading___Toc5145861_73709187"/>
      <w:bookmarkStart w:id="348" w:name="_Toc130"/>
      <w:bookmarkEnd w:id="347"/>
      <w:r>
        <w:rPr>
          <w:rtl w:val="true"/>
        </w:rPr>
        <w:t>التنبیه الأوّل</w:t>
      </w:r>
      <w:r>
        <w:rPr>
          <w:rtl w:val="true"/>
        </w:rPr>
        <w:t xml:space="preserve">: </w:t>
      </w:r>
      <w:r>
        <w:rPr>
          <w:rtl w:val="true"/>
        </w:rPr>
        <w:t>بعض أدلّة المجوّزین</w:t>
      </w:r>
      <w:bookmarkEnd w:id="348"/>
    </w:p>
    <w:p>
      <w:pPr>
        <w:pStyle w:val="BookText"/>
        <w:rPr/>
      </w:pPr>
      <w:r>
        <w:rPr>
          <w:rFonts w:ascii="IRNazanin" w:hAnsi="IRNazanin" w:eastAsia="IRNazanin"/>
          <w:color w:val="111111"/>
          <w:sz w:val="28"/>
          <w:sz w:val="28"/>
          <w:szCs w:val="28"/>
          <w:rtl w:val="true"/>
          <w:lang w:bidi="fa-IR"/>
        </w:rPr>
        <w:t>قد استدلّ المجوّزون بأنّه لو لم یجز، لما وقع نظیره، و قد وقع، کما فی الصلاة فی الحمّام، التی اجتمع فیها الوجوب و الکراهة، و صوم یوم عاشوراء الذی اجتمع فیه الاستحباب و الکراهة، و الصلاة فی المسجد، التی اجتمع فیها الوجوب و الاستحباب، و نظائرها ممّا لا یحصی</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الملازمة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المانع لیس إلاّ التضادّ بین الوجوب و الحرمة، و عدم کفایة تعدّد الجهة فی رفع غائلته، و من المعلوم أنّ هذا المانع موجود فی اجتماع الوجوب مع الکراهة أو الاستحباب، و اجتماع الاستحباب مع الکراهة أو الاستحباب؛ لأنّ الأحکام الخمسة متضادّة بأجمعها، و من الواضح بطلان التالی؛ للوقوع فی تلک الموارد و أشباهها، فیکشف عن بطلان المقدّم، و هو امتناع اجتماع الوجوب و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فی الجواب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العبادات المکروهة علی ثلاثة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تعلّق النهی بعنوان العبادة، و لا یکون لها بدل، کصوم یوم العاشور، و النوافل المبتدأة فی بعض الأوقات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تعلّق النهی بعنوانها أیضاً، و لکن یکون لها بدل، کالصلاة فی الحمّام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تعلّق النهی بعنوان آخر یکون بینه و بینها نسبة العموم من وجه، کالصلاة فی مواضع التهمة، بناء علی أن تکون کراهتها من جهة کراهة الکون فیها المتّحد مع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إشکال فیه بناءً علی القول بالجواز، کما عرفت أنّه مقتضی التحقیق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فکذلک أیضاً لو قلنا بدخول العامّین مطلقاً فی محل النزاع أیضاً، کما نفینا البُعْد عنه سابقاً فی مقدّمات المبحث، و أمّا لو قلنا بخروجه عنه، فسیأتی الجواب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المهم هو 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لا بدّ أن یجیب عنه کلٌّ من المجوّز و الممتنع؛ لعدم تعدّد الجهة المجدی بناءً علی القول بالجواز؛ لأنّ النهی إنّما تعلّق بعنوان العبادة التی تکون متعلّقةً للأمر الاستحبابی</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أجاب عنه فی الکفایة بما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الکراهة إنّما هو لانطباق عنوان راجح علی الترک الذی یکون أرجح من الفعل، فیکون الفعل و الترک من قبیل المستحبّین المتزاحمین، أو لملازمة الترک علی عنوان کذلک</w:t>
      </w:r>
      <w:r>
        <w:rPr>
          <w:rStyle w:val="FootnoteAnchor"/>
          <w:rtl w:val="true"/>
        </w:rPr>
        <w:footnoteReference w:id="140"/>
      </w:r>
      <w:r>
        <w:rPr>
          <w:rFonts w:ascii="IRNazanin" w:hAnsi="IRNazanin" w:eastAsia="IRNazanin"/>
          <w:color w:val="111111"/>
          <w:sz w:val="28"/>
          <w:sz w:val="28"/>
          <w:szCs w:val="28"/>
          <w:rtl w:val="true"/>
          <w:lang w:bidi="fa-IR"/>
        </w:rPr>
        <w:t>، و لکن</w:t>
      </w:r>
    </w:p>
    <w:p>
      <w:pPr>
        <w:pStyle w:val="BookText"/>
        <w:rPr/>
      </w:pPr>
      <w:r>
        <w:rPr>
          <w:rFonts w:ascii="IRNazanin" w:hAnsi="IRNazanin" w:eastAsia="IRNazanin"/>
          <w:color w:val="111111"/>
          <w:sz w:val="28"/>
          <w:sz w:val="28"/>
          <w:szCs w:val="28"/>
          <w:rtl w:val="true"/>
          <w:lang w:bidi="fa-IR"/>
        </w:rPr>
        <w:t>لا یخفی أنّ هذا المعنی ممّا لا یمکن الالتزام به؛ لأنّ الترک أمر عدمی، و العدم لیس بشیء حتّی ینطبق علیه عنوان و یتّحد معه أو یلازمه شیء، فإنّ ذلک من الاُمور المعروضة للموجودات، و العدم لیس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یمکن أن یقال فی حلّ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المستفاد من الأخبار أنّ کراهة صوم یوم العاشور إنّما هی لکونه تشبّهاً ببنی امیّة و بنی مروان لعنهم اللّه جمیعاً، حیث إنّهم یتبرّکون بهذا الیوم و یعاملون معه معاملة الأعیاد و یصومون فیه تبرّکاً به، بل لعلّه کان من أعظم الأعیاد، کما یشعر بذلک بعض الأخبار، فالنهی إنّما یکون متعلّقاً بالتشبّه بهم فی الأعمال التی کانوا یعملونها فی ذلک الیوم لأجل التبرّک به 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فتعلّق النهی التنزیهی به إنّما هو لکونه مصداقاً للتشبّه بهم، و من المعلوم أنّ نسبة عنوان التشبّه إلی طبیعة 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تکون مطلوبةً فی کلّ زمان و متعلّقةً للأمر الوجوبی أو الاستحبابی فی جمیع الأیام عدا العیدین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نسبة العموم و الخصوص من وجه، و قد عرفت أنّ مقتضی التحقیق جواز الاجتماع فیه، فکون طبیعة الصوم مأموراً بها لا ینافی تعلّق النهی بعنوان التشبّه بهم، الذی ربّما یجتمع معها فی الوجود الخارجی، و نظیر هذا المعنی یمکن أن یقال فی النوافل المبتدأة فی بعض الأوقات، فتدبّر</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القسم الثانی فجوابه ما أفاد فی الکفایة ممّا 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النهی إرشاداً إلی ترک إیجاد الصلاة مع خصوصیّة کونها فی الحمّام لحصول منقصة فیها معها، کما أنّ الأمر بالصلاة فی المسجد إرشاد إلی إیجادها فیه؛ لحصول مزیّة فیها معه، و مَنْ أراد التفصیل فلیرجع إلی الکفایة</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bookmarkStart w:id="349" w:name="pg11586_104788"/>
    </w:p>
    <w:p>
      <w:pPr>
        <w:pStyle w:val="Heading5"/>
        <w:numPr>
          <w:ilvl w:val="4"/>
          <w:numId w:val="1"/>
        </w:numPr>
        <w:rPr/>
      </w:pPr>
      <w:bookmarkStart w:id="350" w:name="__RefHeading___Toc5145863_73709187"/>
      <w:bookmarkStart w:id="351" w:name="_Toc131"/>
      <w:bookmarkEnd w:id="349"/>
      <w:bookmarkEnd w:id="350"/>
      <w:r>
        <w:rPr>
          <w:rtl w:val="true"/>
        </w:rPr>
        <w:t>التنبیه الثانی</w:t>
      </w:r>
      <w:r>
        <w:rPr>
          <w:rtl w:val="true"/>
        </w:rPr>
        <w:t xml:space="preserve">: </w:t>
      </w:r>
      <w:r>
        <w:rPr>
          <w:rtl w:val="true"/>
        </w:rPr>
        <w:t>حکم توسّط الأرض المغصوبة</w:t>
      </w:r>
      <w:bookmarkEnd w:id="351"/>
    </w:p>
    <w:p>
      <w:pPr>
        <w:pStyle w:val="Heading6"/>
        <w:numPr>
          <w:ilvl w:val="5"/>
          <w:numId w:val="1"/>
        </w:numPr>
        <w:rPr/>
      </w:pPr>
      <w:bookmarkStart w:id="352" w:name="__RefHeading___Toc5145865_73709187"/>
      <w:bookmarkStart w:id="353" w:name="_Toc132"/>
      <w:bookmarkEnd w:id="352"/>
      <w:r>
        <w:rPr>
          <w:rtl w:val="true"/>
        </w:rPr>
        <w:t>اشارة</w:t>
      </w:r>
      <w:bookmarkEnd w:id="353"/>
    </w:p>
    <w:p>
      <w:pPr>
        <w:pStyle w:val="BookText"/>
        <w:rPr/>
      </w:pPr>
      <w:r>
        <w:rPr>
          <w:rFonts w:ascii="IRNazanin" w:hAnsi="IRNazanin" w:eastAsia="IRNazanin"/>
          <w:color w:val="111111"/>
          <w:sz w:val="28"/>
          <w:sz w:val="28"/>
          <w:szCs w:val="28"/>
          <w:rtl w:val="true"/>
          <w:lang w:bidi="fa-IR"/>
        </w:rPr>
        <w:t>لو توسّط فی أرض الغیر التی یحرم التصرّف فیها لکونه تصرّفاً فی مال الغیر بغیر إذنه بالاختیار، فهل الخروج عنها الذی ینحصر به التخلّص عن محذور الحرام یکون مأموراً به مع جریان حکم المعصیة علیه أو بدونه أو منهیّاً عنه أو مأموراً به و منهیّاً عنه معاً أو منهیّاً عنه بالنهی السابق الساقط بحدوث الاضطرار؟ وجوه و أقوال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الحقّ أنّه یکون منهیّاً عنه فعلاً و متوجّهاً إلیه خطاب النهی، و لا یکون مأموراً به فهاهنا دعویان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یکون مأموراً به؛ لأنّ الأمر الذی یتوهّم تعلّقه به إمّا أن یکون المراد به الأمر النفسی الاستقلالی، و إمّا أن یکون المراد به الأمر الغیری التبعی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فیدفعه وضوح أنّه لیس فی البین إلاّ مجرّد حرمة التصرّف فی مال الغیر؛ إذ لم یکن هنا دلیل یستفاد منه حکم وجوبی متعلّق بالخروج أو بالتخلّص أو بأشباههما من العناوین،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فیبتنی علی القول باقتضاء النهی عن الشیء الأمر بضدّه العامّ حتّی یثبت بذلک وجوب ترک التصرّف، و علی القول بالملازمة بین وجوب المقدّمة و وجوب ذیها حتّی یثبت بذلک وجوب الخروج لکونه مقدّمةً لترک التصرّف، و قد عرفت سابقاً منع الاقتضاء، و عدم ثبوت الملازمة، بل استحالة کلّ منهما، فراجع، فلا یکون الخروج متعلّقاً للأمر المقدّمی أیضاً</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منهیّاً عنه بالخطاب الفعلی، و سنده یظهر ممّا عرفت منّا مراراً من أنّ ما اشتهر بینهم من انحلال الخطابات الواردة فی الشریعة و تکثّرها</w:t>
      </w:r>
      <w:bookmarkStart w:id="354" w:name="pg11586_104789"/>
    </w:p>
    <w:p>
      <w:pPr>
        <w:pStyle w:val="BookText"/>
        <w:rPr/>
      </w:pPr>
      <w:bookmarkEnd w:id="354"/>
      <w:r>
        <w:rPr>
          <w:rFonts w:ascii="IRNazanin" w:hAnsi="IRNazanin" w:eastAsia="IRNazanin"/>
          <w:color w:val="111111"/>
          <w:sz w:val="28"/>
          <w:sz w:val="28"/>
          <w:szCs w:val="28"/>
          <w:rtl w:val="true"/>
          <w:lang w:bidi="fa-IR"/>
        </w:rPr>
        <w:t>حسب تکثّر المخاطبین بمعنی أنّ لکلّ مکلّف خطاباً یخصّه و حکماً مستقلاًّ، ممّا لا دلیل علیه لو لم نقل بثبوت الدلیل علی خلافه، کما مرّ، بل التحقیق أنّ الخطابات الشرعیة إنّما هی خطابات عامّة بمعنی أنّ الخطاب فی کلّ واحد منها واحد، و المخاطب متعدّد، و لا یلحظ فی هذا النحو من الخطاب إلاّ حال النوع من حیث القدرة و العجز و العلم و الجهل، کما هو واضح</w:t>
      </w:r>
      <w:r>
        <w:rPr>
          <w:rFonts w:eastAsia="IRNazanin" w:cs="IRNazanin"/>
          <w:color w:val="111111"/>
          <w:sz w:val="28"/>
          <w:szCs w:val="28"/>
          <w:rtl w:val="true"/>
          <w:lang w:bidi="fa-IR"/>
        </w:rPr>
        <w:t>.</w:t>
      </w:r>
    </w:p>
    <w:p>
      <w:pPr>
        <w:pStyle w:val="Heading6"/>
        <w:numPr>
          <w:ilvl w:val="5"/>
          <w:numId w:val="1"/>
        </w:numPr>
        <w:rPr/>
      </w:pPr>
      <w:bookmarkStart w:id="355" w:name="__RefHeading___Toc5145867_73709187"/>
      <w:bookmarkStart w:id="356" w:name="_Toc133"/>
      <w:bookmarkEnd w:id="355"/>
      <w:r>
        <w:rPr>
          <w:rtl w:val="true"/>
        </w:rPr>
        <w:t>عدم انحلال الخطابات الشرعیّة</w:t>
      </w:r>
      <w:bookmarkEnd w:id="356"/>
    </w:p>
    <w:p>
      <w:pPr>
        <w:pStyle w:val="BookText"/>
        <w:rPr/>
      </w:pPr>
      <w:r>
        <w:rPr>
          <w:rFonts w:ascii="IRNazanin" w:hAnsi="IRNazanin" w:eastAsia="IRNazanin"/>
          <w:color w:val="111111"/>
          <w:sz w:val="28"/>
          <w:sz w:val="28"/>
          <w:szCs w:val="28"/>
          <w:rtl w:val="true"/>
          <w:lang w:bidi="fa-IR"/>
        </w:rPr>
        <w:t>و الدلیل علی عدم انحلال الخطابات الشرعیة إلی الخطابات المتعدّدة حسب تعدّد المکلّفین امور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لازمه عدم کون العصاة مکلّفاً و مخاطباً أصلاً، ضرورة أنّ البعث و الزجر إنّما هو لغرض انبعاث المکلّف و انزجاره، و حینئذٍ فمع العلم بعدم تحقّق الانبعاث و الانزجار من المکلّف أصلاً کیف یجوز أن یبعثه المولی و یزجره؟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مجرّد إمکان تحقّق الانبعاث و الانزجار شرطاً لصحّة البعث، بل الشرط إنّما هو احتمالهما، و من المعلوم انتفاؤه بالنسبة إلی العصاة فی التکالیف الشرعیة، لکونه تعالی عالماً بعدم تحقّق الانبعاث و الانزجار من العصاة أصلاً، فلا یجوز حینئذٍ تکلیفهم، و ضرورة الشرع علی خلافه، فالواجب القول بعدم کونهم مکلّفین بخصوصهم، بل یشملهم الخطاب العامّ الواحد المتوجّه إلی جمیع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لازمه عدم وجوب القضاء علی النائم فی جمیع الوقت؛ لاستحالة بعثه لغرض الانبعاث، فلا یکون مکلّفاً بالأداء حتّی یجب علیه القضاء مع أنّ ضرورة الشرع أیضاً تقضی بخلافه</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لازمه اختلاف النجاسة و الطهارة بالنسبة إلی المکلّفین؛ لأنّه</w:t>
      </w:r>
    </w:p>
    <w:p>
      <w:pPr>
        <w:pStyle w:val="BookText"/>
        <w:rPr/>
      </w:pPr>
      <w:r>
        <w:rPr>
          <w:rFonts w:ascii="IRNazanin" w:hAnsi="IRNazanin" w:eastAsia="IRNazanin"/>
          <w:color w:val="111111"/>
          <w:sz w:val="28"/>
          <w:sz w:val="28"/>
          <w:szCs w:val="28"/>
          <w:rtl w:val="true"/>
          <w:lang w:bidi="fa-IR"/>
        </w:rPr>
        <w:t>لا یعقل جعل نجاسة الخمر الموجودة فی الممالک التی لا یسافر الإنسان إلیها عادة؛ لأنّ الواضح أنّ جعل الأحکام الوضعیة أیضاً إنّما هو لغرض ترتیب الأثر، فمع عدم الابتلاء به عادة لا یعقل جعل النجاسة له، مع أنّ الخمر حرام فی أیّ محلّ کان، کما یشهد به ضرورة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ذلک من الاُمور التی تقدّمت الإشارة إلی بعضها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فالتکلیف ثابت بالنسبة إلی جمیع الناس من القادر و العاجز و العالم و الجاهل و المضطرّ و المختار، غایة الأمر کون العاجز و نظائره معذوراً بحکم العقل فی مخالفة التکلیف، لا أنّه خارج عن المخاطبین بحیث لم یکن الخطاب متوجّهاً إلیه، و 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الاضطرار الحادث فی المقام بسوء الاختیار لا یصیر عذراً بنظر العقل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تری ثبوت العذر لمن ألجأ نفسه فی ارتکاب المحرّمات الشرعیة بسوء الاختیار، کمن اضطرّ إلی شرب الخمر و أکل لحم المیتة بسوء اختیار نفسه؟</w:t>
      </w:r>
    </w:p>
    <w:p>
      <w:pPr>
        <w:pStyle w:val="BookText"/>
        <w:rPr/>
      </w:pPr>
      <w:r>
        <w:rPr>
          <w:rFonts w:ascii="IRNazanin" w:hAnsi="IRNazanin" w:eastAsia="IRNazanin"/>
          <w:color w:val="111111"/>
          <w:sz w:val="28"/>
          <w:sz w:val="28"/>
          <w:szCs w:val="28"/>
          <w:rtl w:val="true"/>
          <w:lang w:bidi="fa-IR"/>
        </w:rPr>
        <w:t>ثمّ إنّه لو قلنا بعدم توجّه الخطاب الفعلی إلیه لکونه مضطرّاً و لو بسوء الاختیار، فلا مجال للقول بعدم استحقاقه للعقوبة، بل لا یرتاب فیه عاقل أصلاً، کیف و لازمه عدم استحقاق من اضطرّ بسوء اختیاره إلی سائر المحرّمات الشرعیة للعقوبة أصلاً، فیجوز أن یدخل الإنسان داراً یعلم بأنّه لو دخل فیها یصیر مضطرّاً إلی شرب الخمر أو مکرهاً علیه، و لا یترتّب علیه عقوبة أیضاً و من المعلوم أنّ ضرورة الشرع و العقل علی خلافه</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لو سلّمنا اقتضاء النهی عن الشیء الأمر بضدّه العامّ و قلنا بثبوت الملازمة العقلیة بین وجوب المقدّمة و وجوب ذیها و قطعنا النظر عمّا ذکرنا من عدم انحلال الخطابات الشرعیة إلی الخطابات المتکثّرة حسب تکثّر المکلّفین، فلا یکون فی البین مانع من الالتزام بقول أبی هاشم و أتباعه القائلین بکونه</w:t>
      </w:r>
    </w:p>
    <w:p>
      <w:pPr>
        <w:pStyle w:val="BookText"/>
        <w:rPr/>
      </w:pPr>
      <w:r>
        <w:rPr>
          <w:rFonts w:ascii="IRNazanin" w:hAnsi="IRNazanin" w:eastAsia="IRNazanin"/>
          <w:color w:val="111111"/>
          <w:sz w:val="28"/>
          <w:sz w:val="28"/>
          <w:szCs w:val="28"/>
          <w:rtl w:val="true"/>
          <w:lang w:bidi="fa-IR"/>
        </w:rPr>
        <w:t>مأموراً به و منهیّاً عنه إلاّ لزوم التکلیف بالمحال؛ لعدم قدرة المکلّف علی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الإشکال علیه بلزوم کون التکلیف بنفسه محالاً کما فی الکفایة؛ نظراً إلی اجتماع التکلیفین هنا بعنوان واحد؛ لأنّ الخروج بعنوانه سبب للتخلّص و واقع بغیر إذن المالک</w:t>
      </w:r>
      <w:r>
        <w:rPr>
          <w:rStyle w:val="FootnoteAnchor"/>
          <w:rtl w:val="true"/>
        </w:rPr>
        <w:footnoteReference w:id="142"/>
      </w:r>
      <w:r>
        <w:rPr>
          <w:rFonts w:ascii="IRNazanin" w:hAnsi="IRNazanin" w:eastAsia="IRNazanin"/>
          <w:color w:val="111111"/>
          <w:sz w:val="28"/>
          <w:sz w:val="28"/>
          <w:szCs w:val="28"/>
          <w:rtl w:val="true"/>
          <w:lang w:bidi="fa-IR"/>
        </w:rPr>
        <w:t>، فمندفع بأنّ متعلّق النهی إنّما هو التصرّف فی مال الغیر بدون إذنه، لا عنوان الخروج، و متعلّق الأمر المقدّمی لیس ما یحمل علیه عنوان المقدّمة بالحمل الشائع، و إلّا یلزم أن یکون تعلّقه به متوقّفاً علی تحقّقه فی الخارج، فیلزم أن تکون المقدّمة الموجودة متعلّقةً للأمر، و هو مستحیل بداهة، بل المتعلّق له إنّما هو عنوان ما یتوقّف علیه ذو المقدّمة بناء علی القول بثبوت الملازمة مطلقاً، و عنوان الموصل إلی ذی المقدّمة بناءً علی القول بالمقدّمة الموصلة، کما عرفت أنّه مقتضی التحقیق بناءً علی تسلیم الملازمة، ضرورة أنّ الحیثیّات التعلیلیة کلّها ترجع إلی الحیثیات التقییدیة، فمتعلّق الأمر المقدّمی فی المقام هو عنوان ما یتوقّف علیه ترک التصرّف فی مال الغیر أو عنوان الموصل إلیه، و متعلّق النهی هو عنوان التصرّف فی مال الغیر، فأین یلزم اجتماع التکلیفین علی عنوان واحد؟ و لو لا استلزام هذا القول للتکلیف بالمحال کما عرفت، لم یکن بدّ من الالتزام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تعرف صحّة ما ذهب إلیه صاحب الفصول قدس سره من کونه مأموراً به مع إجراء حکم المعصیة علیه؛ نظراً إلی النهی السابق، و ذلک لخلوّه عن استلزام التکلیف بالمحال أیضاً</w:t>
      </w:r>
      <w:r>
        <w:rPr>
          <w:rStyle w:val="FootnoteAnchor"/>
          <w:rtl w:val="true"/>
        </w:rPr>
        <w:footnoteReference w:id="143"/>
      </w:r>
      <w:r>
        <w:rPr>
          <w:rFonts w:ascii="Amiri" w:hAnsi="Amiri" w:eastAsia="Amiri" w:cs="Amiri"/>
          <w:color w:val="111111"/>
          <w:sz w:val="28"/>
          <w:sz w:val="28"/>
          <w:szCs w:val="28"/>
          <w:rtl w:val="true"/>
          <w:lang w:bidi="ar-SA"/>
        </w:rPr>
        <w:t>، فتدبّر</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المحقّق النائینی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فی التقریرات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بنی المسألة علی</w:t>
      </w:r>
      <w:bookmarkStart w:id="357" w:name="pg11586_104792"/>
    </w:p>
    <w:p>
      <w:pPr>
        <w:pStyle w:val="BookText"/>
        <w:rPr/>
      </w:pPr>
      <w:bookmarkEnd w:id="357"/>
      <w:r>
        <w:rPr>
          <w:rFonts w:ascii="IRNazanin" w:hAnsi="IRNazanin" w:eastAsia="IRNazanin"/>
          <w:color w:val="111111"/>
          <w:sz w:val="28"/>
          <w:sz w:val="28"/>
          <w:szCs w:val="28"/>
          <w:rtl w:val="true"/>
          <w:lang w:bidi="fa-IR"/>
        </w:rPr>
        <w:t xml:space="preserve">کونها مندرجةً تحت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الامتناع بالاختیار لا ینافی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فالحقّ ما علیه صاحب الکفایة من عدم کونه مأموراً به و لا منهیّاً عنه، و علی عدم کونها صغری لها</w:t>
      </w:r>
      <w:r>
        <w:rPr>
          <w:rStyle w:val="FootnoteAnchor"/>
          <w:rtl w:val="true"/>
        </w:rPr>
        <w:footnoteReference w:id="144"/>
      </w:r>
      <w:r>
        <w:rPr>
          <w:rFonts w:ascii="IRNazanin" w:hAnsi="IRNazanin" w:eastAsia="IRNazanin"/>
          <w:color w:val="111111"/>
          <w:sz w:val="28"/>
          <w:sz w:val="28"/>
          <w:szCs w:val="28"/>
          <w:rtl w:val="true"/>
          <w:lang w:bidi="fa-IR"/>
        </w:rPr>
        <w:t>، فالحقّ ما علیه الشیخ من کونه مأموراً به فقط‌</w:t>
      </w:r>
      <w:r>
        <w:rPr>
          <w:rStyle w:val="FootnoteAnchor"/>
          <w:rtl w:val="true"/>
        </w:rPr>
        <w:footnoteReference w:id="145"/>
      </w:r>
      <w:r>
        <w:rPr>
          <w:rFonts w:ascii="IRNazanin" w:hAnsi="IRNazanin" w:eastAsia="IRNazanin"/>
          <w:color w:val="111111"/>
          <w:sz w:val="28"/>
          <w:sz w:val="28"/>
          <w:szCs w:val="28"/>
          <w:rtl w:val="true"/>
          <w:lang w:bidi="fa-IR"/>
        </w:rPr>
        <w:t>ثمّ اختار عدم الاندراج، و تمسّک فی ذلک بأربعة أوجه</w:t>
      </w:r>
      <w:r>
        <w:rPr>
          <w:rStyle w:val="FootnoteAnchor"/>
          <w:rtl w:val="true"/>
        </w:rPr>
        <w:footnoteReference w:id="14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لا یخفی أنّ هذه القاعدة بعیدة عن المقام بمراحل، بل لا یکون بینهما ربط أصلاً؛ لما ذکره فی الکفایة فی بیان موردها، فراجعها</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8" w:name="__RefHeading___Toc5145869_73709187"/>
      <w:bookmarkStart w:id="359" w:name="_Toc134"/>
      <w:bookmarkEnd w:id="358"/>
      <w:r>
        <w:rPr>
          <w:rtl w:val="true"/>
        </w:rPr>
        <w:t>التنبیه الثالث</w:t>
      </w:r>
      <w:r>
        <w:rPr>
          <w:rtl w:val="true"/>
        </w:rPr>
        <w:t xml:space="preserve">: </w:t>
      </w:r>
      <w:r>
        <w:rPr>
          <w:rtl w:val="true"/>
        </w:rPr>
        <w:t>حکم الصلاة فی الدار المغصوبة</w:t>
      </w:r>
      <w:bookmarkEnd w:id="359"/>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عرفت أنّ الصلاة فی الدار المغصوبة لا مانع فیها من حیث اجتماع التکلیفین، و أمّا حکمها الوصفی فنحن و إن اخترنا البطلان بناءً علی الاجتماع فی المقدّمة السادسة المعدّة لبیان ثمرة القولین، نظراً إلی أنّ المبعّد لا یمکن أن یکون مقرّباً، إلاّ أنّک عرفت فی مسألة إمکان اجتماع المحبوبیّة و المبغوضیّة و الصلاح و الفساد أنّه لا مانع من ذلک أصلاً؛ لأنّ المقرّب إنّما هو حیثیة الصلاتیة، و المبعّد إنّما هو حیثیّة الغصبیة، فالحقّ صحّة الصلاة بناءً علی القول بالاجتماع، و أمّا بناءً علی الامتناع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عرفت تفصیل القول فیه فی تلک المقدّمة، فراجع</w:t>
      </w:r>
      <w:r>
        <w:rPr>
          <w:rFonts w:eastAsia="IRNazanin" w:cs="IRNazanin"/>
          <w:color w:val="111111"/>
          <w:sz w:val="28"/>
          <w:szCs w:val="28"/>
          <w:rtl w:val="true"/>
          <w:lang w:bidi="fa-IR"/>
        </w:rPr>
        <w:t>.</w:t>
      </w:r>
      <w:bookmarkStart w:id="360" w:name="pg11586_104793"/>
    </w:p>
    <w:p>
      <w:pPr>
        <w:pStyle w:val="BookText"/>
        <w:rPr/>
      </w:pPr>
      <w:bookmarkEnd w:id="360"/>
      <w:r>
        <w:rPr>
          <w:rFonts w:ascii="IRNazanin" w:hAnsi="IRNazanin" w:eastAsia="IRNazanin"/>
          <w:color w:val="111111"/>
          <w:sz w:val="28"/>
          <w:sz w:val="28"/>
          <w:szCs w:val="28"/>
          <w:rtl w:val="true"/>
          <w:lang w:bidi="fa-IR"/>
        </w:rPr>
        <w:t>حول کشف النهی عن فساد المنهی عنه</w:t>
      </w:r>
    </w:p>
    <w:p>
      <w:pPr>
        <w:pStyle w:val="Heading3"/>
        <w:numPr>
          <w:ilvl w:val="2"/>
          <w:numId w:val="1"/>
        </w:numPr>
        <w:rPr/>
      </w:pPr>
      <w:bookmarkStart w:id="361" w:name="__RefHeading___Toc5145871_73709187"/>
      <w:bookmarkStart w:id="362" w:name="_Toc135"/>
      <w:bookmarkEnd w:id="361"/>
      <w:r>
        <w:rPr>
          <w:rtl w:val="true"/>
        </w:rPr>
        <w:t>الفصل الثالث فی اقتضاء النهی عن الشیء فساده و عدمه</w:t>
      </w:r>
      <w:bookmarkEnd w:id="362"/>
    </w:p>
    <w:p>
      <w:pPr>
        <w:pStyle w:val="Heading4"/>
        <w:numPr>
          <w:ilvl w:val="3"/>
          <w:numId w:val="1"/>
        </w:numPr>
        <w:rPr/>
      </w:pPr>
      <w:bookmarkStart w:id="363" w:name="__RefHeading___Toc5145873_73709187"/>
      <w:bookmarkStart w:id="364" w:name="_Toc136"/>
      <w:bookmarkEnd w:id="363"/>
      <w:r>
        <w:rPr>
          <w:rtl w:val="true"/>
        </w:rPr>
        <w:t>و لا بدّ من تقدیم امور</w:t>
      </w:r>
      <w:r>
        <w:rPr>
          <w:rtl w:val="true"/>
        </w:rPr>
        <w:t>:</w:t>
      </w:r>
      <w:bookmarkEnd w:id="364"/>
    </w:p>
    <w:p>
      <w:pPr>
        <w:pStyle w:val="Heading5"/>
        <w:numPr>
          <w:ilvl w:val="4"/>
          <w:numId w:val="1"/>
        </w:numPr>
        <w:rPr/>
      </w:pPr>
      <w:bookmarkStart w:id="365" w:name="__RefHeading___Toc5145875_73709187"/>
      <w:bookmarkStart w:id="366" w:name="_Toc137"/>
      <w:bookmarkEnd w:id="365"/>
      <w:r>
        <w:rPr>
          <w:rtl w:val="true"/>
        </w:rPr>
        <w:t>الأمر الأوّل</w:t>
      </w:r>
      <w:r>
        <w:rPr>
          <w:rtl w:val="true"/>
        </w:rPr>
        <w:t xml:space="preserve">: </w:t>
      </w:r>
      <w:r>
        <w:rPr>
          <w:rtl w:val="true"/>
        </w:rPr>
        <w:t>حول عنوان المسألة</w:t>
      </w:r>
      <w:bookmarkEnd w:id="366"/>
    </w:p>
    <w:p>
      <w:pPr>
        <w:pStyle w:val="BookText"/>
        <w:rPr/>
      </w:pPr>
      <w:r>
        <w:rPr>
          <w:rFonts w:ascii="IRNazanin" w:hAnsi="IRNazanin" w:eastAsia="IRNazanin"/>
          <w:color w:val="111111"/>
          <w:sz w:val="28"/>
          <w:sz w:val="28"/>
          <w:szCs w:val="28"/>
          <w:rtl w:val="true"/>
          <w:lang w:bidi="fa-IR"/>
        </w:rPr>
        <w:t>ربّما یعبّر عن محلّ النزاع تارة بأنّ النهی عن الشیء هل یقتضی فساده أم لا؟ و اخری بأنّ النهی عن الشیء هل یدلّ علی فساده أم لا؟ و لا یخفی إمکان المناقشة فی کلٍّ منهما؛ لأنّ التعبیر بالاقتضاء الذی معناه بحسب العرف و اللغة هو التأثیر و السببیّة لا یناسب المقام،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التعبیر بالدلالة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یناسب القول بالفساد من جهة ملازمة الحرمة معه لا من جهة کون النهی إرشاداً إلیه فالأولی التعبیر بأنّ النهی هل یکشف عن فساد المنهی عنه عبادة کان أو معاملة أم لا</w:t>
      </w:r>
      <w:r>
        <w:rPr>
          <w:rFonts w:eastAsia="IRNazanin" w:cs="IRNazanin"/>
          <w:color w:val="111111"/>
          <w:sz w:val="28"/>
          <w:szCs w:val="28"/>
          <w:rtl w:val="true"/>
          <w:lang w:bidi="fa-IR"/>
        </w:rPr>
        <w:t>.</w:t>
      </w:r>
    </w:p>
    <w:p>
      <w:pPr>
        <w:pStyle w:val="Heading5"/>
        <w:numPr>
          <w:ilvl w:val="4"/>
          <w:numId w:val="1"/>
        </w:numPr>
        <w:rPr/>
      </w:pPr>
      <w:bookmarkStart w:id="367" w:name="__RefHeading___Toc5145877_73709187"/>
      <w:bookmarkStart w:id="368" w:name="_Toc138"/>
      <w:bookmarkEnd w:id="367"/>
      <w:r>
        <w:rPr>
          <w:rtl w:val="true"/>
        </w:rPr>
        <w:t>الأمر الثانی</w:t>
      </w:r>
      <w:r>
        <w:rPr>
          <w:rtl w:val="true"/>
        </w:rPr>
        <w:t xml:space="preserve">: </w:t>
      </w:r>
      <w:r>
        <w:rPr>
          <w:rtl w:val="true"/>
        </w:rPr>
        <w:t>فی اصولیّة هذه المسألة</w:t>
      </w:r>
      <w:bookmarkEnd w:id="368"/>
    </w:p>
    <w:p>
      <w:pPr>
        <w:pStyle w:val="Heading6"/>
        <w:numPr>
          <w:ilvl w:val="5"/>
          <w:numId w:val="1"/>
        </w:numPr>
        <w:rPr/>
      </w:pPr>
      <w:bookmarkStart w:id="369" w:name="__RefHeading___Toc5145879_73709187"/>
      <w:bookmarkStart w:id="370" w:name="_Toc139"/>
      <w:bookmarkEnd w:id="369"/>
      <w:r>
        <w:rPr>
          <w:rtl w:val="true"/>
        </w:rPr>
        <w:t>اشارة</w:t>
      </w:r>
      <w:bookmarkEnd w:id="370"/>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عرفت الفرق بین هذه المسألة و بین مسألة اجتماع الأمر و النهی فی</w:t>
      </w:r>
      <w:bookmarkStart w:id="371" w:name="pg11586_104794"/>
    </w:p>
    <w:p>
      <w:pPr>
        <w:pStyle w:val="BookText"/>
        <w:rPr/>
      </w:pPr>
      <w:bookmarkEnd w:id="371"/>
      <w:r>
        <w:rPr>
          <w:rFonts w:ascii="IRNazanin" w:hAnsi="IRNazanin" w:eastAsia="IRNazanin"/>
          <w:color w:val="111111"/>
          <w:sz w:val="28"/>
          <w:sz w:val="28"/>
          <w:szCs w:val="28"/>
          <w:rtl w:val="true"/>
          <w:lang w:bidi="fa-IR"/>
        </w:rPr>
        <w:t>بعض مقدّمات تلک المسألة، و الظاهر کون المسألة اصولیّةً؛ لأنّ نتیجتها تقع فی طریق الاستنباط کما هو واضح</w:t>
      </w:r>
      <w:r>
        <w:rPr>
          <w:rFonts w:eastAsia="IRNazanin" w:cs="IRNazanin"/>
          <w:color w:val="111111"/>
          <w:sz w:val="28"/>
          <w:szCs w:val="28"/>
          <w:rtl w:val="true"/>
          <w:lang w:bidi="fa-IR"/>
        </w:rPr>
        <w:t>.</w:t>
      </w:r>
    </w:p>
    <w:p>
      <w:pPr>
        <w:pStyle w:val="Heading6"/>
        <w:numPr>
          <w:ilvl w:val="5"/>
          <w:numId w:val="1"/>
        </w:numPr>
        <w:rPr/>
      </w:pPr>
      <w:bookmarkStart w:id="372" w:name="__RefHeading___Toc5145881_73709187"/>
      <w:bookmarkStart w:id="373" w:name="_Toc140"/>
      <w:bookmarkEnd w:id="372"/>
      <w:r>
        <w:rPr>
          <w:rtl w:val="true"/>
        </w:rPr>
        <w:t>هل المسألة عقلیّة أو لفظیّة؟</w:t>
      </w:r>
      <w:bookmarkEnd w:id="373"/>
    </w:p>
    <w:p>
      <w:p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المسألة عقلیة صرفة، و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لفظیة محضة، و الظاهر عدم کونها ممحّضاً فی أحدهما؛ لأنّ المدّعی فی المسألة صحّة العبادة و بطلانها، سواء کان طریق الإثبات فی ذلک اللّفظ بأن یکون النهی إرشاداً إلی الفساد و عدمه، أو العقل؛ للملازمة بین المبغوضیّة و الفساد و 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اختلاف الاستدلالات من هذه الجهة، فبعضها ظاهر فی الدلالة بحسب العرف، و بعضها فی الدلالة بحسب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دعوی أنّ المسألة عقلیة محضة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الدّرر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القائل بالبطلان یتمسّک بعدم إمکان صیرورة المبغوض عبادة</w:t>
      </w:r>
      <w:r>
        <w:rPr>
          <w:rStyle w:val="FootnoteAnchor"/>
          <w:rtl w:val="true"/>
        </w:rPr>
        <w:footnoteReference w:id="148"/>
      </w:r>
      <w:r>
        <w:rPr>
          <w:rFonts w:ascii="IRNazanin" w:hAnsi="IRNazanin" w:eastAsia="IRNazanin"/>
          <w:color w:val="111111"/>
          <w:sz w:val="28"/>
          <w:sz w:val="28"/>
          <w:szCs w:val="28"/>
          <w:rtl w:val="true"/>
          <w:lang w:bidi="fa-IR"/>
        </w:rPr>
        <w:t>، مدفوعة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اختصاص استدلالهم بذلک، بل ربّما یتمسّکون بالدلالة العرفیة، کما فی الفصول</w:t>
      </w:r>
      <w:r>
        <w:rPr>
          <w:rStyle w:val="FootnoteAnchor"/>
          <w:rtl w:val="true"/>
        </w:rPr>
        <w:footnoteReference w:id="149"/>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pStyle w:val="Heading5"/>
        <w:numPr>
          <w:ilvl w:val="4"/>
          <w:numId w:val="1"/>
        </w:numPr>
        <w:rPr/>
      </w:pPr>
      <w:bookmarkStart w:id="374" w:name="__RefHeading___Toc5145883_73709187"/>
      <w:bookmarkStart w:id="375" w:name="_Toc141"/>
      <w:bookmarkEnd w:id="374"/>
      <w:r>
        <w:rPr>
          <w:rtl w:val="true"/>
        </w:rPr>
        <w:t>الأمر الثالث</w:t>
      </w:r>
      <w:r>
        <w:rPr>
          <w:rtl w:val="true"/>
        </w:rPr>
        <w:t xml:space="preserve">: </w:t>
      </w:r>
      <w:r>
        <w:rPr>
          <w:rtl w:val="true"/>
        </w:rPr>
        <w:t>تفسیر وصفی الصحّة و الفساد</w:t>
      </w:r>
      <w:bookmarkEnd w:id="375"/>
    </w:p>
    <w:p>
      <w:pPr>
        <w:pStyle w:val="Heading6"/>
        <w:numPr>
          <w:ilvl w:val="5"/>
          <w:numId w:val="1"/>
        </w:numPr>
        <w:rPr/>
      </w:pPr>
      <w:bookmarkStart w:id="376" w:name="__RefHeading___Toc5145885_73709187"/>
      <w:bookmarkStart w:id="377" w:name="_Toc142"/>
      <w:bookmarkEnd w:id="376"/>
      <w:r>
        <w:rPr>
          <w:rtl w:val="true"/>
        </w:rPr>
        <w:t>اشارة</w:t>
      </w:r>
      <w:bookmarkEnd w:id="377"/>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فی الکفایة فی معنی الصحّة و الفساد 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أنّهما وصفان إضافیّان، و معنی الأوّل هی التمامیة، و الثانی هو النقص، و الصحّة فی العبادة و المعاملة بمعنی واحد، و هو التمامیة، و الاختلاف فی الآثار المرغوبة منهما</w:t>
      </w:r>
    </w:p>
    <w:p>
      <w:pPr>
        <w:pStyle w:val="BookText"/>
        <w:rPr/>
      </w:pPr>
      <w:r>
        <w:rPr>
          <w:rFonts w:ascii="IRNazanin" w:hAnsi="IRNazanin" w:eastAsia="IRNazanin"/>
          <w:color w:val="111111"/>
          <w:sz w:val="28"/>
          <w:sz w:val="28"/>
          <w:szCs w:val="28"/>
          <w:rtl w:val="true"/>
          <w:lang w:bidi="fa-IR"/>
        </w:rPr>
        <w:t>التی بالقیاس علیها تتّصف بالتمامیة، و هکذا الاختلاف بین الفقیه و المتکلّم فی تفسیر صحّة العبادة إنّما یکون لأجل الاختلاف فیما هو المهمّ لکلٍّ منهما من الأثر بعد الاتّفاق علی أنّها بمعنی التمامیة، کما هی معناها لغةً و عرفاً</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الواضح أنّ الصحّة و الفساد لا یساوقان التمامیة و النقص بحسب اللغة و العرف؛ لما نری بالوجدان من اختلاف موارد استعمالهما، فلا یقال علی الإنسان الفاقد للبصر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فاسد، و لا علی الفاکهة التی طرأ علیها بعض العوارض فأخرجها عمّا یقتضیه بحسب نوعها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ناقصة، و لا علی البیت الخالیة من السقف أو الجدار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فاسد، بل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 و لا علی المعجون المشتمل علی جمیع أجزائه الغیر المترتّب علیه الأثر المقصود منه؛ لطروّ بعض العوارض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ناقص، بل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فاختلاف موارد استعمالهما ممّا لا ینبغی الارتیاب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الذی یطابقه الوجدان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معنی التمامیة یرجع إلی اشتمال الشیء المرکّب علی جمیع ما اعتبر فیه من الأجزاء و الشرائط، و النقص عبارة عن فقدانه لبعض تلک الأجزاء أو الشرائط، و التقابل بینهما تقابل العدم و الملکة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الصحّة فهی عبارة عن کون الشیء فی وجوده الخارجی مطابقاً لما یقتضیه طبعه الأوّلی بحسب نوعه و الفساد عبارة عن خروجه عن مقتضی طبعه الأوّلی لطروّ بعض الأسباب الموجبة لذلک، و هو کالصحّة أمر وجودی، و التقابل بینهما تقابل الضدّین</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لا ننکر أنّ الصحّة قد استعملت فی العبادات و المعاملات بمعنی التمامیة؛ إذ العبادة الصحیحة مثلاً هو ما کان جامعاً لجمیع الأجزاء و الشرائط</w:t>
      </w:r>
    </w:p>
    <w:p>
      <w:pPr>
        <w:pStyle w:val="BookText"/>
        <w:rPr/>
      </w:pPr>
      <w:r>
        <w:rPr>
          <w:rFonts w:ascii="IRNazanin" w:hAnsi="IRNazanin" w:eastAsia="IRNazanin"/>
          <w:color w:val="111111"/>
          <w:sz w:val="28"/>
          <w:sz w:val="28"/>
          <w:szCs w:val="28"/>
          <w:rtl w:val="true"/>
          <w:lang w:bidi="fa-IR"/>
        </w:rPr>
        <w:t>المعتبرة فیه، و کذا المعاملة، و الفساد قد استعملت فیهما بمعنی النقص، کما هو واضح، و لکن هذا الاستعمال إمّا أن یکون اصطلاحاً خاصّاً من الفقهاء، و إمّا أن یکون مجازیّاً، و قرینته المشابهة؛ لأنّ الصلاة الفاقدة لبعض أجزائها مثلاً کأنّها قد خرجت عن مقتضی طبعها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علی التقدیر الثانی قد بلغ الآن إلی حدّ الحقیقة؛ لعدم احتیاجه إلی القرینة أصلاً،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لا یخفی أنّ التمامیة و النقص وصفان إضافیان، فیمکن أن یکون المرکّب تامّاً من حیث أجزائه مثلاً، و ناقصاً من حیث شرائطه، و الصحّة و الفساد فی العبادات و المعاملات و إن عرفت أنّهما یساوقان التمامیة و النقص إلاّ أنّ أثرهما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الإضافة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یسری إلی الصحّة و الفساد؛ لأنّه لا یقال علی الصلاة الجامعة لجمیع أجزائها الفاقدة لبعض شرائطها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صحیحة من حیث الأجزاء، و فاسدة من حیث الشرائط، بل أمرها یدور بین الصحّة بقولٍ مطلق، و الفساد کذلک،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المعاملات، فإنّ أمرها أیضاً دائر بین الصحّة فقط، و الفساد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الصحّة و الفساد وصفان واقعیّان لا یختلفان بحسب الأنظار واقعاً، بل مرجع الاختلاف إلی تخطئة کلٍّ من الناظرین نظر صاحبه بمعنی أنّ المصیب إنّما هو نظر واحد فقط، غایة الأمر أنّ کلاًّ یدّعی إصابة نظره، و ذلک لا یقتضی اختلافهما بحسب الأنظار واقعاً</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فی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اختلافهما بحسب الأنظار؛ لکون الأمر فی الشریعة علی أقسام، و قد وقع الخلاف فی إجزاء غیر الأمر الواقعی عنه</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bookmarkStart w:id="378" w:name="pg11586_104797"/>
    </w:p>
    <w:p>
      <w:pPr>
        <w:pStyle w:val="BookText"/>
        <w:rPr/>
      </w:pPr>
      <w:bookmarkEnd w:id="378"/>
      <w:r>
        <w:rPr>
          <w:rFonts w:ascii="IRNazanin" w:hAnsi="IRNazanin" w:eastAsia="IRNazanin"/>
          <w:color w:val="111111"/>
          <w:sz w:val="28"/>
          <w:sz w:val="28"/>
          <w:szCs w:val="28"/>
          <w:rtl w:val="true"/>
          <w:lang w:bidi="fa-IR"/>
        </w:rPr>
        <w:t>ممنوع جدّاً؛ لأنّ هذا الخلاف مرجعه إلی ما ذکرنا من عدم اقتضاء ذلک الاختلاف بحسب الواقع، بل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مسألة الإجزاء لا ربط لها بمسألة الصحّة أصلاً؛ فإنّ معنی الصحّة عبارة عن موافقة المأتی به للأمر المتعلّق بنفسه، و أمّا الاکتفاء به عن الإتیان بالمأمور به بأمر آخر فهو أمر خارج عن معنی الصحّة، فالصلاة مع الطهارة المستصحبة صحیحة بمعنی کونها موافقة للأمر الظاهری المتعلّق بها و لو لم نقل بکونها مجزئةً بمعنی الاکتفاء به عن الصلاة مع الطهارة الواقعیة المأمور بها بالأمر الواقعی، فالصحّة أمر، و الإجزاء أمر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الإجزاء مترتّب علی الصحّة بمعنی أنّ الإجزاء لو قیل به إنّما یتّصف به الصلاة الصحیحة المطابقة للأمر المتعلّق بها؛ إذ الصلاة الفاسدة بحسب أمرها لا یعقل أن تکون مجزئةً بالنسبة إلی أمر آخر کما هو واضح</w:t>
      </w:r>
      <w:r>
        <w:rPr>
          <w:rFonts w:eastAsia="IRNazanin" w:cs="IRNazanin"/>
          <w:color w:val="111111"/>
          <w:sz w:val="28"/>
          <w:szCs w:val="28"/>
          <w:rtl w:val="true"/>
          <w:lang w:bidi="fa-IR"/>
        </w:rPr>
        <w:t>.</w:t>
      </w:r>
    </w:p>
    <w:p>
      <w:pPr>
        <w:pStyle w:val="Heading6"/>
        <w:numPr>
          <w:ilvl w:val="5"/>
          <w:numId w:val="1"/>
        </w:numPr>
        <w:rPr/>
      </w:pPr>
      <w:bookmarkStart w:id="379" w:name="__RefHeading___Toc5145887_73709187"/>
      <w:bookmarkStart w:id="380" w:name="_Toc143"/>
      <w:bookmarkEnd w:id="379"/>
      <w:r>
        <w:rPr>
          <w:rtl w:val="true"/>
        </w:rPr>
        <w:t>تنبیه</w:t>
      </w:r>
      <w:r>
        <w:rPr>
          <w:rtl w:val="true"/>
        </w:rPr>
        <w:t xml:space="preserve">: </w:t>
      </w:r>
      <w:r>
        <w:rPr>
          <w:rtl w:val="true"/>
        </w:rPr>
        <w:t>فی جعل الصحّة و الفساد</w:t>
      </w:r>
      <w:bookmarkEnd w:id="380"/>
    </w:p>
    <w:p>
      <w:pPr>
        <w:pStyle w:val="BookText"/>
        <w:rPr/>
      </w:pPr>
      <w:r>
        <w:rPr>
          <w:rFonts w:ascii="IRNazanin" w:hAnsi="IRNazanin" w:eastAsia="IRNazanin"/>
          <w:color w:val="111111"/>
          <w:sz w:val="28"/>
          <w:sz w:val="28"/>
          <w:szCs w:val="28"/>
          <w:rtl w:val="true"/>
          <w:lang w:bidi="fa-IR"/>
        </w:rPr>
        <w:t>لا ینبغی الإشکال فی أنّ الصحّة و الفساد أمران واقعیّان یستقلّ بهما العقل بلا فرق بین العبادات و المعاملات، و لا بین الإتیان بالمأمور به بالأمر الواقعی الأوّلی أو بالأمر الاضطراری و الظاهری أصلاً؛ لأنّهما وصفان للموجود الخارجی باعتبار موافقته مع المجعول الشرعی، عبادةً کان أو معاملةً و عدمها؛ إذ لا یعقل الصحّة و الفساد فی وادی الجعل و الإنشاء، بل إنّما یتصوّران فی وادی الامتثال و الإیجاد، و هذا واضح، و من المعلوم أنّه لا فرق من هذه الجهة بین المعاملة و العبادة أصلاً</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فی الکفایة، من التفصیل بینهما لا وجه له، و کذا التفصیل بین</w:t>
      </w:r>
    </w:p>
    <w:p>
      <w:pPr>
        <w:pStyle w:val="BookText"/>
        <w:rPr/>
      </w:pPr>
      <w:r>
        <w:rPr>
          <w:rFonts w:ascii="IRNazanin" w:hAnsi="IRNazanin" w:eastAsia="IRNazanin"/>
          <w:color w:val="111111"/>
          <w:sz w:val="28"/>
          <w:sz w:val="28"/>
          <w:szCs w:val="28"/>
          <w:rtl w:val="true"/>
          <w:lang w:bidi="fa-IR"/>
        </w:rPr>
        <w:t>الصحّة و الفساد فی الإتیان بالمأمور به بالأمر الواقعی، و بینهما فی الإتیان بالمأمور به بالأمر الظاهری أو الاضطراری بالقیاس إلی الأمر الواقعی بعدم معقولیة الجعل فی الأوّل دون الثانی</w:t>
      </w:r>
      <w:r>
        <w:rPr>
          <w:rStyle w:val="FootnoteAnchor"/>
          <w:rtl w:val="true"/>
        </w:rPr>
        <w:footnoteReference w:id="152"/>
      </w:r>
      <w:r>
        <w:rPr>
          <w:rFonts w:ascii="IRNazanin" w:hAnsi="IRNazanin" w:eastAsia="IRNazanin"/>
          <w:color w:val="111111"/>
          <w:sz w:val="28"/>
          <w:sz w:val="28"/>
          <w:szCs w:val="28"/>
          <w:rtl w:val="true"/>
          <w:lang w:bidi="fa-IR"/>
        </w:rPr>
        <w:t xml:space="preserve">ممّا لا سبیل إلیه؛ فإنّه یرد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ما عرفت من أنّ مسألة الصحّة و الفساد لا ربط لها بمسألة الإجزاء و عدمه، فإنّهما إنّما یعتبران بالقیاس إلی نفس الأمر الظاهری و الاضطراری، و تلک المسألة إنّما تکون متعرّضةً لحاله من حیث الإجزاء و عدمه بالنسبة إلی أمر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معنی الأمر الظاهری مثلاً لو کان راجعاً إلی التصرّف فی المأمور به بالأمر الواقعی سعةً و ضیقاً بحیث کان مرجع تجویز الصلاة مع الطهارة المستصحبة مثلاً إلی التصرّف فی دلیل اعتبار الطهارة فی الصلاة بعدم کون المعتبر فیها هو خصوص الطهارة الواقعیة بل الأعمّ منها و من الطهارة الظاهریة، فلا یعقل جعل الصحّة للمأتی به فی الخارج مع الطهارة المستصحبة مثلاً؛ لأنّ موافقته مع المجعول الشرعی أمر واقعی نفس الأمری، و لا یعقل فیه الجعل و لو لم یکن معنی الأمر الظاهری راجعاً إلی ما ذکرنا، بل المراد منه مجرّد تجویز الصلاة معها مثلاً تسهیلاً للعباد بعدم لزوم التفحّص، أو تحصیل الطهارة الیقینیة ما دام لم ینکشف الخلاف، فلا یعقل جعل الصحّة إذا انکشف بعد عدم عمومیة الطهارة المعتبرة فی الصلاة و کون الشرط هو خصوص الطهارة الواقعیة لفساد العبادة واقعاً؛ لعدم کونها موافقةً للمجعول الشرعی، کما هو واضح</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فالحق أنّ الصحّة و الفساد مطلقاً من الاُمور الواقعیّة الغیر القابلة للجعل، و لا فرق بین الموارد أصلاً، فتأمّل جیّداً</w:t>
      </w:r>
      <w:r>
        <w:rPr>
          <w:rFonts w:eastAsia="IRNazanin" w:cs="IRNazanin"/>
          <w:color w:val="111111"/>
          <w:sz w:val="28"/>
          <w:szCs w:val="28"/>
          <w:rtl w:val="true"/>
          <w:lang w:bidi="fa-IR"/>
        </w:rPr>
        <w:t>.</w:t>
      </w:r>
      <w:bookmarkStart w:id="381" w:name="pg11586_104799"/>
    </w:p>
    <w:p>
      <w:pPr>
        <w:pStyle w:val="Heading5"/>
        <w:numPr>
          <w:ilvl w:val="4"/>
          <w:numId w:val="1"/>
        </w:numPr>
        <w:rPr/>
      </w:pPr>
      <w:bookmarkStart w:id="382" w:name="__RefHeading___Toc5145889_73709187"/>
      <w:bookmarkStart w:id="383" w:name="_Toc144"/>
      <w:bookmarkEnd w:id="381"/>
      <w:bookmarkEnd w:id="382"/>
      <w:r>
        <w:rPr>
          <w:rtl w:val="true"/>
        </w:rPr>
        <w:t>الأمر الرابع</w:t>
      </w:r>
      <w:r>
        <w:rPr>
          <w:rtl w:val="true"/>
        </w:rPr>
        <w:t xml:space="preserve">: </w:t>
      </w:r>
      <w:r>
        <w:rPr>
          <w:rtl w:val="true"/>
        </w:rPr>
        <w:t>شمول ملاک البحث للنهی التنزیهی و الغیری و التبعی</w:t>
      </w:r>
      <w:bookmarkEnd w:id="383"/>
    </w:p>
    <w:p>
      <w:pPr>
        <w:pStyle w:val="BookText"/>
        <w:rPr/>
      </w:pPr>
      <w:r>
        <w:rPr>
          <w:rFonts w:ascii="IRNazanin" w:hAnsi="IRNazanin" w:eastAsia="IRNazanin"/>
          <w:color w:val="111111"/>
          <w:sz w:val="28"/>
          <w:sz w:val="28"/>
          <w:szCs w:val="28"/>
          <w:rtl w:val="true"/>
          <w:lang w:bidi="fa-IR"/>
        </w:rPr>
        <w:t xml:space="preserve">لا ریب فی عدم اختصاص النزاع بالنهی التحریمی و شموله للنهی التنزیهی أیضاً، و مجرّد کون النواهی التنزیهیّة فی الشریعة متعلّقةً لا بنفس العبادة بل ببعض الخصوصیّات الخارجة عن حقیقتها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ادّعاه بعض </w:t>
      </w:r>
      <w:r>
        <w:rPr>
          <w:rStyle w:val="FootnoteAnchor"/>
          <w:rtl w:val="true"/>
        </w:rPr>
        <w:footnoteReference w:id="1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یوجب خروجه عن محلّ النزاع؛ لعدم تعلّق غرض الاُصولی بالصغریات، بل غرضه بیان قاعدة کلّیة تنطبق علی مواردها،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ینافی ما تقدّم فی ثمرة اقتضاء الأمر بالشیء للنهی عن الضدّ، و کذا لا شبهة فی دخول النهی الغیری فی مورد النزاع، و کذا النهی التبعی</w:t>
      </w:r>
      <w:r>
        <w:rPr>
          <w:rFonts w:eastAsia="IRNazanin" w:cs="IRNazanin"/>
          <w:color w:val="111111"/>
          <w:sz w:val="28"/>
          <w:szCs w:val="28"/>
          <w:rtl w:val="true"/>
          <w:lang w:bidi="fa-IR"/>
        </w:rPr>
        <w:t>.</w:t>
      </w:r>
    </w:p>
    <w:p>
      <w:pPr>
        <w:pStyle w:val="Heading5"/>
        <w:numPr>
          <w:ilvl w:val="4"/>
          <w:numId w:val="1"/>
        </w:numPr>
        <w:rPr/>
      </w:pPr>
      <w:bookmarkStart w:id="384" w:name="__RefHeading___Toc5145891_73709187"/>
      <w:bookmarkStart w:id="385" w:name="_Toc145"/>
      <w:bookmarkEnd w:id="384"/>
      <w:r>
        <w:rPr>
          <w:rtl w:val="true"/>
        </w:rPr>
        <w:t>الأمر الخامس</w:t>
      </w:r>
      <w:r>
        <w:rPr>
          <w:rtl w:val="true"/>
        </w:rPr>
        <w:t xml:space="preserve">: </w:t>
      </w:r>
      <w:r>
        <w:rPr>
          <w:rtl w:val="true"/>
        </w:rPr>
        <w:t>فی تحقیق الأصل فی المسألة</w:t>
      </w:r>
      <w:bookmarkEnd w:id="385"/>
    </w:p>
    <w:p>
      <w:pPr>
        <w:pStyle w:val="BookText"/>
        <w:rPr/>
      </w:pPr>
      <w:r>
        <w:rPr>
          <w:rFonts w:ascii="IRNazanin" w:hAnsi="IRNazanin" w:eastAsia="IRNazanin"/>
          <w:color w:val="111111"/>
          <w:sz w:val="28"/>
          <w:sz w:val="28"/>
          <w:szCs w:val="28"/>
          <w:rtl w:val="true"/>
          <w:lang w:bidi="fa-IR"/>
        </w:rPr>
        <w:t>لا أصل فی نفس المسألة الاُصولیة حتّی یحرز به الاقتضاء أو عدمه؛ لأنّه لو کان النزاع فی دلالة النهی و عدمها، فلا شبهة فی أنّه لا یکون لأحد الطرفین حالة سابقة متیقّنة حتّی تستصحب، ضرورة أنّها مشکوکة من حین 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قبل الترکیب و انضمام اللّام مع الألف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حین وضع المفردات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یدلّ علی الفساد؛ لعدم عروض الوضع الترکیبی علیه، فتستصحب تلک الحالة</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مدفوعة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النزاع فی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الألف، و هی من أوّل وضعها کانت مشکوکة الدلالة علی الفساد، و لو کان النزاع فی الملازمة بین</w:t>
      </w:r>
    </w:p>
    <w:p>
      <w:pPr>
        <w:pStyle w:val="BookText"/>
        <w:rPr/>
      </w:pPr>
      <w:r>
        <w:rPr>
          <w:rFonts w:ascii="IRNazanin" w:hAnsi="IRNazanin" w:eastAsia="IRNazanin"/>
          <w:color w:val="111111"/>
          <w:sz w:val="28"/>
          <w:sz w:val="28"/>
          <w:szCs w:val="28"/>
          <w:rtl w:val="true"/>
          <w:lang w:bidi="fa-IR"/>
        </w:rPr>
        <w:t>الحرمة و الفساد و عدمها، فلا شبهة أیضاً فی أنّه لا یکون لها حالة سابقة متیقّنة، لا لأنّ الملازمة و عدمها من الاُمور الأزلیة، فإنّ هذا فاسد؛ لأنّ الملازمة من الأوصاف الوجودیة، و لا یعقل تحقّقها من دون تحقّق طرفیها، و عروضها للمعدوم غیر معقول، بل لکونها مشکوکةً من حین تحقّق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کونها معدومةً و منتفیةً قبله و لو بانتفاء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هذا لا یصحّح جریان الاستصحاب؛ لأنّه من قبیل استصحاب عدم القرشیة، و قد حقّق فی محلّه عدم جریانه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لو سلّمنا وجود الحالة السابقة، فالظاهر أیضاً عدم جریان الاستصحاب؛ لأنّه یعتبر فی جریانه فی الموضوعات أن تکون موضوعةً للآثار و الأحکام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مندرجةً تحت بعض الکبریات الشرعیة، و من المعلوم أنّه لیس فی المقام کذلک؛ لأنّ استصحاب عدم الدلالة أو عدم الملازمة لا یثبت الصحّة أصلاً؛ لأنّ ترتّب الصحّة إنّما هو بحکم العقل بعد ملاحظة ثبوت المقتضی و عدم المانع، کما هو الحال فی جمیع الموارد، فإنّ الحاکم بترتّب المقتضی علی المقتضی بعد عدم ثبوت المانع إنّما هو العقل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فیما یتعلّق بجریان الأصل فی نفس المسألة الاُصولیة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المسألة الفرعیة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فالأصل فی المعاملات الفساد لو لم یکن عموم أو إطلاق یقتضی الصحّة، و أمّا العبادة فلو احرز من طریق ثبوت الملاک فیها، فالظاهر الصحّة بناءً علی کفایة الملاک فی صحّة العبادة، کما هو الحقّ، و قد سبق، و لو لم یحرز ذلک، فالعبادة فاسدة، و الوجه فیه واضح</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فرق فیما ذکرنا بین تعلّق النهی بنفس العبادة مثلاً أو جزئها أو شرطها؛ لأنّ محلّ الکلام إنّما هو کون تعلّق النهی بشیء عبادةً کان أو معاملة یوجب فساد متعلّقه من حیث هو أم لا، و أمّا سرایة الفساد منه إلی</w:t>
      </w:r>
      <w:bookmarkStart w:id="386" w:name="pg11586_104801"/>
    </w:p>
    <w:p>
      <w:pPr>
        <w:pStyle w:val="BookText"/>
        <w:rPr/>
      </w:pPr>
      <w:bookmarkEnd w:id="386"/>
      <w:r>
        <w:rPr>
          <w:rFonts w:ascii="IRNazanin" w:hAnsi="IRNazanin" w:eastAsia="IRNazanin"/>
          <w:color w:val="111111"/>
          <w:sz w:val="28"/>
          <w:sz w:val="28"/>
          <w:szCs w:val="28"/>
          <w:rtl w:val="true"/>
          <w:lang w:bidi="fa-IR"/>
        </w:rPr>
        <w:t>مجموع العبادة فیما کان متعلّق النهی جزءَ العبادة و عدم السرایة، فهو أمر خارج عن موضوع البحث،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یظهر أنّ الأمر الثامن الذی عقده فی الکفایة لإثبات موارد السرایة و عدمها</w:t>
      </w:r>
      <w:r>
        <w:rPr>
          <w:rStyle w:val="FootnoteAnchor"/>
          <w:rtl w:val="true"/>
        </w:rPr>
        <w:footnoteReference w:id="154"/>
      </w:r>
      <w:r>
        <w:rPr>
          <w:rFonts w:ascii="IRNazanin" w:hAnsi="IRNazanin" w:eastAsia="IRNazanin"/>
          <w:color w:val="111111"/>
          <w:sz w:val="28"/>
          <w:sz w:val="28"/>
          <w:szCs w:val="28"/>
          <w:rtl w:val="true"/>
          <w:lang w:bidi="fa-IR"/>
        </w:rPr>
        <w:t>خارج عن محلّ الکلام، و لا ربط له أصلاً</w:t>
      </w:r>
      <w:r>
        <w:rPr>
          <w:rFonts w:eastAsia="IRNazanin" w:cs="IRNazanin"/>
          <w:color w:val="111111"/>
          <w:sz w:val="28"/>
          <w:szCs w:val="28"/>
          <w:rtl w:val="true"/>
          <w:lang w:bidi="fa-IR"/>
        </w:rPr>
        <w:t>.</w:t>
      </w:r>
    </w:p>
    <w:p>
      <w:pPr>
        <w:pStyle w:val="Heading4"/>
        <w:numPr>
          <w:ilvl w:val="3"/>
          <w:numId w:val="1"/>
        </w:numPr>
        <w:rPr/>
      </w:pPr>
      <w:bookmarkStart w:id="387" w:name="__RefHeading___Toc5145893_73709187"/>
      <w:bookmarkStart w:id="388" w:name="_Toc146"/>
      <w:bookmarkEnd w:id="387"/>
      <w:r>
        <w:rPr>
          <w:rtl w:val="true"/>
        </w:rPr>
        <w:t>إذا عرفت هذه الاُمور، فاعلم أنّ الکلام یقع فی مقامین</w:t>
      </w:r>
      <w:r>
        <w:rPr>
          <w:rtl w:val="true"/>
        </w:rPr>
        <w:t>:</w:t>
      </w:r>
      <w:bookmarkEnd w:id="388"/>
    </w:p>
    <w:p>
      <w:pPr>
        <w:pStyle w:val="Heading5"/>
        <w:numPr>
          <w:ilvl w:val="4"/>
          <w:numId w:val="1"/>
        </w:numPr>
        <w:rPr/>
      </w:pPr>
      <w:bookmarkStart w:id="389" w:name="__RefHeading___Toc5145895_73709187"/>
      <w:bookmarkStart w:id="390" w:name="_Toc147"/>
      <w:bookmarkEnd w:id="389"/>
      <w:r>
        <w:rPr>
          <w:rtl w:val="true"/>
        </w:rPr>
        <w:t>المقام الأوّل فی دلالة النهی علی الفساد فی العبادات</w:t>
      </w:r>
      <w:bookmarkEnd w:id="390"/>
    </w:p>
    <w:p>
      <w:pPr>
        <w:pStyle w:val="BookText"/>
        <w:rPr/>
      </w:pPr>
      <w:r>
        <w:rPr>
          <w:rFonts w:ascii="IRNazanin" w:hAnsi="IRNazanin" w:eastAsia="IRNazanin"/>
          <w:color w:val="111111"/>
          <w:sz w:val="28"/>
          <w:sz w:val="28"/>
          <w:szCs w:val="28"/>
          <w:rtl w:val="true"/>
          <w:lang w:bidi="fa-IR"/>
        </w:rPr>
        <w:t>و الکلام فیه یقع من جهتین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دلالة النهی علی الفساد فیها بالدلالة اللفظیة العرفیة بمعنی أنّه لو ورد نهی متعلّق بعبادة و لم یحرز کونه مولویّاً تحریمیّاً أو تنزیهیّاً أو إرشادیاً، فهل یدلّ بنظر العرف علی فسادها أم لا؟ بمعنی أنّه هل یکون للإرشاد إلی الفساد أم لا؟</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عن بعض الأعاظم من المعاصرین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بکونه فی العبادات إرشاداً إلی فسادها؛ لأنّه حیث تکون العبادة من المجعولات الشرعیة، و الغرض من إتیانها إنّما هو سقوط الأمر، و حصول التقرّب بسببها إلی المولی، فکما أنّ الأمر بإتیانها علی کیفیّة مخصوصة و بوجوب الإتیان بشیء فیها یکون للإرشاد إلی أنّ الأثر المترقّب من العبادة لا یترتّب علیها من دون تلک الکیفیّة أو ذلک الشیء، و کذلک النهی عن إیجاد شیء فی المأمور به أو إتیانها بکیفیة خاصّة یکون للإرشاد إلی مانعیة ذلک الشیء أو تلک الکیفیة، و أنّ الأثر المقصود</w:t>
      </w:r>
    </w:p>
    <w:p>
      <w:pPr>
        <w:pStyle w:val="BookText"/>
        <w:rPr/>
      </w:pPr>
      <w:r>
        <w:rPr>
          <w:rFonts w:ascii="IRNazanin" w:hAnsi="IRNazanin" w:eastAsia="IRNazanin"/>
          <w:color w:val="111111"/>
          <w:sz w:val="28"/>
          <w:sz w:val="28"/>
          <w:szCs w:val="28"/>
          <w:rtl w:val="true"/>
          <w:lang w:bidi="fa-IR"/>
        </w:rPr>
        <w:t>لا یترتّب علیه مع وجوده أو وجودها، فکذلک النهی المتعلّق ببعض أنواع العبادة أو أصنافها لا یکون إلاّ للإرشاد إلی فساده، و عدم ترتّب الأثر المقصود علیه</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ثبوت الملازمة بین الحرمة و الفساد بمعنی أنّه لو احرز کون مدلول النهی هی الحرمة، فهل یثبت بذلک فساد المنهی عنه للملازمة، أو لا یثبت لعدمها؟</w:t>
      </w:r>
    </w:p>
    <w:p>
      <w:pPr>
        <w:pStyle w:val="BookText"/>
        <w:rPr/>
      </w:pPr>
      <w:r>
        <w:rPr>
          <w:rFonts w:ascii="IRNazanin" w:hAnsi="IRNazanin" w:eastAsia="IRNazanin"/>
          <w:color w:val="111111"/>
          <w:sz w:val="28"/>
          <w:sz w:val="28"/>
          <w:szCs w:val="28"/>
          <w:rtl w:val="true"/>
          <w:lang w:bidi="fa-IR"/>
        </w:rPr>
        <w:t>و التحقیق هو الأوّل؛ لأنّ النهی یکشف عن مبغوضیة متعلّقه و اشتماله علی المفسدة علی ما یقول به العدلیة، و مع ذلک لا یبقی مجال لصحّته بعد أنّه یعتبر فی صحّة العبادة أحد أمرین، و هما تعلّق الأمر بها و اشتمالها علی الملاک و هو رجحانها الذاتی، و المفروض انتفاؤهما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یعقل تعلّق النهی التحریمی الذاتی بالعبادة؛ لعدم حرمتها مع عدم قصد التقرّب و عدم القدرة علیها معه إلاّ تشریعاً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المراد بالعبادة هو الذی یکون من سنخ الوظائف التی یتعبّد بها، لا ما یکون فعلاً عبادةً، فصلاة الحائض عبادة بمعنی أنّها لو تعلّق الأمر بها، کان أمرها أمراً عبادیّاً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فی غیر العبادات الذاتیة، و أمّا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فتکون محرّمةً مع کونها فعلاً عبادةً، کما هو واضح</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فی النهی التحریمی، و أمّا النهی التنزیهی المتعلّق بذات العبادة فهو أیضاً یوجب فسادها؛ لأنّه لا یعقل اجتماع الصحّة مع المرجوحیّة الذاتیة أصلاً، إلاّ أنّه لا یخفی ثبوت المنافاة بین الفساد و بین الترخیص فیها الذی هو لازم النهی التنزیهی؛ لأنّ الترخیص بلازم الصحّة؛ إذ لا یعقل تجویز التشریع، فثبوته یلازم</w:t>
      </w:r>
      <w:bookmarkStart w:id="391" w:name="pg11586_104803"/>
    </w:p>
    <w:p>
      <w:pPr>
        <w:pStyle w:val="BookText"/>
        <w:rPr/>
      </w:pPr>
      <w:bookmarkEnd w:id="391"/>
      <w:r>
        <w:rPr>
          <w:rFonts w:ascii="IRNazanin" w:hAnsi="IRNazanin" w:eastAsia="IRNazanin"/>
          <w:color w:val="111111"/>
          <w:sz w:val="28"/>
          <w:sz w:val="28"/>
          <w:szCs w:val="28"/>
          <w:rtl w:val="true"/>
          <w:lang w:bidi="fa-IR"/>
        </w:rPr>
        <w:t>صحّتها،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بدّ من التأویل بجعل الترخیص ترخیصاً فی أصل العبادة، أو یقال بکون النهی إرشاداً إلی أقلّیة الثواب، إلاّ أنّ ذلک خروج عن محلّ البحث؛ لأنّ المفروض کون النهی تنزیهیّاً متعلّقاً بذات 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فی النواهی النفسیة، و أمّا النواهی الغیریة کالنهی عن الصلاة الناشئ من قِبَل الأمر بالإزالة بناءً علی اقتضاء الأمر بالشیء للنهی عن ضدّه، فلا یخفی أنّها لا تستلزم الفساد؛ لعدم کون متعلّقها مبغوضاً أصلاً، فلا مانع من صحّتها مع وجود الملاک فیها، و الاکتفاء به فی صحّة العبادة،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 أنّ الآتی بالصلاة دون الإزالة یکون متجرّیاً و التجرّی یوجب بطلان عبادته؛ لأنّه لا یقبل عبادة المتجرّی، 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التجرّی إنّما هو بسبب عدم فعل الإزالة، لا فعل الصلاة، و لا یعقل سرایة التجرّی منه إلیه، کما هو واضح</w:t>
      </w:r>
      <w:r>
        <w:rPr>
          <w:rFonts w:eastAsia="IRNazanin" w:cs="IRNazanin"/>
          <w:color w:val="111111"/>
          <w:sz w:val="28"/>
          <w:szCs w:val="28"/>
          <w:rtl w:val="true"/>
          <w:lang w:bidi="fa-IR"/>
        </w:rPr>
        <w:t>.</w:t>
      </w:r>
    </w:p>
    <w:p>
      <w:pPr>
        <w:pStyle w:val="Heading5"/>
        <w:numPr>
          <w:ilvl w:val="4"/>
          <w:numId w:val="1"/>
        </w:numPr>
        <w:rPr/>
      </w:pPr>
      <w:bookmarkStart w:id="392" w:name="__RefHeading___Toc5145897_73709187"/>
      <w:bookmarkStart w:id="393" w:name="_Toc148"/>
      <w:bookmarkEnd w:id="392"/>
      <w:r>
        <w:rPr>
          <w:rtl w:val="true"/>
        </w:rPr>
        <w:t>المقام الثانی فی اقتضاء النهی للفساد فی المعاملات و عدمه</w:t>
      </w:r>
      <w:bookmarkEnd w:id="393"/>
    </w:p>
    <w:p>
      <w:pPr>
        <w:pStyle w:val="Heading6"/>
        <w:numPr>
          <w:ilvl w:val="5"/>
          <w:numId w:val="1"/>
        </w:numPr>
        <w:rPr/>
      </w:pPr>
      <w:bookmarkStart w:id="394" w:name="__RefHeading___Toc5145899_73709187"/>
      <w:bookmarkStart w:id="395" w:name="_Toc149"/>
      <w:bookmarkEnd w:id="394"/>
      <w:r>
        <w:rPr>
          <w:rtl w:val="true"/>
        </w:rPr>
        <w:t>اشارة</w:t>
      </w:r>
      <w:bookmarkEnd w:id="395"/>
    </w:p>
    <w:p>
      <w:pPr>
        <w:pStyle w:val="BookText"/>
        <w:rPr/>
      </w:pPr>
      <w:r>
        <w:rPr>
          <w:rFonts w:ascii="IRNazanin" w:hAnsi="IRNazanin" w:eastAsia="IRNazanin"/>
          <w:color w:val="111111"/>
          <w:sz w:val="28"/>
          <w:sz w:val="28"/>
          <w:szCs w:val="28"/>
          <w:rtl w:val="true"/>
          <w:lang w:bidi="fa-IR"/>
        </w:rPr>
        <w:t>و فیه أیضاً جهتان من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دلالة النهی علی الفساد، بمعنی أنّه لو ورد نهی متعلّق بمعاملة، و لم یحرز کونه مولویّاً تحریمیّاً أو تنزیهیّاً أو إرشادیاً فهل، ظاهرها الأخیر بمعنی کونه للإرشاد إلی الفساد أم لا؟</w:t>
      </w:r>
    </w:p>
    <w:p>
      <w:pPr>
        <w:pStyle w:val="BookText"/>
        <w:rPr/>
      </w:pPr>
      <w:r>
        <w:rPr>
          <w:rFonts w:ascii="IRNazanin" w:hAnsi="IRNazanin" w:eastAsia="IRNazanin"/>
          <w:color w:val="111111"/>
          <w:sz w:val="28"/>
          <w:sz w:val="28"/>
          <w:szCs w:val="28"/>
          <w:rtl w:val="true"/>
          <w:lang w:bidi="fa-IR"/>
        </w:rPr>
        <w:t>و التحقیق هو الأوّل؛ لأنّ المعاملة کالبیع مثلاً یتضمّن جهات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نفس الألفاظ الصادرة من المتعاقدین، کبعتُ و اشتریتُ مثلاً</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مدلول تلک الألفاظ، و هو فعل تسبیبی للإنسان، کالنقل و الانتقال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الآثار المترتّبة علیها المرغوبة منها، کجواز التصرّف بالأکل و الشرب و اللّبس مثلاً، و من المعلوم أنّ غرض العقلاء هو الأمر الأخیر، أی ترتیب الآثار المطلوبة، فالشارع من حیث إنّه مقنّن للقوانین التی بها ینتظم امور الناس من حیث المعاش و المعاد، فإذا نهی عن معاملة، فالظاهر أنّه لا یترتّب علیها الآثار المترقّبة منها، بمعنی أنّ النهی إرشاد إلی فساد تلک المعاملة، کما هو الظاهر بنظر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الملازمة بین الحرمة و الفساد فی المعاملات، بمعنی أنّه لو احرز کون النهی للتحریم، فهل یلازم ذلک فساد المعاملة أو لا؟</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النواهی الواردة فی المعاملات علی أنحاء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النهی متعلّقاً بنفس ألفاظها من حیث إنّها فعل اختیاری مباشری، فیصیر التلفّظ بها من المحرّمات، کشرب الخمر، و لا ریب فی عدم الملازمة بین حرمة التلفّظ و فساد المعاملة أصلاً؛ فإنّ المعصیة لا تنافی ترتیب الأثر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لا تری أنّ إتلاف مال الغیر حرام بلا إشکال، و مع ذلک یؤثّر فی الضمان</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مدلول النهی هو إیجاد السبب من حیث إنّه یوجب وجود المسبّب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المبغوض هو ما یتحصّل من المعاملة، و تؤثّر تلک الألفاظ فی وجودها، کما فی النهی عن بیع المسلم للکافر؛ فإنّ المبغوض فیه هو سلطنة الکافر علی المسلم، و فی هذا النحو یمکن أن یقال بعدم ثبوت الملازمة بین الحرمة و الفساد، إذ لا مانع من صحّة البیع، إلاّ أنّه ذکر فی تقریرات الشیخ قدس سره أنّ ذلک إنّما یستقیم فیما إذا قلنا بأنّ الأسباب الناقلة إنّما هی مؤثّرات عقلیة قد اطّلع علیها الشارع، و بیّنها لنا من دون تصرّف زائد، و أمّا علی القول بأنّ هذه أسباب شرعیة إنّما وضعها الشارع و جعلها مؤثّرةً فی الآثار المطلوبة عنها،</w:t>
      </w:r>
    </w:p>
    <w:p>
      <w:pPr>
        <w:pStyle w:val="BookText"/>
        <w:rPr/>
      </w:pPr>
      <w:r>
        <w:rPr>
          <w:rFonts w:ascii="IRNazanin" w:hAnsi="IRNazanin" w:eastAsia="IRNazanin"/>
          <w:color w:val="111111"/>
          <w:sz w:val="28"/>
          <w:sz w:val="28"/>
          <w:szCs w:val="28"/>
          <w:rtl w:val="true"/>
          <w:lang w:bidi="fa-IR"/>
        </w:rPr>
        <w:t>فلا بدّ من القول بدلالة النهی علی الفساد، فإنّ من البعید فی الغایة جعل السبب فیما إذا کان وجود المسبّب مبغوضاً</w:t>
      </w:r>
      <w:r>
        <w:rPr>
          <w:rStyle w:val="FootnoteAnchor"/>
          <w:rtl w:val="true"/>
        </w:rPr>
        <w:footnoteReference w:id="1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لا یخفی أنّ هنا احتمالاً آخر،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الأسباب الناقلة مؤثّرات عقلائیة، و الشارع قد أمضاها، و هو أقوی من الاحتمالین اللّذین ذکرهما فی کلامه، و معه یمکن صحّة المعاملة مع کونها محرّمة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 أنّه کما یکون من البعید جعل السبب ابتداء مع مبغوضیّة المسبّب کذلک من البعید إمضاء السبب العقلائی مع مبغوضیّة مسبّبه، 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ذلک إنّما یستقیم لو تعلّق الإمضاء بها بخصوصها، و أمّا لو کان الدلیل العامّ کقوله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متضمّناً لإمضاء جمیع العقود العقلائیة، فیرتفع البُعْد، کما لا یخفی</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مدلول النهی هو التسبّب بألفاظ معاملة خاصّة إلی المسبّب، بمعنی أنّه لا یکون السبب و لا المسبّب من حیث أنفسهما حراماً، و لکن المحرّم هو التوصّل إلی وجود المسبّب من ناحیة خصوص هذا السبب، و لا یخفی عدم الملازمة فی هذا القسم أیضاً لو لم نقل بدلالة النهی علی الصحّة من حیث إنّ متعلّق النهی لا بدّ و أن یکون مقدوراً للمکلّف بعد تعلّق النهی، فلو کانت المعاملة فاسدةً، لم یکن التوصّل بالمسبّب من طریق هذا السبب مقدوراً للمکلّف بعد النهی حتّی یتعلّق به، و قد یعدّ باب الظهار من هذا القسم؛ نظراً إلی أنّ السبب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التلفّظ بألفاظه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حیث هو لا یکون محرّماً، و کذا المسبّب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المفارقة بین الزوجین و البینونة بینهما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مبغوضاً أیضاً؛ لتحقّقها فی الطلاق، بل المحرّم هو التوصّل إلی ذلک من طریق ألفاظ الظهار</w:t>
      </w:r>
      <w:r>
        <w:rPr>
          <w:rFonts w:eastAsia="IRNazanin" w:cs="IRNazanin"/>
          <w:color w:val="111111"/>
          <w:sz w:val="28"/>
          <w:szCs w:val="28"/>
          <w:rtl w:val="true"/>
          <w:lang w:bidi="fa-IR"/>
        </w:rPr>
        <w:t>.</w:t>
      </w:r>
      <w:bookmarkStart w:id="396" w:name="pg11586_104806"/>
    </w:p>
    <w:p>
      <w:pPr>
        <w:pStyle w:val="BookText"/>
        <w:rPr/>
      </w:pPr>
      <w:bookmarkEnd w:id="396"/>
      <w:r>
        <w:rPr>
          <w:rFonts w:ascii="IRNazanin" w:hAnsi="IRNazanin" w:eastAsia="IRNazanin"/>
          <w:color w:val="111111"/>
          <w:sz w:val="28"/>
          <w:sz w:val="28"/>
          <w:szCs w:val="28"/>
          <w:rtl w:val="true"/>
          <w:lang w:bidi="fa-IR"/>
        </w:rPr>
        <w:t>ثمّ إنّ الوجه الذی ذکرنا فی دلالة النهی علی الصحّة فی هذا القسم یجری فی القسم الثانی أیضاً،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النهی متعلّقاً بالآثار المترتّبة علی المعاملة، کالنهی عن أکل الثمن فیما إذا کان عن الکلب و الخنزیر، و النهی فی هذا القسم یدلّ علی الفساد؛ لکشف تحریم الثمن عن فسادها؛ إذ لا یکاد یحرم مع صحّتها،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هذا کلّه فیما لو علم تعلّق النهی بواحد معیّن من الأقسام الأربعة المتقدّمة، و أمّا لو احرز کون النهی للتحریم و لکن لم یعلم متعلّقه و أنّه هل هو من قبیل القسم الأوّل أو من قبیل سائر الأقسام؟ فالظاهر کونه من قبیل القسم الأخیر؛ لأنّه هو المقصود من المعاملة، فالنهی یتوجّه إلیه، و قد عرفت کشفه عن فسادها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النهی المتعلّق بالمعاملة من دون قرینة یدلّ علی فسادها إمّا لکونه إرشاداً إلی فسادها، کما عرفت أنّه الظاهر منه، و إمّا لکونه یدلّ علی حرمة الآثار، و هی ملازمة للفساد، فتأمّل جیّداً</w:t>
      </w:r>
      <w:r>
        <w:rPr>
          <w:rFonts w:eastAsia="IRNazanin" w:cs="IRNazanin"/>
          <w:color w:val="111111"/>
          <w:sz w:val="28"/>
          <w:szCs w:val="28"/>
          <w:rtl w:val="true"/>
          <w:lang w:bidi="fa-IR"/>
        </w:rPr>
        <w:t>.</w:t>
      </w:r>
    </w:p>
    <w:p>
      <w:pPr>
        <w:pStyle w:val="Heading6"/>
        <w:numPr>
          <w:ilvl w:val="5"/>
          <w:numId w:val="1"/>
        </w:numPr>
        <w:rPr/>
      </w:pPr>
      <w:bookmarkStart w:id="397" w:name="__RefHeading___Toc5145901_73709187"/>
      <w:bookmarkStart w:id="398" w:name="_Toc150"/>
      <w:bookmarkEnd w:id="397"/>
      <w:r>
        <w:rPr>
          <w:rtl w:val="true"/>
        </w:rPr>
        <w:t>حول الروایات التی استدلّ بها لدلالة النهی علی الفساد</w:t>
      </w:r>
      <w:bookmarkEnd w:id="398"/>
    </w:p>
    <w:p>
      <w:pPr>
        <w:pStyle w:val="BookText"/>
        <w:rPr/>
      </w:pPr>
      <w:r>
        <w:rPr>
          <w:rFonts w:ascii="IRNazanin" w:hAnsi="IRNazanin" w:eastAsia="IRNazanin"/>
          <w:color w:val="111111"/>
          <w:sz w:val="28"/>
          <w:sz w:val="28"/>
          <w:szCs w:val="28"/>
          <w:rtl w:val="true"/>
          <w:lang w:bidi="fa-IR"/>
        </w:rPr>
        <w:t>بقی الکلام فیما یستدلّ به من الأخبار علی دلالة النهی علی الفساد فی المعاملات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رواه فی الکافی و الفقیه عن زرارة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مملوک تزوّج بغیر إذن سیّده،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ذاک إلی سیّده إن شاء أجازه، و إن شاء فرّق بینهما</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 إنّ الحکم بن عیینة و إبراهیم النخعی و أصحابهما</w:t>
      </w:r>
    </w:p>
    <w:p>
      <w:pPr>
        <w:pStyle w:val="BookText"/>
        <w:rPr/>
      </w:pPr>
      <w:r>
        <w:rPr>
          <w:rFonts w:ascii="IRNazanin" w:hAnsi="IRNazanin" w:eastAsia="IRNazanin"/>
          <w:color w:val="111111"/>
          <w:sz w:val="28"/>
          <w:sz w:val="28"/>
          <w:szCs w:val="28"/>
          <w:rtl w:val="true"/>
          <w:lang w:bidi="fa-IR"/>
        </w:rPr>
        <w:t>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أصل النکاح فاسد و لا تحلّ إجازة السیّد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لم یعص اللّه، إنّما عصی سیّده، فإذا أجازه فهو له جائز</w:t>
      </w:r>
      <w:r>
        <w:rPr>
          <w:rFonts w:eastAsia="IRNazanin" w:cs="IRNazanin"/>
          <w:color w:val="111111"/>
          <w:sz w:val="28"/>
          <w:szCs w:val="28"/>
          <w:rtl w:val="true"/>
          <w:lang w:bidi="fa-IR"/>
        </w:rPr>
        <w:t xml:space="preserve">» </w:t>
      </w:r>
      <w:r>
        <w:rPr>
          <w:rStyle w:val="FootnoteAnchor"/>
          <w:rtl w:val="true"/>
        </w:rPr>
        <w:footnoteReference w:id="157"/>
      </w:r>
      <w:r>
        <w:rPr>
          <w:rFonts w:ascii="Amiri" w:hAnsi="Amiri" w:eastAsia="Amiri" w:cs="Amiri"/>
          <w:color w:val="111111"/>
          <w:sz w:val="28"/>
          <w:sz w:val="28"/>
          <w:szCs w:val="28"/>
          <w:rtl w:val="true"/>
          <w:lang w:bidi="ar-SA"/>
        </w:rPr>
        <w:t>حیث إنّ ظاهره أنّ النکاح لو کان ممّا حرّمه علیه لکان فاسداً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ذکر فی تقریرات الشیخ فی توجیه الاستدلال بالروایة 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إنّما فرّع فی الروایة الصحّة و الفساد علی معصیة اللّه و عدمها، و هو یحتمل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المعاملة معصیةً للّه من حیث إنّه فعل من أفعال المکلّف مع قطع النظر عن کونه معاملةً مؤثّرة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معصیةً من حیث إنّها منهیّ عنها بما أنّها موجبة لترتّب الآثار المطلوبة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سبیل إلی الأوّل؛ فإنّ عصیان السیّد أیضاً عصیان اللّه، فلا بدّ من المصیر إلی الثانی، و هو یفید المطلوب، فإنّه یستفاد من التفریع المذکور أنّ المعاملة التی فیها معصیة اللّه فاسدة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المطلوب فی المقام هو أنّ النهی المتعلّق بالسبب بما أنّه فعل من الأفعال لا یقتضی الفساد، و النهی عنه بما أنّه سبب مؤثّر یقتضی الفساد، و الروایة متضمّنة بل صریحة فی حکم کلا الجزءین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الجزء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فیستفاد من قوله</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عصی 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المستلزم لعصیان اللّه، لا من حیث إنّها موجبة للآثار المطلوبة؛ فإنّ عصیان اللّه من جهة عصیان السیّد لا یعقل کونه من جهة الترتّب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الجزء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فیستفاد من تفریع الصحّة و البطلان علی المعصیة التی یجب أن تکون مخالفةً للمعصیة اللازمة من مخالفة السیّد، و هو المطلوب</w:t>
      </w:r>
      <w:r>
        <w:rPr>
          <w:rStyle w:val="FootnoteAnchor"/>
          <w:rtl w:val="true"/>
        </w:rPr>
        <w:footnoteReference w:id="1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انتهی ملخّصاً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لکن لا یخفی أنّ هذا مخالف لظاهر الروایة من حیث إنّ ظاهرها أنّ ما یکون معصیة للسیّد لا یکون معصیةً للّه، فتفسیر معصیة السیّد بإیجاد نفس السبب من حیث إنّه فعل من الأفعال مضافاً إلی إمکان الخدشة فیه من حیث إنّه لا یعدّ مثل ذلک معصیةً مع إرجاع معصیة اللّه إلی المعصیة فی إیجاد المعاملة المؤثّرة خلاف ما هو ظاهرها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الخلل فیما أجاب به فی الکفایة عن الاستدلال بالروایة من أنّ الظاهر أن یکون المراد بالمعصیة المنفیة هاهنا أنّ النکاح لیس ممّا لم یمضه اللّه و لم یشرّعه کی یقع فاسداً، و من المعلوم استتباع المعصیة بهذا المعنی للفساد،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بأس بإطلاق المعصیة علی عمل لم یمضه اللّه و لم یأذن به، کما اطلق علیه بمجرّد عدم إذن السیّد أنّه معصیة</w:t>
      </w:r>
      <w:r>
        <w:rPr>
          <w:rStyle w:val="FootnoteAnchor"/>
          <w:rtl w:val="true"/>
        </w:rPr>
        <w:footnoteReference w:id="1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التحقیق فی معنی الروایة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بالنکاح لیس هو إیجاد ألفاظه من حیث إنّه فعل من الأفعال، بل هو التزویج و التزوّج، و من المعلوم أنّه بعنوانه لا یکون معصیةً للّه تعالی؛ لأنّه لم یجعله إلاّ حلالاً و مباحاً، و أمّا من حیث إنّه مصداق لعنوان مخالفة السیّد، المحرّمة، فهو حرام لا بعنوان النکاح، بل بعنوانها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بالجملة فهاهنا عنوانان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النکاح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مخالفة السیّد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أنّ ما حرّمه اللّه تعالی علی العبد إنّما هو العنوان الثانی لا الأوّل، فالنکاح لیس معصیةً للّه تعالی أصلاً و إن کان من حیث إنّه یوجب تحقّق عنوان المخالفة معصیة للسیّد، المستلزمة لمعصیة اللّه، و لا یعقل سرایة النهی عن عنوان متعلّقه إلی عنوان النکاح أصلاً، کما حقّقناه فی مبحث اجتماع الأمر و النهی بما لا مزید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 ذلک ما إذا تعلّق النذر بإیجاد بعض النوافل مثلاً، فإنّ تعلّق النذر به لا یوجب سرایة الوجوب إلیه حتّی یخرج عن النفلیة، بل متعلّق الوجوب إنّما هو عنوان الوفاء بالنذر، و متعلّق الأمر الاستحبابی إنّما هو الصلاة النافلة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بل یدلّ علی ما ذکرنا فی معنی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الروایات الاُخر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w:t>
      </w:r>
    </w:p>
    <w:p>
      <w:pPr>
        <w:pStyle w:val="BookText"/>
        <w:rPr/>
      </w:pPr>
      <w:r>
        <w:rPr>
          <w:rFonts w:ascii="IRNazanin" w:hAnsi="IRNazanin" w:eastAsia="IRNazanin"/>
          <w:color w:val="111111"/>
          <w:sz w:val="28"/>
          <w:sz w:val="28"/>
          <w:szCs w:val="28"/>
          <w:rtl w:val="true"/>
          <w:lang w:bidi="fa-IR"/>
        </w:rPr>
        <w:t>ما رواه زرارة أیضاً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تزوّج عبده امرأة بغیر إذنه فدخل بها ثمّ اطّلع علی ذلک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ذاک لمولاه إن شاء فرّق بینهما، و إن شاء أجاز نکاحهما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أصل النکاح کان عاصیاً</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أبو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أتی شیئاً حلالاً و لیس بعاصٍ للّه، إنّما عصی سیّده و لم یعص اللّه، إنّ ذلک لیس کإتیان ما حرّم اللّه علیه من نکاح فی عدّة و أشباهه</w:t>
      </w:r>
      <w:r>
        <w:rPr>
          <w:rFonts w:eastAsia="IRNazanin" w:cs="IRNazanin"/>
          <w:color w:val="111111"/>
          <w:sz w:val="28"/>
          <w:szCs w:val="28"/>
          <w:rtl w:val="true"/>
          <w:lang w:bidi="fa-IR"/>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bookmarkStart w:id="399" w:name="pg11586_104810"/>
    </w:p>
    <w:p>
      <w:pPr>
        <w:pStyle w:val="BookText"/>
        <w:rPr/>
      </w:pPr>
      <w:bookmarkEnd w:id="399"/>
      <w:r>
        <w:rPr>
          <w:rFonts w:ascii="IRNazanin" w:hAnsi="IRNazanin" w:eastAsia="IRNazanin"/>
          <w:color w:val="111111"/>
          <w:sz w:val="28"/>
          <w:sz w:val="28"/>
          <w:szCs w:val="28"/>
          <w:rtl w:val="true"/>
          <w:lang w:bidi="fa-IR"/>
        </w:rPr>
        <w:t>فإنّه لو کان عاصیاً للسیّد فی أصل النکاح کیف یمکن أن لا یکون عاصیاً للّه تعالی، کما لا یخفی، فلا بدّ من المصیر إلی 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w:t>
      </w:r>
    </w:p>
    <w:p>
      <w:pPr>
        <w:pStyle w:val="BookText"/>
        <w:rPr/>
      </w:pPr>
      <w:r>
        <w:rPr>
          <w:rFonts w:ascii="IRNazanin" w:hAnsi="IRNazanin" w:eastAsia="IRNazanin"/>
          <w:color w:val="111111"/>
          <w:sz w:val="28"/>
          <w:sz w:val="28"/>
          <w:szCs w:val="28"/>
          <w:rtl w:val="true"/>
          <w:lang w:bidi="fa-IR"/>
        </w:rPr>
        <w:t>ما رواه منصور بن حازم عن أبی عبد اللّه علیه السلام فی مملوک تزوّج بغیر إذن مولاه، أ عاصٍ للّه؟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عاصٍ لمولاه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هو؟</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أزعم أنّه حرام، و قل له أن لا یفعل إلّا بإذن مولاه</w:t>
      </w:r>
      <w:r>
        <w:rPr>
          <w:rFonts w:eastAsia="IRNazanin" w:cs="IRNazanin"/>
          <w:color w:val="111111"/>
          <w:sz w:val="28"/>
          <w:szCs w:val="28"/>
          <w:rtl w:val="true"/>
          <w:lang w:bidi="fa-IR"/>
        </w:rPr>
        <w:t xml:space="preserve">» </w:t>
      </w:r>
      <w:r>
        <w:rPr>
          <w:rStyle w:val="FootnoteAnchor"/>
          <w:rtl w:val="true"/>
        </w:rPr>
        <w:footnoteReference w:id="16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کیف یجمع بین نفی الحرمة و وجوب أن لا یفعل العبد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إلاّ من جهة أنّ التزوّج بعنوانه لیس بحرام، و لکن یجب ترکه من حیث إنّه یتحقّق به مخالفة السیّد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یخفی أنّ ممّا ذکرنا یظهر صحّة الاستدلال بالروایة؛ لأنّ مفادها أنّ النکاح لو کان بعنوانه ممّا حرّمه اللّه و کان فعله معصیةً له تعالی، لکان أصله فاسداً، کما هو المطلوب، فتأمّل جیّداً</w:t>
      </w:r>
      <w:r>
        <w:rPr>
          <w:rFonts w:eastAsia="IRNazanin" w:cs="IRNazanin"/>
          <w:color w:val="111111"/>
          <w:sz w:val="28"/>
          <w:szCs w:val="28"/>
          <w:rtl w:val="true"/>
          <w:lang w:bidi="fa-IR"/>
        </w:rPr>
        <w:t>.</w:t>
      </w:r>
    </w:p>
    <w:p>
      <w:pPr>
        <w:pStyle w:val="Heading6"/>
        <w:numPr>
          <w:ilvl w:val="5"/>
          <w:numId w:val="1"/>
        </w:numPr>
        <w:rPr/>
      </w:pPr>
      <w:bookmarkStart w:id="400" w:name="__RefHeading___Toc5145903_73709187"/>
      <w:bookmarkStart w:id="401" w:name="_Toc151"/>
      <w:bookmarkEnd w:id="400"/>
      <w:r>
        <w:rPr>
          <w:rtl w:val="true"/>
        </w:rPr>
        <w:t>تذنیب</w:t>
      </w:r>
      <w:r>
        <w:rPr>
          <w:rtl w:val="true"/>
        </w:rPr>
        <w:t xml:space="preserve">: </w:t>
      </w:r>
      <w:r>
        <w:rPr>
          <w:rtl w:val="true"/>
        </w:rPr>
        <w:t>فی دعوی دلالة النهی علی الصحة</w:t>
      </w:r>
      <w:bookmarkEnd w:id="401"/>
    </w:p>
    <w:p>
      <w:pPr>
        <w:pStyle w:val="BookText"/>
        <w:rPr/>
      </w:pPr>
      <w:r>
        <w:rPr>
          <w:rFonts w:ascii="IRNazanin" w:hAnsi="IRNazanin" w:eastAsia="IRNazanin"/>
          <w:color w:val="111111"/>
          <w:sz w:val="28"/>
          <w:sz w:val="28"/>
          <w:szCs w:val="28"/>
          <w:rtl w:val="true"/>
          <w:lang w:bidi="fa-IR"/>
        </w:rPr>
        <w:t>حکی عن أبی حنیفة و الشیبانی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النهی علی الصحّة فی العبادات و المعاملات، و عن الفخر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الموافقة لهما</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التحقیق یقتضی المصیر إلیه فی المعاملات فیما إذا کان</w:t>
      </w:r>
    </w:p>
    <w:p>
      <w:pPr>
        <w:pStyle w:val="BookText"/>
        <w:rPr/>
      </w:pPr>
      <w:r>
        <w:rPr>
          <w:rFonts w:ascii="IRNazanin" w:hAnsi="IRNazanin" w:eastAsia="IRNazanin"/>
          <w:color w:val="111111"/>
          <w:sz w:val="28"/>
          <w:sz w:val="28"/>
          <w:szCs w:val="28"/>
          <w:rtl w:val="true"/>
          <w:lang w:bidi="fa-IR"/>
        </w:rPr>
        <w:t>النهی عن المسبّب أو التسبّب؛ لأنّه یشترط فی التکلیف کون متعلّقه مقدوراً للمکلّف، و لا یکاد یقدر علیهما إلاّ فیما کانت المعاملة مؤثّرةً صحیحة، بخلاف ما إذا کان النهی عن السبب؛ فإنّه مقدور و إن لم یکن صحیحاً</w:t>
      </w:r>
      <w:r>
        <w:rPr>
          <w:rStyle w:val="FootnoteAnchor"/>
          <w:rtl w:val="true"/>
        </w:rPr>
        <w:footnoteReference w:id="16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لکن لا یخفی أنّ هذا فی الحقیقة تصدیق لقول أبی حنیفة فی المعاملات مطلقاً؛ لأنّ السبب بما هو فعل من أفعال السبب مع قطع النظر عن سببیّته لا یکون معاملةً، و کلامه إنّما هو فی النهی عنها،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ذکر بعض المحقّقین من محشّی الکفایة فی مقام الجواب عن أبی حنیفة و ردّ کلامه 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کان صحّة الشیء لازم وجوده بحیث لا تنفکّ عنه، فالنهی عنه یکشف عن صحّته؛ إذ المفروض أنّه لا وجود له إلاّ صحیحاً، فلا بدّ من کونه مقدوراً فی ظرف الامتثال، و المفروض أنّ وجوده یلزم نفوذه، و لکن حیث إنّ ذات العقد الإنشائی لا یکون ملازماً للصحّة، فمقدوریّته بذاته لا ربط له بمقدوریّته من حیث هو مؤثّر فعلی، و من المعلوم أنّ تعلّق النهی به لا یوجب إلاّ مقدوریّته بذاته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التحقیق أنّ إیجاد الملکیة حیث إنّه متّحد مع وجود الملکیّة بالذات و مختلف معه بحسب الاعتبار، و أمرها دائر بین الوجود و العدم، فلا یتّصف بالصحّة؛ لأنّ وجود الملکیة لیس أثراً له حتّی یتّصف بلحاظه بالصحّة؛ لأنّ الشیء لا یکون أثراً لنفسه، و أمّا الأحکام المترتّبة علی الملکیة فنسبتها إلیها نسبة الحکم إلی الموضوع، لا نسبة المسبّب إلی السبب لیتّصف بلحاظه بالصحّة</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فظهر أنّ النهی عن إیجاد الملکیة و إن کان دالاًّ علی مقدوریّته، لکنّه</w:t>
      </w:r>
    </w:p>
    <w:p>
      <w:pPr>
        <w:pStyle w:val="BookText"/>
        <w:rPr/>
      </w:pPr>
      <w:r>
        <w:rPr>
          <w:rFonts w:ascii="IRNazanin" w:hAnsi="IRNazanin" w:eastAsia="IRNazanin"/>
          <w:color w:val="111111"/>
          <w:sz w:val="28"/>
          <w:sz w:val="28"/>
          <w:szCs w:val="28"/>
          <w:rtl w:val="true"/>
          <w:lang w:bidi="fa-IR"/>
        </w:rPr>
        <w:t>لا یدلّ علی صحّته؛ لأنّ وجودها لیس أثراً له، بل هو نفسه، و النهی عن السبب و إن دلّ علی مقدوریّته، إلاّ أنّه لا یلازم الصحّة، فقول أبی حنیفة ساقط علی جمیع التقادیر</w:t>
      </w:r>
      <w:r>
        <w:rPr>
          <w:rStyle w:val="FootnoteAnchor"/>
          <w:rtl w:val="true"/>
        </w:rPr>
        <w:footnoteReference w:id="1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السبب من حیث هو لا یکون معاملةً أصلاً، و إنّما هو عبارة عن إیجاد الملکیّة و وجودها و إن لم یکن أثراً له حتّی یتّصف بلحاظه بالصحّة، إلاّ أنّ المقصود لیس اتّصافه بها حتّی یورد علیه بما ذکر، بل الغرض أنّ النهی حیث یدلّ علی مقدوریّة متعلّقه، فلا محالة یکون إیجاد الملکیة مقدوراً له، و هو یوجب صحّة المعاملة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غرضه لیس اتّصاف الإیجاد بها، بل اتّصاف ما یتّصف بها فی جمیع المعاملات، و ذلک یستکشف من مقدوریّة الإیجاد، فالحقّ مع أبی حنیفة فی دلالة النهی علی الصحّة فی المعاملات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قلنا بکونها موضوعةً للأعم، فلا یخفی أنّ النهی لا یدلّ علی الصحّة أصلاً؛ لکونها مقدورةً مع عدمها، و إن قلنا بکونها موضوعةً للصحیح، فکذلک أیضاً؛ نظراً إلی أنّ المراد بالصحیح فی ذلک الباب هو الواجد لجمیع الأجزاء و الشرائط غیر ما یأتی منها من قِبَل الأمر، کقصد القربة؛ لما تقدّم فی مبحث الصحیح و الأعم من اتّفاق القائلین بکونها موضوعةً للصحیح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المراد به هی الصحّة مع قطع النظر عمّا یأتی من قبل الأمر، و من المعلوم أنّها مقدورة مع فسادها، کما لا یخفی</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الصحیح مع ملاحظة جمیع الشرائط حتّی الآتی منها من قبل الأمر فلا یمکن تعلّق النهی به أصلاً؛ لأنّه لا یعقل أن تکون مبغوضةً، فلا یبقی مجال فی</w:t>
      </w:r>
      <w:bookmarkStart w:id="402" w:name="pg11586_104813"/>
    </w:p>
    <w:p>
      <w:pPr>
        <w:pStyle w:val="BookText"/>
        <w:rPr/>
      </w:pPr>
      <w:bookmarkEnd w:id="402"/>
      <w:r>
        <w:rPr>
          <w:rFonts w:ascii="IRNazanin" w:hAnsi="IRNazanin" w:eastAsia="IRNazanin"/>
          <w:color w:val="111111"/>
          <w:sz w:val="28"/>
          <w:sz w:val="28"/>
          <w:szCs w:val="28"/>
          <w:rtl w:val="true"/>
          <w:lang w:bidi="fa-IR"/>
        </w:rPr>
        <w:t>دلالة النهی علی الصحّة و عدمها، کما لا یخفی</w:t>
      </w:r>
      <w:r>
        <w:rPr>
          <w:rFonts w:eastAsia="IRNazanin" w:cs="IRNazanin"/>
          <w:color w:val="111111"/>
          <w:sz w:val="28"/>
          <w:szCs w:val="28"/>
          <w:rtl w:val="true"/>
          <w:lang w:bidi="fa-IR"/>
        </w:rPr>
        <w:t>.</w:t>
      </w:r>
    </w:p>
    <w:p>
      <w:pPr>
        <w:pStyle w:val="Heading6"/>
        <w:numPr>
          <w:ilvl w:val="5"/>
          <w:numId w:val="1"/>
        </w:numPr>
        <w:rPr/>
      </w:pPr>
      <w:bookmarkStart w:id="403" w:name="__RefHeading___Toc5145905_73709187"/>
      <w:bookmarkStart w:id="404" w:name="_Toc152"/>
      <w:bookmarkEnd w:id="403"/>
      <w:r>
        <w:rPr>
          <w:rtl w:val="true"/>
        </w:rPr>
        <w:t>تنبیه</w:t>
      </w:r>
      <w:r>
        <w:rPr>
          <w:rtl w:val="true"/>
        </w:rPr>
        <w:t xml:space="preserve">: </w:t>
      </w:r>
      <w:r>
        <w:rPr>
          <w:rtl w:val="true"/>
        </w:rPr>
        <w:t>حول استتباع النهی عن الجزء أو الشرط أو الوصف للفساد</w:t>
      </w:r>
      <w:bookmarkEnd w:id="404"/>
    </w:p>
    <w:p>
      <w:pPr>
        <w:pStyle w:val="BookText"/>
        <w:rPr/>
      </w:pPr>
      <w:r>
        <w:rPr>
          <w:rFonts w:ascii="IRNazanin" w:hAnsi="IRNazanin" w:eastAsia="IRNazanin"/>
          <w:color w:val="111111"/>
          <w:sz w:val="28"/>
          <w:sz w:val="28"/>
          <w:szCs w:val="28"/>
          <w:rtl w:val="true"/>
          <w:lang w:bidi="fa-IR"/>
        </w:rPr>
        <w:t>قد عرفت فی مقدّمات المبحث أنّه لا فرق فی مورد النزاع بین کون متعلّق النهی نفس العبادة أو جزءها أو شرطها؛ لأنّ الکلام فی اقتضاء النهی فساد العبادة مطلقاً و عدمه، و أمّا أنّ فساد الجزء المنهی عنه یوجب فساد العمل أو لا فهو أمر خارج عن محلّ البحث، و لکن لا بأس بالتکلّم فیه و إن کان غیر مرتبط بالمقام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أن یجعل البحث فی الملازمة بین فساد الجزء مثلاً و فساد الکلّ مع قطع النظر عن الأدلّة الواردة فی خصوص الصلاة أو مطلقاً، الدالّة علی سرایة فساده إلیه، کما أنّ محلّ البحث ما إذا احرز کون النهی المتعلّق بالجزء مثلاً نهیاً تحریمیّاً لا إرشاداً إلی مانعیّته، فإنّه حینئذٍ لا إشکال فی فساد العبادة، کما هو واضح، و حینئذٍ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فالنهی التحریمی المتعلّق به لا یقتضی إلاّ مبغوضیّته بنفسه المانعة من صیرورته جزءاً فعلیّاً للعبادة، لعدم صلاحیّته لأن یصیر جزء المقرّب، و أمّا سرایة المبغوضیة منه إلی الکلّ المشتمل علیه، فلا دلیل علیها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لو اکتفی بذلک الجزء الفاسد یفسد العمل من حیث کونه فاقداً لبعض أجزائه، و أمّا مع عدم الاکتفاء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المفروض فی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وجه لکون تمام العمل مبغوضاً و فاسداً، کما هو واضح</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الوصف اللازم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کالجهر و الإخفات بالنسبة إلی القراءة علی ما مثّل</w:t>
      </w:r>
    </w:p>
    <w:p>
      <w:pPr>
        <w:pStyle w:val="BookText"/>
        <w:rPr/>
      </w:pPr>
      <w:r>
        <w:rPr>
          <w:rFonts w:ascii="IRNazanin" w:hAnsi="IRNazanin" w:eastAsia="IRNazanin"/>
          <w:color w:val="111111"/>
          <w:sz w:val="28"/>
          <w:sz w:val="28"/>
          <w:szCs w:val="28"/>
          <w:rtl w:val="true"/>
          <w:lang w:bidi="fa-IR"/>
        </w:rPr>
        <w:t>بهما فی الکفایة</w:t>
      </w:r>
      <w:r>
        <w:rPr>
          <w:rStyle w:val="FootnoteAnchor"/>
          <w:rtl w:val="true"/>
        </w:rPr>
        <w:footnoteReference w:id="165"/>
      </w:r>
      <w:r>
        <w:rPr>
          <w:rFonts w:ascii="IRNazanin" w:hAnsi="IRNazanin" w:eastAsia="IRNazanin"/>
          <w:color w:val="111111"/>
          <w:sz w:val="28"/>
          <w:sz w:val="28"/>
          <w:szCs w:val="28"/>
          <w:rtl w:val="true"/>
          <w:lang w:bidi="fa-IR"/>
        </w:rPr>
        <w:t>و إن کان فی المثال نظر؛ نظراً إلی أنّ شیئاً منهما لا یکون لازماً للقراءة و لکن اللازم بمعنی عدم إمکان الانفکاک أصلاً لا ینبغی أن یکون مورداً للبحث؛ إذ لا یعقل تعلّق الأمر بالموصوف، و النهی بوصفه الذی لا یمکن أن ینفکّ عنه أصلاً، فکونهما وصفین لازمین یرجع إلی عدم التمیّز بینهما و بین موصوفهما فی الخارج أصلاً، و لکن هذا المقدار لا یصحّح التعبیر بکونه لازماً،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اللزوم باعتبار کونه مأخوذاً فی الموصوف بمعنی أنّ الجهر لازم للقراءة التی یجهر بها، لا لمطلق القراءة، و لکن هذا المعنی یجری فی کلّ وصف بالنسبة إلی موصوفه، و لا اختصاص له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فالنهی إذا تعلّق بالجهر فی القراءة لا بالقراءة التی یجهر بها، فإنّه خارج عن موضوع المقام، و دخوله فی مبحث اجتماع الأمر و النهی مبنیّ علی شمول النزاع فیه للمطلق و المقیّد، و نحن و إن نفینا البُعْد عنه فی مقدّمات ذلک المبحث إلاّ أنّه ینبغی الحکم بخروجه عنه؛ للزوم اجتماع الحکمین علی متعلّق واحد؛ لأنّ الطبیعة اللّابشرط لا یأبی من الاجتماع معها بشرط شیء، فیلزم الاجتماع فی المقیّد، فلا یوجب فساد العمل أصلاً؛ لأنّ متعلّق الأمر هو القراءة، و متعلّق النهی هو الإجهار بها، و هما عنوانان مختلفان و إن کانا فی الخارج شیئاً واحداً، إلاّ أنّ مورد تعلّق الأحکام هی العناوین و الطبائع، کما حقّقناه سابقاً بما لا مزید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أیضاً أنّه لا بأس بأن یکون شیء واحد مقرّباً من جهة و مُبعّداً من جهة اخری، فلا مانع من أن تکون القراءة مقرّبة و الإجهار بها مبعّداً</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إلی أنّ المقرّب إنّما هی الصلاة، لا خصوص أجزائها،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تعلّق النهی بالإجهار فی القراءة تغایر تعلّقه بالقراءة التی یجهر بها، و الثانی خارج عن مورد النزاع؛ لأنّه فی تعلّق النهی بالوصف لا بالموصوف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یظهر الکلام فی النهی عن الوصف المفارق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أمراً عبادیاً، فالنهی عنه یوجب فساده، و إن کان أمراً غیر عبادیّ، فلیس الإتیان به إلاّ ارتکاب المحرّم، و علی التقدیرین لا یضرّ بصحّة العمل أصلاً؛ لأنّ المفروض أنّ متعلّق النهی هو القسم الخاصّ من الشرط، کالنهی عن التستّر بالحریر مثلاً بناء علی أن یکون النهی للتحریم، فإنّ التستّر به و إن کان یوجب مخالفة النهی إلاّ أنّ شرط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الستر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متحقّق، و عدم اختلافهما فی الخارج لا یضرّ أصلاً؛ لأنّ متعلّق الأحکام هی الطبائع، و الشیء الواحد یمکن أن یکون مقرّباً و مبعّداً من جهتین،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الشرط من الاُمور العبادیة و اقتصر علیه المکلّف فی مقام الامتثال، تکون العبادة فاسدةً من جهة بطلان الشرط، و هذا غیر سرایة الفساد إلیه،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أنّ النهی عن الجزء أو الشرط أو الوصف اللازم أو المفارق لا یوجب فساد العبادة من حیث هو، کما عرفت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تمام الکلام فی مبحث النواهی</w:t>
      </w:r>
      <w:r>
        <w:rPr>
          <w:rFonts w:eastAsia="IRNazanin" w:cs="IRNazanin"/>
          <w:color w:val="111111"/>
          <w:sz w:val="28"/>
          <w:szCs w:val="28"/>
          <w:rtl w:val="true"/>
          <w:lang w:bidi="fa-IR"/>
        </w:rPr>
        <w:t>.</w:t>
      </w:r>
      <w:bookmarkStart w:id="405" w:name="pg11586_104816"/>
    </w:p>
    <w:p>
      <w:pPr>
        <w:pStyle w:val="Heading2"/>
        <w:numPr>
          <w:ilvl w:val="1"/>
          <w:numId w:val="1"/>
        </w:numPr>
        <w:rPr/>
      </w:pPr>
      <w:bookmarkStart w:id="406" w:name="__RefHeading___Toc5145907_73709187"/>
      <w:bookmarkStart w:id="407" w:name="_Toc153"/>
      <w:bookmarkEnd w:id="405"/>
      <w:bookmarkEnd w:id="406"/>
      <w:r>
        <w:rPr>
          <w:rtl w:val="true"/>
        </w:rPr>
        <w:t>المقصد الثالث فی المفاهیم</w:t>
      </w:r>
      <w:bookmarkEnd w:id="407"/>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08" w:name="__RefHeading___Toc5145909_73709187"/>
      <w:bookmarkStart w:id="409" w:name="_Toc154"/>
      <w:bookmarkEnd w:id="408"/>
      <w:r>
        <w:rPr>
          <w:rtl w:val="true"/>
        </w:rPr>
        <w:t>اشارة</w:t>
      </w:r>
      <w:bookmarkStart w:id="410" w:name="pg11586_104818"/>
      <w:bookmarkEnd w:id="409"/>
    </w:p>
    <w:p>
      <w:pPr>
        <w:pStyle w:val="BookText"/>
        <w:rPr/>
      </w:pPr>
      <w:bookmarkEnd w:id="410"/>
      <w:r>
        <w:rPr>
          <w:rFonts w:ascii="Amiri" w:hAnsi="Amiri" w:eastAsia="Amiri" w:cs="Amiri"/>
          <w:color w:val="111111"/>
          <w:sz w:val="28"/>
          <w:sz w:val="28"/>
          <w:szCs w:val="28"/>
          <w:rtl w:val="true"/>
          <w:lang w:bidi="ar-SA"/>
        </w:rPr>
        <w:t>مقدّمة</w:t>
      </w:r>
    </w:p>
    <w:p>
      <w:pPr>
        <w:pStyle w:val="Heading3"/>
        <w:numPr>
          <w:ilvl w:val="2"/>
          <w:numId w:val="1"/>
        </w:numPr>
        <w:rPr/>
      </w:pPr>
      <w:bookmarkStart w:id="411" w:name="__RefHeading___Toc5145911_73709187"/>
      <w:bookmarkStart w:id="412" w:name="_Toc155"/>
      <w:bookmarkEnd w:id="411"/>
      <w:r>
        <w:rPr>
          <w:rtl w:val="true"/>
        </w:rPr>
        <w:t>مقدّمة فی تعریف المفهوم</w:t>
      </w:r>
      <w:bookmarkEnd w:id="412"/>
    </w:p>
    <w:p>
      <w:pPr>
        <w:pStyle w:val="BookText"/>
        <w:rPr/>
      </w:pPr>
      <w:r>
        <w:rPr>
          <w:rFonts w:ascii="IRNazanin" w:hAnsi="IRNazanin" w:eastAsia="IRNazanin"/>
          <w:color w:val="111111"/>
          <w:sz w:val="28"/>
          <w:sz w:val="28"/>
          <w:szCs w:val="28"/>
          <w:rtl w:val="true"/>
          <w:lang w:bidi="fa-IR"/>
        </w:rPr>
        <w:t>اعلم أنّ المفهوم عندهم عبارة عن القضیة الخبریة أو الإنشائیة المستفادة من قضیّة اخری، و الاختلاف بینهم إنّما هو فی منشأ الاستفادة، فالمنسوب إلی القدماء أنّ وجه استفادته أنّ القیود الواقعة فی الکلام، الصادرة من المتکلّم المختار إنّما هو لکونها دخیلاً فی ثبوت الحکم، و إلّا یلزم أن یکون لغواً</w:t>
      </w:r>
      <w:r>
        <w:rPr>
          <w:rStyle w:val="FootnoteAnchor"/>
          <w:rtl w:val="true"/>
        </w:rPr>
        <w:footnoteReference w:id="166"/>
      </w:r>
      <w:r>
        <w:rPr>
          <w:rFonts w:ascii="IRNazanin" w:hAnsi="IRNazanin" w:eastAsia="IRNazanin"/>
          <w:color w:val="111111"/>
          <w:sz w:val="28"/>
          <w:sz w:val="28"/>
          <w:szCs w:val="28"/>
          <w:rtl w:val="true"/>
          <w:lang w:bidi="fa-IR"/>
        </w:rPr>
        <w:t>، و سیأتی التعرّض له علی التفصیل</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المعروف بین محقّقی المتأخّرین أنّ وجه استفادة المفهوم هو کون أدوات الشرط دالّة علی العلّیة المنحصرة إمّا بالوضع أو بقرینة عامة</w:t>
      </w:r>
      <w:r>
        <w:rPr>
          <w:rStyle w:val="FootnoteAnchor"/>
          <w:rtl w:val="true"/>
        </w:rPr>
        <w:footnoteReference w:id="167"/>
      </w:r>
      <w:r>
        <w:rPr>
          <w:rFonts w:ascii="IRNazanin" w:hAnsi="IRNazanin" w:eastAsia="IRNazanin"/>
          <w:color w:val="111111"/>
          <w:sz w:val="28"/>
          <w:sz w:val="28"/>
          <w:szCs w:val="28"/>
          <w:rtl w:val="true"/>
          <w:lang w:bidi="fa-IR"/>
        </w:rPr>
        <w:t>، و علیه یکون المفهوم من المدلولات الالتزامیة للقضایا التی لها مفهوم، فکما أنّ المفردات لها مدلولات التزامیة، و هی المعانی التی ینتقل إلیها النفس بمجرّد تصوّر معانی تلک</w:t>
      </w:r>
    </w:p>
    <w:p>
      <w:pPr>
        <w:pStyle w:val="BookText"/>
        <w:rPr/>
      </w:pPr>
      <w:r>
        <w:rPr>
          <w:rFonts w:ascii="IRNazanin" w:hAnsi="IRNazanin" w:eastAsia="IRNazanin"/>
          <w:color w:val="111111"/>
          <w:sz w:val="28"/>
          <w:sz w:val="28"/>
          <w:szCs w:val="28"/>
          <w:rtl w:val="true"/>
          <w:lang w:bidi="fa-IR"/>
        </w:rPr>
        <w:t>المفردات، فکذلک للقضایا مدلولات التزامیة ینتقل إلیها الذهن بمجرّد تصوّر معانیها المطابقیة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الأوّل لا یکون وصف المفهومیة وصفاً للمدلول أو الدلالة؛ لعدم استفادته من اللّفظ أصلاً، بل إنّما هو حکم العقل بأنّ المتکلّم العاقل المختار إذا تکلّم بکلام و أخذ فیه قیوداً لا یکون أخذه لها لغواً، بل لکونها دخیلاً فی ترتّب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علی الثانی فیصیر نظیر وصف الالتزامیة و التضمّنیة و المطابقیة فی مدالیل المفردات بمعنی أنّه یمکن أن یتّصف بها المدلول، و یمکن أن یتّصف بها الدلالة، کما یمکن أن یتّصف بها الدالّ؛ لأنّه کما تکون الدلالة بالمطابقة کذلک یکون المعنی مطابقاً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اللّفظ مطابقاً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فی الالتزام و التضمّن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المقام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وصف المفهومیة یمکن أن یکون وصفاً لتلک القضیة المستتبعة، و یمکن أن یکون وصفاً للدلالة باعتبار أنّ الدلالة علی تلک القضیة دلالة مستفادة من الدلالة علی القضیة المنطوقیة، و بهذا الاعتبار یمکن أن یتّصف بها الدالّ،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النزاع علی قول المتأخّرین إنّما یکون فی الصغری؛ إذ الکلام إنّما هو فی دلالة أدوات الشرط مثلاً علی العلّیة المنحصرة المستتبعة للقضیة الاُخری قهراً، و أمّا علی فرض تسلیم الدلالة فلا إشکال فی حجّیة تلک القضیة، کما هو واضح</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علی قول القدماء فقد یقال بأنّ النزاع بناء علیه إنّما یکون فی الکبری؛ نظراً إلی أنّ لزوم حمل القیود علی معنی حذراً من اللغویة یقتضی ثبوت المفهوم،</w:t>
      </w:r>
    </w:p>
    <w:p>
      <w:pPr>
        <w:pStyle w:val="BookText"/>
        <w:rPr/>
      </w:pPr>
      <w:r>
        <w:rPr>
          <w:rFonts w:ascii="IRNazanin" w:hAnsi="IRNazanin" w:eastAsia="IRNazanin"/>
          <w:color w:val="111111"/>
          <w:sz w:val="28"/>
          <w:sz w:val="28"/>
          <w:szCs w:val="28"/>
          <w:rtl w:val="true"/>
          <w:lang w:bidi="fa-IR"/>
        </w:rPr>
        <w:t>و لکن الکلام فی حجّیته، و لا یخفی أنّ ذلک المعنی الذی یجب الحمل علیه حذراً منها لا ینحصر بالمفهوم، فالنزاع فی وجوب الحمل علی خصوصه و عدمه، و أمّا علی فرض الحمل علیه فلا إشکال فی حجّیته أصلاً، کما هو واضح، فالنزاع بناء علی کلا القولین صغروی لا کبروی، فتأمّل جیّداً</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ذلک، فالکلام یقع فی مقامین</w:t>
      </w:r>
      <w:r>
        <w:rPr>
          <w:rFonts w:eastAsia="IRNazanin" w:cs="IRNazanin"/>
          <w:color w:val="111111"/>
          <w:sz w:val="28"/>
          <w:szCs w:val="28"/>
          <w:rtl w:val="true"/>
          <w:lang w:bidi="fa-IR"/>
        </w:rPr>
        <w:t>:</w:t>
      </w:r>
      <w:bookmarkStart w:id="413" w:name="pg11586_104821"/>
    </w:p>
    <w:p>
      <w:pPr>
        <w:pStyle w:val="BookText"/>
        <w:rPr/>
      </w:pPr>
      <w:bookmarkEnd w:id="413"/>
      <w:r>
        <w:rPr>
          <w:rFonts w:ascii="IRNazanin" w:hAnsi="IRNazanin" w:eastAsia="IRNazanin"/>
          <w:color w:val="111111"/>
          <w:sz w:val="28"/>
          <w:sz w:val="28"/>
          <w:szCs w:val="28"/>
          <w:rtl w:val="true"/>
          <w:lang w:bidi="fa-IR"/>
        </w:rPr>
        <w:t>مفهوم الشرط‌</w:t>
      </w:r>
    </w:p>
    <w:p>
      <w:pPr>
        <w:pStyle w:val="Heading3"/>
        <w:numPr>
          <w:ilvl w:val="2"/>
          <w:numId w:val="1"/>
        </w:numPr>
        <w:rPr/>
      </w:pPr>
      <w:bookmarkStart w:id="414" w:name="__RefHeading___Toc5145913_73709187"/>
      <w:bookmarkStart w:id="415" w:name="_Toc156"/>
      <w:bookmarkEnd w:id="414"/>
      <w:r>
        <w:rPr>
          <w:rtl w:val="true"/>
        </w:rPr>
        <w:t>المقام الأوّل فی دلالة القضیة الشرطیة علی المفهوم و عدمها</w:t>
      </w:r>
      <w:bookmarkEnd w:id="415"/>
    </w:p>
    <w:p>
      <w:pPr>
        <w:pStyle w:val="Heading4"/>
        <w:numPr>
          <w:ilvl w:val="3"/>
          <w:numId w:val="1"/>
        </w:numPr>
        <w:rPr/>
      </w:pPr>
      <w:bookmarkStart w:id="416" w:name="__RefHeading___Toc5145915_73709187"/>
      <w:bookmarkStart w:id="417" w:name="_Toc157"/>
      <w:bookmarkEnd w:id="416"/>
      <w:r>
        <w:rPr>
          <w:rtl w:val="true"/>
        </w:rPr>
        <w:t>اشارة</w:t>
      </w:r>
      <w:bookmarkEnd w:id="417"/>
    </w:p>
    <w:p>
      <w:pPr>
        <w:pStyle w:val="BookText"/>
        <w:rPr/>
      </w:pPr>
      <w:r>
        <w:rPr>
          <w:rFonts w:ascii="IRNazanin" w:hAnsi="IRNazanin" w:eastAsia="IRNazanin"/>
          <w:color w:val="111111"/>
          <w:sz w:val="28"/>
          <w:sz w:val="28"/>
          <w:szCs w:val="28"/>
          <w:rtl w:val="true"/>
          <w:lang w:bidi="fa-IR"/>
        </w:rPr>
        <w:t>و طریق إثباتها وجهان</w:t>
      </w:r>
      <w:r>
        <w:rPr>
          <w:rFonts w:eastAsia="IRNazanin" w:cs="IRNazanin"/>
          <w:color w:val="111111"/>
          <w:sz w:val="28"/>
          <w:szCs w:val="28"/>
          <w:rtl w:val="true"/>
          <w:lang w:bidi="fa-IR"/>
        </w:rPr>
        <w:t>:</w:t>
      </w:r>
    </w:p>
    <w:p>
      <w:pPr>
        <w:pStyle w:val="Heading4"/>
        <w:numPr>
          <w:ilvl w:val="3"/>
          <w:numId w:val="1"/>
        </w:numPr>
        <w:rPr/>
      </w:pPr>
      <w:bookmarkStart w:id="418" w:name="__RefHeading___Toc5145917_73709187"/>
      <w:bookmarkStart w:id="419" w:name="_Toc158"/>
      <w:bookmarkEnd w:id="418"/>
      <w:r>
        <w:rPr>
          <w:rtl w:val="true"/>
        </w:rPr>
        <w:t>الوجه الأوّل</w:t>
      </w:r>
      <w:r>
        <w:rPr>
          <w:rtl w:val="true"/>
        </w:rPr>
        <w:t xml:space="preserve">: </w:t>
      </w:r>
      <w:r>
        <w:rPr>
          <w:rtl w:val="true"/>
        </w:rPr>
        <w:t>ما هو المنسوب إلی القدماء</w:t>
      </w:r>
      <w:bookmarkEnd w:id="419"/>
    </w:p>
    <w:p>
      <w:pPr>
        <w:pStyle w:val="BookText"/>
        <w:rPr/>
      </w:pPr>
      <w:r>
        <w:rPr>
          <w:rFonts w:ascii="IRNazanin" w:hAnsi="IRNazanin" w:eastAsia="IRNazanin"/>
          <w:color w:val="111111"/>
          <w:sz w:val="28"/>
          <w:sz w:val="28"/>
          <w:szCs w:val="28"/>
          <w:rtl w:val="true"/>
          <w:lang w:bidi="fa-IR"/>
        </w:rPr>
        <w:t>و هو لا یختصّ بالشرط، بل یجری فی جمیع القیود المأخوذة فی الکلام شرطاً کانت أو وصفاً أو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غایة تقریبه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الکلام الصادر من المتکلّم العاقل المختار من حیث إنّه فعل من الأفعال الاختیاریة له یحکم العقل بأنّه لم یصدر منه لغواً، نظیر سائر أفعاله، و کذلک یحکم بأنّ صدوره إنّما هو لغرض التفهیم لا للأغراض الاُخر التی قد یترتّب علی التکلّم، و ذلک لأنّها أغراض نادرة لا تقاوم غرض التفهیم الذی وضع الألفاظ إنّما هو لأجل سهولته، کما لا یخفی</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حینئذٍ فکما أنّ العقل یحکم بأنّ أصل الکلام الصادر من المتکلّم لم یصدر منه لغواً بل صدر لغرض الإفهام کذلک یحکم بأنّ القیود التی یأخذها فی موضوع کلامه لم یأخذها جزافاً و من غیر أثر مترتّب علیه، بل لأنّها لها دخل فی موضوع</w:t>
      </w:r>
    </w:p>
    <w:p>
      <w:pPr>
        <w:pStyle w:val="BookText"/>
        <w:rPr/>
      </w:pPr>
      <w:r>
        <w:rPr>
          <w:rFonts w:ascii="IRNazanin" w:hAnsi="IRNazanin" w:eastAsia="IRNazanin"/>
          <w:color w:val="111111"/>
          <w:sz w:val="28"/>
          <w:sz w:val="28"/>
          <w:szCs w:val="28"/>
          <w:rtl w:val="true"/>
          <w:lang w:bidi="fa-IR"/>
        </w:rPr>
        <w:t>الحکم، فمن ذکر تلک القیود یستکشف أنّ الموضوع لحکمه المجعول أو المخبر به إنّما هو ذات الموضوع مقیّداً بها لا معرّی عنها، و من عدم ذکر قید آخر یستکشف عدم مدخلیة شیء آخر أصلاً، بل المذکور هو تمام الموضوع، و من المعلوم أنّ الحکم یدور مدار موضوعه، فبوجوده یوجد، و بعدمه ینعدم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لکن لا یخفی أنّ مجرّد إثبات کون المذکور تمام الموضوع لحکمه المجعول إنّما یفید دوران ذلک الحکم مداره وجوداً و عدماً، و هو لا یثبت المفهوم؛ لأنّه عبارة عن انتفاء سنخ ذلک الحکم عند انتفاء موضوعه بمعنی أنّ المولی لم یجعل مثل هذا الحکم علی موضوع آخر مغایر لهذا الموضوع من حیث القیود، فمعنی کون بلوغ الماء قدر الکرّ تمام الموضوع لعدم التنجّس هو أنّ تحقّق ذلک الحکم لا یتوقّف علی شیء آخر ما عدا ذلک، و أمّا أنّ کونه موضوعاً منحصراً لعدم التنجّس بمعنی أنّه لم یجعل مثل ذلک الحکم علی موضوع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کالجاری و ماء المطر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یستفاد أصلاً حتّی یقع التعارض بین دلیل الکرّ و أدلّة عاصمیة الجاری و ماء المطر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فهنا شکّان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فی کون الموضوع المذکور هو تمام الموضوع لحکمه المجعول، و الآخر الشکّ فی کونه موضوعاً منحصراً لمثل ذلک الحکم بحیث لا یقوم مقامه شیء آخر، و لا ینوب منابه أمر، و غایة الدلیل المذکور إنّما هو رفع الشکّ الأوّل، و إثبات تمامیة الموضوع المذکور للموضوعیّة للحکم المجعول، و ما یجدی فی إثبات المفهوم هو رفع الشکّ الثانی، و لا یرفع بذلک الدلیل، کما هو واضح</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لعلّه إلی هذا المعنی ینظر کلام السیّد فی باب المفهوم</w:t>
      </w:r>
      <w:r>
        <w:rPr>
          <w:rStyle w:val="FootnoteAnchor"/>
          <w:rtl w:val="true"/>
        </w:rPr>
        <w:footnoteReference w:id="168"/>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bookmarkStart w:id="420" w:name="pg11586_104823"/>
    </w:p>
    <w:p>
      <w:pPr>
        <w:pStyle w:val="Heading4"/>
        <w:numPr>
          <w:ilvl w:val="3"/>
          <w:numId w:val="1"/>
        </w:numPr>
        <w:rPr/>
      </w:pPr>
      <w:bookmarkStart w:id="421" w:name="__RefHeading___Toc5145919_73709187"/>
      <w:bookmarkStart w:id="422" w:name="_Toc159"/>
      <w:bookmarkEnd w:id="420"/>
      <w:bookmarkEnd w:id="421"/>
      <w:r>
        <w:rPr>
          <w:rtl w:val="true"/>
        </w:rPr>
        <w:t>الوجه الثانی</w:t>
      </w:r>
      <w:r>
        <w:rPr>
          <w:rtl w:val="true"/>
        </w:rPr>
        <w:t xml:space="preserve">: </w:t>
      </w:r>
      <w:r>
        <w:rPr>
          <w:rtl w:val="true"/>
        </w:rPr>
        <w:t>ما هو المعروف بین المتأخّرین</w:t>
      </w:r>
      <w:bookmarkEnd w:id="422"/>
    </w:p>
    <w:p>
      <w:pPr>
        <w:pStyle w:val="Heading5"/>
        <w:numPr>
          <w:ilvl w:val="4"/>
          <w:numId w:val="1"/>
        </w:numPr>
        <w:rPr/>
      </w:pPr>
      <w:bookmarkStart w:id="423" w:name="__RefHeading___Toc5145921_73709187"/>
      <w:bookmarkStart w:id="424" w:name="_Toc160"/>
      <w:bookmarkEnd w:id="423"/>
      <w:r>
        <w:rPr>
          <w:rtl w:val="true"/>
        </w:rPr>
        <w:t>اشارة</w:t>
      </w:r>
      <w:bookmarkEnd w:id="424"/>
    </w:p>
    <w:p>
      <w:pPr>
        <w:pStyle w:val="BookText"/>
        <w:rPr/>
      </w:pPr>
      <w:r>
        <w:rPr>
          <w:rFonts w:ascii="IRNazanin" w:hAnsi="IRNazanin" w:eastAsia="IRNazanin"/>
          <w:color w:val="111111"/>
          <w:sz w:val="28"/>
          <w:sz w:val="28"/>
          <w:szCs w:val="28"/>
          <w:rtl w:val="true"/>
          <w:lang w:bidi="fa-IR"/>
        </w:rPr>
        <w:t>و قد استدلّ لإثباتها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دعوی تبادر العلّیة المنحصرة من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أخواتها، و لا یخفی أنّ إثبات ذلک موقوف علی إثبات دلالة القضیة الشرطیة علی الارتباط بین الشرط و الجزاء، ثمّ کون ذلک الارتباط بنحو اللزوم، ثمّ کون اللزوم بنحو الترتّب، أی ترتّب الجزاء علی الشرط لا العکس، و لا مجرّد الملازمة من دون ترتّب، کما فی المعلولین لعلّة واحدة، ثمّ کون الترتّب بنحو ترتّب المعلوم علی علّته، ثمّ کون تلک العلّة علّةً مستقلّة، ثمّ کونها مع الاستقلال منحصرة، و من الواضح أنّ إثبات جمیع هذه الاُمور فی غایة الإشکال، بل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المقدار الذی یصحّح استعمال کلمة الشرطیة هو مجرّد الارتباط بین الشرط و الجزاء و لو لم یکن ذلک بنحو اللزوم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لا تری أنّه یصحّ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جاء زید فمعه عمرو، فیما لو کان مصاحباً له نوعاً من دون رعایة علاقة أصلاً، کما أنّه یستعمل کثیراً فی موارد اللزوم و فی المراتب التی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فالإنصاف أنّ دعوی ذلک خلاف الوجدان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الانصراف، و ممّا ذکرنا فی التبادر یظهر أنّ دعواه أیضاً ممّا لا دلیل علی إثباته</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التمسّک بإطلاق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أخواتها الموضوعة للّزوم بتقریب أنّ مقدّمات الحکمة تقتضی الحمل علی الفرد الذی لا یحتاج إلی مئونة التقیید، و هو هنا اللزوم بنحو العلّیة المنحصرة، کما أنّ قضیّة إطلاق صیغة الأمر هو الوجوب النفسی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لا یخفی أنّه لا یکون الحکم فی المقیس علیه مسلّماً، و قد ذکرنا ذلک فی مبحث الأوامر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انقسام الطبیعة بالأقسام إنّما یتحقّق مع إضافة القیود إلیه، سواء کانت وجودیّة أو عدمیّة، فبإضافة کلّ قید یتحقّق قسم من الطبیعة، و لا یعقل أن یکون بعض الأقسام عین المقسم؛ إذ کونه قسماً یساوق عدم اجتماعه مع القسم الآخر أو الأقسام الاُخر، و کونه عین المقسم یساوق اتّحاده معها؛ لأنّ الطبیعة اللابشرط یجتمع مع ألف شرط، و لا یعقل اجتماع الوصفین المتناقضین علیه،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معنی الإطلاق الثابت بمقدّمات الحکمة هو کون المقصود هی الطبیعة اللّابشرط، و لو فرض عدم إمکان کونها مقصودةً بل کان الغرض متعلّقاً ببعض أقسامها، فالحمل علی بعض الأقسام دون البعض الآخر مع کونها فی عرض واحد ترجیح من دون مرجّح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بعض الأقسام أقلّ مئونة من الآخر، لوجب الحمل علیه، و لکنّه لا یکون فی أمثال المقام کذلک؛ ضرورة أنّ أقسام اللزوم فی عرض واحد و لا یعقل أن یکون بعضها عین المقسم، فتأمّل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التمسّک بإطلاق الشرط بتقریب أنّه لو لم یکن بمنحصر، یلزم تقییده؛ ضرورة أنّه لو قارنه أو سبقه الآخر، لما أثّر وحده، و مقتضی إطلاقها أنّه یؤثّر کذلک مطلقاً</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فی الکفایة أنّه لا یکاد ینکر الدلالة علی المفهوم مع إطلاقه کذلک إلاّ أنّه من المعلوم ندرة تحقّقه لو لم نقل بعدم اتّفاقه</w:t>
      </w:r>
      <w:r>
        <w:rPr>
          <w:rStyle w:val="FootnoteAnchor"/>
          <w:rtl w:val="true"/>
        </w:rPr>
        <w:footnoteReference w:id="1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bookmarkStart w:id="425" w:name="pg11586_104825"/>
    </w:p>
    <w:p>
      <w:pPr>
        <w:pStyle w:val="BookText"/>
        <w:rPr/>
      </w:pPr>
      <w:bookmarkEnd w:id="425"/>
      <w:r>
        <w:rPr>
          <w:rFonts w:ascii="IRNazanin" w:hAnsi="IRNazanin" w:eastAsia="IRNazanin"/>
          <w:color w:val="111111"/>
          <w:sz w:val="28"/>
          <w:sz w:val="28"/>
          <w:szCs w:val="28"/>
          <w:rtl w:val="true"/>
          <w:lang w:bidi="fa-IR"/>
        </w:rPr>
        <w:t>و لکن یظهر جوابه ممّا تقدّم فی جواب إثبات المفهوم من الطریق المنسوب إلی القدماء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الإطلاق هو کون الموضوع المذکور تامّاً من حیث الموضوعیة لحکمه المجعول بمعنی أنّه لا مدخلیة لشیء آخر أصلاً، و هذا لا یدلّ علی المفهوم؛ لأنّه لا بدّ فی إثباته من کون الموضوع المذکور منحصراً فی الموضوعیة، و مجرّد تمامیّته لا یثبت الانحصار،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التمسّک بإطلاق الشرط بتقریب آخر، و هو أنّ مقتضی إطلاق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تعیّنه، کما أنّ مقتضی إطلاق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تعیّن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جوابه ممّا تقدّم فی الجواب عن الوجه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لا نسلّم ثبوت الحکم فی المقیس علیه؛ لأنّه لا یعقل أن یکون الوجوب التعیینی عین طبیعة الوجوب، التی هی مقسم لها و للوجوب التخییری، بل کلّ واحد منهما لا محالة یشتمل علی قید وجودی أو عدمی زائد علی أصل الطبیعة، و الإطلاق لا یثبت شیئاً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ذکرنا فی مبحث الأوامر أنّ للمولی الاحتجاج علی العبد لو اعتذر باحتمال کونه تخییریّاً؛ لأنّ البعث الصادر منه لا بدّ له من الجواب بإتیان متعلّقه، و لکن هذا لا یثبت التعیّنیة،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التمسّک بإطلاق الجزاء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التنبیه علی امور</w:t>
      </w:r>
      <w:r>
        <w:rPr>
          <w:rFonts w:eastAsia="IRNazanin" w:cs="IRNazanin"/>
          <w:color w:val="111111"/>
          <w:sz w:val="28"/>
          <w:szCs w:val="28"/>
          <w:rtl w:val="true"/>
          <w:lang w:bidi="fa-IR"/>
        </w:rPr>
        <w:t>:</w:t>
      </w:r>
    </w:p>
    <w:p>
      <w:pPr>
        <w:pStyle w:val="Heading5"/>
        <w:numPr>
          <w:ilvl w:val="4"/>
          <w:numId w:val="1"/>
        </w:numPr>
        <w:rPr/>
      </w:pPr>
      <w:bookmarkStart w:id="426" w:name="__RefHeading___Toc5145923_73709187"/>
      <w:bookmarkStart w:id="427" w:name="_Toc161"/>
      <w:bookmarkEnd w:id="426"/>
      <w:r>
        <w:rPr>
          <w:rtl w:val="true"/>
        </w:rPr>
        <w:t>الأمر الأوّل</w:t>
      </w:r>
      <w:r>
        <w:rPr>
          <w:rtl w:val="true"/>
        </w:rPr>
        <w:t xml:space="preserve">: </w:t>
      </w:r>
      <w:r>
        <w:rPr>
          <w:rtl w:val="true"/>
        </w:rPr>
        <w:t>فی حقیقة المفهوم</w:t>
      </w:r>
      <w:bookmarkEnd w:id="427"/>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المراد من المفهوم إنّما هو انتفاء سنخ الحکم و نوعه عند انتفاء الشرط، لا انتفاء شخصه المجعول مترتّباً علی وجود الشرط، فإنّه ینتفی بانتفاء الشرط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کیف یکون المناط فی المفهوم هو السنخ مع أنّ الشرط فی القضیة الشرطیة إنّما وقع شرطاً للحکم المجعول بإنشائه دون غیره، و هو حکم شخصی ینتفی بانتفاء الشرط عقلاً</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أجاب عنه فی الکفایة بما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وضع الهیئات و الموضوع له فیها عامّ کالحروف، فالمعلّق علی الشرط إنّما هو الوجوب الکلّی، و الخصوصیة ناشئة من قِبَل الاستعمال</w:t>
      </w:r>
      <w:r>
        <w:rPr>
          <w:rStyle w:val="FootnoteAnchor"/>
          <w:rtl w:val="true"/>
        </w:rPr>
        <w:footnoteReference w:id="17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قد حقّق فیما تقدّم أنّ الموضوع له فی باب الحروف خاصّ لا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فی الجواب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المستفاد من القضایا الشرطیة هو الارتباط و المناسبة بین الشرط و الجزاء الذی هو عبارة عن متعلّق الحکم لا نفسه</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القضیّة الشرطیة هو اقتضاء المجیء فی قولک إن جاءک زید فأکرمه، لنفس الإکرام، لا وجوبه؛ إذ تعلّق الوجوب به إنّما یتأخّر عن تلک الاقتضاء و شدّة المناسبة المتحقّقة بینهما، کما یظهر بمراجعة الاستعمالات العرفیة، فإنّ أمر المولی عبده بإکرام ضیفه عند مجیئه إنّما هو لاقتضاء مجیء الضیف إکرامه، فالارتباط إنّما هو بین الشرط و متعلّق الجزاء، و ظاهر القضیة الشرطیة و إن کان ترتّب نفس الحکم علی الشرط إلاّ أنّ تعلّق الحکم به إنّما هو للتوصّل إلی المتعلّق بعد حصول الشرط؛ لشدّة الارتباط بینهما، و حینئذٍ فالقائل بالمفهوم یدّعی انحصار مناسبة الإکرام مع المجیء بحیث لا ینوب منابه شیء، و لا ارتباط بینه و بین شیء آخر، فإذا انتفی المجیء، فلا یبقی وجه لوجوب الإکرام بعد عدم اقتضاء غیر المجیء إیّاه، فالمعلّق علی</w:t>
      </w:r>
      <w:bookmarkStart w:id="428" w:name="pg11586_104827"/>
    </w:p>
    <w:p>
      <w:pPr>
        <w:pStyle w:val="BookText"/>
        <w:rPr/>
      </w:pPr>
      <w:bookmarkEnd w:id="428"/>
      <w:r>
        <w:rPr>
          <w:rFonts w:ascii="IRNazanin" w:hAnsi="IRNazanin" w:eastAsia="IRNazanin"/>
          <w:color w:val="111111"/>
          <w:sz w:val="28"/>
          <w:sz w:val="28"/>
          <w:szCs w:val="28"/>
          <w:rtl w:val="true"/>
          <w:lang w:bidi="fa-IR"/>
        </w:rPr>
        <w:t>الشرط فی ظاهر القضیّة الشرطیّة و إن کان مفاد الهیئة التی هی جزئیة و وجوب شخصی یرتفع بارتفاع الشرط عقلاً إلاّ أنّ مفادها بنظر العرف هو تعلیق الإکرام الذی هو أمر کلّی علی المجیء، فلا یبقی مع انتفائه وجه لوجوبه</w:t>
      </w:r>
      <w:r>
        <w:rPr>
          <w:rFonts w:eastAsia="IRNazanin" w:cs="IRNazanin"/>
          <w:color w:val="111111"/>
          <w:sz w:val="28"/>
          <w:szCs w:val="28"/>
          <w:rtl w:val="true"/>
          <w:lang w:bidi="fa-IR"/>
        </w:rPr>
        <w:t>.</w:t>
      </w:r>
    </w:p>
    <w:p>
      <w:pPr>
        <w:pStyle w:val="Heading5"/>
        <w:numPr>
          <w:ilvl w:val="4"/>
          <w:numId w:val="1"/>
        </w:numPr>
        <w:rPr/>
      </w:pPr>
      <w:bookmarkStart w:id="429" w:name="__RefHeading___Toc5145925_73709187"/>
      <w:bookmarkStart w:id="430" w:name="_Toc162"/>
      <w:bookmarkEnd w:id="429"/>
      <w:r>
        <w:rPr>
          <w:rtl w:val="true"/>
        </w:rPr>
        <w:t>الأمر الثانی</w:t>
      </w:r>
      <w:r>
        <w:rPr>
          <w:rtl w:val="true"/>
        </w:rPr>
        <w:t xml:space="preserve">: </w:t>
      </w:r>
      <w:r>
        <w:rPr>
          <w:rtl w:val="true"/>
        </w:rPr>
        <w:t>فی تعدّد الشرط و اتحاد الجزاء</w:t>
      </w:r>
      <w:bookmarkEnd w:id="430"/>
    </w:p>
    <w:p>
      <w:pPr>
        <w:pStyle w:val="BookText"/>
        <w:rPr/>
      </w:pPr>
      <w:r>
        <w:rPr>
          <w:rFonts w:ascii="IRNazanin" w:hAnsi="IRNazanin" w:eastAsia="IRNazanin"/>
          <w:color w:val="111111"/>
          <w:sz w:val="28"/>
          <w:sz w:val="28"/>
          <w:szCs w:val="28"/>
          <w:rtl w:val="true"/>
          <w:lang w:bidi="fa-IR"/>
        </w:rPr>
        <w:t>إذا تعدّد الشرط و اتّحد الجزاء کما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خفی الأذان فقصّر و إذا خفی الجدران فقصّر فبناء علی عدم ثبوت المفهوم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الحقّ، و قد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تعارض و لا تنافی بین القضیّتین، و أمّا بناء علی المفهوم، فیقع التعارض بینهما؛ لأنّ مفهوم الأوّل عدم وجوب القصر عند عدم خفاء الأذان، سواء خفی الجدران أو لم یخف، و مفهوم الثانی عدم وجوب القصر عند عدم خفاء الجدران، سواء خفی الأذان أو لم یخف، فهل اللّازم تخصیص مفهوم کلّ منهما بمنطوق الآخر، أو أنّه لا مفهوم لواحد منهما فی هذه الصورة، أو کون الشرط لوجوب القصر هو مجموع الشرطین، أو کونه الجامع بینهما؟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بدّ أوّلاً من بیان أنّ التعارض هل هو بین المنطوقین و یسری منهما إلی المفهومین أو بین المفهومین فقط؟</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هو الأوّل، و ذلک لأنّه إن کان الوجه فی ثبوت المفهوم هو کون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أخواتها موضوعة للعلّیة المنحصرة، فکلّ واحد من القضیّتین تدلّ علی العلّیة المنحصرة، فهما بمنزلة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العلّة المنحصرة لوجوب القصر هو خفاء الأذان، و العلّة المنحصرة له هو خفاء الجدران، و من المعلوم ثبوت التعارض بین نفس هاتین القضیّتین؛ لاستحالة کون شیئین علّتین منحصرتین لشیء واحد، و کذا لو کان الوجه فی ثبوت المفهوم هو الانصراف، و أمّا لو کان الوجه فیه هو الإطلاق بأحد الوجوه المتقدّمة، فالظاهر أیضاً التعارض بین</w:t>
      </w:r>
    </w:p>
    <w:p>
      <w:pPr>
        <w:pStyle w:val="BookText"/>
        <w:rPr/>
      </w:pPr>
      <w:r>
        <w:rPr>
          <w:rFonts w:ascii="IRNazanin" w:hAnsi="IRNazanin" w:eastAsia="IRNazanin"/>
          <w:color w:val="111111"/>
          <w:sz w:val="28"/>
          <w:sz w:val="28"/>
          <w:szCs w:val="28"/>
          <w:rtl w:val="true"/>
          <w:lang w:bidi="fa-IR"/>
        </w:rPr>
        <w:t>المنطوقین؛ لعدم إمکان الأخذ بکلا الإطلاقین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فاعلم أنّه لو قیل بالمفهوم من جهة 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أخواتها للعلّیة المنحصرة، فالتعارض یقع بین أصالتی الحقیقة الجاریتین فی کلتا القضیّتین، و مع عدم المرجّح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المفروض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تسقطان معاً، فاللّازم هو القول بعدم ثبوت المفهوم فی أمثال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کان الوجه هو الانصراف فإنّ الأخذ بمقتضی الانصرافین ممتنع، و لا ترجیح لأحدهما علی الآخر، فلا یجوز الأخذ بشیء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کان الوجه هو الإطلاق بأحد الوجوه السابقة، فیقع التعارض بین أصالتی الإطلاق الجاریتین فی کلتا القضیّتین، و مع عدم الترجیح لأحدهما علی الآخر تسقطان معاً، و یزول الانحصار من کلا الشرطین، و یبقی کون کلّ واحد منهما علّةً تامّة مستقلّة لتحقّق الجزاء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لو قیل باستفادة خصوص الانحصار من الإطلاق، فإنّه مع عدم حجّیته لوجود المعارض لا یضرّ ببقاء الشرط علی علّیته التامّة، و أمّا لو قلنا بأنّ مفاد الإطلاق هو مجموع العلّیة التامّة المنحصرة بمعنی أنّه کما یستفاد الانحصار من الإطلاق کذلک یستفاد منه التمامیة أیضاً، و حینئذٍ فمع التعارض نعلم إجمالاً إمّا بزوال الانحصار من کلّ واحد من الشرطین و إمّا بزوال التمامیة المستتبع لزوال الانحصار</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نعلم إجمالاً بورود القید فی کلٍّ من القضیّتین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علی الإطلاق المثبت للانحصار، و إمّا علی الإطلاق المنتج للتمامیة، و مع هذا العلم الإجمالی یسقط الإطلاقان الجاریان فی کلٍّ من القضیّتین عن الحجّیة و العلم تفصیلاً بعدم الانحصار علی أیّ تقدیر؛ لأنّه إن ورد القید علی الإطلاق المثبت له فواضح، و إن ورد علی الإطلاق المفید للتمامیة، فلم یبق موضوعه أصلاً، کما</w:t>
      </w:r>
      <w:bookmarkStart w:id="431" w:name="pg11586_104829"/>
    </w:p>
    <w:p>
      <w:pPr>
        <w:pStyle w:val="BookText"/>
        <w:rPr/>
      </w:pPr>
      <w:bookmarkEnd w:id="431"/>
      <w:r>
        <w:rPr>
          <w:rFonts w:ascii="IRNazanin" w:hAnsi="IRNazanin" w:eastAsia="IRNazanin"/>
          <w:color w:val="111111"/>
          <w:sz w:val="28"/>
          <w:sz w:val="28"/>
          <w:szCs w:val="28"/>
          <w:rtl w:val="true"/>
          <w:lang w:bidi="fa-IR"/>
        </w:rPr>
        <w:t>هو واضح لا یجدی فی انحلال العلم الإجمالی إلی العلم التفصیلی و الشکّ البدوی حتّی یسلم الإطلاقان المثبتان للتمامیّة عن التعارض و التساقط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لأنّ الانحلال یتوقّف علی العلم التفصیلی بورود القید علی خصوص الإطلاق المفید للانحصار لا علی العلم التفصیلی بعدم الانحصار، و عدم کونه مراداً قطعاً، و الموجود فی المقام هو الثانی لا الأوّل،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هل تسقط کلتا القضیّتین عن الدلالة علی المفهوم رأساً بحیث لا ینافیهما مدخلیة شیء آخر فی تحقّق الجزاء، أو أنّ سقوطهما عن ذلک إنّما هو بالنسبة إلی الشرط المذکور فیهما؟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التفصیل بین ما لو کان الوجه فی ثبوت المفهوم هو وضع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أخواتها للدلالة علی العلّیة المنحصرة أو الانصراف و بین ما لو کان استفادتها من الإطلاق، فعلی الأوّل تسقطان عن الدلالة علی المفهوم رأساً؛ لأنّ التعارض بین أصالتی الحقیقة أو الانصرافین فی کلٍّ منهما یوجب تساقطهما، فمن أین یدلّ علی نفی مدخلیة شیء آخر أو نفی بدیل آخر، و علی الثانی فلا؛ لأنّ رفع الید عن أصالة الإطلاق بالنسبة إلی خصوص قید لا یوجب رفع الید عنها بالنسبة إلی قید آخر شکّ فی قیدیّته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لا تری أنّ رفع الید عن إطلاق الرقبة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أعتق رقبة، بسبب الدلیل علی التقیید بالمؤمنة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تعتق رقبة کافرة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یوجب رفع الید عن إطلاقها بالنسبة إلی القیود الاُخری المشکوکة، مثل العدالة و غیرها من القیود</w:t>
      </w:r>
      <w:r>
        <w:rPr>
          <w:rFonts w:eastAsia="IRNazanin" w:cs="IRNazanin"/>
          <w:color w:val="111111"/>
          <w:sz w:val="28"/>
          <w:szCs w:val="28"/>
          <w:rtl w:val="true"/>
          <w:lang w:bidi="fa-IR"/>
        </w:rPr>
        <w:t>.</w:t>
      </w:r>
    </w:p>
    <w:p>
      <w:pPr>
        <w:pStyle w:val="Heading5"/>
        <w:numPr>
          <w:ilvl w:val="4"/>
          <w:numId w:val="1"/>
        </w:numPr>
        <w:rPr/>
      </w:pPr>
      <w:bookmarkStart w:id="432" w:name="__RefHeading___Toc5145927_73709187"/>
      <w:bookmarkStart w:id="433" w:name="_Toc163"/>
      <w:bookmarkEnd w:id="432"/>
      <w:r>
        <w:rPr>
          <w:rtl w:val="true"/>
        </w:rPr>
        <w:t>الأمر الثالث</w:t>
      </w:r>
      <w:r>
        <w:rPr>
          <w:rtl w:val="true"/>
        </w:rPr>
        <w:t xml:space="preserve">: </w:t>
      </w:r>
      <w:r>
        <w:rPr>
          <w:rtl w:val="true"/>
        </w:rPr>
        <w:t>فی تداخل الأسباب و المسبّبات</w:t>
      </w:r>
      <w:bookmarkEnd w:id="433"/>
    </w:p>
    <w:p>
      <w:pPr>
        <w:pStyle w:val="Heading6"/>
        <w:numPr>
          <w:ilvl w:val="5"/>
          <w:numId w:val="1"/>
        </w:numPr>
        <w:rPr/>
      </w:pPr>
      <w:bookmarkStart w:id="434" w:name="__RefHeading___Toc5145929_73709187"/>
      <w:bookmarkStart w:id="435" w:name="_Toc164"/>
      <w:bookmarkEnd w:id="434"/>
      <w:r>
        <w:rPr>
          <w:rtl w:val="true"/>
        </w:rPr>
        <w:t>اشارة</w:t>
      </w:r>
      <w:bookmarkEnd w:id="435"/>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تعدّد الشرط و اتّحد الجزاء، فهل القاعدة تقتضی التداخل مطلقاً، أو عدمه کذلک، أو یفصّل بین ما إذا اتّحد الجنس فالأوّل و ما إذا تعدّد فالثانی؟</w:t>
      </w:r>
    </w:p>
    <w:p>
      <w:pPr>
        <w:pStyle w:val="BookText"/>
        <w:rPr/>
      </w:pPr>
      <w:r>
        <w:rPr>
          <w:rFonts w:ascii="IRNazanin" w:hAnsi="IRNazanin" w:eastAsia="IRNazanin"/>
          <w:color w:val="111111"/>
          <w:sz w:val="28"/>
          <w:sz w:val="28"/>
          <w:szCs w:val="28"/>
          <w:rtl w:val="true"/>
          <w:lang w:bidi="fa-IR"/>
        </w:rPr>
        <w:t>و لیقدّم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النزاع فی هذا الباب مبنی علی إحراز کون الشرطین مثلاً علّتین مستقلّتین بمعنی أنّ کلّ واحد منهما یؤثّر فی حصول المشروط مستقلاًّ من غیر مدخلیة شیء آخر، و أمّا بناء علی کون الشرط هو مجموع الشرطین فلا مجال للنزاع فی التداخل و عدمه؛ إذ لا یؤثّر الشرطان إلاّ فی شیء واحد،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فالبحث فی المقام إنّما یجری بناء علی غیر الوجه الثالث من الوجوه الأربعة المتقدّمة فی الأمر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مورد البحث ما إذا کان متعلّق الجزاء طبیعة قابلة للتکثّر و التعدّد، مثل الوضوء و الغسل و أشباههما، و أمّا إذا لم تکن قابلةً للتعدّد، کقتل زید مثلاً، فهو خارج عن محلّ النزاع؛ لاستحالة عدم التداخل، فمثل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ارتدّ زید فاقتله، و إن قتل مؤمناً فاقتله، خارج عن المقام</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التداخل قد یکون فی الأسباب، و قد یکون فی المسبّبات، و المراد بتداخل الأسباب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مورد النزاع فی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تأثیرها مع کون کلّ واحد منها مستقلاًّ لو انفرد عن صاحبه فی مسبّب واحد فی حال الاجتماع، و المراد بتداخل المسبّبات هو الاکتفاء فی مقام الامتثال بإتیان الطبیعة المتعلّقة للحکم مرّة بعد الفراغ عن عدم تداخل الأسباب و تأثیرها فی المسبّبات الکثیرة حسب کثرتها، و ربّما مثّلوا له بمثل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 هاشمیّاً، و أضف عالماً</w:t>
      </w:r>
      <w:r>
        <w:rPr>
          <w:rStyle w:val="FootnoteAnchor"/>
          <w:rtl w:val="true"/>
        </w:rPr>
        <w:footnoteReference w:id="172"/>
      </w:r>
      <w:r>
        <w:rPr>
          <w:rFonts w:ascii="IRNazanin" w:hAnsi="IRNazanin" w:eastAsia="IRNazanin"/>
          <w:color w:val="111111"/>
          <w:sz w:val="28"/>
          <w:sz w:val="28"/>
          <w:szCs w:val="28"/>
          <w:rtl w:val="true"/>
          <w:lang w:bidi="fa-IR"/>
        </w:rPr>
        <w:t>، حیث إنّه لا إشکال فی تحقّق الامتثال إذا أکرم العالم الهاشمی بالضیافة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لا یخفی ما فیه من النظر؛ فإنّ الظاهر أنّ المراد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یظهر من تذییل مبحث تداخل الأسباب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إذا کان التکلیفان متعلّقین بعنوان واحد لا بعنوانین،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مورد النزاع هو ما تقتضیه القواعد اللفظیة بعد الفراغ عن إمکان التداخل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حکی عن بعض الأعاظم المعاصرین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استحالة عدم التداخل؛ نظراً إلی أنّه یمکن تعقّل تعلّق أمر واحد بإیجاد الطبیعة مرّتین من غیر تعلیق علی شیء، کما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توضّأ وضوءین و کذا فیما إذا جمع السببین و أمر بإیجادهما مرّتین کما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بلت و نمت فتوضّأ وضوءین، و کذا یجوز تعلّق أمرین بطبیعة واحدة فیما إذا کان السبب الثانی مترتّباً علی الأوّل دائماً، و أمّا مع عدم الترتّب بینهما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المفروض فی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نتعقّل تعلّق أمرین بطبیعة واحدة؛ إذ لا یمکن تقیید الثانی بمثل کلمة الآخر و نحوه؛ لإمکان حصول السبب الثانی قبل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یظهر أنّه لا یمکن تقیید کلّ منهما بمثلها، کما هو واضح</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لکن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منشأ الاستحالة لو کان مجرّد عدم صحّة التقیید بمثل کلمة الآخر، فالجواب عنه واضح؛ لعدم انحصار التقیید بمثله، و ذلک لإمکان أن یقیّد کلّ واحد منهما بالسبب الموجب لتعلّق التکلیف بالطبیعة، و ذلک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بلت فتوضّأ وضوءاً من قِبَل البول، و إن نمت فتوضّأ وضوءاً من قِبَل النوم</w:t>
      </w:r>
      <w:r>
        <w:rPr>
          <w:rFonts w:eastAsia="IRNazanin" w:cs="IRNazanin"/>
          <w:color w:val="111111"/>
          <w:sz w:val="28"/>
          <w:szCs w:val="28"/>
          <w:rtl w:val="true"/>
          <w:lang w:bidi="fa-IR"/>
        </w:rPr>
        <w:t>.</w:t>
      </w:r>
      <w:bookmarkStart w:id="436" w:name="pg11586_104832"/>
    </w:p>
    <w:p>
      <w:pPr>
        <w:pStyle w:val="Heading6"/>
        <w:numPr>
          <w:ilvl w:val="5"/>
          <w:numId w:val="1"/>
        </w:numPr>
        <w:rPr/>
      </w:pPr>
      <w:bookmarkStart w:id="437" w:name="__RefHeading___Toc5145931_73709187"/>
      <w:bookmarkStart w:id="438" w:name="_Toc165"/>
      <w:bookmarkEnd w:id="436"/>
      <w:bookmarkEnd w:id="437"/>
      <w:r>
        <w:rPr>
          <w:rtl w:val="true"/>
        </w:rPr>
        <w:t>حول مقتضی القواعد اللفظیّة</w:t>
      </w:r>
      <w:bookmarkEnd w:id="438"/>
    </w:p>
    <w:p>
      <w:pPr>
        <w:pStyle w:val="BookText"/>
        <w:rPr/>
      </w:pPr>
      <w:r>
        <w:rPr>
          <w:rFonts w:ascii="IRNazanin" w:hAnsi="IRNazanin" w:eastAsia="IRNazanin"/>
          <w:color w:val="111111"/>
          <w:sz w:val="28"/>
          <w:sz w:val="28"/>
          <w:szCs w:val="28"/>
          <w:rtl w:val="true"/>
          <w:lang w:bidi="fa-IR"/>
        </w:rPr>
        <w:t>إذا عرفت ما ذکرنا، فاعلم أنّه قد نسب إلی المشهور القول بعدم التداخل</w:t>
      </w:r>
      <w:r>
        <w:rPr>
          <w:rStyle w:val="FootnoteAnchor"/>
          <w:rtl w:val="true"/>
        </w:rPr>
        <w:footnoteReference w:id="17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استدلّ لهم بوجوه أقواها ما حکی عن العلّامة فی المختلف من أنّه إذا تعاقب السببان أو اقترنا فإمّا أن یقتضیا مسبّبین مستقلّین أو مسبّباً واحداً أو لا یقتضیا شیئاً أو یقتضی أحدهما شیئاً دون الآخر، و الثلاثة الأخیرة فباطلة، فتعیّن الاُولی، و هو المطلوب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بطلان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النزاع إنّما هو مبنی علی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 خلاف ما فرض من سببیّة کلّ واحد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استناده إلی الواحد المعیّن یوجب الترجیح من غیر مرجّح، و إلی غیر المعیّن یوجب الخلف؛ لأنّ المفروض سببیّة کلّ واحد</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39" w:name="__RefHeading___Toc5145933_73709187"/>
      <w:bookmarkStart w:id="440" w:name="_Toc166"/>
      <w:bookmarkEnd w:id="439"/>
      <w:r>
        <w:rPr>
          <w:rtl w:val="true"/>
        </w:rPr>
        <w:t>فیما أفاده الشیخ الأعظم فی هذا المقام</w:t>
      </w:r>
      <w:bookmarkEnd w:id="440"/>
    </w:p>
    <w:p>
      <w:pPr>
        <w:pStyle w:val="BookText"/>
        <w:rPr/>
      </w:pPr>
      <w:r>
        <w:rPr>
          <w:rFonts w:ascii="IRNazanin" w:hAnsi="IRNazanin" w:eastAsia="IRNazanin"/>
          <w:color w:val="111111"/>
          <w:sz w:val="28"/>
          <w:sz w:val="28"/>
          <w:szCs w:val="28"/>
          <w:rtl w:val="true"/>
          <w:lang w:bidi="fa-IR"/>
        </w:rPr>
        <w:t>و فی تقریرات الشیخ أنّ محصّل هذا الوجه ینحلّ إلی مقدّمات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تأثیر السبب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أثره غیر الأثر الأوّل</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تعدّد الأثر یوجب تعدّد الفعل، و القائل بالتداخل لا بدّ له من منع</w:t>
      </w:r>
    </w:p>
    <w:p>
      <w:pPr>
        <w:pStyle w:val="BookText"/>
        <w:rPr/>
      </w:pPr>
      <w:r>
        <w:rPr>
          <w:rFonts w:ascii="IRNazanin" w:hAnsi="IRNazanin" w:eastAsia="IRNazanin"/>
          <w:color w:val="111111"/>
          <w:sz w:val="28"/>
          <w:sz w:val="28"/>
          <w:szCs w:val="28"/>
          <w:rtl w:val="true"/>
          <w:lang w:bidi="fa-IR"/>
        </w:rPr>
        <w:t>إحدی المقدّمات علی سبیل منع الخلوّ، و قد فصّل فی إثبات تلک المقدّمات و دفع ما اورد علیها</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المقدّمة الاُولی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ذکر فی إثباتها کلاماً طویلاً أخذ کلٌّ من المتأخّرین عنه شیئاً منه، و جعله دلیلاً مستقلاًّ علی القول بعدم التداخل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المحقّق الهمدانی فی المصباح، حیث قال فیه ما 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مقتضی إطلاق الجزاء و إن کان کفایة ما یصدق علیه الطبیعة من غیر تقیید بالفرد المأتی به أوّلاً إلاّ أنّ ظهور القضیة الشرطیة فی السببیّة المستقلّة مقدّم علیه؛ لأنّ الظهور فی الأوّل إطلاقی یتوقّف علی مقدّماته التی منها عدم البیان، و من المعلوم أنّ إطلاق السبب منضمّاً إلی حکم العقل بأنّ تعدّد المؤثّر یستلزم تعدّد الأثر یکون بیاناً للجزاء، و معه لا مجال للتمسّک بإطلاقه، و لیس المقام من قبیل تحکیم أحد الظاهرین علی الآخر حتّی یطالب بالدلیل، بل لأنّ وجوب الجزاء بالسبب الثانی یتوقّف علی إطلاق سببیّته، و معه یمتنع إطلاق الجزاء بحکم العقل، فوجوبه ملزوم لعدم إطلاقه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التمسّک بالإطلاق إنّما یحسن فی الأوامر الابتدائیة المتعلّقة بطبیعة واحدة لا فی ذوات الأسباب؛ فإنّ مقتضی إطلاق الجمیع کون ما عدا الأوّل تأکیداً له، و احتمال التأسیس ینفیه أصالة الإطلاق</w:t>
      </w:r>
      <w:r>
        <w:rPr>
          <w:rStyle w:val="FootnoteAnchor"/>
          <w:rtl w:val="true"/>
        </w:rPr>
        <w:footnoteReference w:id="1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إلیه یرجع ما ذکره فی الکفایة وجهاً للقول بعدم التداخل</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المحقّق النائینی، فإنّه ذکر فی تقریراته 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الأصل اللفظی یقتضی عدم تداخل الأسباب؛ لأنّ تعلّق الطلب بصرف الوجود من</w:t>
      </w:r>
    </w:p>
    <w:p>
      <w:pPr>
        <w:pStyle w:val="BookText"/>
        <w:rPr/>
      </w:pPr>
      <w:r>
        <w:rPr>
          <w:rFonts w:ascii="IRNazanin" w:hAnsi="IRNazanin" w:eastAsia="IRNazanin"/>
          <w:color w:val="111111"/>
          <w:sz w:val="28"/>
          <w:sz w:val="28"/>
          <w:szCs w:val="28"/>
          <w:rtl w:val="true"/>
          <w:lang w:bidi="fa-IR"/>
        </w:rPr>
        <w:t>الطبیعة و إن کان مدلولاً لفظیاً إلاّ أنّ عدم قابلیّة صرف الوجود للتکرّر لیس مدلولاً لفظیاً، بل من باب حکم العقل بأنّ المطلوب الواحد إذا امتثل لا یمکن امتثاله ثانیاً، و أمّا أنّ المطلوب واحد أو متعدّد فلا یحکم به العقل، فإذا دلّ ظاهر الشرطیّتین علی تعدّد المطلوب، لا یعارضه شیء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انقدح ما فی تقدیم ظهور القضیّتین من جهة کونه بیاناً لإطلاق الجزاء، لأنّه علی ما ذکرنا ظهور الجزاء فی الاکتفاء بالمرّة لیس من باب الإطلاق أصلاً حتّی یقع التعارض، بل یکون ظهور الشرطیة فی تأثیر الشرط مستقلاًّ رافعاً حقیقة لموضوع حکم العقل و وارداً علیه، بل علی فرض ظهور الجزاء فی المرّة یکون ظهور الشرطیة حاکماً علیه، کما لا یخفی‌</w:t>
      </w:r>
      <w:r>
        <w:rPr>
          <w:rStyle w:val="FootnoteAnchor"/>
          <w:rtl w:val="true"/>
        </w:rPr>
        <w:footnoteReference w:id="1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 و عن 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استفادة استقلال الشرط فی السببیّة إنّما هو من إطلاق الشرط، کما عرفت فی صدر مبحث المفهوم، فهنا إطلاقان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 الشرط الدالّ علی السببیّة المستقلّة، و إطلاق الجزاء الدالّ علی تعلّق الطلب بنفس الطبیعة، و لا تعارض بین الإطلاقین فی کلّ قضیّة مع قطع النظر عن القضیّة الاُخری، ضرورة عدم المنافاة بین استقلال النوم مثلاً بالسببیّة و کون المسبّب هو وجوب طبیعة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بعد ملاحظة اجتماع القضیّتین معاً یقع التعارض بینهما؛ لاستحالة أن یؤثّر سببان مستقلّان فی إیجاد حکمین علی طبیعة واحدة، فاللّازم فی مقام التخلّص عن المحذور العقلی أحد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رفع الید عن إطلاق الشرط فی کلٍّ منهما، و إمّا رفع الید عن إطلاق الجزاء کذلک، و لا ترجیح للثانی علی الأوّل أصلاً</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الظاهر أنّ المتفاهم عند العرف من أمثال هذا النحو من القضایا</w:t>
      </w:r>
    </w:p>
    <w:p>
      <w:pPr>
        <w:pStyle w:val="BookText"/>
        <w:rPr/>
      </w:pPr>
      <w:r>
        <w:rPr>
          <w:rFonts w:ascii="IRNazanin" w:hAnsi="IRNazanin" w:eastAsia="IRNazanin"/>
          <w:color w:val="111111"/>
          <w:sz w:val="28"/>
          <w:sz w:val="28"/>
          <w:szCs w:val="28"/>
          <w:rtl w:val="true"/>
          <w:lang w:bidi="fa-IR"/>
        </w:rPr>
        <w:t>الشرطیة عدم التداخل، و تأثیر کلّ سبب فی مسبّب واحد من غیر التفات إلی إطلاق متعلّق الجزاء، و لزوم تقییده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کون المتفاهم بنظر العرف کذلک ممّا لا مجال لإنکاره إلاّ أنّ الکلام فی منشأ استفادتهم، فیمکن أن یکون الوجه فیه قیاس العلل التشریعیّة بالعلل التکوینیّة التی یوجب کلّ علّة معلولاً مستقلاًّ أو استفادة الارتباط بین الشرط و متعلّق الجزاء بمعنی اقتضاء البول مثلاً للوضوء و استحقاقه له، فعند الاجتماع یقتضی کلّ واحد من الشرطین وضوءاً مستقلاًّ، أو غیر ذلک ممّا لم نعرفه، فإنّ العمدة هی ثبوت أصل الظهور بنظر العرف، و قد عرفت أنّه لا إشکال فیه، کما أشار إلیه المحقّق الخراسانی فی حاشیة الکفایة فی هذا المقام</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المقدّمة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فیمکن منعها بتقریب أنّ الشرط إنّما یکون سبباً لوجوب الوضوء لا لوجوده، کما هو ظاهر القضیّة الشرطیة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أنّه لو کان علّةً له لا للوجوب، یلزم عدم الانفکاک بینهما، مع أنّ من المعلوم خلافه، فتعدّد الشرط یوجب تعدّد الوجوب، و هو لا یستلزم وجوب إیجاد الفعل متعدّداً؛ لإمکان أن یکون الوجوب الثانی تأکیداً للوجوب الأوّل؛ إذ البعث التأکیدی لیس مغایراً للبعث التأسیسی، و الفارق مجرّد تعدّد الإرادة و وحدتها، و مع إمکان ذلک لا بدّ من إثبات کون البعث للتأسیس</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یقع التعارض بین إطلاق متعلّق الجزاء و إطلاق الشرط فی السببیّة المستقلّة لو کان الوجوبان تأسیسیّین، و أمّا لو کان أحدهما تأکیداً للآخر، فلا تعارض أصلاً، و لا ترجیح لرفع الید عن إطلاق متعلّق الجزاء و إبقاء الوجوب علی ظاهره لو لم نقل بترجیح العکس؛ نظراً إلی أنّ ظهوره فی التأسیسیة لا یکون</w:t>
      </w:r>
    </w:p>
    <w:p>
      <w:pPr>
        <w:pStyle w:val="BookText"/>
        <w:rPr/>
      </w:pPr>
      <w:r>
        <w:rPr>
          <w:rFonts w:ascii="IRNazanin" w:hAnsi="IRNazanin" w:eastAsia="IRNazanin"/>
          <w:color w:val="111111"/>
          <w:sz w:val="28"/>
          <w:sz w:val="28"/>
          <w:szCs w:val="28"/>
          <w:rtl w:val="true"/>
          <w:lang w:bidi="fa-IR"/>
        </w:rPr>
        <w:t>بالغاً إلی حدّ یعارض الإطلاق، و علی فرض التعارض فلا بدّ علی المستدلّ من إثبات العکس، و رفع احتمال الحمل علی التأکید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عنه فی التقریرات بما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نسلّم کون الأسباب الشرعیة أسباباً لنفس الأحکام لا لمتعلّقاتها، و مع ذلک یجب تعدّد إیجاد الفعل فی الخارج، فإنّ المسبّب هو اشتغال الذمّة بإیجاد الفعل، و لا شکّ أنّ السبب الأوّل یقتضی ذلک، فإذا فرضنا وجود مثله فیوجب اشتغالاً آخر؛ إذ لو لم یقتضی ذلک فإمّا أن یکون بواسطة نقص فی السبب أو فی المسبّب، و لیس شیء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هو المفروض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تعدّد الاشتغال و وحدته یتبع قبول الفعل المتعلّق له و عدمه، و المفروض فی المقام القبول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ما ذکره یتمّ فی الأوامر الابتدائیة مع قبول المحلّ أیضاً؛ لأنّ مجرّد القابلیة غیر قاضیة بالتعدّد، و الاشتغال الحاصل بالأمر الثانی لا نسلّم مغایرته للأمر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إن ارید من التأکید تأکید مرتبة الطلب و الوجوب و إن کان حصوله بواسطة لحوق جهة مغایرة للجهة الاُولی، کما فی مثل تحریم الإفطار بالمحرّم فی شهر رمضان، و إن ارید التأکید نحو الحاصل فی الأوامر الابتدائیة، ففساده أظهر من أن یخفی؛ فإنّ الأمر الثانی مرتّب علی الأوّل و وارد فی مورده، بخلاف المقام، ضرورة حصول الاشتغال و الوجوب علی وجه التعدّد قبل وجود السبب بنفس الکلام الدالّ علی السببیّة، فتکون تلک الوجوبات کلّ واحد منها فی عرض الآخر، فهناک إیجابات متعدّدة، و یتفرّع علیها وجوبات متعدّدة علی وجه التعلیق، و بعد حصول المعلّق علیه یتحقّق الاشتغال بأفراد متعدّدة</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أن یجاب بالتزام أنّها أسباب لنفس الأفعال لا لأحکامها، و لکنّه</w:t>
      </w:r>
    </w:p>
    <w:p>
      <w:pPr>
        <w:pStyle w:val="BookText"/>
        <w:rPr/>
      </w:pPr>
      <w:r>
        <w:rPr>
          <w:rFonts w:ascii="IRNazanin" w:hAnsi="IRNazanin" w:eastAsia="IRNazanin"/>
          <w:color w:val="111111"/>
          <w:sz w:val="28"/>
          <w:sz w:val="28"/>
          <w:szCs w:val="28"/>
          <w:rtl w:val="true"/>
          <w:lang w:bidi="fa-IR"/>
        </w:rPr>
        <w:t>سبب جعلی لا عقلی و لا عادی، و معنی السبب الجعلی هو أنّ لها نحو اقتضاء فی نظر الجاعل بحیث لو انقدح فی نفوسنا لکنّا جازمین بالسببیّة، إلاّ أنّ الإنصاف أنّه لا یسمن؛ فإنّ معنی جعل السببیّة لیس إلاّ مطلوبیة المسبّب عند وجود السبب، فالتعویل علی الوجه الأوّل</w:t>
      </w:r>
      <w:r>
        <w:rPr>
          <w:rStyle w:val="FootnoteAnchor"/>
          <w:rtl w:val="true"/>
        </w:rPr>
        <w:footnoteReference w:id="1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انتهی ملخّصاً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بتعدّد الاشتغال الحاصل من کلّ سبب لا بدّ و أن یکون هو الوجوب الجائی عقیبه، و قد عرفت أنّ تعدّد الوجوب لا یستلزم تعدّد الواجب؛ لاحتمال أن یکون الوجوب الثانی تأکیداً للأوّل، فتعدّد الاشتغال بهذا المعنی لا یوجب تعدّد المشتغل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إن ارید من التأکید إلی آخره، 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الفرض خارج عن باب التأکید؛ لما قد حقّق سابقاً فی مبحث اجتماع الأمر و النهی من أنّ متعلّق الأحکام هی الطبائع لا الوجودات، فالطبیعة المتعلّقة لأحد التحریمین فی المثال تغایر الطبیعة المتعلّقة للآخر؛ ضرورة أنّ أحدهما یتعلّق بالإفطار، و الآخر بشرب الخمر مثلاً، فأین التأکید؟</w:t>
      </w:r>
    </w:p>
    <w:p>
      <w:pPr>
        <w:pStyle w:val="BookText"/>
        <w:rPr/>
      </w:pPr>
      <w:r>
        <w:rPr>
          <w:rFonts w:ascii="IRNazanin" w:hAnsi="IRNazanin" w:eastAsia="IRNazanin"/>
          <w:color w:val="111111"/>
          <w:sz w:val="28"/>
          <w:sz w:val="28"/>
          <w:szCs w:val="28"/>
          <w:rtl w:val="true"/>
          <w:lang w:bidi="fa-IR"/>
        </w:rPr>
        <w:t xml:space="preserve">ثمّ إنّ اعتبار الترتّب فی تحقّق معنی التأکید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عرفت فی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مندفع بأنّ الوجوب التأکیدی لیس بمعنی استعمال الهیئة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التأکید حتّی یستلزم وجود وجوب قبله بل المستعملة فیه هو نفس الوجوب و التأکید ینتزع من تعلّق أزید من واحد بشیء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لا تری أنّه یتحقّق التأکید بقول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اضرب، و الإشارة بالید إلیه فی آنٍ واحد من دون تقدّم و تأخّر</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الجواب الأخیر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ذکر أنّ الإنصاف أنّه لا یسمن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جعله</w:t>
      </w:r>
    </w:p>
    <w:p>
      <w:pPr>
        <w:pStyle w:val="BookText"/>
        <w:rPr/>
      </w:pPr>
      <w:r>
        <w:rPr>
          <w:rFonts w:ascii="IRNazanin" w:hAnsi="IRNazanin" w:eastAsia="IRNazanin"/>
          <w:color w:val="111111"/>
          <w:sz w:val="28"/>
          <w:sz w:val="28"/>
          <w:szCs w:val="28"/>
          <w:rtl w:val="true"/>
          <w:lang w:bidi="fa-IR"/>
        </w:rPr>
        <w:t>المحقّق العراقی جواباً مستقلاًّ عن الإشکال، و اعتمد علیه، و قد عرفت منّا سابقاً استظهاره، و لکنّه لا یندفع به الإشکال؛ لأنّ الشرطین إنّما یقتضیان نفس طبیعة متعلّق الجزاء، و بعد حصولها مرّة بعدهما قد عمل بمقتضاهما معاً،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الأنواع المتعدّدة، و أمّا التداخل و عدمه بالنسبة إلی فردین من نوع واحد، فقد یقال بابتناء ذلک علی أنّ الشرط هل هو الطبیعة أو الأفراد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الأوّل فلا بدّ من القول بالتداخل؛ لأنّ الفردین أو الأفراد من طبیعة واحدة لا یعدّ بنظر العرف إلاّ فردان أو أفراد منها، فزید و عمرو بنظر العرف فردان من الإنسان، لا إنسانان، کما هو کذلک بنظر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 فلا بدّ من القول بعدم التداخل؛ لظهور الشرطیة فی کون کلّ فرد سبباً مستقلاًّ للجزاء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لکن لا یخفی أنّ مورد النزاع هو ما إذا کان کلّ واحد من الأفراد سبباً مستقلاًّ، و إلّا فلا یشمله النزاع فی المقام، فدخوله فیه یبتنی علی کون الشرط هی الأفراد، لا أنّ القول بعدم التداخل مبنیّ علیه، کما هو صریح ذلک القول المحکی، و حینئذٍ فیجری فیه جمیع ما تقدّم فی النوعین و الأنواع المختلفة، و الظاهر أنّ المتفاهم منها بنظر العرف أیضاً عدم التداخل بالنسبة إلی الأفراد من جنس واحد، فتأمّل</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المقدّمة الثالثة الراجعة إلی أنّ تعدّد الأثر یوجب تعدّد الفعل التی یعبّر عنها بعدم تداخل المسبّبات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ذکر الشیخ فی التقریرات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مجال لإنکارها بعد تسلیم المقدّمتین السابقتین؛ لأنّا قد قرّرنا فی المقدّمة الثانیة أنّ متعلّق التکالیف حینئذٍ هو الفرد المغایر للفرد الواجب بالسبب الأوّل، و لا یعقل تداخل فردین من ماهیّة واحدة، بل و لا یعقل ورود دلیل علی التداخل أیضاً علی ذلک التقدیر، إلاّ أن یکون ناسخاً لحکم السببیّة، و أمّا تداخل الأغسال فبواسطة</w:t>
      </w:r>
    </w:p>
    <w:p>
      <w:pPr>
        <w:pStyle w:val="BookText"/>
        <w:rPr/>
      </w:pPr>
      <w:r>
        <w:rPr>
          <w:rFonts w:ascii="IRNazanin" w:hAnsi="IRNazanin" w:eastAsia="IRNazanin"/>
          <w:color w:val="111111"/>
          <w:sz w:val="28"/>
          <w:sz w:val="28"/>
          <w:szCs w:val="28"/>
          <w:rtl w:val="true"/>
          <w:lang w:bidi="fa-IR"/>
        </w:rPr>
        <w:t>تداخل ماهیّاتها، کما کشف عنه روایة الحقوق، مثل تداخل الإکرام و الضیافة فیما إذا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جاء زید فأکرم عالماً، و إن سلّم علیک فأضف هاشمیّاً، فعند وجود السببین یمکن الاکتفاء بإکرام العالم الهاشمی علی وجه الضیافة، و أین ذلک من تداخل الفردین</w:t>
      </w:r>
      <w:r>
        <w:rPr>
          <w:rStyle w:val="FootnoteAnchor"/>
          <w:rtl w:val="true"/>
        </w:rPr>
        <w:footnoteReference w:id="1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انتهی ملخّصاً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یخفی أنّ المراد بکون متعلّق التکالیف هو الفرد المغایر للفرد الواجب بالسبب الأوّل إن کان هو الفرد الخارجی، فعدم اجتماع الفردین مسلّم لا ریب فیه، إلاّ أنّه لا ینبغی الإشکال فی بطلانه؛ لأنّ الموجود الخارجی یستحیل أن یتعلّق التکلیف به بعثاً کان أو زجراً، کما قد حقّقناه سابقاً فی مبحث اجتماع الأمر و النهی بما لا مزید علیه، و إن کان المراد هو العنوان الذی یوجب تقیید الطبیعة،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القیود المقسّمة للطبیعة علی نوعین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تکون النسبة بین القیود التخالف بحیث لا مانع من اجتماعها علی شیء واحد، کتقیید الإنسان مثلاً بالأبیض و الرومی، و نوع تکون النسبة بینها التباین، کتقییده بالأبیض و الأسود، و مرجع القول بعدم التداخل إلی استحالة تعلّق تکلیفین بطبیعة واحدة، و لزوم تقییدها فی کلّ تکلیف بقید یغایر القید الآخر، و أمّا لزوم کون التغایر علی نحو التباین، فممنوع جدّاً، بل یستفاد من ورود الدلیل علی التداخل کون التغایر بنحو التخالف الغیر المانع من الاجتماع، فلا یلزم أن یکون ناسخاً لحکم السببیّة، کما أفاده فی کلامه</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مع عدم ورود الدلیل علیه لا مجال للاعتناء باحتمال کون التغایر بنحو التخالف فی مقام الامتثال؛ لأنّ التکلیف الیقینی یقتضی البراءة الیقینیّة، و مع الإتیان بوجود واحد لا یحصل الیقین بالبراءة عن التکلیفین المعلومین، کما هو واضح</w:t>
      </w:r>
      <w:r>
        <w:rPr>
          <w:rFonts w:eastAsia="IRNazanin" w:cs="IRNazanin"/>
          <w:color w:val="111111"/>
          <w:sz w:val="28"/>
          <w:szCs w:val="28"/>
          <w:rtl w:val="true"/>
          <w:lang w:bidi="fa-IR"/>
        </w:rPr>
        <w:t>.</w:t>
      </w:r>
      <w:bookmarkStart w:id="441" w:name="pg11586_104840"/>
    </w:p>
    <w:p>
      <w:pPr>
        <w:pStyle w:val="Heading5"/>
        <w:numPr>
          <w:ilvl w:val="4"/>
          <w:numId w:val="1"/>
        </w:numPr>
        <w:rPr/>
      </w:pPr>
      <w:bookmarkStart w:id="442" w:name="__RefHeading___Toc5145935_73709187"/>
      <w:bookmarkStart w:id="443" w:name="_Toc167"/>
      <w:bookmarkEnd w:id="441"/>
      <w:bookmarkEnd w:id="442"/>
      <w:r>
        <w:rPr>
          <w:rtl w:val="true"/>
        </w:rPr>
        <w:t>الأمر الرابع</w:t>
      </w:r>
      <w:r>
        <w:rPr>
          <w:rtl w:val="true"/>
        </w:rPr>
        <w:t xml:space="preserve">: </w:t>
      </w:r>
      <w:r>
        <w:rPr>
          <w:rtl w:val="true"/>
        </w:rPr>
        <w:t>فی اعتبار وحدة المنطوق و المفهوم إلاّ فی الحکم</w:t>
      </w:r>
      <w:bookmarkEnd w:id="443"/>
    </w:p>
    <w:p>
      <w:pPr>
        <w:pStyle w:val="BookText"/>
        <w:rPr/>
      </w:pPr>
      <w:r>
        <w:rPr>
          <w:rFonts w:ascii="IRNazanin" w:hAnsi="IRNazanin" w:eastAsia="IRNazanin"/>
          <w:color w:val="111111"/>
          <w:sz w:val="28"/>
          <w:sz w:val="28"/>
          <w:szCs w:val="28"/>
          <w:rtl w:val="true"/>
          <w:lang w:bidi="fa-IR"/>
        </w:rPr>
        <w:t xml:space="preserve">لا 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ثبوت المفهوم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أخذ جمیع القیود المأخوذة فی الشرط أو الجزاء فی ناحیة المفهوم أیضاً، 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جاءک زید و أکرمک فأکرمه یوم الجمعة، یکون مفهومه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یجئک زیدٌ أو لم یکرمک فلا تکرمه یوم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لا إشکال فی أنّ المنفی فی المفهوم فیما لو کان الحکم فی المنطوق حکماً مجموعیاً هو نفی المجموع بحیث لا ینافی ثبوت البعض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الإشکال فیما إذا کان الحکم فی المنطوق حکماً عامّاً، فهل المنفی فی المفهوم نفی ذلک الحکم بنحو العموم، أو نفی العموم الغیر المنافی لثبوت البعض؟</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إذا بلغ قدر کرّ لا ینجّسه شیء</w:t>
      </w:r>
      <w:r>
        <w:rPr>
          <w:rFonts w:eastAsia="IRNazanin" w:cs="IRNazanin"/>
          <w:color w:val="111111"/>
          <w:sz w:val="28"/>
          <w:szCs w:val="28"/>
          <w:rtl w:val="true"/>
          <w:lang w:bidi="fa-IR"/>
        </w:rPr>
        <w:t xml:space="preserve">» </w:t>
      </w:r>
      <w:r>
        <w:rPr>
          <w:rStyle w:val="FootnoteAnchor"/>
          <w:rtl w:val="true"/>
        </w:rPr>
        <w:footnoteReference w:id="183"/>
      </w:r>
      <w:r>
        <w:rPr>
          <w:rFonts w:ascii="IRNazanin" w:hAnsi="IRNazanin" w:eastAsia="IRNazanin"/>
          <w:color w:val="111111"/>
          <w:sz w:val="28"/>
          <w:sz w:val="28"/>
          <w:szCs w:val="28"/>
          <w:rtl w:val="true"/>
          <w:lang w:bidi="fa-IR"/>
        </w:rPr>
        <w:t>هل یکون مفهومه أنّه إذا لم یبلغ ذلک المقدار ینجّسه جمیع الأشیاء النجسة، أو أنّ مفهومه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تنجّسه بالشیء الغیر المنافی لعدم تنجّسه ببعض النجاسات؟ و هذا هو النزاع المعروف بین صاحب الحاشیة و الشیخ </w:t>
      </w:r>
      <w:r>
        <w:rPr>
          <w:rFonts w:eastAsia="IRNazanin" w:cs="IRNazanin"/>
          <w:color w:val="111111"/>
          <w:sz w:val="28"/>
          <w:szCs w:val="28"/>
          <w:lang w:bidi="fa-IR"/>
        </w:rPr>
        <w:t>0</w:t>
      </w:r>
      <w:r>
        <w:rPr>
          <w:rFonts w:ascii="IRNazanin" w:hAnsi="IRNazanin" w:eastAsia="IRNazanin"/>
          <w:color w:val="111111"/>
          <w:sz w:val="28"/>
          <w:sz w:val="28"/>
          <w:szCs w:val="28"/>
          <w:rtl w:val="true"/>
          <w:lang w:bidi="fa-IR"/>
        </w:rPr>
        <w:t xml:space="preserve">، و قد بنی الشیخ المسألة علی 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المأخوذة فی المنطوق هل اخذت مرآتاً للعناوین النجسة، مثل البول و المنی و الدم و غیرها بحیث کأنّها مذکورة بدله، أو أنّها مأخوذة بعنوانه بحیث لا بدّ من أخذه فی المفهوم بعنوانه؟ فعلی الأوّل یصیر مفهومه یتنجّس الماء القلیل بجمیع أنواع النجاسات، و علی الثانی لا ینافی عدم تنجّسه</w:t>
      </w:r>
    </w:p>
    <w:p>
      <w:pPr>
        <w:pStyle w:val="BookText"/>
        <w:rPr/>
      </w:pPr>
      <w:r>
        <w:rPr>
          <w:rFonts w:ascii="IRNazanin" w:hAnsi="IRNazanin" w:eastAsia="IRNazanin"/>
          <w:color w:val="111111"/>
          <w:sz w:val="28"/>
          <w:sz w:val="28"/>
          <w:szCs w:val="28"/>
          <w:rtl w:val="true"/>
          <w:lang w:bidi="fa-IR"/>
        </w:rPr>
        <w:t>ببعضها، کما لا یخفی‌</w:t>
      </w:r>
      <w:r>
        <w:rPr>
          <w:rStyle w:val="FootnoteAnchor"/>
          <w:rtl w:val="true"/>
        </w:rPr>
        <w:footnoteReference w:id="18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أنت خبیر بأنّ المفهوم عبارة عن انتفاء الحکم فی المنطوق عند انتفاء الشرط مثلاً، لا ثبوت حکم نقیض الحکم فی المنطوق، و حینئذٍ فمفهوم المثال عبارة عن أنّ الماء إذا لم یبلغ قدر کرّ لیس بلا ینجّسه شیء لا أنّه ینجّسه شیء حتّی یقال بأنّ النکرة فی الإثبات لا یفید العموم، بل مدلول القضیّة المفهومیة هو انتفاء الحکم المنشأ فی المنطوق، و انتفاؤه فی المقام لا ینافی ثبوت التنجّس بجمیع النجاسات، کما أنّه لا ینافی ثبوته ببعضها، و لا دلالة لها علی أحد الأمرین أصلاً</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یظهر الکلام فی مفهوم الوصف ممّا تقدّم فی مفهوم الشرط</w:t>
      </w:r>
      <w:r>
        <w:rPr>
          <w:rFonts w:eastAsia="IRNazanin" w:cs="IRNazanin"/>
          <w:color w:val="111111"/>
          <w:sz w:val="28"/>
          <w:szCs w:val="28"/>
          <w:rtl w:val="true"/>
          <w:lang w:bidi="fa-IR"/>
        </w:rPr>
        <w:t>.</w:t>
      </w:r>
      <w:bookmarkStart w:id="444" w:name="pg11586_104842"/>
    </w:p>
    <w:p>
      <w:pPr>
        <w:pStyle w:val="Heading3"/>
        <w:numPr>
          <w:ilvl w:val="2"/>
          <w:numId w:val="1"/>
        </w:numPr>
        <w:rPr/>
      </w:pPr>
      <w:bookmarkStart w:id="445" w:name="__RefHeading___Toc5145937_73709187"/>
      <w:bookmarkStart w:id="446" w:name="_Toc168"/>
      <w:bookmarkEnd w:id="444"/>
      <w:bookmarkEnd w:id="445"/>
      <w:r>
        <w:rPr>
          <w:rtl w:val="true"/>
        </w:rPr>
        <w:t>المقام الثانی فی مفهوم الغایة</w:t>
      </w:r>
      <w:bookmarkEnd w:id="446"/>
    </w:p>
    <w:p>
      <w:pPr>
        <w:pStyle w:val="BookText"/>
        <w:rPr/>
      </w:pPr>
      <w:r>
        <w:rPr>
          <w:rFonts w:ascii="IRNazanin" w:hAnsi="IRNazanin" w:eastAsia="IRNazanin"/>
          <w:color w:val="111111"/>
          <w:sz w:val="28"/>
          <w:sz w:val="28"/>
          <w:szCs w:val="28"/>
          <w:rtl w:val="true"/>
          <w:lang w:bidi="fa-IR"/>
        </w:rPr>
        <w:t>یقع الکلام فی مفهوم الغایة بمعنی دلالتها علی انتفاء الحکم فیما بعدها بناء علی دخولها فی المغیّا، أو انتفاؤه فیها و فیما بعدها بناء علی خروجها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المعروف بین المتأخّرین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بین ما إذا کانت الغایة قیداً للحکم و بین ما إذا کانت قیداً للموضوع بالدلالة علی المفهوم فی الأوّل دون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 الثانی واضح؛ لأنّه یصیر حینئذٍ من قبیل الوصف، و قد عرفت أنّه لا مفهوم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وجه الدلالة علی المفهوم فی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علی ما ذکره بعض المحقّقین من المعاصرین فی کتاب الدّرر عبارة عن أنّ الغایة بحسب مدلول القضیّة جُعلت غایةً للحکم المستفاد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مثلاً، و قد حقّق فی محلّه أنّ مفاد الهیئة إنشاء حقیقة الطلب، لا الطلب الجزئی الخارجی، فتکون الغایة فی القضیّة غایةً لحقیقة الطلب المتعلّق بالجلوس، و لازم ذلک هو ارتفاع حقیقة الطلب عن الجلوس عند وجودها</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قیل بدلالة الهیئة علی الطلب الجزئی، فالغایة لا تدلّ إلاّ علی</w:t>
      </w:r>
    </w:p>
    <w:p>
      <w:pPr>
        <w:pStyle w:val="BookText"/>
        <w:rPr/>
      </w:pPr>
      <w:r>
        <w:rPr>
          <w:rFonts w:ascii="IRNazanin" w:hAnsi="IRNazanin" w:eastAsia="IRNazanin"/>
          <w:color w:val="111111"/>
          <w:sz w:val="28"/>
          <w:sz w:val="28"/>
          <w:szCs w:val="28"/>
          <w:rtl w:val="true"/>
          <w:lang w:bidi="fa-IR"/>
        </w:rPr>
        <w:t>ارتفاعه عندها، و هو لا ینافی وجود جزئی آخر من سنخ ذلک الطلب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اختار فی الأواخر أنّه لا تدلّ الغایة علی المفهوم و لو کانت قیداً للحکم، فقال فی حاشیة الدّرر ما هذه عبارته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یقال بمنع المفهوم حتّی فیما اخذ فیه الغایة قیداً للحکم، کما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من الصبح إلی الزوال؛ لمساعدة الوجدان علی أنّا لو قلنا بعد الکلام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جاء زید فاجلس من الزوال إلی الغروب، فلیس فیه مخالفة لظاهر الکلام الأوّل، فهذا یکشف عن أنّ المغیّی لیس سنخ الحکم من أیّ علّة تحقّق بل السنخ المعلول لعلّة خاصّة سواء کانت مذکورة کما فی إن جاء زید فاجلس من الصبح إلی الزوال، أم کانت غیر مذکورة، فإنّه مع عدم الذکر أیضاً یکون لا محالة هنا علّة یکون الحکم المذکور مسبّباً عنها</w:t>
      </w:r>
      <w:r>
        <w:rPr>
          <w:rStyle w:val="FootnoteAnchor"/>
          <w:rtl w:val="true"/>
        </w:rPr>
        <w:footnoteReference w:id="1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خبیر بأنّ الغایة إذا کانت غایةً لطبیعة الطلب المتعلّقة بالجلوس مثلاً، فلا محالة ترتفع الطبیعة عند وجودها، و إلّا فلا معنی لکونها غایةً لنفس الطبیعة، و یکشف من ذلک ارتفاع علّته و عدم قیام علّة اخری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کون القضیّة بنظر العرف ظاهرة فی ارتفاع الطلب عند وجود الغایة لا مجال للإشکال فی الدلالة علی المفهوم من جهة ما ذکر؛ لأنّ ذلک مستلزم لکون العلّة واحدة بحیث لا یقوم مقامها علّة اخری</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مضافاً إلی أنّ العرف لا یتوجّه و لا ینظر إلی مسألة العلّة أصلاً، کما لا یخفی، إلاّ أنّ کون الهیئة مفادها هو إنشاء حقیقة الطلب و کلّیه قد عرفت ما فیه سابقاً؛ فإنّ الوضع و الموضوع له فی الحروف لیسا عامّین، بل الموضوع له خاص، إلاّ أنّ المتفاهم فی المقام من القضیّة الغائیة کون المغیّا هو حقیقة</w:t>
      </w:r>
    </w:p>
    <w:p>
      <w:pPr>
        <w:pStyle w:val="BookText"/>
        <w:rPr/>
      </w:pPr>
      <w:r>
        <w:rPr>
          <w:rFonts w:ascii="IRNazanin" w:hAnsi="IRNazanin" w:eastAsia="IRNazanin"/>
          <w:color w:val="111111"/>
          <w:sz w:val="28"/>
          <w:sz w:val="28"/>
          <w:szCs w:val="28"/>
          <w:rtl w:val="true"/>
          <w:lang w:bidi="fa-IR"/>
        </w:rPr>
        <w:t>الطلب بحیث ترتفع عند وجود الغایة، کما یظهر بمراجعة العرف، فالحقّ ثبوت مفهوم الغایة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هنا خلافاً آخر،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الغایة هل تکون داخلة فی المغیّا أو خارجة عنها؟</w:t>
      </w:r>
    </w:p>
    <w:p>
      <w:pPr>
        <w:pStyle w:val="BookText"/>
        <w:rPr/>
      </w:pPr>
      <w:r>
        <w:rPr>
          <w:rFonts w:ascii="IRNazanin" w:hAnsi="IRNazanin" w:eastAsia="IRNazanin"/>
          <w:color w:val="111111"/>
          <w:sz w:val="28"/>
          <w:sz w:val="28"/>
          <w:szCs w:val="28"/>
          <w:rtl w:val="true"/>
          <w:lang w:bidi="fa-IR"/>
        </w:rPr>
        <w:t xml:space="preserve">و لا یخفی أنّ المراد بالغایة هنا هو مدخول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له أجزاء، لا نهایة الشیء، فإنّ البحث فیها بالمعنی الثانی لیس شأن الاُصولی، بخلاف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خروجها عن المغیّا، سواء کانت غایةً للموضوع أو الحکم</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الدلیل علی ذلک مراجعة الاستعمالات العرفیة، فإنّ قول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من البصرة إلی الکوفة لا یدلّ علی استمرار السیر فی جزء من الکوفة أیضاً بحیث لو وصل إلی جدار الکوفة من دون أن یدخل فیها، لکان هذا القول منه کذباً، بل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دعوی دخول تالی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الموضوع أو الحکم ممنوعة أیضاً، کما یظهر بالتأمّل فی المثال، فالإنصاف خروج الغایة عن المغیّا حکماً کان أو موضوعاً، فالتفصیل بینهما بدخولها فیه فی الثانی دون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الدّرر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غیر محلّه، کما أنّ دعوی خروج غایة الحکم عن النزاع فی هذا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الکفایة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ممنوعة جدّاً، کما أشار إلیه فی الحاشیة فراجع</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bookmarkStart w:id="447" w:name="pg11586_104846"/>
    </w:p>
    <w:p>
      <w:pPr>
        <w:pStyle w:val="Heading2"/>
        <w:numPr>
          <w:ilvl w:val="1"/>
          <w:numId w:val="1"/>
        </w:numPr>
        <w:rPr/>
      </w:pPr>
      <w:bookmarkStart w:id="448" w:name="__RefHeading___Toc5145939_73709187"/>
      <w:bookmarkStart w:id="449" w:name="_Toc169"/>
      <w:bookmarkEnd w:id="447"/>
      <w:bookmarkEnd w:id="448"/>
      <w:r>
        <w:rPr>
          <w:rtl w:val="true"/>
        </w:rPr>
        <w:t>المقصد الرابع فی العامّ و الخاصّ</w:t>
      </w:r>
      <w:bookmarkEnd w:id="449"/>
    </w:p>
    <w:p>
      <w:pPr>
        <w:pStyle w:val="Heading3"/>
        <w:numPr>
          <w:ilvl w:val="2"/>
          <w:numId w:val="1"/>
        </w:numPr>
        <w:rPr/>
      </w:pPr>
      <w:bookmarkStart w:id="450" w:name="__RefHeading___Toc5145941_73709187"/>
      <w:bookmarkStart w:id="451" w:name="_Toc170"/>
      <w:bookmarkEnd w:id="450"/>
      <w:r>
        <w:rPr>
          <w:rtl w:val="true"/>
        </w:rPr>
        <w:t>اشارة</w:t>
      </w:r>
      <w:bookmarkEnd w:id="451"/>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مقدّمة و فصول</w:t>
      </w:r>
      <w:r>
        <w:rPr>
          <w:rFonts w:eastAsia="IRNazanin" w:cs="IRNazanin"/>
          <w:color w:val="111111"/>
          <w:sz w:val="28"/>
          <w:szCs w:val="28"/>
          <w:rtl w:val="true"/>
          <w:lang w:bidi="fa-IR"/>
        </w:rPr>
        <w:t>:</w:t>
      </w:r>
      <w:bookmarkStart w:id="452" w:name="pg11586_104848"/>
    </w:p>
    <w:p>
      <w:pPr>
        <w:pStyle w:val="Heading3"/>
        <w:numPr>
          <w:ilvl w:val="2"/>
          <w:numId w:val="1"/>
        </w:numPr>
        <w:rPr/>
      </w:pPr>
      <w:bookmarkStart w:id="453" w:name="__RefHeading___Toc5145943_73709187"/>
      <w:bookmarkStart w:id="454" w:name="_Toc171"/>
      <w:bookmarkEnd w:id="452"/>
      <w:bookmarkEnd w:id="453"/>
      <w:r>
        <w:rPr>
          <w:rtl w:val="true"/>
        </w:rPr>
        <w:t>مقدّمة</w:t>
      </w:r>
      <w:bookmarkEnd w:id="454"/>
    </w:p>
    <w:p>
      <w:pPr>
        <w:pStyle w:val="Heading4"/>
        <w:numPr>
          <w:ilvl w:val="3"/>
          <w:numId w:val="1"/>
        </w:numPr>
        <w:rPr/>
      </w:pPr>
      <w:bookmarkStart w:id="455" w:name="__RefHeading___Toc5145945_73709187"/>
      <w:bookmarkStart w:id="456" w:name="_Toc172"/>
      <w:bookmarkEnd w:id="455"/>
      <w:r>
        <w:rPr>
          <w:rtl w:val="true"/>
        </w:rPr>
        <w:t>اشارة</w:t>
      </w:r>
      <w:bookmarkEnd w:id="456"/>
    </w:p>
    <w:p>
      <w:pPr>
        <w:pStyle w:val="BookText"/>
        <w:rPr/>
      </w:pPr>
      <w:r>
        <w:rPr>
          <w:rFonts w:ascii="IRNazanin" w:hAnsi="IRNazanin" w:eastAsia="IRNazanin"/>
          <w:color w:val="111111"/>
          <w:sz w:val="28"/>
          <w:sz w:val="28"/>
          <w:szCs w:val="28"/>
          <w:rtl w:val="true"/>
          <w:lang w:bidi="fa-IR"/>
        </w:rPr>
        <w:t>و قبل الخوض فی بحوث العامّ و الخاصّ لا بأس بذکر امور</w:t>
      </w:r>
      <w:r>
        <w:rPr>
          <w:rFonts w:eastAsia="IRNazanin" w:cs="IRNazanin"/>
          <w:color w:val="111111"/>
          <w:sz w:val="28"/>
          <w:szCs w:val="28"/>
          <w:rtl w:val="true"/>
          <w:lang w:bidi="fa-IR"/>
        </w:rPr>
        <w:t>:</w:t>
      </w:r>
    </w:p>
    <w:p>
      <w:pPr>
        <w:pStyle w:val="Heading4"/>
        <w:numPr>
          <w:ilvl w:val="3"/>
          <w:numId w:val="1"/>
        </w:numPr>
        <w:rPr/>
      </w:pPr>
      <w:bookmarkStart w:id="457" w:name="__RefHeading___Toc5145947_73709187"/>
      <w:bookmarkStart w:id="458" w:name="_Toc173"/>
      <w:bookmarkEnd w:id="457"/>
      <w:r>
        <w:rPr>
          <w:rtl w:val="true"/>
        </w:rPr>
        <w:t>الأمر الأوّل</w:t>
      </w:r>
      <w:r>
        <w:rPr>
          <w:rtl w:val="true"/>
        </w:rPr>
        <w:t xml:space="preserve">: </w:t>
      </w:r>
      <w:r>
        <w:rPr>
          <w:rtl w:val="true"/>
        </w:rPr>
        <w:t>فیما تحکی عنه أسماء الطبائع</w:t>
      </w:r>
      <w:bookmarkEnd w:id="458"/>
    </w:p>
    <w:p>
      <w:pPr>
        <w:pStyle w:val="BookText"/>
        <w:rPr/>
      </w:pPr>
      <w:r>
        <w:rPr>
          <w:rFonts w:ascii="IRNazanin" w:hAnsi="IRNazanin" w:eastAsia="IRNazanin"/>
          <w:color w:val="111111"/>
          <w:sz w:val="28"/>
          <w:sz w:val="28"/>
          <w:szCs w:val="28"/>
          <w:rtl w:val="true"/>
          <w:lang w:bidi="fa-IR"/>
        </w:rPr>
        <w:t xml:space="preserve">اعلم أنّ الألفاظ الموضوعة بإزاء الطبائع الکلّیة لا تکون حاکیةً إلاّ عن نفس تلک الماهیات التی وُضعت بإزائها، فلفظ الإنسان الموضوع لطبیعة 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هی عبارة عن الحیوان الناطق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یحکی إلاّ عن نفس تلک الحقیقة، و لا یعقل أن یکون حاکیاً عن الخصوصیات التی تجتمع مع الطبیعة فی الوجود الخارجی و تتّحد معها فی الواقع، و ذلک لأنّه لا یعقل أن تکون الطبیعة مرآةً للعناوین المتّحدة معها فی عالم الوجود الذی هو مجمع المتفرّقات بعد ثبوت المغایرة بینها فی عالم المفهومیة، فکیف یمکن أن یکون الإنسان مرآة لأصل الوجود بعد وضوح المغایرة بینها و بینه فضلاً عن الخصوصیّات الوجودیة، و الاتّحاد فی الوجود الخارجی لا ینافی عدم الحکایة فی عالم المفهوم، کما هو واضح</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قد وضع فی کلّ لغة ألفاظ تدلّ علی الکثرات و الوجودات، کلفظة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أمثالها فی لغة العرب، فعند إضافته إلی کلّ شیء یفید أفراد ذلک الشیء</w:t>
      </w:r>
      <w:bookmarkStart w:id="459" w:name="pg11586_104849"/>
    </w:p>
    <w:p>
      <w:pPr>
        <w:pStyle w:val="BookText"/>
        <w:rPr/>
      </w:pPr>
      <w:bookmarkEnd w:id="459"/>
      <w:r>
        <w:rPr>
          <w:rFonts w:ascii="IRNazanin" w:hAnsi="IRNazanin" w:eastAsia="IRNazanin"/>
          <w:color w:val="111111"/>
          <w:sz w:val="28"/>
          <w:sz w:val="28"/>
          <w:szCs w:val="28"/>
          <w:rtl w:val="true"/>
          <w:lang w:bidi="fa-IR"/>
        </w:rPr>
        <w:t>و إن کان مدخوله لا یدلّ إلاّ علی نفس الطبیعة، کما ذکرنا، و یعبّر عنها بألفاظ العموم، 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أکرم کلّ إنسان، یفید وجوب إکرام جمیع ما یصدق علیه الإنسان، و یتّحد معه فی الخارج، و هذا المعنی یستفاد من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الإنسان فقد عرفت أنّه لا یحکی إلاّ عن نفس الطبیعة</w:t>
      </w:r>
      <w:r>
        <w:rPr>
          <w:rFonts w:eastAsia="IRNazanin" w:cs="IRNazanin"/>
          <w:color w:val="111111"/>
          <w:sz w:val="28"/>
          <w:szCs w:val="28"/>
          <w:rtl w:val="true"/>
          <w:lang w:bidi="fa-IR"/>
        </w:rPr>
        <w:t>.</w:t>
      </w:r>
    </w:p>
    <w:p>
      <w:pPr>
        <w:pStyle w:val="Heading4"/>
        <w:numPr>
          <w:ilvl w:val="3"/>
          <w:numId w:val="1"/>
        </w:numPr>
        <w:rPr/>
      </w:pPr>
      <w:bookmarkStart w:id="460" w:name="__RefHeading___Toc5145949_73709187"/>
      <w:bookmarkStart w:id="461" w:name="_Toc174"/>
      <w:bookmarkEnd w:id="460"/>
      <w:r>
        <w:rPr>
          <w:rtl w:val="true"/>
        </w:rPr>
        <w:t>الأمر الثانی</w:t>
      </w:r>
      <w:r>
        <w:rPr>
          <w:rtl w:val="true"/>
        </w:rPr>
        <w:t xml:space="preserve">: </w:t>
      </w:r>
      <w:r>
        <w:rPr>
          <w:rtl w:val="true"/>
        </w:rPr>
        <w:t>فی الفرق بین العامّ و المطلق</w:t>
      </w:r>
      <w:bookmarkEnd w:id="461"/>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لا یخفی أنّ معنی العموم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یرجع إلی دلالة الألفاظ الموضوعة له علیه بالدلالة اللفظیة؛ نظیر جمیع الدلالات اللفظیة، و أمّا الإطلاق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عرفت سابقاً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یرجع إلی أنّ المتکلّم العاقل المختار إذا صار بصدد بیان جمیع ما له دخل فی موضوع حکمه و لم یأخذ إلاّ ما نطق به و سمعه المخاطب یستفاد من ذلک کون المذکور هو تمام الموضوع لحکمه، و لا مدخلیة لشیء آخر أصلاً، و هذه الدلالة لیست من باب دلالة الألفاظ علی معانیها؛ ضرورة 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أعتق رقبة، لا یدلّ إلاّ علی وجوب عتق الرقبة و استفادة الإطلاق بالنسبة إلی الرقبة إنّما هی من باب حکم العقل بأنّ المتکلّم الکذائی الذی بصدد البیان محکوم بظاهر کلامه؛ لأنّه لو کان شیء آخر دخیلاً فی موضوع حکمه، لکان اللّازم علیه أن یذکر، فهی نظیر دلالة الفعل الصادر من العاقل المختار علی کون صدوره عن اختیار و إرادة، و دلالة التکلّم علی کون مضمون الکلام مقصوداً للمتکلّم، و حینئذٍ فباب الإطلاق لا ربط له بباب العموم أصلاً، فما وقع من کثیر منهم من أنّ العموم قد یستفاد من جهة الوضع، و قد یستفاد من القضیّة عقلاً، و قد یستفاد من جهة الإطلاق مع وجود مقدّماته لیس علی ما ینبغی؛ لأنّ المستفاد من مقدّمات الحکمة إنّما هو الإطلاق لا العموم، فهو قسیم له لا أنّه قسم منه، کما عرفت</w:t>
      </w:r>
      <w:r>
        <w:rPr>
          <w:rFonts w:eastAsia="IRNazanin" w:cs="IRNazanin"/>
          <w:color w:val="111111"/>
          <w:sz w:val="28"/>
          <w:szCs w:val="28"/>
          <w:rtl w:val="true"/>
          <w:lang w:bidi="fa-IR"/>
        </w:rPr>
        <w:t>.</w:t>
      </w:r>
      <w:bookmarkStart w:id="462" w:name="pg11586_104850"/>
    </w:p>
    <w:p>
      <w:pPr>
        <w:pStyle w:val="Heading4"/>
        <w:numPr>
          <w:ilvl w:val="3"/>
          <w:numId w:val="1"/>
        </w:numPr>
        <w:rPr/>
      </w:pPr>
      <w:bookmarkStart w:id="463" w:name="__RefHeading___Toc5145951_73709187"/>
      <w:bookmarkStart w:id="464" w:name="_Toc175"/>
      <w:bookmarkEnd w:id="462"/>
      <w:bookmarkEnd w:id="463"/>
      <w:r>
        <w:rPr>
          <w:rtl w:val="true"/>
        </w:rPr>
        <w:t>الأمر الثالث</w:t>
      </w:r>
      <w:r>
        <w:rPr>
          <w:rtl w:val="true"/>
        </w:rPr>
        <w:t xml:space="preserve">: </w:t>
      </w:r>
      <w:r>
        <w:rPr>
          <w:rtl w:val="true"/>
        </w:rPr>
        <w:t>فی استغناء العامّ عن مقدّمات الحکمة</w:t>
      </w:r>
      <w:bookmarkEnd w:id="464"/>
    </w:p>
    <w:p>
      <w:pPr>
        <w:pStyle w:val="BookText"/>
        <w:rPr/>
      </w:pPr>
      <w:r>
        <w:rPr>
          <w:rFonts w:ascii="IRNazanin" w:hAnsi="IRNazanin" w:eastAsia="IRNazanin"/>
          <w:color w:val="111111"/>
          <w:sz w:val="28"/>
          <w:sz w:val="28"/>
          <w:szCs w:val="28"/>
          <w:rtl w:val="true"/>
          <w:lang w:bidi="fa-IR"/>
        </w:rPr>
        <w:t xml:space="preserve">ثمّ إنّ هنا إشکالاً، و هو أنّه لیس لنا لفظ عام یدلّ علی العموم مع قطع النظر عن جریان مقدّمات الحکمة، ضرورة 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تدلّ إلاّ علی استیعاب أفراد مدخوله، و أمّا أنّ مدخوله مطلق أو مقیّد فلا یستفاد منها أصلاً، فإنّها تابعة لمدخولها، فإن اخذ مطلقاً، فهی تدلّ علی تمام أفراد المطلق، و إن اخذ مقیّداً، فهی تدلّ علی جمیع أفراد المقیّد، فاستفادة العموم بالنسبة إلی جمیع أفراد المطلق موقوفة علی إحراز کون المدخول مطلقاً، و ذلک یتوقّف علی إجراء مقدّمات الحکمة،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أجاب عنه فی الدّرر</w:t>
      </w:r>
      <w:r>
        <w:rPr>
          <w:rStyle w:val="FootnoteAnchor"/>
          <w:rtl w:val="true"/>
        </w:rPr>
        <w:footnoteReference w:id="187"/>
      </w:r>
      <w:r>
        <w:rPr>
          <w:rFonts w:ascii="IRNazanin" w:hAnsi="IRNazanin" w:eastAsia="IRNazanin"/>
          <w:color w:val="111111"/>
          <w:sz w:val="28"/>
          <w:sz w:val="28"/>
          <w:szCs w:val="28"/>
          <w:rtl w:val="true"/>
          <w:lang w:bidi="fa-IR"/>
        </w:rPr>
        <w:t>بما لا یرجع إلی محصّل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فی الجواب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مقدّمات الحکمة حیث تجری تکون نتیجتها إثبات الإطلاق فی موضوع الحکم بمعنی أنّ تمام الموضوع لحکمه المجعول إنّما هی الطبیعة معرّاة عن جمیع القیود، و ذلک حیث یکون الأمر دائراً بین کون الموضوع هی نفس الطبیعة أو هی مقیّدة، و أمّا فی أمثال المقام ممّا لا یکون الموضوع هو الطبیعة بل أفرادها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فیما نحن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مجال لإجراء المقدّمات فی مدخول ألفاظ العموم بعد وضوح أنّ الموضوع لیس هو المدخول، بل هو مع مضمون تلک الألفاظ الدالّة علی استیعاب الأفراد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بعبارة اخری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التعبیر بلفظ العموم الذی یدلّ علی الاستیعاب ظاهر فی کون المتکلّم متعرّضاً لبیان موضوع حکمه، و التعرّض ینافی الإهمال،</w:t>
      </w:r>
      <w:bookmarkStart w:id="465" w:name="pg11586_104851"/>
    </w:p>
    <w:p>
      <w:pPr>
        <w:pStyle w:val="BookText"/>
        <w:rPr/>
      </w:pPr>
      <w:bookmarkEnd w:id="465"/>
      <w:r>
        <w:rPr>
          <w:rFonts w:ascii="IRNazanin" w:hAnsi="IRNazanin" w:eastAsia="IRNazanin"/>
          <w:color w:val="111111"/>
          <w:sz w:val="28"/>
          <w:sz w:val="28"/>
          <w:szCs w:val="28"/>
          <w:rtl w:val="true"/>
          <w:lang w:bidi="fa-IR"/>
        </w:rPr>
        <w:t>و حینئذٍ فالشکّ فی کون الموضوع هو جمیع أفراد الرجل مثلاً أو أفراد الرجل العالم ینشأ من احتمال الخطأ فی عدم ذکر القید، و هو مدفوع بالأصل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بالجملة، فمجری المقدّمات هو ما إذا دار الأمر بین الإهمال و غیره، و فی المقام لا مجال لاحتمال الإهمال بعد کون المتکلّم متعرّضاً لبیان الموضوع، و أنّه هو جمیع الأفراد؛ إذ بعد دلالة الکلام علی هذه الجهة یکون لا محالة الشکّ فی سعة الموضوع و ضیقه، مستنداً إلی احتمال الخطأ فی عدم ذکر القید، و قد عرفت أنّه مدفوع بالأصل العقلائی الذی یقتضی العدم، فظهر أنّ دلالة مثل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العموم لا تحتاج إلی مقدّمات الحکمة أصلاً، فتأمّل فإنّه دقیق</w:t>
      </w:r>
      <w:r>
        <w:rPr>
          <w:rFonts w:eastAsia="IRNazanin" w:cs="IRNazanin"/>
          <w:color w:val="111111"/>
          <w:sz w:val="28"/>
          <w:szCs w:val="28"/>
          <w:rtl w:val="true"/>
          <w:lang w:bidi="fa-IR"/>
        </w:rPr>
        <w:t>.</w:t>
      </w:r>
    </w:p>
    <w:p>
      <w:pPr>
        <w:pStyle w:val="Heading4"/>
        <w:numPr>
          <w:ilvl w:val="3"/>
          <w:numId w:val="1"/>
        </w:numPr>
        <w:rPr/>
      </w:pPr>
      <w:bookmarkStart w:id="466" w:name="__RefHeading___Toc5145953_73709187"/>
      <w:bookmarkStart w:id="467" w:name="_Toc176"/>
      <w:bookmarkEnd w:id="466"/>
      <w:r>
        <w:rPr>
          <w:rtl w:val="true"/>
        </w:rPr>
        <w:t>الأمر الرابع</w:t>
      </w:r>
      <w:r>
        <w:rPr>
          <w:rtl w:val="true"/>
        </w:rPr>
        <w:t xml:space="preserve">: </w:t>
      </w:r>
      <w:r>
        <w:rPr>
          <w:rtl w:val="true"/>
        </w:rPr>
        <w:t>فی أقسام العموم</w:t>
      </w:r>
      <w:bookmarkEnd w:id="467"/>
    </w:p>
    <w:p>
      <w:pPr>
        <w:pStyle w:val="BookText"/>
        <w:rPr/>
      </w:pPr>
      <w:r>
        <w:rPr>
          <w:rFonts w:ascii="IRNazanin" w:hAnsi="IRNazanin" w:eastAsia="IRNazanin"/>
          <w:color w:val="111111"/>
          <w:sz w:val="28"/>
          <w:sz w:val="28"/>
          <w:szCs w:val="28"/>
          <w:rtl w:val="true"/>
          <w:lang w:bidi="fa-IR"/>
        </w:rPr>
        <w:t>ثمّ إنّ للعموم أقساماً من الاستغراقی و المجموعی و البدلی، و المراد بالأوّل هو الشمول لجمیع الأفراد بلا لحاظ الوحدة بینهما، و بالثانی هو جمیعها مع ملاحظة کونها شیئاً واحداً، و بالثالث هو الشمول بحیث یکتفی بواحد منها فی مقام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الظاهر 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نظائرها تدلّ علی العموم الاستغراقی، و لعلّ کلمة المجموع دالّة علی المجموعی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الظاهر أیضاً 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نظائرها تدلّ علی البدلی</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یخفی أنّ هذه الأقسام الثلاثة ثابتة للموضوع مع قطع النظر عن تعلّق الحکم به، کما یشهد بمراجعة العرف، فإنّه لو سمع أحد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لا یفهم منه إلاّ العموم الاستغراقی و لو لم یعلم حکم ذلک الموضوع فضلاً عن کیفیّة تعلّقه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ذکره صاحب الکفایة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تبعه بعض من أجلّاء تلامذته </w:t>
      </w:r>
      <w:r>
        <w:rPr>
          <w:rStyle w:val="FootnoteAnchor"/>
          <w:rtl w:val="true"/>
        </w:rPr>
        <w:footnoteReference w:id="1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هذه الأقسام إنّما هی بلحاظ کیفیّة تعلّق الأحکام، و إلّا فالعموم فی الجمیع بمعنی واحد و هو الشمول، ممّا لا یصحّ أصلاً؛ فإنّ الجمع بین ذلک و بین کون کلّ واحد منها مدلولاً علیه بلفظ غیر ما یدلّ علی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اعترف فی حاشیة الکفایة </w:t>
      </w:r>
      <w:r>
        <w:rPr>
          <w:rStyle w:val="FootnoteAnchor"/>
          <w:rtl w:val="true"/>
        </w:rPr>
        <w:footnoteReference w:id="1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مستبعد جدّاً؛ فإنّ دلالة الألفاظ علی ما وُضعت بإزائها لا یرتبط بباب تعلّق الأحکام أصلاً، کما هو واضح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هذا التقسیم لا یجری فی باب الإطلاق أصلاً؛ ضرورة أنّ معنی الإطلاق هو مجرّد کون المذکور تمام الموضوع لحکمه المجعول بلا مدخلیّة لشیء آخر، 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جئنی برجل، لا یفید إلاّ مجرّد کون الغرض مترتّباً علی مجیء الرجل، و أمّا شموله لجمیع ما یصدق علیه و التخییر بینه فهو حکم عقلی مترتّب علی تعلّق الحکم بنفس الطبیعة، لا أنّه یستفاد من الکلام هذا النحو من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الدلیل علی ذلک أنّه لو کان المستفاد من الکلام الإطلاق الذی یسمّونه بالإطلاق البدلی، لکان قوله بعد هذا الکلام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تأکیداً لاستفادة مضمونه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جئنی برجل، مع أنّه لیس کذلک بداهة، بل إنّما هو تصریح بما یحکم به العقل بعد تعلّق الحکم بنفس الطبیعة من التخییر بین أفرادها</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یتوهّم أنّه تصریح بالإطلاق؛ فإنّ معنی التصریح به هو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تمام الموضوع الحکمی هو الرجل مثلاً من دون قید لا أن نقول بما یحکم به العقل بعد استفادة الإطلاق، فتدبّر</w:t>
      </w:r>
      <w:r>
        <w:rPr>
          <w:rFonts w:eastAsia="IRNazanin" w:cs="IRNazanin"/>
          <w:color w:val="111111"/>
          <w:sz w:val="28"/>
          <w:szCs w:val="28"/>
          <w:rtl w:val="true"/>
          <w:lang w:bidi="fa-IR"/>
        </w:rPr>
        <w:t>.</w:t>
      </w:r>
      <w:bookmarkStart w:id="468" w:name="pg11586_104853"/>
    </w:p>
    <w:p>
      <w:pPr>
        <w:pStyle w:val="Heading4"/>
        <w:numPr>
          <w:ilvl w:val="3"/>
          <w:numId w:val="1"/>
        </w:numPr>
        <w:rPr/>
      </w:pPr>
      <w:bookmarkStart w:id="469" w:name="__RefHeading___Toc5145955_73709187"/>
      <w:bookmarkStart w:id="470" w:name="_Toc177"/>
      <w:bookmarkEnd w:id="468"/>
      <w:bookmarkEnd w:id="469"/>
      <w:r>
        <w:rPr>
          <w:rtl w:val="true"/>
        </w:rPr>
        <w:t>الأمر الخامس</w:t>
      </w:r>
      <w:r>
        <w:rPr>
          <w:rtl w:val="true"/>
        </w:rPr>
        <w:t xml:space="preserve">: </w:t>
      </w:r>
      <w:r>
        <w:rPr>
          <w:rtl w:val="true"/>
        </w:rPr>
        <w:t>فیما عدّ من الألفاظ الدالّة علی العموم</w:t>
      </w:r>
      <w:bookmarkEnd w:id="470"/>
    </w:p>
    <w:p>
      <w:pPr>
        <w:pStyle w:val="BookText"/>
        <w:rPr/>
      </w:pPr>
      <w:r>
        <w:rPr>
          <w:rFonts w:ascii="IRNazanin" w:hAnsi="IRNazanin" w:eastAsia="IRNazanin"/>
          <w:color w:val="111111"/>
          <w:sz w:val="28"/>
          <w:sz w:val="28"/>
          <w:szCs w:val="28"/>
          <w:rtl w:val="true"/>
          <w:lang w:bidi="fa-IR"/>
        </w:rPr>
        <w:t>قد عدّ من الألفاظ الدالّة علی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النکرة فی سیاق النفی، أو النهی، و کذا اسم الجنس الواقع فی سیاق أحدهما، بتقریب أنّه لا تکاد تکون الطبیعة معدومة إلاّ إذا کانت معدومةً بجمیع أفرادها، و إلّا فهی موجودة، و ظاهره تسلیم أنّه لا یدلّ علی العموم لفظاً، و هو کذلک، ضرورة 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رجل فی الدار، لا یکون شیء من ألفاظه دالاًّ علی العموم، فإنّ کلمة النفی موضوعة لنفی مدخوله، و رجل یدلّ علی نفس الطبیعة، و تنوینه المسمّی بتنوین التنکیر یدلّ علی تقیّد الطبیعة بالوحدة اللّابعینها، و توهّم ثبوت الوضع لمجموع الجملة ممّا لا ینبغی أن یصغی إلیه، فاللّفظ لا یدلّ علی العموم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دلالته علیه عقلاً فقد عرفت سابقاً من أنّ ما اشتهر بینهم من وجود الطبیعة بوجود فرد ما و انعدامها بانعدام جمیع الأفراد خلاف حکم العقل؛ فإنّ الطبیعة کما توجد بوجود فرد کذلک تنعدم بانعدام فرد ما، و لا ینافی انعدامها وجودها بوجود فرد آخر، و لا یلزم التناقض؛ لأنّها متکثّرة حسب تکثّر الأفراد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هو مقتضی حکم العرف لا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لکن لا یخفی أنّ دلالته علیه مبنیة علی کونها مأخوذةً بنحو الإرسال، و أمّا إذا اخذت مبهمةً قابلة للتقیید، فلا یستفاد منه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تعرف أنّ عدّ النکرة الکذائیة من جملة ألفاظ العموم ممّا لا یصحّ، بل غایته الدلالة علی الإطلاق بعد جریان مقدّمات الحکمة فی مدخول النفی و ضمّ حکم العرف، کما لا یخفی</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هکذا الحال فی المفرد المعرّف باللاّم، فإنّ توهّم دلالته علی العموم وضعاً مندفع بوضوح الفرق بین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اللّهُ الْبَیْعَ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 اللّه کلّ</w:t>
      </w:r>
    </w:p>
    <w:p>
      <w:pPr>
        <w:pStyle w:val="BookText"/>
        <w:rPr/>
      </w:pPr>
      <w:r>
        <w:rPr>
          <w:rFonts w:ascii="IRNazanin" w:hAnsi="IRNazanin" w:eastAsia="IRNazanin"/>
          <w:color w:val="111111"/>
          <w:sz w:val="28"/>
          <w:sz w:val="28"/>
          <w:szCs w:val="28"/>
          <w:rtl w:val="true"/>
          <w:lang w:bidi="fa-IR"/>
        </w:rPr>
        <w:t>بیع، بل لا یدلّ إلاّ علی الإطلاق بعد جریان المقدّمات، فهو أیضاً لا یکون من الألفاظ الدالّة علی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الجمع المحلّی باللاّم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أنّ دلالته علی العموم بحسب الوضع ممّا لا إشکال فیه، إلاّ أنّ الکلام فی کون مدلوله هل هو العموم الاستغراقی أو المجموعی؟ قد یقال بالثانی؛ نظراً إلی أنّ مدخول اللّام هو الجمع، و هو لا ینطبق علی کلّ فرد فرد بل علی جماعة جماعة من الثلاثة فما فوق و غایة ما یستفاد من اللّام هو أقصی مراتب الجمع مع حفظ معنی الجمعیة</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لکن لا یخفی أنّ الجمع کعلماء مثلاً لا یدلّ علی کون أفراد العالم ملحوظاً بنحو الاجتماع، فالألف و اللّام التی یرد علیه لا یقتضی إلاّ استغراق أفراد العالم بلا ملاحظة الوحدة بینهما أصلاً، و من هنا تعرف أنّ ما أجاب به المحقّق النائینی علی ما فی التقریرات لا یتمّ أصلاً، فراجع</w:t>
      </w:r>
      <w:r>
        <w:rPr>
          <w:rFonts w:eastAsia="IRNazanin" w:cs="IRNazanin"/>
          <w:color w:val="111111"/>
          <w:sz w:val="28"/>
          <w:szCs w:val="28"/>
          <w:rtl w:val="true"/>
          <w:lang w:bidi="fa-IR"/>
        </w:rPr>
        <w:t>.</w:t>
      </w:r>
      <w:bookmarkStart w:id="471" w:name="pg11586_104855"/>
    </w:p>
    <w:p>
      <w:pPr>
        <w:pStyle w:val="BookText"/>
        <w:rPr/>
      </w:pPr>
      <w:bookmarkEnd w:id="471"/>
      <w:r>
        <w:rPr>
          <w:rFonts w:ascii="Amiri" w:hAnsi="Amiri" w:eastAsia="Amiri" w:cs="Amiri"/>
          <w:color w:val="111111"/>
          <w:sz w:val="28"/>
          <w:sz w:val="28"/>
          <w:szCs w:val="28"/>
          <w:rtl w:val="true"/>
          <w:lang w:bidi="ar-SA"/>
        </w:rPr>
        <w:t>حجّیة العامّ المخصّص فی الباقی</w:t>
      </w:r>
    </w:p>
    <w:p>
      <w:pPr>
        <w:pStyle w:val="Heading3"/>
        <w:numPr>
          <w:ilvl w:val="2"/>
          <w:numId w:val="1"/>
        </w:numPr>
        <w:rPr/>
      </w:pPr>
      <w:bookmarkStart w:id="472" w:name="__RefHeading___Toc5145957_73709187"/>
      <w:bookmarkStart w:id="473" w:name="_Toc178"/>
      <w:bookmarkEnd w:id="472"/>
      <w:r>
        <w:rPr>
          <w:rtl w:val="true"/>
        </w:rPr>
        <w:t>الفصل الأوّل فی حجّیة العامّ المخصّص فی الباقی</w:t>
      </w:r>
      <w:bookmarkEnd w:id="473"/>
    </w:p>
    <w:p>
      <w:pPr>
        <w:pStyle w:val="Heading4"/>
        <w:numPr>
          <w:ilvl w:val="3"/>
          <w:numId w:val="1"/>
        </w:numPr>
        <w:rPr/>
      </w:pPr>
      <w:bookmarkStart w:id="474" w:name="__RefHeading___Toc5145959_73709187"/>
      <w:bookmarkStart w:id="475" w:name="_Toc179"/>
      <w:bookmarkEnd w:id="474"/>
      <w:r>
        <w:rPr>
          <w:rtl w:val="true"/>
        </w:rPr>
        <w:t>اشارة</w:t>
      </w:r>
      <w:bookmarkEnd w:id="475"/>
    </w:p>
    <w:p>
      <w:pPr>
        <w:pStyle w:val="BookText"/>
        <w:rPr/>
      </w:pPr>
      <w:r>
        <w:rPr>
          <w:rFonts w:ascii="IRNazanin" w:hAnsi="IRNazanin" w:eastAsia="IRNazanin"/>
          <w:color w:val="111111"/>
          <w:sz w:val="28"/>
          <w:sz w:val="28"/>
          <w:szCs w:val="28"/>
          <w:rtl w:val="true"/>
          <w:lang w:bidi="fa-IR"/>
        </w:rPr>
        <w:t>هل العامّ المخصّص حجّة فیما بقی مطلقاً، أو لیس بحجّة کذلک، أو یفصّل بین المخصّص المتّصل و المنفصل بالحجّیة فی الأوّل دون الثانی؟</w:t>
      </w:r>
    </w:p>
    <w:p>
      <w:pPr>
        <w:pStyle w:val="Heading4"/>
        <w:numPr>
          <w:ilvl w:val="3"/>
          <w:numId w:val="1"/>
        </w:numPr>
        <w:rPr/>
      </w:pPr>
      <w:bookmarkStart w:id="476" w:name="__RefHeading___Toc5145961_73709187"/>
      <w:bookmarkStart w:id="477" w:name="_Toc180"/>
      <w:bookmarkEnd w:id="476"/>
      <w:r>
        <w:rPr>
          <w:rtl w:val="true"/>
        </w:rPr>
        <w:t>حول مجازیّة العامّ المخصّص و عدمها</w:t>
      </w:r>
      <w:bookmarkEnd w:id="477"/>
    </w:p>
    <w:p>
      <w:pPr>
        <w:pStyle w:val="BookText"/>
        <w:rPr/>
      </w:pPr>
      <w:r>
        <w:rPr>
          <w:rFonts w:ascii="IRNazanin" w:hAnsi="IRNazanin" w:eastAsia="IRNazanin"/>
          <w:color w:val="111111"/>
          <w:sz w:val="28"/>
          <w:sz w:val="28"/>
          <w:szCs w:val="28"/>
          <w:rtl w:val="true"/>
          <w:lang w:bidi="fa-IR"/>
        </w:rPr>
        <w:t>و العمدة فی مبنی المسألة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التخصیص یوجب المجازیة فی العامّ أو لا؟</w:t>
      </w:r>
    </w:p>
    <w:p>
      <w:pPr>
        <w:pStyle w:val="BookText"/>
        <w:rPr/>
      </w:pPr>
      <w:r>
        <w:rPr>
          <w:rFonts w:ascii="IRNazanin" w:hAnsi="IRNazanin" w:eastAsia="IRNazanin"/>
          <w:color w:val="111111"/>
          <w:sz w:val="28"/>
          <w:sz w:val="28"/>
          <w:szCs w:val="28"/>
          <w:rtl w:val="true"/>
          <w:lang w:bidi="fa-IR"/>
        </w:rPr>
        <w:t>و التحقیق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المجاز لیس عبارةً عن استعمال اللّفظ فی غیر ما وُضع له، کما اشتهر بینهم، بل إنّما هو عبارة عن استعمال اللّفظ فی نفس الموضوع له کالحقیقة بدعوی أنّ ذلک المعنی المقصود هو من مصادیق المعنی الموضوع له، و هذه هی الفارق بین الحقیقة و المجاز، فإنّ استعمال اللّفظ فی معناه فی الأوّل لا یحتاج إلی ادّعاء أصلاً، بخلاف المجاز</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المقصود فی المقامین هو نفس المعنی الموضوع له، غایة</w:t>
      </w:r>
    </w:p>
    <w:p>
      <w:pPr>
        <w:pStyle w:val="BookText"/>
        <w:rPr/>
      </w:pPr>
      <w:r>
        <w:rPr>
          <w:rFonts w:ascii="IRNazanin" w:hAnsi="IRNazanin" w:eastAsia="IRNazanin"/>
          <w:color w:val="111111"/>
          <w:sz w:val="28"/>
          <w:sz w:val="28"/>
          <w:szCs w:val="28"/>
          <w:rtl w:val="true"/>
          <w:lang w:bidi="fa-IR"/>
        </w:rPr>
        <w:t>الأمر أنّه ادّعی المتکلّم تطبیقه علی ما لیس مصداقاً له فی الواقع فی المجاز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السرّ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لم یکن هذا الادّعاء فی البین بل کان المجاز عبارة عن مجرّد استعمال اللّفظ الموضوع للأسد مثلاً فی زید من دون ادّعاء أنّه من أفراد الأسد حقیقةً، لم یکن للاستعمال المجازی حسن أصلاً، فأیّ حسن فی مجرّد تغییر اللّفظ و تبدیله بلفظ آخر؟ کما هو واضح لا یخفی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هذا لا فرق فیه بین المجاز المرسل و الاستعارة، فإنّ استعمال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أهلها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سْئَلِ الْقَرْیَةَ</w:t>
      </w:r>
      <w:r>
        <w:rPr>
          <w:rFonts w:eastAsia="Amiri" w:cs="Amiri" w:ascii="Amiri" w:hAnsi="Amiri"/>
          <w:color w:val="111111"/>
          <w:sz w:val="28"/>
          <w:szCs w:val="28"/>
          <w:rtl w:val="true"/>
          <w:lang w:bidi="ar-SA"/>
        </w:rPr>
        <w:t xml:space="preserve">» </w:t>
      </w:r>
      <w:r>
        <w:rPr>
          <w:rStyle w:val="FootnoteAnchor"/>
          <w:rtl w:val="true"/>
        </w:rPr>
        <w:footnoteReference w:id="190"/>
      </w:r>
      <w:r>
        <w:rPr>
          <w:rFonts w:ascii="IRNazanin" w:hAnsi="IRNazanin" w:eastAsia="IRNazanin"/>
          <w:color w:val="111111"/>
          <w:sz w:val="28"/>
          <w:sz w:val="28"/>
          <w:szCs w:val="28"/>
          <w:rtl w:val="true"/>
          <w:lang w:bidi="fa-IR"/>
        </w:rPr>
        <w:t>لا یکون محسناً إلاّ إذا کان المقصود کون القریة کأهلها شاهدةً علی المطلب و عالمة بها بحیث صار من شدّة الوضوح معلوماً عند نفس القریة أیضاً، و التأمّل فی جمیع الاستعمالات المجازیة یرشدنا إلی 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معنی المجاز، یظهر لک أنّ تخصیص العامّ فی أکثر العمومات المتداولة الشائعة لا یستلزم المجازیة فی العامّ أصلاً؛ إذ لیس المقصود فیها ادّعاء کون ما عدا مورد المخصّص هو نفس العامّ بحیث کأنّه لم یکن المخصّص من أفراد العامّ أصلاً، فإنّ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Style w:val="FootnoteAnchor"/>
          <w:rtl w:val="true"/>
        </w:rPr>
        <w:footnoteReference w:id="191"/>
      </w:r>
      <w:r>
        <w:rPr>
          <w:rFonts w:ascii="IRNazanin" w:hAnsi="IRNazanin" w:eastAsia="IRNazanin"/>
          <w:color w:val="111111"/>
          <w:sz w:val="28"/>
          <w:sz w:val="28"/>
          <w:szCs w:val="28"/>
          <w:rtl w:val="true"/>
          <w:lang w:bidi="fa-IR"/>
        </w:rPr>
        <w:t xml:space="preserve">لا یتضمّن ادّعاء أنّ العقود الفاسدة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کالربا و نظائره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تکون عقداً حقیقة، بل العقد إنّما ینحصر فی العقود النافذة الماضیة فی الشریعة، فباب العموم و الخصوص لیس له کثیر ربط بالمجاز بالمعنی المتقدّم</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یبقی الکلام فی الجمع بین العموم الظاهر فی شمول الحکم لجمیع</w:t>
      </w:r>
    </w:p>
    <w:p>
      <w:pPr>
        <w:pStyle w:val="BookText"/>
        <w:rPr/>
      </w:pPr>
      <w:r>
        <w:rPr>
          <w:rFonts w:ascii="IRNazanin" w:hAnsi="IRNazanin" w:eastAsia="IRNazanin"/>
          <w:color w:val="111111"/>
          <w:sz w:val="28"/>
          <w:sz w:val="28"/>
          <w:szCs w:val="28"/>
          <w:rtl w:val="true"/>
          <w:lang w:bidi="fa-IR"/>
        </w:rPr>
        <w:t>الأفراد و بین الخصوص الظاهر فی عدم کون مورده مقصوداً من أوّل الأمر؛ إذ لیس التخصیص کالنسخ،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فیه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النحو الذی یرجع إلی إلقاء القاعدة الکلیة أوّلاً ثمّ بیان المستثنیات شائع بین العقلاء المقنّنین للقوانین العرفیة و الجاعلین للقواعد التی یتوقّف النظام علیها، فإنّ التأمّل فیها یرشد إلی أنّ دأبهم فی ذلک هو جعل الحکم الکلّی أوّلاً ثمّ إخراج بعض المصادیق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بدّ فی مقام الجمع بینهما من أن یقال بأنّ البعث الکلّی المنشأ أوّلاً أو الزجر کذلک و إن کان بعثاً کلّیاً حقیقةً و زجراً کذلک إلاّ أنّه لا یکون المقصود منه الانبعاث أو الانزجار فی الجمیع، بل الانبعاث و الانزجار فی بعض الأفراد دون البعض الآخر، و الکاشف عن عدم کون البعث الکلّی لغرض الانبعاث فی الکلّ هو ورود التخصیص الدالّ علی عدم کون مورده مقصوداً من أوّل الأمر أصلاً، 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 العلماء، بعث إلی إکرام جمیع العلماء حقیقة إلاّ أنّ إخراج الفسّاق منهم یکشف عن أنّ البعث المتوجّه إلیهم أیضاً فی ضمن الجمیع لا یکون لغرض الانبعاث بل لغرض آخر، و الفائدة فی هذا النحو من جعل الحکم یظهر فی موارد الشکّ فی التخصیص، کما سیأتی</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ذکرنا هو الذی یرجع إلیه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التخصیص تخصیص فی الإرادة الجدّیة لا الاستعمالیة، فإنّ المراد بالإرادة الاستعمالیة هو أنّ ظاهر الاستعمال هو تعلّق البعث مثلاً بجمیع أفراد العلماء و إن کان فی الواقع لا یکون المقصود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تحقّق الانبعاث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بالنسبة إلی غیر الفاسق منهم، لا 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ارید منها الجمیع استعمالاً لا جدّاً حتّی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تقریر المحقّق النائینی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بأنّا لا نتصوّر للاستعمال إرادة مغایرة للإرادة الجدّیة، فهی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w:t>
      </w:r>
    </w:p>
    <w:p>
      <w:pPr>
        <w:pStyle w:val="BookText"/>
        <w:rPr/>
      </w:pPr>
      <w:r>
        <w:rPr>
          <w:rFonts w:ascii="Amiri" w:hAnsi="Amiri" w:eastAsia="Amiri" w:cs="Amiri"/>
          <w:color w:val="111111"/>
          <w:sz w:val="28"/>
          <w:sz w:val="28"/>
          <w:szCs w:val="28"/>
          <w:rtl w:val="true"/>
          <w:lang w:bidi="ar-SA"/>
        </w:rPr>
        <w:t>ارید معناها، فقد ارید جدّاً، و إلّا یکون هازلاً</w:t>
      </w:r>
      <w:r>
        <w:rPr>
          <w:rStyle w:val="FootnoteAnchor"/>
          <w:rtl w:val="true"/>
        </w:rPr>
        <w:footnoteReference w:id="192"/>
      </w:r>
      <w:r>
        <w:rPr>
          <w:rFonts w:ascii="IRNazanin" w:hAnsi="IRNazanin" w:eastAsia="IRNazanin"/>
          <w:color w:val="111111"/>
          <w:sz w:val="28"/>
          <w:sz w:val="28"/>
          <w:szCs w:val="28"/>
          <w:rtl w:val="true"/>
          <w:lang w:bidi="fa-IR"/>
        </w:rPr>
        <w:t>، و ذلک ینشأ من عدم الوصول إلی مرادهم فإنّک عرفت أنّ مرادهم من الإرادة الاستعمالیة هو أنّ تعلّق الحکم بجمیع الأفراد مدلول علیه بظاهر الاستعمال، و لکن تعلّقه فی الواقع إنّما هو ببعض الأفراد، فراجع کتاب الدّرر</w:t>
      </w:r>
      <w:r>
        <w:rPr>
          <w:rStyle w:val="FootnoteAnchor"/>
          <w:rtl w:val="true"/>
        </w:rPr>
        <w:footnoteReference w:id="193"/>
      </w:r>
      <w:r>
        <w:rPr>
          <w:rFonts w:ascii="IRNazanin" w:hAnsi="IRNazanin" w:eastAsia="IRNazanin"/>
          <w:color w:val="111111"/>
          <w:sz w:val="28"/>
          <w:sz w:val="28"/>
          <w:szCs w:val="28"/>
          <w:rtl w:val="true"/>
          <w:lang w:bidi="fa-IR"/>
        </w:rPr>
        <w:t>تجده مصرّحاً بما ذکرنا فی بیان مرادهم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فقد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التخصیص یکشف عن عدم تعلّق البعث لغرض الانبعاث، و الزجر لغرض الانزجار بمورد المخصّص، فلا دلیل علی رفع الید عن حجّیته بالنسبة إلی الباقی بعد ظهور الکلام و عدم معارض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فی التقریرات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الإشکال بعدم تصوّر الإرادة الاستعمالیة المغایرة للإرادة الجدّیة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أجاب بأنّ التخصیص لا یوجب المجازیة لا فی الأداة و لا فی المدخول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الأداة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فلأنّها لم توضع إلاّ للدلالة علی استیعاب ما ینطبق علیه المدخول، و هذا لا یتفاوت الحال فیها بین سعة دائرة المدخول أو ضیقها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المدخول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 لم یوضع إلاّ للطبیعة المهملة المعرّاة عن جمیع القیود، فالعالم مثلاً لیس معناه إلاّ من انکشف لدیه الشیء من دون دخل العدالة و غیرها فیه أصلاً، فلو قیّد العالم بالعادل مثلاً لم یستلزم ذلک مجازاً فی لفظ العالم أصلاً؛ لأنّه لم یستعمل إلاّ فی معناه، و خصوصیّة العدالة إنّما استفیدت من دالّ آخر، و هذا لا فرق فیه بین اتّصال القید و انفصاله و عدم ذکر القید أصلاً</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عدم لزوم المجاز فی الأداة فهو مسلّم، و کذا فی المدخول فیما إذا</w:t>
      </w:r>
    </w:p>
    <w:p>
      <w:pPr>
        <w:pStyle w:val="BookText"/>
        <w:rPr/>
      </w:pPr>
      <w:r>
        <w:rPr>
          <w:rFonts w:ascii="IRNazanin" w:hAnsi="IRNazanin" w:eastAsia="IRNazanin"/>
          <w:color w:val="111111"/>
          <w:sz w:val="28"/>
          <w:sz w:val="28"/>
          <w:szCs w:val="28"/>
          <w:rtl w:val="true"/>
          <w:lang w:bidi="fa-IR"/>
        </w:rPr>
        <w:t>کان المخصّص متّصلاً، و أمّا فی المخصّص المنفصل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الذی ارید بالعالم قبل ورود التخصیص علیه؟ فإن ارید الجمیع من غیر اختصاص بالعادل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ظاهر اللّفظ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ینافی إخراج الفسّاق بعده، و إن ارید خصوص العادل، فإن استعمل لفظ العالم فی خصوص العادل منه، فهو لو لم نقل بکونه غلطاً فلا محالة یکون مجازاً، و إن لم یستعمل فیه فهو هازل، کما صرّح به فی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فالإنصاف أنّه لا مفرّ من الإرادة الاستعمالیة بالمعنی الذی ذکرنا، و عدم لزوم المجاز؛ لما عرفت من عدم ارتباط المقام بباب المجازات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ما ذکره بعض المحقّقین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محشّی الکفایة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الإنشاء الواحد لو کان بعثاً حقیقیّاً بالإضافة إلی البعض دون البعض الآخر مع کونه متعلّقاً به فی مرحلة الإنشاء یلزم صدور الواحد عن داعیین بلا جهة جامعة تکون هو الداعی</w:t>
      </w:r>
      <w:r>
        <w:rPr>
          <w:rStyle w:val="FootnoteAnchor"/>
          <w:rtl w:val="true"/>
        </w:rPr>
        <w:footnoteReference w:id="195"/>
      </w:r>
      <w:r>
        <w:rPr>
          <w:rFonts w:ascii="IRNazanin" w:hAnsi="IRNazanin" w:eastAsia="IRNazanin"/>
          <w:color w:val="111111"/>
          <w:sz w:val="28"/>
          <w:sz w:val="28"/>
          <w:szCs w:val="28"/>
          <w:rtl w:val="true"/>
          <w:lang w:bidi="fa-IR"/>
        </w:rPr>
        <w:t>،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الداعی فی أمثال المقام لیس راجعاً إلی ما یصدر منه الفعل حتّی یقال بأنّ الواحد لا یصدر إلاّ من واحد، و الدلیل علی ذلک ما نراه بالوجدان من اجتماع الدواعی المختلفة علی بعض الأفعال الصادرة منّا، و لا استحالة فیه أصلاً، کما هو واضح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المحکی عن المقالات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ذکر فی وجه حجّیة العامّ فی الباقی أنّ الکثرة و الشمول الذی هو معنی العامّ یسری إلی لفظه، فکأنّه أیضاً کثیر، فسقوط بعض الألفاظ عن الحجّیة لا یستلزم سقوط الباقی</w:t>
      </w:r>
      <w:r>
        <w:rPr>
          <w:rStyle w:val="FootnoteAnchor"/>
          <w:rtl w:val="true"/>
        </w:rPr>
        <w:footnoteReference w:id="196"/>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یقرب هذا ممّا ذکره الشیخ فی التقریرات فی وجه الحجّیة بعد تسلیم</w:t>
      </w:r>
    </w:p>
    <w:p>
      <w:pPr>
        <w:pStyle w:val="BookText"/>
        <w:rPr/>
      </w:pPr>
      <w:r>
        <w:rPr>
          <w:rFonts w:ascii="IRNazanin" w:hAnsi="IRNazanin" w:eastAsia="IRNazanin"/>
          <w:color w:val="111111"/>
          <w:sz w:val="28"/>
          <w:sz w:val="28"/>
          <w:szCs w:val="28"/>
          <w:rtl w:val="true"/>
          <w:lang w:bidi="fa-IR"/>
        </w:rPr>
        <w:t>المجازیة</w:t>
      </w:r>
      <w:r>
        <w:rPr>
          <w:rStyle w:val="FootnoteAnchor"/>
          <w:rtl w:val="true"/>
        </w:rPr>
        <w:footnoteReference w:id="197"/>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یخفی أنّ هذا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بالشعر أشبه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سرایة الکثرة إلی اللّفظ ممّا لا معنی لها أصلاً، نظیر القول بسرایة الحسن و القبح إلی الألفاظ، فإنّ من الواضح أنّ اللّفظ من حیث هو لا یکون حسناً و لا قبیحاً، و لذا لو القی علی الجاهل بمعناه لم یتوجّه إلی شیء منهما، کما لا یخفی</w:t>
      </w:r>
      <w:r>
        <w:rPr>
          <w:rFonts w:eastAsia="IRNazanin" w:cs="IRNazanin"/>
          <w:color w:val="111111"/>
          <w:sz w:val="28"/>
          <w:szCs w:val="28"/>
          <w:rtl w:val="true"/>
          <w:lang w:bidi="fa-IR"/>
        </w:rPr>
        <w:t>.</w:t>
      </w:r>
      <w:bookmarkStart w:id="478" w:name="pg11586_104861"/>
    </w:p>
    <w:p>
      <w:pPr>
        <w:pStyle w:val="BookText"/>
        <w:rPr/>
      </w:pPr>
      <w:bookmarkEnd w:id="478"/>
      <w:r>
        <w:rPr>
          <w:rFonts w:ascii="IRNazanin" w:hAnsi="IRNazanin" w:eastAsia="IRNazanin"/>
          <w:color w:val="111111"/>
          <w:sz w:val="28"/>
          <w:sz w:val="28"/>
          <w:szCs w:val="28"/>
          <w:rtl w:val="true"/>
          <w:lang w:bidi="fa-IR"/>
        </w:rPr>
        <w:t>تخصیص العامّ بالمجمل</w:t>
      </w:r>
    </w:p>
    <w:p>
      <w:pPr>
        <w:pStyle w:val="Heading3"/>
        <w:numPr>
          <w:ilvl w:val="2"/>
          <w:numId w:val="1"/>
        </w:numPr>
        <w:rPr/>
      </w:pPr>
      <w:bookmarkStart w:id="479" w:name="__RefHeading___Toc5145963_73709187"/>
      <w:bookmarkStart w:id="480" w:name="_Toc181"/>
      <w:bookmarkEnd w:id="479"/>
      <w:r>
        <w:rPr>
          <w:rtl w:val="true"/>
        </w:rPr>
        <w:t>الفصل الثانی فی تخصیص العامّ بالمجمل</w:t>
      </w:r>
      <w:bookmarkEnd w:id="480"/>
    </w:p>
    <w:p>
      <w:pPr>
        <w:pStyle w:val="Heading4"/>
        <w:numPr>
          <w:ilvl w:val="3"/>
          <w:numId w:val="1"/>
        </w:numPr>
        <w:rPr/>
      </w:pPr>
      <w:bookmarkStart w:id="481" w:name="__RefHeading___Toc5145965_73709187"/>
      <w:bookmarkStart w:id="482" w:name="_Toc182"/>
      <w:bookmarkEnd w:id="481"/>
      <w:r>
        <w:rPr>
          <w:rtl w:val="true"/>
        </w:rPr>
        <w:t>اشارة</w:t>
      </w:r>
      <w:bookmarkEnd w:id="482"/>
    </w:p>
    <w:p>
      <w:pPr>
        <w:pStyle w:val="BookText"/>
        <w:rPr/>
      </w:pPr>
      <w:r>
        <w:rPr>
          <w:rFonts w:ascii="IRNazanin" w:hAnsi="IRNazanin" w:eastAsia="IRNazanin"/>
          <w:color w:val="111111"/>
          <w:sz w:val="28"/>
          <w:sz w:val="28"/>
          <w:szCs w:val="28"/>
          <w:rtl w:val="true"/>
          <w:lang w:bidi="fa-IR"/>
        </w:rPr>
        <w:t>نبحث فی هذا المقام فی جهتین</w:t>
      </w:r>
      <w:r>
        <w:rPr>
          <w:rFonts w:eastAsia="IRNazanin" w:cs="IRNazanin"/>
          <w:color w:val="111111"/>
          <w:sz w:val="28"/>
          <w:szCs w:val="28"/>
          <w:rtl w:val="true"/>
          <w:lang w:bidi="fa-IR"/>
        </w:rPr>
        <w:t>:</w:t>
      </w:r>
    </w:p>
    <w:p>
      <w:pPr>
        <w:pStyle w:val="Heading4"/>
        <w:numPr>
          <w:ilvl w:val="3"/>
          <w:numId w:val="1"/>
        </w:numPr>
        <w:rPr/>
      </w:pPr>
      <w:bookmarkStart w:id="483" w:name="__RefHeading___Toc5145967_73709187"/>
      <w:bookmarkStart w:id="484" w:name="_Toc183"/>
      <w:bookmarkEnd w:id="483"/>
      <w:r>
        <w:rPr>
          <w:rtl w:val="true"/>
        </w:rPr>
        <w:t>الجهة الاُولی</w:t>
      </w:r>
      <w:r>
        <w:rPr>
          <w:rtl w:val="true"/>
        </w:rPr>
        <w:t xml:space="preserve">: </w:t>
      </w:r>
      <w:r>
        <w:rPr>
          <w:rtl w:val="true"/>
        </w:rPr>
        <w:t>المخصّص اللفظی المجمل مفهوماً</w:t>
      </w:r>
      <w:bookmarkEnd w:id="484"/>
    </w:p>
    <w:p>
      <w:pPr>
        <w:pStyle w:val="BookText"/>
        <w:rPr/>
      </w:pPr>
      <w:r>
        <w:rPr>
          <w:rFonts w:ascii="IRNazanin" w:hAnsi="IRNazanin" w:eastAsia="IRNazanin"/>
          <w:color w:val="111111"/>
          <w:sz w:val="28"/>
          <w:sz w:val="28"/>
          <w:szCs w:val="28"/>
          <w:rtl w:val="true"/>
          <w:lang w:bidi="fa-IR"/>
        </w:rPr>
        <w:t>إذا کان الخاصّ مجملاً بحسب المفهوم، فتارة یکون مُردّداً بین الأقلّ و الأکثر، و اخری بین المتباینین، و علی التقدیرین إمّا أن یکون متّصلاً بالعامّ، و إمّا أن یکون منفصلاً عنه، فالصور أربع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 الخاصّ مردّداً بین الأقلّ و الأکثر و کان متّصلاً بالعامّ، کقوله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 العلماء إلاّ الفسّاق منهم، أو أکرم العلماء العدول، و تردّد الفاسق بین الاختصاص بمرتکب الکبیرة أو الشمول لمرتکب الصغیرة أیضاً</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شبهة فی هذه الصورة فی عدم جواز الرجوع إلی العامّ بالنسبة إلی المورد المشکوک، و هو خصوص مرتکب الصغیرة فقط، و ذلک لأنّ الخاصّ المتّصل بالکلام یصیر مانعاً من انعقاد ظهور للعامّ فی العموم حتّی یقال بأنّ القدر المتیقّن من الدلیل المجمل المزاحم الأقوی هو خصوص مرتکب الکبیرة،</w:t>
      </w:r>
    </w:p>
    <w:p>
      <w:pPr>
        <w:pStyle w:val="BookText"/>
        <w:rPr/>
      </w:pPr>
      <w:r>
        <w:rPr>
          <w:rFonts w:ascii="IRNazanin" w:hAnsi="IRNazanin" w:eastAsia="IRNazanin"/>
          <w:color w:val="111111"/>
          <w:sz w:val="28"/>
          <w:sz w:val="28"/>
          <w:szCs w:val="28"/>
          <w:rtl w:val="true"/>
          <w:lang w:bidi="fa-IR"/>
        </w:rPr>
        <w:t>فأصالة العموم بالنسبة إلی غیره محکّمة، بل الکلام ما دام لم یتمّ لا یتّبع ظهوره أصلاً، بل الظهور الذی یجب اتّباعه عند العقلاء هو الظهور الحاصل للکلام بملاحظة جمیع قیوده و خصوصیاته، فإذا فرض أنّ موضوع الحکم المجعول هو العالم غیر الفاسق فلا بدّ من إحراز هذا العنوان الذی هو بمنزلة الصغری فی تطبیق الکبری علیه، و هذا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الصورة مع کون الخاصّ منفصلاً عن العامّ، ربّما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أکثر الکتب الاُصولیة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بجواز الرجوع إلی العامّ فی هذه الصورة بالنسبة إلی المورد المشکوک دخوله فی الخاصّ؛ لإجماله مفهوماً؛ نظراً إلی أنّ العامّ قبل ورود التخصیص علیه انعقد له ظهور فی العموم، و من الواضح أنّه لا یرفع الید عن هذا الظهور إلاّ بسبب حجّة أقوی منه، و حجّیة الخاصّ إنّما هی بالنسبة إلی ما یعلم شموله له یقیناً؛ لما عرفت من أنّ إحراز الصغری شرط فی تطبیق الکبری علیه، 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تکرم الفسّاق من العلماء، لا یکون حجّةً إلاّ بالنسبة إلی خصوص مرتکب الکبیرة، فبالنسبة إلی المورد المشکوک لم یقم حجّة أقوی علی خلاف العامّ الذی انعقد له ظهور فی العموم، فالواجب الرجوع إلیه، کما لا یخفی</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الدّرر تنظّر فی ذلک و قال بإمکان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بعد ما صارت عادة المتکلّم جاریةً علی ذکر التخصیص منفصلاً عن کلامه، فحال المنفصل فی کلامه حال المتّصل فی کلام غیره، فکما أنّه یحتاج فی التمسّک بعموم کلام سائر المتکلّمین إلی إحراز عدم المخصّص المتّصل إمّا بالقطع أو بالأصل، کذلک یحتاج فی التمسّک بعموم کلام المتکلّم المفروض إلی إحراز عدم المخصّص المنفصل أیضاً کذلک، فإذا احتاج العمل بالعامّ إلی إحراز عدم التخصیص بالمنفصل، فاللازم الإجمال فیما نحن فیه؛ لعدم إحراز عدمه لا بالقطع و لا بالأصل، أمّا</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فواضح، 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مضی من أنّ جریانه مخصوص بمورد لم یوجد ما یصلح لأن یکون مخصّصاً، و المسألة محتاجة إلی التأمّل</w:t>
      </w:r>
      <w:r>
        <w:rPr>
          <w:rStyle w:val="FootnoteAnchor"/>
          <w:rtl w:val="true"/>
        </w:rPr>
        <w:footnoteReference w:id="1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لا یخفی أنّ جریان العادة علی ذکر التخصیص منفصلاً إنّما یجدی بالنسبة إلی عدم جواز التمسّک بالعامّ بمجرّد صدوره من المتکلّم، بل لا بدّ من الفحص و البحث عن المخصّص، و أمّا بالنسبة إلی عدم جواز الرجوع إلیه بعد العلم بالتخصیص فی المورد المشکوک انطباق المخصّص علیه فلا بعد انعقاد ظهور له فی العموم و عدم المزاحمة بالحجّة الأقوی فی المورد المشکوک کما بیّنّا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یشکل التمسّک به فی بعض المخصّصات الواردة بلسان التفسیر و الشرح بحیث یکون ظاهراً فی عدم جعل الحکم بنحو العموم الشامل لمورد التخصیص من الأوّل،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بعد الأمر بإکرام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أردت إکرام فسّاقهم، و نحو ذلک من التخصیصات التی تکون بلسان الحکومة و التفسیر العامّ الواقع قبلها</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 الخاصّ مردّداً بین المتباینین و کان منفصلاً، و الظاهر أنّه لا یجوز الرجوع إلی العامّ فی شیء من المحتملات؛ لأنّ العلم الإجمالی بخروج واحد منها مانع من جریان أصالة العموم؛ لأنّ جریانها بالنسبة إلی جمیع الأطراف مخالف للعلم الإجمالی و فی بعضها دون بعض ترجیح من غیر مرجّح، و حینئذٍ فلو کان مفاد الخاصّ حکماً تحریمیّاً و العامّ حکماً وجوبیاً، یدور الأمر بین المحذورین، و إن کان مفاده الجواز و نفی الوجوب، فاللّازم إکرام الجمیع؛ لتوقّف الامتثال الیقینی علیه</w:t>
      </w:r>
      <w:r>
        <w:rPr>
          <w:rFonts w:eastAsia="IRNazanin" w:cs="IRNazanin"/>
          <w:color w:val="111111"/>
          <w:sz w:val="28"/>
          <w:szCs w:val="28"/>
          <w:rtl w:val="true"/>
          <w:lang w:bidi="fa-IR"/>
        </w:rPr>
        <w:t>.</w:t>
      </w:r>
      <w:bookmarkStart w:id="485" w:name="pg11586_104864"/>
    </w:p>
    <w:p>
      <w:pPr>
        <w:pStyle w:val="BookText"/>
        <w:rPr/>
      </w:pPr>
      <w:bookmarkEnd w:id="485"/>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الصورة مع کون الخاصّ متّصلاً و یجری فیها حکم الصورة السابقة، کما هو واضح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کلّه فیما إذا کان الخاصّ مجملاً مفهوماً</w:t>
      </w:r>
      <w:r>
        <w:rPr>
          <w:rFonts w:eastAsia="Amiri" w:cs="Amiri" w:ascii="Amiri" w:hAnsi="Amiri"/>
          <w:color w:val="111111"/>
          <w:sz w:val="28"/>
          <w:szCs w:val="28"/>
          <w:rtl w:val="true"/>
          <w:lang w:bidi="ar-SA"/>
        </w:rPr>
        <w:t>.</w:t>
      </w:r>
    </w:p>
    <w:p>
      <w:pPr>
        <w:pStyle w:val="Heading4"/>
        <w:numPr>
          <w:ilvl w:val="3"/>
          <w:numId w:val="1"/>
        </w:numPr>
        <w:rPr/>
      </w:pPr>
      <w:bookmarkStart w:id="486" w:name="__RefHeading___Toc5145969_73709187"/>
      <w:bookmarkStart w:id="487" w:name="_Toc184"/>
      <w:bookmarkEnd w:id="486"/>
      <w:r>
        <w:rPr>
          <w:rtl w:val="true"/>
        </w:rPr>
        <w:t>الجهة الثانیة</w:t>
      </w:r>
      <w:r>
        <w:rPr>
          <w:rtl w:val="true"/>
        </w:rPr>
        <w:t xml:space="preserve">: </w:t>
      </w:r>
      <w:r>
        <w:rPr>
          <w:rtl w:val="true"/>
        </w:rPr>
        <w:t>المخصّص اللفظی المجمل مصداقاً</w:t>
      </w:r>
      <w:bookmarkEnd w:id="487"/>
    </w:p>
    <w:p>
      <w:pPr>
        <w:pStyle w:val="Heading5"/>
        <w:numPr>
          <w:ilvl w:val="4"/>
          <w:numId w:val="1"/>
        </w:numPr>
        <w:rPr/>
      </w:pPr>
      <w:bookmarkStart w:id="488" w:name="__RefHeading___Toc5145971_73709187"/>
      <w:bookmarkStart w:id="489" w:name="_Toc185"/>
      <w:bookmarkEnd w:id="488"/>
      <w:r>
        <w:rPr>
          <w:rtl w:val="true"/>
        </w:rPr>
        <w:t>اشارة</w:t>
      </w:r>
      <w:bookmarkEnd w:id="489"/>
    </w:p>
    <w:p>
      <w:pPr>
        <w:pStyle w:val="BookText"/>
        <w:rPr/>
      </w:pPr>
      <w:r>
        <w:rPr>
          <w:rFonts w:ascii="IRNazanin" w:hAnsi="IRNazanin" w:eastAsia="IRNazanin"/>
          <w:color w:val="111111"/>
          <w:sz w:val="28"/>
          <w:sz w:val="28"/>
          <w:szCs w:val="28"/>
          <w:rtl w:val="true"/>
          <w:lang w:bidi="fa-IR"/>
        </w:rPr>
        <w:t>و أمّا إذا کان مجملاً بحسب المصداق بأن اشتبه فرد و تردّد بین أن یکون مصداقاً للخاص أو باقیاً تحت العامّ للشبهة الخارجیة، فلا یجوز التمسّک بالعامّ، سواء کان الخاصّ متّصلاً أو منفصلاً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إذا کان المخصّص متّصلاً، فلوضوح أنّه لا ینعقد ظهوره حینئذٍ إلاّ فی غیر عنوان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یصیر الموضوع لوجوب الإکرام أمر واحد، و هو العالم غیر الفاسق، فالتمسّک بالعامّ حینئذٍ یصیر من قبیل التمسّک به فی الشبهة المصداقیة لنفس العامّ؛ إذ لا فرق حینئذٍ بین أن یتردّد أمر زید مثلاً بین أن یکون عالماً أو لا، و بین أن یتردّد أمره بعد العلم بکونه عالماً بین أن یکون فاسقاً أو لا، فکما لا یجوز التمسّک به فی الفرض الأوّل کذلک لا یجوز فی الفرض الثانی؛ لأنّ عنوان غیر الفاسق أیضاً یکون جزءاً للموضوع، و هذا واضح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إذا کان المخصّص منفصلاً، فالظاهر عدم جواز التمسّک بالعامّ أیضاً</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قبل الخوض فیه لا بدّ من بیان أنّ الکلام ممحّض فی خصوص العامّ و الخاصّ، و لا ارتباط له بباب المطلق و المقیّد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وقع من بعضهم من الخلط بینهما فی هذا المقام و نظائره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التقریرات المنسوبة إلی المحقّق النائینی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ورود التخصیص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تکرم الفسّاق من العلماء، بعد ورود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 العلماء، یدلّ علی أنّ الموضوع للحکم یکون مرکّباً من العالم و عنوان الغیر الفاسق، فکما لا یجوز التمسّک به فیما إذا شکّ فی الجزء الأوّل</w:t>
      </w:r>
      <w:bookmarkStart w:id="490" w:name="pg11586_104865"/>
    </w:p>
    <w:p>
      <w:pPr>
        <w:pStyle w:val="BookText"/>
        <w:rPr/>
      </w:pPr>
      <w:bookmarkEnd w:id="490"/>
      <w:r>
        <w:rPr>
          <w:rFonts w:ascii="IRNazanin" w:hAnsi="IRNazanin" w:eastAsia="IRNazanin"/>
          <w:color w:val="111111"/>
          <w:sz w:val="28"/>
          <w:sz w:val="28"/>
          <w:szCs w:val="28"/>
          <w:rtl w:val="true"/>
          <w:lang w:bidi="fa-IR"/>
        </w:rPr>
        <w:t>کذلک لا یجوز فیما إذا شکّ فی الجزء الآخر</w:t>
      </w:r>
      <w:r>
        <w:rPr>
          <w:rStyle w:val="FootnoteAnchor"/>
          <w:rtl w:val="true"/>
        </w:rPr>
        <w:footnoteReference w:id="199"/>
      </w:r>
      <w:r>
        <w:rPr>
          <w:rFonts w:ascii="IRNazanin" w:hAnsi="IRNazanin" w:eastAsia="IRNazanin"/>
          <w:color w:val="111111"/>
          <w:sz w:val="28"/>
          <w:sz w:val="28"/>
          <w:szCs w:val="28"/>
          <w:rtl w:val="true"/>
          <w:lang w:bidi="fa-IR"/>
        </w:rPr>
        <w:t>، ممّا لا یصحّ أصلاً؛ لأنّ التخصیص لیس کالتقیید فی تضییق دائرة الموضوع، فإنّ الموضوع فی المثال هو جمیع أفراد العالم بلا قید إلاّ أنّ التخصیص یکشف عن عدم تعلّق الإرادة الجدّیة بجمیع ما هو مراد استعمالاً، و قد عرفت أنّ المراد بالعامّ قبل ورود التخصیص و بعده هو جمیع الأفراد، و إلّا یلزم المجازیة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فالموضوع فی باب العلم هو الأفراد لا الطبیعة، کما فی باب المطلق، و التخصیص لا یوجب التضییق، بخلاف التقیید</w:t>
      </w:r>
      <w:r>
        <w:rPr>
          <w:rFonts w:eastAsia="IRNazanin" w:cs="IRNazanin"/>
          <w:color w:val="111111"/>
          <w:sz w:val="28"/>
          <w:szCs w:val="28"/>
          <w:rtl w:val="true"/>
          <w:lang w:bidi="fa-IR"/>
        </w:rPr>
        <w:t>.</w:t>
      </w:r>
    </w:p>
    <w:p>
      <w:pPr>
        <w:pStyle w:val="Heading5"/>
        <w:numPr>
          <w:ilvl w:val="4"/>
          <w:numId w:val="1"/>
        </w:numPr>
        <w:rPr/>
      </w:pPr>
      <w:bookmarkStart w:id="491" w:name="__RefHeading___Toc5145973_73709187"/>
      <w:bookmarkStart w:id="492" w:name="_Toc186"/>
      <w:bookmarkEnd w:id="491"/>
      <w:r>
        <w:rPr>
          <w:rtl w:val="true"/>
        </w:rPr>
        <w:t>حول جواز التمسّک بالعامّ فی الشبهة المصداقیّة</w:t>
      </w:r>
      <w:bookmarkEnd w:id="492"/>
    </w:p>
    <w:p>
      <w:pPr>
        <w:pStyle w:val="BookText"/>
        <w:rPr/>
      </w:pPr>
      <w:r>
        <w:rPr>
          <w:rFonts w:ascii="IRNazanin" w:hAnsi="IRNazanin" w:eastAsia="IRNazanin"/>
          <w:color w:val="111111"/>
          <w:sz w:val="28"/>
          <w:sz w:val="28"/>
          <w:szCs w:val="28"/>
          <w:rtl w:val="true"/>
          <w:lang w:bidi="fa-IR"/>
        </w:rPr>
        <w:t>إذا عرفت ذلک، فاعلم أنّه قد یقال بجواز التمسّک بالعامّ فی الشبهة المصداقیة للمخصّص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استدلّ له بوجوه أجودها ما ذکره فی الکفایة من أنّ الخاصّ إنّما یزاحم العامّ فیما کان فعلاً حجّة، و من المعلوم أنّه حجّة بالنسبة إلی مَنْ علم أنّه من مصادیقه، و أمّا بالنسبة إلی الفرد المشتبه فلا یکون حجّةً، فلا یعارض العامّ فیه، و لا یزاحمه، فإنّه یکون من قبیل مزاحمة الحجّة بغیر الحجّة</w:t>
      </w:r>
      <w:r>
        <w:rPr>
          <w:rStyle w:val="FootnoteAnchor"/>
          <w:rtl w:val="true"/>
        </w:rPr>
        <w:footnoteReference w:id="20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یخفی فساده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مناط حجّیة الدلیل إنّما هو باجتماع هذه المراتب الثلاثة فیه</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ظاهراً بحسب معناه اللغوی أو العرفی فی المعنی المقصود للمتکلّم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أصالة الحقیقة التی تقتضی کون الظاهر مراداً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أصالة تطابق الإرادة الجدّیة مع الإرادة الاستعمالیة بمعنی کون المتکلّم مریداً لمعناه الحقیقی جدّاً بحیث لا یکون هازلاً، و مع کون الدلیل فاقداً لشیء من هذه المراتب لا یصحّ الاحتجاج به علی العبد،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هنا دلیلین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 العلماء،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تکرم الفسّاق منهم، فلو کان الدلیل منحصراً فی الأوّل، لکانت المراتب الثلاثة مجتمعةً فیه، و حاکمةً بوجوب إکرام جمیع العلماء جدّاً، إلاّ أنّ جریانها فی الدلیل الثانی یقتضی کون الإرادة الجدّیة متعلّقةً بالزجر عن إکرام الفسّاق من العلماء، فیرفع الید بسببه عن الأصل العقلائی الجاری فی الأوّل مع قطع النظر عن الثانی، فیقتصر فی جریانه علی المورد الخارج عن الدلیل المخصّص واقعاً، فیظهر أنّ هنا إرادتین جدّیتین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إحداهما تعلّقت بوجوب إکرام العالم الغیر الفاسق الواقعی، و الاُخری بالزجر عن إکرام الفاسق الواقعی، فإذا شکّ فی فرد أنّه هل یکون عالماً فاسقاً أو غیر فاسق؟ فمرجع الشکّ إلی أنّه هل یکون داخلاً فی المراد بالإرادة الجدّیة الأوّلیة أو داخلاً فی المراد بالإرادة الجدّیة الثانویة؟ فکما أنّه لا یجوز التمسّک بالخاصّ و الرجوع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المفروض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للشک فی تعلّق الإرادة به کذلک لا یجوز التمسّک بالعامّ أیضاً؛ للشکّ فی تعلّق الإرادة الجدّیة به؛ إذ لا فرق بینهما من هذه الجهة، و مجرّد کونه داخلاً فی العموم بحسب الظاهر لا یقتضی حجّیته بالنسبة إلیه بعد ما عرفت من توقّفها علی تعلّق الإرادة الجدّیة به أیضاً، و هی مقصورة علی العالم الغیر الفاسق</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یعرف فساد ما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الخاصّ لا یعارض العامّ؛ لأنّه من قبیل مزاحمة الحجّة بغیر الحجّة، فإنّک عرفت أنّ العامّ أیضاً لا یکون حجّةً حتّی یکون من ذاک القبیل؛ لقصوره عن شموله بما هو حجّة؛ لأنّ حجّیته مقصورة</w:t>
      </w:r>
      <w:bookmarkStart w:id="493" w:name="pg11586_104867"/>
    </w:p>
    <w:p>
      <w:pPr>
        <w:pStyle w:val="BookText"/>
        <w:rPr/>
      </w:pPr>
      <w:bookmarkEnd w:id="493"/>
      <w:r>
        <w:rPr>
          <w:rFonts w:ascii="IRNazanin" w:hAnsi="IRNazanin" w:eastAsia="IRNazanin"/>
          <w:color w:val="111111"/>
          <w:sz w:val="28"/>
          <w:sz w:val="28"/>
          <w:szCs w:val="28"/>
          <w:rtl w:val="true"/>
          <w:lang w:bidi="fa-IR"/>
        </w:rPr>
        <w:t>علی غیر مورد الخاصّ، فعدم شمول العامّ له؛ لقصور فیه، لا لمزاحمته بالخاصّ حتی یستشکل علیه بما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فبناء العقلاء لا یکون علی العمل بالدلیل فیما إذا شکّ فی کونه متعلّقاً للإرادة الجدّیة، و لذا لا یعملون بالخاصّ فی الفرد المشتبه، و لا بالعامّ فی الفرد الذی شکّ کونه عالماً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غایة ما یمکن أن یقال فی تقریب مراد الکفایة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لا یرد نظیر هذا الکلام فی العامّ المخصّص بالمنفصل المردّد بین الأقلّ و الأکثر بحسب المفهوم الذی قلنا بجواز الرجوع فی المورد المشکوک إلی العامّ، و ذلک لأنّ دلیل الخاصّ فاقد للمرتبة الاُولی التی هی عبارة عن الظهور؛ لأنّ معناه اللغوی مردّد بینهما، فحجّیته مقصورة علی القدر المتیقّن، و هو مرتکب الکبیرة فی المثال، فیرفع الید عن العامّ بالنسبة إلی خصوص المتّصف بهذه الصفة، و یبقی حجّة فی غیر مورده، فلا إشکال فی جواز الرجوع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لا یخفی عدم الفرق فیما ذکرنا بین کون المخصّص لفظیاً أو لبیّاً؛ إذ لا فرق بین أن یقول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تکرم الفسّاق من العلماء، و بین أن یحکم العقل بذلک؛ إذ حکم العقل عبارة عن الکبریات الکلّیة، فالإرادة الجدّیة أیضاً علی طبقها، فیجری الکلام المتقدّم بعینه</w:t>
      </w:r>
      <w:r>
        <w:rPr>
          <w:rFonts w:eastAsia="IRNazanin" w:cs="IRNazanin"/>
          <w:color w:val="111111"/>
          <w:sz w:val="28"/>
          <w:szCs w:val="28"/>
          <w:rtl w:val="true"/>
          <w:lang w:bidi="fa-IR"/>
        </w:rPr>
        <w:t>.</w:t>
      </w:r>
    </w:p>
    <w:p>
      <w:pPr>
        <w:pStyle w:val="Heading5"/>
        <w:numPr>
          <w:ilvl w:val="4"/>
          <w:numId w:val="1"/>
        </w:numPr>
        <w:rPr/>
      </w:pPr>
      <w:bookmarkStart w:id="494" w:name="__RefHeading___Toc5145975_73709187"/>
      <w:bookmarkStart w:id="495" w:name="_Toc187"/>
      <w:bookmarkEnd w:id="494"/>
      <w:r>
        <w:rPr>
          <w:rtl w:val="true"/>
        </w:rPr>
        <w:t>وجه آخر لعدم جواز التمسّک بالعامّ فی الشبهة المصداقیّة</w:t>
      </w:r>
      <w:bookmarkEnd w:id="495"/>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حکی عن مقالات المحقّق العراقی وجه آخر لعدم جواز التمسّک بالعامّ فی الشبهة المصداقیة للمخصّص،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حجّیة الظهور منحصرة فی الدلالة التصدیقیة للکلام الملقی من المتکلّم، و لا تتحقّق تلک الدلالة إلاّ بعد کون المتکلّم بصدد إبراز مرامه بکلامه و إفهام غرضه به، و یتوقّف ذلک علی</w:t>
      </w:r>
    </w:p>
    <w:p>
      <w:pPr>
        <w:pStyle w:val="BookText"/>
        <w:rPr/>
      </w:pPr>
      <w:r>
        <w:rPr>
          <w:rFonts w:ascii="IRNazanin" w:hAnsi="IRNazanin" w:eastAsia="IRNazanin"/>
          <w:color w:val="111111"/>
          <w:sz w:val="28"/>
          <w:sz w:val="28"/>
          <w:szCs w:val="28"/>
          <w:rtl w:val="true"/>
          <w:lang w:bidi="fa-IR"/>
        </w:rPr>
        <w:t xml:space="preserve">تصوّره و ثبوته عنده، و مع الشکّ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المفروض فی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یتعلّق به غرضه حتّی یفیده بکلامه، فإذا کان شاکّاً فی کون زید عالماً کیف یتعلّق غرضه بإکرامه؟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عدمه لا یکون المقصود باللّفظ إفهامه، و معه لا یکون الظهور حجّةً أصلاً بالنسبة إلی المورد الذی لم یتعلّق الغرض بإفهامه، و نسب هذا الوجه إلی الشیخ الأنصاری قدس سره</w:t>
      </w:r>
      <w:r>
        <w:rPr>
          <w:rStyle w:val="FootnoteAnchor"/>
          <w:rtl w:val="true"/>
        </w:rPr>
        <w:footnoteReference w:id="20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أنت خبیر بأنّه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أنّ کلام الشیخ لا یستفاد منه هذا الوجه، بل مفاده یرجع إلی ما ذکرنا ممّا 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الوجه لا یتمّ أصلاً، و ذلک لأنّ مقصود المتکلّم إنّما هو بیان الکبریات الکلّیة، و الجهل بصغریاتها خارجاً لا یضرّ بتعلّق الغرض بها ثمّ إفادتها باللّفظ؛ لأنّ من الواضح أنّ إلقاء الحکم الکلّی لو کان متوقّفاً علی ثبوت صغراه عنده و العلم بحالها یلزم أن لا یتحقّق فی الخارج أصلاً؛ لقلّة العلم بالصغریات تفصیلاً مع أنّ کثرته ممّا لا یکاد ینکر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سرّه ما عرفت من أنّ تعلّق الغرض بالکبریات لا یستلزم العلم بالصغریات أصلاً</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 لا تری أنّه لو کان بعض الصغریات مشکوکاً عند المتکلّم دون المخاطب، هل یرضی أحد بخروج ذلک البعض و عدم شمول الحکم الکلّی له؟ مثلاً لو أمر المولی عبده بإنقاذ أولاده من الغرق و شکّ فی بعضهم أنّه من أولاده أو لا؛ لظلمة أو لغیرها مع کون حاله معلوماً عند العبد و أنّه منهم، فهل یقول أحد من العقلاء بعدم وجوب إنقاذه علی العبد و إن کان یعلم بأنّه ولد المولی؟ معتذراً بجهل المولی حاله، بل یحکم بالوجوب العقلاء کافّة و لو فیما علم المولی بأنّه لیس ولده، و هذا واضح</w:t>
      </w:r>
      <w:r>
        <w:rPr>
          <w:rFonts w:eastAsia="IRNazanin" w:cs="IRNazanin"/>
          <w:color w:val="111111"/>
          <w:sz w:val="28"/>
          <w:szCs w:val="28"/>
          <w:rtl w:val="true"/>
          <w:lang w:bidi="fa-IR"/>
        </w:rPr>
        <w:t>.</w:t>
      </w:r>
      <w:bookmarkStart w:id="496" w:name="pg11586_104869"/>
    </w:p>
    <w:p>
      <w:pPr>
        <w:pStyle w:val="Heading5"/>
        <w:numPr>
          <w:ilvl w:val="4"/>
          <w:numId w:val="1"/>
        </w:numPr>
        <w:rPr/>
      </w:pPr>
      <w:bookmarkStart w:id="497" w:name="__RefHeading___Toc5145977_73709187"/>
      <w:bookmarkStart w:id="498" w:name="_Toc188"/>
      <w:bookmarkEnd w:id="496"/>
      <w:bookmarkEnd w:id="497"/>
      <w:r>
        <w:rPr>
          <w:rtl w:val="true"/>
        </w:rPr>
        <w:t>تفصیل المحقّق النائینی فی المخصّص اللبّی</w:t>
      </w:r>
      <w:bookmarkEnd w:id="498"/>
    </w:p>
    <w:p>
      <w:pPr>
        <w:pStyle w:val="BookText"/>
        <w:rPr/>
      </w:pPr>
      <w:r>
        <w:rPr>
          <w:rFonts w:ascii="IRNazanin" w:hAnsi="IRNazanin" w:eastAsia="IRNazanin"/>
          <w:color w:val="111111"/>
          <w:sz w:val="28"/>
          <w:sz w:val="28"/>
          <w:szCs w:val="28"/>
          <w:rtl w:val="true"/>
          <w:lang w:bidi="fa-IR"/>
        </w:rPr>
        <w:t xml:space="preserve">ثمّ إنّه فصّل المحقّق النائینی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فی التقریرات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المخصّص اللبّی بین ما إذا کان الذی لم یتعلّق به إرادة المولی من العناوین الغیر الصالحة لأن تکون قیداً للموضوع و کان إحرازها من وظیفة الآمر بأن کان من قبیل الملاکات و بین ما إذا کان ذلک من العناوین التی لا تصلح إلاّ أن تکون قیداً للموضوع و لم یکن إحراز انطباقها علی مصادیقها من وظیفة الآمر و المتکلّم، بل من وظیفة المأمور و المخاطب، فقال بالجواز فی الأوّل دون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انظروا إلی رجل قد روی حدیثنا</w:t>
      </w:r>
      <w:r>
        <w:rPr>
          <w:rFonts w:eastAsia="IRNazanin" w:cs="IRNazanin"/>
          <w:color w:val="111111"/>
          <w:sz w:val="28"/>
          <w:szCs w:val="28"/>
          <w:rtl w:val="true"/>
          <w:lang w:bidi="fa-IR"/>
        </w:rPr>
        <w:t xml:space="preserve">...» </w:t>
      </w:r>
      <w:r>
        <w:rPr>
          <w:rStyle w:val="FootnoteAnchor"/>
          <w:rtl w:val="true"/>
        </w:rPr>
        <w:footnoteReference w:id="202"/>
      </w:r>
      <w:r>
        <w:rPr>
          <w:rFonts w:ascii="IRNazanin" w:hAnsi="IRNazanin" w:eastAsia="IRNazanin"/>
          <w:color w:val="111111"/>
          <w:sz w:val="28"/>
          <w:sz w:val="28"/>
          <w:szCs w:val="28"/>
          <w:rtl w:val="true"/>
          <w:lang w:bidi="fa-IR"/>
        </w:rPr>
        <w:t>، فإنّه عامّ یشمل العادل و غیره، إلاّ أنّه قام الإجماع علی اعتبار العدالة، فتکون قیداً للموضوع، و لا یجوز الرجوع إلی العموم عند الشکّ فی عدالة مجتهد، کما إذا کان اعتبار العدالة بدلیل لفظی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العن بنی أُمیّة قاطبة</w:t>
      </w:r>
      <w:r>
        <w:rPr>
          <w:rFonts w:eastAsia="Amiri" w:cs="Amiri" w:ascii="Amiri" w:hAnsi="Amiri"/>
          <w:color w:val="111111"/>
          <w:sz w:val="28"/>
          <w:szCs w:val="28"/>
          <w:rtl w:val="true"/>
          <w:lang w:bidi="ar-SA"/>
        </w:rPr>
        <w:t xml:space="preserve">» </w:t>
      </w:r>
      <w:r>
        <w:rPr>
          <w:rStyle w:val="FootnoteAnchor"/>
          <w:rtl w:val="true"/>
        </w:rPr>
        <w:footnoteReference w:id="203"/>
      </w:r>
      <w:r>
        <w:rPr>
          <w:rFonts w:ascii="IRNazanin" w:hAnsi="IRNazanin" w:eastAsia="IRNazanin"/>
          <w:color w:val="111111"/>
          <w:sz w:val="28"/>
          <w:sz w:val="28"/>
          <w:szCs w:val="28"/>
          <w:rtl w:val="true"/>
          <w:lang w:bidi="fa-IR"/>
        </w:rPr>
        <w:t>حیث یعلم أنّ الحکم لا یشمل المؤمن منهم؛ لأنّ اللعن لا یصیب المؤمن، فالمؤمن خرج عن العامّ؛ لانتفاء ملاکه، و لا یکون قیداً للموضوع؛ فإنّ مثل حکم اللعن لا یصلح أن یعمّ المؤمن حتّی یکون خروجه من باب التخصیص، و یکون إحراز أنّ فی بنی أُمیة مؤمناً إنّما هو من وظیفة المتکلّم حیث لا یصحّ له إلقاء العموم إلاّ بعد إحراز ذلک، فلو فرض أنّه علمنا بکون خالد بن سعید مثلاً مؤمناً، کان ذلک موجباً لعدم</w:t>
      </w:r>
    </w:p>
    <w:p>
      <w:pPr>
        <w:pStyle w:val="BookText"/>
        <w:rPr/>
      </w:pPr>
      <w:r>
        <w:rPr>
          <w:rFonts w:ascii="IRNazanin" w:hAnsi="IRNazanin" w:eastAsia="IRNazanin"/>
          <w:color w:val="111111"/>
          <w:sz w:val="28"/>
          <w:sz w:val="28"/>
          <w:szCs w:val="28"/>
          <w:rtl w:val="true"/>
          <w:lang w:bidi="fa-IR"/>
        </w:rPr>
        <w:t>اندراجه تحت العموم، و لکن المتکلّم لم یبیّنه لمصلحة هناک اقتضت ذلک، فلا یجوز لنا لعنه؛ لعلمنا بعدم ثبوت الملاک فیه، و أمّا إذا شککنا فی إیمان أحد منهم، فاللّازم الأخذ بالعموم و جواز لعنه؛ لأنّه من نفس العموم یستکشف أنّه لیس بمؤمن، و أنّ المتکلّم أحرز ذلک حیث إنّه من وظیفته، فلو لم یحرز أنّ المشکوک غیر مؤمن، لما ألقی العموم کذلک، فأصالة العموم حینئذٍ جاریة، و یکون المعلوم الخروج من التخصیص الأفرادی حیث إنّه لم یؤخذ عنوان قیداً للموضوع</w:t>
      </w:r>
      <w:r>
        <w:rPr>
          <w:rStyle w:val="FootnoteAnchor"/>
          <w:rtl w:val="true"/>
        </w:rPr>
        <w:footnoteReference w:id="2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خبیر بأنّ محلّ النزاع فی هذا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إذا کان الخاصّ عنواناً کلّیاً ذا مصادیق و أفراد، غایة الأمر کون بعض المصادیق مردّداً، و أمّا إذا کان التخصیص أفرادیاً، فلا إشکال فی جواز التمسّک بالعامّ؛ لأنّ مرجع الشکّ إلی الشکّ فی التخصیص الزائد، و 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الخارج عن عموم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العن بنی أُمیة قاطبة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عنوان المؤمن، فمن الواضح عدم الفرق بینه و بین سائر الموارد، کما هو واضح، و إن کان التخصیص أفرادیاً، فالقول بالجواز فیه لیس تفصیلاً فی محلّ النزاع، کما عرفت</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قد استدلّ أیضاً علی الجواز فی مورد النزاع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قول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 العلماء، یدلّ بعمومه الأفرادی علی وجوب إکرام کلّ واحد من العلماء، و بإطلاقه علی سرایة الحکم إلی کلّ حالة من الحالات التی تفرض للموضوع، و من جملة حالاته کونه مشکوک الفسق و العدالة، کما أنّ من جملة حالاته کونه معلوم العدالة أو معلوم الفسق، و خرج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تکرم الفسّاق من العلماء، معلوم الفسق منهم، لا لمدخلیة العلم فی الموضوع، بل لأنّ المعلوم خروج معلوم</w:t>
      </w:r>
    </w:p>
    <w:p>
      <w:pPr>
        <w:pStyle w:val="BookText"/>
        <w:rPr/>
      </w:pPr>
      <w:r>
        <w:rPr>
          <w:rFonts w:ascii="IRNazanin" w:hAnsi="IRNazanin" w:eastAsia="IRNazanin"/>
          <w:color w:val="111111"/>
          <w:sz w:val="28"/>
          <w:sz w:val="28"/>
          <w:szCs w:val="28"/>
          <w:rtl w:val="true"/>
          <w:lang w:bidi="fa-IR"/>
        </w:rPr>
        <w:t>الفسق، و لا یعلم خروج الباقی، فمقتضی أصالة العموم و الإطلاق بقاء المشکوک تحت الحکم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الدلیل أوضح فساداً من الدلیل المتقدّم، و ذلک لأنّ موضوع حرمة الإکرام إنّما هو الفاسق الواقعی، لا الفاسق المعلوم، و حینئذٍ فلو قیل بشمول حکم العامّ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مشکوک الفسق، یلزم اجتماع حکمین واقعیّین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إیجابی، و الآخر تحریمی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إکرامه لو کان فی الواقع فاسقاً، فهو من حیث إنّه مشکوک الفسق یکون إکرامه واجباً بمقتضی العامّ، و من جهة أنّه فاسق واقعاً یکون إکرامه محرّماً بمقتضی دلیل الخاصّ هذا، و لو صحّ ما ذکره یلزم تعلّق حکمین بإکرامه من جهة واحدة، و ذلک لأنّ الإطلاق الاحوالی کما یجری فی دلیل العامّ یجری فی الخاصّ أیضاً؛ لأنّ موضوعه هو الفاسق الواقعی، سواء کان معلوم الفسق أو مشکوکه، فزید من حیث إنّه مشکوک الفسق کما یجب إکرامه بمقتضی إطلاق العامّ کذلک یکون مقتضی دلیل الخاصّ حرمة إکرامه، و من الواضح استحالة اجتماع الحکمین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اندفاع الإشکال الأوّل بأنّ اجتماعهما فی المقام نظیر اجتماع الحکم الواقعی مع الظاهری، و ذلک؛ لأنّ حکم الخاصّ غیر مقیّد بخلاف العامّ، فإنّ شموله له إنّما هو من حیث کونه مشکوک الفسق، فموضوعه مقیّد بالشکّ دون حکم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الجمع بین الحکم الواقعی و الظاهری من جهة أنّ الشکّ فی الأوّل مأخوذ فی موضوع الثانی، و هنا لیس کذلک؛ لأنّ شمول العامّ له لیس لکونه مشکوک الحکم، بل لکونه مشکوک الفسق، فلا ربط لهذا المقام بذلک الباب</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یسهّل الخطب أنّ معنی الإطلاق لیس کما توهّمه المستدل، بل هو</w:t>
      </w:r>
      <w:bookmarkStart w:id="499" w:name="pg11586_104872"/>
    </w:p>
    <w:p>
      <w:pPr>
        <w:pStyle w:val="BookText"/>
        <w:rPr/>
      </w:pPr>
      <w:bookmarkEnd w:id="499"/>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 ذکرناه مراراً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أنّ تمام الموضوع للحکم المجعول هو المذکور بلا مدخلیة شیء آخر، لا أنّه قد لاحظ السریان و الشمول، فإنّه حینئذٍ لا یبقی فرق بینه و بین العموم أصلاً، و هذا المورد أیضاً من الموارد التی وقع الخلط فیها بینهما، فتأمّل؛ لکی لا تخلط بینهما</w:t>
      </w:r>
      <w:r>
        <w:rPr>
          <w:rFonts w:eastAsia="IRNazanin" w:cs="IRNazanin"/>
          <w:color w:val="111111"/>
          <w:sz w:val="28"/>
          <w:szCs w:val="28"/>
          <w:rtl w:val="true"/>
          <w:lang w:bidi="fa-IR"/>
        </w:rPr>
        <w:t>.</w:t>
      </w:r>
    </w:p>
    <w:p>
      <w:pPr>
        <w:pStyle w:val="Heading5"/>
        <w:numPr>
          <w:ilvl w:val="4"/>
          <w:numId w:val="1"/>
        </w:numPr>
        <w:rPr/>
      </w:pPr>
      <w:bookmarkStart w:id="500" w:name="__RefHeading___Toc5145979_73709187"/>
      <w:bookmarkStart w:id="501" w:name="_Toc189"/>
      <w:bookmarkEnd w:id="500"/>
      <w:r>
        <w:rPr>
          <w:rtl w:val="true"/>
        </w:rPr>
        <w:t>و ینبغی التنبیه علی امور</w:t>
      </w:r>
      <w:r>
        <w:rPr>
          <w:rtl w:val="true"/>
        </w:rPr>
        <w:t>:</w:t>
      </w:r>
      <w:bookmarkEnd w:id="501"/>
    </w:p>
    <w:p>
      <w:pPr>
        <w:pStyle w:val="Heading6"/>
        <w:numPr>
          <w:ilvl w:val="5"/>
          <w:numId w:val="1"/>
        </w:numPr>
        <w:rPr/>
      </w:pPr>
      <w:bookmarkStart w:id="502" w:name="__RefHeading___Toc5145981_73709187"/>
      <w:bookmarkStart w:id="503" w:name="_Toc190"/>
      <w:bookmarkEnd w:id="502"/>
      <w:r>
        <w:rPr>
          <w:rtl w:val="true"/>
        </w:rPr>
        <w:t>الأمر الأوّل</w:t>
      </w:r>
      <w:r>
        <w:rPr>
          <w:rtl w:val="true"/>
        </w:rPr>
        <w:t xml:space="preserve">: </w:t>
      </w:r>
      <w:r>
        <w:rPr>
          <w:rtl w:val="true"/>
        </w:rPr>
        <w:t>التمسّک بالعامّ مع کون الخاص معلّلاً</w:t>
      </w:r>
      <w:bookmarkEnd w:id="503"/>
    </w:p>
    <w:p>
      <w:pPr>
        <w:pStyle w:val="BookText"/>
        <w:rPr/>
      </w:pPr>
      <w:r>
        <w:rPr>
          <w:rFonts w:ascii="IRNazanin" w:hAnsi="IRNazanin" w:eastAsia="IRNazanin"/>
          <w:color w:val="111111"/>
          <w:sz w:val="28"/>
          <w:sz w:val="28"/>
          <w:szCs w:val="28"/>
          <w:rtl w:val="true"/>
          <w:lang w:bidi="fa-IR"/>
        </w:rPr>
        <w:t>إذا خصّص العامّ ببعض أفراده علی نحو التخصیص الأفرادی معلّلاً إخراج الفرد المخرج بعلّة عامّة له و لغیره،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خصّص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 کلّ رجل عالم،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تکرم زیداً، معلّلاً بأنّه فاسق، فهل یوجب ذلک أن یکون المخصّص فی الحقیقة هو عنوان الفاسق، فیجری فیه ما تقدّم فیما تردّد أمر بعض أفراد العامّ بین انطباق عنوان الخاصّ علیه و عدمه من عدم جواز التمسّک بالعامّ بالنسبة إلیه، أو أنّ التخصیص هنا أفرادی و لا یکون المخرج عنواناً کلیّاً، فیجوز التمسّک به؛ لأنّ مرجعه إلی الشکّ فی التخصیص الزائد، و هو منفیّ بأصالة العموم؟ وجهان، و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لمساعدة العرف و شهادته بکون المخرج هو عنوان الفاسق فی المثال، کما لا یخفی</w:t>
      </w:r>
      <w:r>
        <w:rPr>
          <w:rFonts w:eastAsia="IRNazanin" w:cs="IRNazanin"/>
          <w:color w:val="111111"/>
          <w:sz w:val="28"/>
          <w:szCs w:val="28"/>
          <w:rtl w:val="true"/>
          <w:lang w:bidi="fa-IR"/>
        </w:rPr>
        <w:t>.</w:t>
      </w:r>
    </w:p>
    <w:p>
      <w:pPr>
        <w:pStyle w:val="Heading6"/>
        <w:numPr>
          <w:ilvl w:val="5"/>
          <w:numId w:val="1"/>
        </w:numPr>
        <w:rPr/>
      </w:pPr>
      <w:bookmarkStart w:id="504" w:name="__RefHeading___Toc5145983_73709187"/>
      <w:bookmarkStart w:id="505" w:name="_Toc191"/>
      <w:bookmarkEnd w:id="504"/>
      <w:r>
        <w:rPr>
          <w:rtl w:val="true"/>
        </w:rPr>
        <w:t>الأمر الثانی</w:t>
      </w:r>
      <w:r>
        <w:rPr>
          <w:rtl w:val="true"/>
        </w:rPr>
        <w:t xml:space="preserve">: </w:t>
      </w:r>
      <w:r>
        <w:rPr>
          <w:rtl w:val="true"/>
        </w:rPr>
        <w:t>العامّین من وجه المتنافیی الحکم</w:t>
      </w:r>
      <w:bookmarkEnd w:id="505"/>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کان هناک عامّان من وجه،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 العلماء و لا تکرم الفسّاق، فبناء علی کونه من صغریات مسألة اجتماع الأمر و النهی یکون غیر مرتبط بالمقام، و أمّا بناء علی ثبوت التعارض بینهما و تقدیم أحد الدلیلین بالنسبة إلی مورد الاجتماع، فلا إشکال فی عدم جواز التمسّک بالعامّ فی الفرد المشکوک</w:t>
      </w:r>
    </w:p>
    <w:p>
      <w:pPr>
        <w:pStyle w:val="BookText"/>
        <w:rPr/>
      </w:pPr>
      <w:r>
        <w:rPr>
          <w:rFonts w:ascii="IRNazanin" w:hAnsi="IRNazanin" w:eastAsia="IRNazanin"/>
          <w:color w:val="111111"/>
          <w:sz w:val="28"/>
          <w:sz w:val="28"/>
          <w:szCs w:val="28"/>
          <w:rtl w:val="true"/>
          <w:lang w:bidi="fa-IR"/>
        </w:rPr>
        <w:t>انطباق عنوان الخاصّ علیه؛ لعدم الفرق بینه و بین سائر الموارد، کما هو واضح و لو فرض کونهما من قبیل الدلیلین المتزاحمین بمعنی ثبوت المقتضیین فی مورد الاجتماع، غایة الأمر ترجیح أحدهما؛ لأقوائیة ملاکه من ملاک الآخر، ففی جواز التمسّک فی الفرد المشکوک انطباق عنوان المزاحم الأقوی علیه بالدلیل الآخر الذی ینطبق عنوان علیه قطعاً و عدمه وجهان مبنیّان علی أنّ الحکم فی المتزاحمین بالنسبة إلی ما هو ملاکه أضعف هل هو حکم إنشائی أو أنّه باقٍ علی فعلیّته؟ غایة الأمر أنّ المکلّف معذور فی مخالفته لصرف قدرته فی المزاحم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الأوّل لا یجوز التمسّک بالدلیل الآخر أیضاً؛ لأنّ الإرادة الجدّیة فیه مقصورة بما عدا مورد المزاحم، و لا یعلم تعلّقها بالفرد المشکوک، کما أنّه لا یعلم شمول الدلیل الآخر له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 یجوز التمسّک به، بل لا مجال لمخالفته بعد کونه حکماً فعلیّاً، و إحراز کونه معذوراً متوقّف علی شمول الدلیل الآخر له، و هو مشکوک، و من المعلوم أنّ الشکّ فی العذر لا یبیح مخالفة التکلیف الفعلی المتوجّه إلیه، کما إذا شکّ فی کونه قادراً علی امتثال سائر التکالیف الفعلیة المتوجّهة إلیه، فإنّ العقل لا یحکم بکونه معذوراً فی مخالفتها أصلاً، کما لا یخفی</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قد عرفت فی مبحث الترتّب أنّ الأقوی کون الحکمین المتزاحمین فعلیّین، غایة الأمر کونه معذوراً فی مخالفة أحدهما لو صرف قدرته فی امتثال الآخر، و أمّا مع مخالفة کلیهما فیستحقّ العقوبتین، و حینئذٍ فاللّازم فی المقام بناء علیه جواز التمسّک بالدلیل الذی ملاکه أضعف فی المورد المشکوک، کما عرفت</w:t>
      </w:r>
      <w:r>
        <w:rPr>
          <w:rFonts w:eastAsia="IRNazanin" w:cs="IRNazanin"/>
          <w:color w:val="111111"/>
          <w:sz w:val="28"/>
          <w:szCs w:val="28"/>
          <w:rtl w:val="true"/>
          <w:lang w:bidi="fa-IR"/>
        </w:rPr>
        <w:t>.</w:t>
      </w:r>
      <w:bookmarkStart w:id="506" w:name="pg11586_104874"/>
    </w:p>
    <w:p>
      <w:pPr>
        <w:pStyle w:val="Heading6"/>
        <w:numPr>
          <w:ilvl w:val="5"/>
          <w:numId w:val="1"/>
        </w:numPr>
        <w:rPr/>
      </w:pPr>
      <w:bookmarkStart w:id="507" w:name="__RefHeading___Toc5145985_73709187"/>
      <w:bookmarkStart w:id="508" w:name="_Toc192"/>
      <w:bookmarkEnd w:id="506"/>
      <w:bookmarkEnd w:id="507"/>
      <w:r>
        <w:rPr>
          <w:rtl w:val="true"/>
        </w:rPr>
        <w:t>الأمر الثالث</w:t>
      </w:r>
      <w:r>
        <w:rPr>
          <w:rtl w:val="true"/>
        </w:rPr>
        <w:t xml:space="preserve">: </w:t>
      </w:r>
      <w:r>
        <w:rPr>
          <w:rtl w:val="true"/>
        </w:rPr>
        <w:t>إحراز المصداق بالأصل فی الشبهة المصداقیة</w:t>
      </w:r>
      <w:bookmarkEnd w:id="508"/>
    </w:p>
    <w:p>
      <w:pPr>
        <w:pStyle w:val="BookText"/>
        <w:rPr/>
      </w:pPr>
      <w:r>
        <w:rPr>
          <w:rFonts w:ascii="IRNazanin" w:hAnsi="IRNazanin" w:eastAsia="IRNazanin"/>
          <w:color w:val="111111"/>
          <w:sz w:val="28"/>
          <w:sz w:val="28"/>
          <w:szCs w:val="28"/>
          <w:rtl w:val="true"/>
          <w:lang w:bidi="fa-IR"/>
        </w:rPr>
        <w:t>هل یجوز إحراز کون الفرد المشکوک انطباق عنوان الخاصّ علیه من أفراد العامّ بما هو حجّة بالأصل الموضوعی مطلقاً، أو لا یجوز کذلک، أو یفصّل بین الاُصول العدمیة الأزلیة و غیرها؟ وجوه بل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صریح محکی المقالات هو الوجه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محکیّ کلامه ما 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التخصیص لا یوجب تضییقاً فی العامّ حتّی بالنسبة إلی الإرادة الجدّیة؛ لأنّه بمنزلة موت بعض الأفراد، فکما أنّ موت بعض أفراده لا یوجب تغییراً فی العامّ بل هو باقٍ علی عمومه کذلک التخصیص؛ لأنّ موضوع الحکم بعده أیضاً هو کلّ عالم مثلاً، و حینئذٍ فهو لا یوجب أن یکون العامّ معنوناً بعنوان غیر الخاصّ حتّی یثبت ذلک العنوان بالأُصول العدمیة، فاستصحاب عدم فسق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 من الاُصول الأزلیة أو کان استصحاباً لحالته السابقة التی علم فیها بعدالته و عدم کونه فاسقاً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یجری علیه نفی الحکم المترتّب علی الفسّاق، و لا یثبت به حکم العامّ؛ لکونه لازماً عقلیّاً،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العامّ لا یکون معنوناً بغیر عنوان الخاصّ حتّی یثبت بالاستصحاب ذلک العنوان، فیترتّب علیه حکم العامّ</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کان رفع الشکّ فی المورد المشکوک بید الشارع، کما فی الصلح و الشرط المشکوک کونهما مخالفین للکتاب و السنّة فیبطلان أو موافقین لهما فیصحّان، لا بأس بالرجوع إلی عمومات أدلّة الصلح و الشرط‌</w:t>
      </w:r>
      <w:r>
        <w:rPr>
          <w:rStyle w:val="FootnoteAnchor"/>
          <w:rtl w:val="true"/>
        </w:rPr>
        <w:footnoteReference w:id="2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ذکرنا فی مسألة أنّ التخصیص لا یوجب مجازیة العامّ، ظهر لک أنّ التخصیص و إن لم یوجب تضییقاً فی موضوع حکم العامّ بحیث ینقلب الموضوع بعده کما فی المطلق و المقیّد، إلاّ أنّه یکشف عن کون الإرادة الجدّیة مقصورة علی ما عدا مورد الخاصّ، و لیس التخصیص بمنزلة موت بعض الأفراد الذی لا یوجب تغییراً فی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 کلّ عالم، إنّما یشمل علی حکم واحد متعلّق بجمیع أفراد العالم، فهو قضیّة حقیقیّة یکون المحمول فیها ثابتاً علی جمیع أفراد الموضوع المحقّقة و المقدّرة، و موت بعض أفراد الموضوع لا یضرّ بها؛ إذ لیس لکلّ مصداق حکم علی حدة حتّی ینتفی بانتفائه، بل هو حکم واحد ثابت علی الجمیع، غایة الأمر اختلافه سعةً و ضیقاً بالموت و عدمه، و لکن ذلک لا یوجب انقلاب الموضوع، بخلاف التخصیص؛ فإنّه یوجب قصر الموضوع فی الإرادة الجدّیة علی ما عدا مورد الخاصّ و إن لم یوجب تقیید موضوع الحکم المنشأ متعلّقاً بالعموم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فقیاس التخصیص علی موت بعض المصادیق فاسد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ذکره من جواز التمسّک فی المثالین فقد عرفت أنّ النزاع فی المقام فی الشبهة المصداقیة للمخصّص التی کان منشأها اشتباه الاُمور الخارجیة فإثبات الجواز فی غیر المقام من الشبهات الحکمیة لیس تفصیلاً فی مورد النزاع،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صریح الکفایة هو القول الأوّل</w:t>
      </w:r>
      <w:r>
        <w:rPr>
          <w:rStyle w:val="FootnoteAnchor"/>
          <w:rtl w:val="true"/>
        </w:rPr>
        <w:footnoteReference w:id="206"/>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حکی الاُستاذ عن شیخه المحقّق المعاصر أنّه قال فی مجلس درسه</w:t>
      </w:r>
      <w:bookmarkStart w:id="509" w:name="pg11586_104876"/>
    </w:p>
    <w:p>
      <w:pPr>
        <w:pStyle w:val="BookText"/>
        <w:rPr/>
      </w:pPr>
      <w:bookmarkEnd w:id="509"/>
      <w:r>
        <w:rPr>
          <w:rFonts w:ascii="IRNazanin" w:hAnsi="IRNazanin" w:eastAsia="IRNazanin"/>
          <w:color w:val="111111"/>
          <w:sz w:val="28"/>
          <w:sz w:val="28"/>
          <w:szCs w:val="28"/>
          <w:rtl w:val="true"/>
          <w:lang w:bidi="fa-IR"/>
        </w:rPr>
        <w:t>فی تقریب هذا القول ما 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العوارض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یعرض الماهیّة مع قطع النظر عن الوجودین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الذهنی و الخارجی بحیث لو کان للماهیة تقرّر و ثبوت فی غیر عالم الوجود، لکان یعرضها، کالزوجیة العارضة لماهیّة الأربعة فی عالم التقرّر، و قسم یعرض الوجود کالأبیضیة الحاصلة للجسم الموجود، و الفاسقیة و القرشیة و غیرها من العوارض القائمة بالوجود، و 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فی القسم الثانی بجریان استصحاب عدم تلک الأوصاف بالنسبة إلی موصوفها و إن کان الموصوف حینما یتحقّق لا یخلو من اتّصافه بذلک الوصف، بمعنی أنّه لو کان متّصفاً به، لکان ذلک من أوّل وجوده و تحقّقه، کوصف القرشیة؛ لإمکان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مشیراً إلی ماهیّتها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تکن قبل الوجود قرشیة، فیستصحب ذلک إلی زمان الوجود</w:t>
      </w:r>
      <w:r>
        <w:rPr>
          <w:rFonts w:eastAsia="IRNazanin" w:cs="IRNazanin"/>
          <w:color w:val="111111"/>
          <w:sz w:val="28"/>
          <w:szCs w:val="28"/>
          <w:rtl w:val="true"/>
          <w:lang w:bidi="fa-IR"/>
        </w:rPr>
        <w:t>.</w:t>
      </w:r>
    </w:p>
    <w:p>
      <w:pPr>
        <w:pStyle w:val="Heading6"/>
        <w:numPr>
          <w:ilvl w:val="5"/>
          <w:numId w:val="1"/>
        </w:numPr>
        <w:rPr/>
      </w:pPr>
      <w:bookmarkStart w:id="510" w:name="__RefHeading___Toc5145987_73709187"/>
      <w:bookmarkStart w:id="511" w:name="_Toc193"/>
      <w:bookmarkEnd w:id="510"/>
      <w:r>
        <w:rPr>
          <w:rtl w:val="true"/>
        </w:rPr>
        <w:t>تحقیق فی المقام</w:t>
      </w:r>
      <w:bookmarkEnd w:id="511"/>
    </w:p>
    <w:p>
      <w:pPr>
        <w:pStyle w:val="BookText"/>
        <w:rPr/>
      </w:pPr>
      <w:r>
        <w:rPr>
          <w:rFonts w:ascii="IRNazanin" w:hAnsi="IRNazanin" w:eastAsia="IRNazanin"/>
          <w:color w:val="111111"/>
          <w:sz w:val="28"/>
          <w:sz w:val="28"/>
          <w:szCs w:val="28"/>
          <w:rtl w:val="true"/>
          <w:lang w:bidi="fa-IR"/>
        </w:rPr>
        <w:t xml:space="preserve">هذا، و تحقیق الحال فی هذا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بحیث یظهر حال ما قیل أو 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یتوقّف علی بیان حال القضایا و مناط الحمل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فالکلام یتمّ فی ضمن مقدّمات</w:t>
      </w:r>
      <w:r>
        <w:rPr>
          <w:rFonts w:eastAsia="IRNazanin" w:cs="IRNazanin"/>
          <w:color w:val="111111"/>
          <w:sz w:val="28"/>
          <w:szCs w:val="28"/>
          <w:rtl w:val="true"/>
          <w:lang w:bidi="fa-IR"/>
        </w:rPr>
        <w:t>:</w:t>
      </w:r>
    </w:p>
    <w:p>
      <w:pPr>
        <w:pStyle w:val="Heading6"/>
        <w:numPr>
          <w:ilvl w:val="5"/>
          <w:numId w:val="1"/>
        </w:numPr>
        <w:rPr/>
      </w:pPr>
      <w:bookmarkStart w:id="512" w:name="__RefHeading___Toc5145989_73709187"/>
      <w:bookmarkStart w:id="513" w:name="_Toc194"/>
      <w:bookmarkEnd w:id="512"/>
      <w:r>
        <w:rPr>
          <w:rtl w:val="true"/>
        </w:rPr>
        <w:t>الاُولی</w:t>
      </w:r>
      <w:r>
        <w:rPr>
          <w:rtl w:val="true"/>
        </w:rPr>
        <w:t xml:space="preserve">: </w:t>
      </w:r>
      <w:r>
        <w:rPr>
          <w:rtl w:val="true"/>
        </w:rPr>
        <w:t>أقسام القضایا بلحاظ النسبة</w:t>
      </w:r>
      <w:bookmarkEnd w:id="513"/>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اشتهر بینهم بل اتّفقوا علی أنّ القضیّة متقوّمة بثلاثة أجزاء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الموضوع و المحمول و النسبة، و لکن لا یخفی أنّ هذا المعنی لا یصحّ علی نحو الکلّیة؛ فإنّ القضایا مختلفة، فبعضها مشتملة علی النسبة المتقوّمة بالمنتسبین، و بعضها بل أکثرها خالیة عن النسبة بین الشیئین</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القضایا الحملیة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الحملیّات المستقیمة الغیر</w:t>
      </w:r>
    </w:p>
    <w:p>
      <w:pPr>
        <w:pStyle w:val="BookText"/>
        <w:rPr/>
      </w:pPr>
      <w:r>
        <w:rPr>
          <w:rFonts w:ascii="IRNazanin" w:hAnsi="IRNazanin" w:eastAsia="IRNazanin"/>
          <w:color w:val="111111"/>
          <w:sz w:val="28"/>
          <w:sz w:val="28"/>
          <w:szCs w:val="28"/>
          <w:rtl w:val="true"/>
          <w:lang w:bidi="fa-IR"/>
        </w:rPr>
        <w:t>المؤوّلة،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موجود، و الإنسان حیوان ناطق، و الحملیّات المؤوّلة، 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له البیاض، و عمرو علی السطح، و مناط الحمل فی الأوّل هو الهوهویة، و لا یکون بین الموضوع و المحمول فیها نسبة؛ لأنّ النسبة إنّما تتحقّق بین الشیئین المتغایرین؛ إذ لا یعقل تحقّقها بین الشیء و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القضیة إنّما تحکی عن الواقع، فلا بدّ من ملاحظته لیظهر حالها، و ملاحظته تقضی بعدم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الواقع شیئین، و عدم کون الإنسان شیئاً و الحیوان الناطق شیئاً، و کذا لا یکون فی الواقع مغایرة بین الجسم و بین الأبیض، و مع اتّحادهما بحسب الواقع لا یعقل النسبة بینهما؛ لما عرفت من أنّ قوامها إنّما هو بالمنتسبین، و إذا کان الواقع کذلک فالقضیّة المعقولة و کذا الملفوظة إنّما هما کذلک؛ لأنّهما حاکیتان عنه، و مرآتان له، فلا یعقل النسبة فیهما، بل ملاک الحمل فیها إنّما هو الهوهویة و الاتّحاد المنافی للمغایرة المحقّقة للنسبة، بل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الأصل فی الحملیّات إنّما هو هذا القسم الذی لا یکون فیه نسبة، و لذا نسمّیها بالحملیّات الغیر المؤوّلة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غیرها من الحملیّات فمشتملة علی النسبة؛ لأنّ البیاض لا یعقل أن یتّحد مع زید و یتحقّق بینهما الهوهویة، نعم له ارتباط و إضافة إلیه باعتبار کونه محلاّ له، و هو حالّ فیه عارض علیه، و هذا القسم هو الحملیّات المؤوّلة،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فی الدار، و وجه التسمیة بذلک أنّها مأوّلة؛ لأنّ تقدیره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کائن فی الدار؛ إذ لا یحمل المحمول فیها علی موضوعها بدون تقدیر الکون و الحصول و نحوهما</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فی الموجبات، و أمّا السوالب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فالتحقیق أنّها خالیة عن النسبة مطلقاً؛ لما ذکرنا من أنّها أیضاً حاکیة عن الواقع، و من الواضح أنّه خالٍ عن النسبة، 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لیس بقائم، یرجع إلی أنّ الواقع خالٍ عن النسبة بین زید</w:t>
      </w:r>
      <w:bookmarkStart w:id="514" w:name="pg11586_104878"/>
    </w:p>
    <w:p>
      <w:pPr>
        <w:pStyle w:val="BookText"/>
        <w:rPr/>
      </w:pPr>
      <w:bookmarkEnd w:id="514"/>
      <w:r>
        <w:rPr>
          <w:rFonts w:ascii="IRNazanin" w:hAnsi="IRNazanin" w:eastAsia="IRNazanin"/>
          <w:color w:val="111111"/>
          <w:sz w:val="28"/>
          <w:sz w:val="28"/>
          <w:szCs w:val="28"/>
          <w:rtl w:val="true"/>
          <w:lang w:bidi="fa-IR"/>
        </w:rPr>
        <w:t>و بین القیام، لا أنّه له نسبة إلی عدم القیام، فهذه القضایا متضمّنة لسلب الحمل، لا أنّها یکون السلب فیها محمولاً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ما ذکرنا إنّما هو فی الحملیّات الغیر الموجبة المؤوّلة، و أمّا السوالب الغیر المؤوّلة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فالسلب فیها إنّما یتعلّق بالهوهویة، بمعنی أنّ السوالب علی قسمین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یتعلّق السلب بالهوهویة، کزید لیس بموجود، و قسم یکون السلب وارداً علی النسبة، کقوله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لیس له القیام، فقولنا بخلوّها عن النسبة إنّما یکون النظر فیه إلی السوالب التی لو کانت موجبات تکون فیها النسبة، ضرورة أنّ غیرها لا یتوهّم فیها النسبة بعد منعها فی الموجبات منها، کما لا یخفی</w:t>
      </w:r>
      <w:r>
        <w:rPr>
          <w:rFonts w:eastAsia="IRNazanin" w:cs="IRNazanin"/>
          <w:color w:val="111111"/>
          <w:sz w:val="28"/>
          <w:szCs w:val="28"/>
          <w:rtl w:val="true"/>
          <w:lang w:bidi="fa-IR"/>
        </w:rPr>
        <w:t>.</w:t>
      </w:r>
    </w:p>
    <w:p>
      <w:pPr>
        <w:pStyle w:val="Heading6"/>
        <w:numPr>
          <w:ilvl w:val="5"/>
          <w:numId w:val="1"/>
        </w:numPr>
        <w:rPr/>
      </w:pPr>
      <w:bookmarkStart w:id="515" w:name="__RefHeading___Toc5145991_73709187"/>
      <w:bookmarkStart w:id="516" w:name="_Toc195"/>
      <w:bookmarkEnd w:id="515"/>
      <w:r>
        <w:rPr>
          <w:rtl w:val="true"/>
        </w:rPr>
        <w:t>الثانیة</w:t>
      </w:r>
      <w:r>
        <w:rPr>
          <w:rtl w:val="true"/>
        </w:rPr>
        <w:t xml:space="preserve">: </w:t>
      </w:r>
      <w:r>
        <w:rPr>
          <w:rtl w:val="true"/>
        </w:rPr>
        <w:t>مناط الصدق و الکذب فی القضایا</w:t>
      </w:r>
      <w:bookmarkEnd w:id="516"/>
    </w:p>
    <w:p>
      <w:pPr>
        <w:pStyle w:val="BookText"/>
        <w:rPr/>
      </w:pPr>
      <w:r>
        <w:rPr>
          <w:rFonts w:ascii="IRNazanin" w:hAnsi="IRNazanin" w:eastAsia="IRNazanin"/>
          <w:color w:val="111111"/>
          <w:sz w:val="28"/>
          <w:sz w:val="28"/>
          <w:szCs w:val="28"/>
          <w:rtl w:val="true"/>
          <w:lang w:bidi="fa-IR"/>
        </w:rPr>
        <w:t>ثمّ إنّ ممّا ذکرنا ظهر أنّ المناط فی کون القضیّة محتملةً للصدق و الکذب لیس کون نسبتها تامّةً فی مقابل النسبة الناقصة، کما هو المعروف؛ لما عرفت من خلوّ أکثر القضایا عن النسبة حتّی تکون تامّةً أو غیرها، بل المناط فیه هی الحکایة التصدیقیّة المقابلة للحکایة التصوّریة، فإنّ الحاکی عن الواقع قد یحکی عنه تصوّراً بمعنی أنّه یوقع فی ذهن المخاطب تصوّر الواقع،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الذی هو قائم، و قد یحکی عنه تصدیقاً، بمعنی أنّه یؤثّر بالنسبة إلی المخاطب التصدیق بها نفیاً أو إثباتاً، مثل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قائم،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له القیام، فالملاک فی احتمال القضیّة للصدق و الکذب هو هذه الحکایة التصدیقیة لا النسبة التامّة؛ لما عرفت، و الدالّ علی تلک الحکایة إنّما هو ترکیب الجُمل الخبریة و هیئتها الموضوعة بإزاء ذلک</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 ممّا ذکرنا ظهر أیضاً أنّ الملاک فی کون القضیة صادقةً لیس هو أن</w:t>
      </w:r>
      <w:bookmarkStart w:id="517" w:name="pg11586_104879"/>
    </w:p>
    <w:p>
      <w:pPr>
        <w:pStyle w:val="BookText"/>
        <w:rPr/>
      </w:pPr>
      <w:bookmarkEnd w:id="517"/>
      <w:r>
        <w:rPr>
          <w:rFonts w:ascii="IRNazanin" w:hAnsi="IRNazanin" w:eastAsia="IRNazanin"/>
          <w:color w:val="111111"/>
          <w:sz w:val="28"/>
          <w:sz w:val="28"/>
          <w:szCs w:val="28"/>
          <w:rtl w:val="true"/>
          <w:lang w:bidi="fa-IR"/>
        </w:rPr>
        <w:t>یکون لنسبتها واقع تطابقه، کما هو المعروف؛ لما عرفت من خلوّ أکثر القضایا عن النسبة بحسب الواقع، فلا یکون لها بحسبه نسبة حتّی طابقتها، بل المناط هو تطابقها مع نفس الواقع و نفس الأمر، بمعنی أنّ الواقع لو کان زید مثلاً موجوداً، لکانت الحکایة عنه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موجود، حکایة صادقة؛ لأنّ الواقع مشتمل علی الهوهویة و الاتّحاد بینهما، و إن لم یکن کذلک، لکانت کاذبةً؛ لعدم تحقّقها فی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یخفی جریان هذا المعنی فی السوالب أیضاً؛ فإنّها و إن لم یکن لها واقع بل قد یصدق مع عدم الموضوع أیضاً، إلاّ أنّ واقعها هو خلوّ صفحة الواقع عن الهوهویة أو النسبة بین موضوعها و محمولها، فصدق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لیس بقائم، إنّما هو بخلوّ الواقع عن الاتّحاد بینهما، کما أنّ صدق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لیس له البیاض، إنّما هو بخلوّه عن النسبة و الربط بینهما</w:t>
      </w:r>
      <w:r>
        <w:rPr>
          <w:rFonts w:eastAsia="IRNazanin" w:cs="IRNazanin"/>
          <w:color w:val="111111"/>
          <w:sz w:val="28"/>
          <w:szCs w:val="28"/>
          <w:rtl w:val="true"/>
          <w:lang w:bidi="fa-IR"/>
        </w:rPr>
        <w:t>.</w:t>
      </w:r>
    </w:p>
    <w:p>
      <w:pPr>
        <w:pStyle w:val="Heading6"/>
        <w:numPr>
          <w:ilvl w:val="5"/>
          <w:numId w:val="1"/>
        </w:numPr>
        <w:rPr/>
      </w:pPr>
      <w:bookmarkStart w:id="518" w:name="__RefHeading___Toc5145993_73709187"/>
      <w:bookmarkStart w:id="519" w:name="_Toc196"/>
      <w:bookmarkEnd w:id="518"/>
      <w:r>
        <w:rPr>
          <w:rtl w:val="true"/>
        </w:rPr>
        <w:t>الثالثة</w:t>
      </w:r>
      <w:r>
        <w:rPr>
          <w:rtl w:val="true"/>
        </w:rPr>
        <w:t xml:space="preserve">: </w:t>
      </w:r>
      <w:r>
        <w:rPr>
          <w:rtl w:val="true"/>
        </w:rPr>
        <w:t>فی القضایا المفتقرة إلی وجود الموضوع</w:t>
      </w:r>
      <w:bookmarkEnd w:id="519"/>
    </w:p>
    <w:p>
      <w:pPr>
        <w:pStyle w:val="BookText"/>
        <w:rPr/>
      </w:pPr>
      <w:r>
        <w:rPr>
          <w:rFonts w:ascii="IRNazanin" w:hAnsi="IRNazanin" w:eastAsia="IRNazanin"/>
          <w:color w:val="111111"/>
          <w:sz w:val="28"/>
          <w:sz w:val="28"/>
          <w:szCs w:val="28"/>
          <w:rtl w:val="true"/>
          <w:lang w:bidi="fa-IR"/>
        </w:rPr>
        <w:t>إذا عرفت ذلک، فاعلم أنّ القضیّة الموجبة قد تکون محصّلةً، و قد تکون معدولةً، و المراد بالثانی هو أن یحمل المحمول السلبی علی الموضوع، مثل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لا قائم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هذان القسمان یجریان فی السوالب أیضاً؛ فإنّها أیضاً قد تکون محصّلةً، و قد تکون معدولةً، و المعدولة مطلقاً قد تکون معدولةَ الموضوع، و قد تکون معدولةَ المحمول، و قد تکون معدولةَ الطرفین، و للقضیّة الموجبة قسم ثالث یسمّی بالموجبة السالبة المحمول،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یحمل القضیّة السلبیة علی الموضوع، مثل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هو الذی لیس بقائم</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أنّ القضایا الموجبة علی أقسامها الثلاثة تحتاج إلی وجود</w:t>
      </w:r>
      <w:bookmarkStart w:id="520" w:name="pg11586_104880"/>
    </w:p>
    <w:p>
      <w:pPr>
        <w:pStyle w:val="BookText"/>
        <w:rPr/>
      </w:pPr>
      <w:bookmarkEnd w:id="520"/>
      <w:r>
        <w:rPr>
          <w:rFonts w:ascii="IRNazanin" w:hAnsi="IRNazanin" w:eastAsia="IRNazanin"/>
          <w:color w:val="111111"/>
          <w:sz w:val="28"/>
          <w:sz w:val="28"/>
          <w:szCs w:val="28"/>
          <w:rtl w:val="true"/>
          <w:lang w:bidi="fa-IR"/>
        </w:rPr>
        <w:t>الموضوع؛ فإنّ ثبوت شیء لشیء فرع ثبوت المثبت له، بخلاف القضایا السالبة؛ فإنّها تصدق مع عدم الموضوع أیضاً، کما هو واضح</w:t>
      </w:r>
      <w:r>
        <w:rPr>
          <w:rFonts w:eastAsia="IRNazanin" w:cs="IRNazanin"/>
          <w:color w:val="111111"/>
          <w:sz w:val="28"/>
          <w:szCs w:val="28"/>
          <w:rtl w:val="true"/>
          <w:lang w:bidi="fa-IR"/>
        </w:rPr>
        <w:t>.</w:t>
      </w:r>
    </w:p>
    <w:p>
      <w:pPr>
        <w:pStyle w:val="Heading6"/>
        <w:numPr>
          <w:ilvl w:val="5"/>
          <w:numId w:val="1"/>
        </w:numPr>
        <w:rPr/>
      </w:pPr>
      <w:bookmarkStart w:id="521" w:name="__RefHeading___Toc5145995_73709187"/>
      <w:bookmarkStart w:id="522" w:name="_Toc197"/>
      <w:bookmarkEnd w:id="521"/>
      <w:r>
        <w:rPr>
          <w:rtl w:val="true"/>
        </w:rPr>
        <w:t>الرابعة</w:t>
      </w:r>
      <w:r>
        <w:rPr>
          <w:rtl w:val="true"/>
        </w:rPr>
        <w:t xml:space="preserve">: </w:t>
      </w:r>
      <w:r>
        <w:rPr>
          <w:rtl w:val="true"/>
        </w:rPr>
        <w:t>اعتبارات موضوع العامّ المخصّص</w:t>
      </w:r>
      <w:bookmarkEnd w:id="522"/>
    </w:p>
    <w:p>
      <w:pPr>
        <w:pStyle w:val="BookText"/>
        <w:rPr/>
      </w:pPr>
      <w:r>
        <w:rPr>
          <w:rFonts w:ascii="IRNazanin" w:hAnsi="IRNazanin" w:eastAsia="IRNazanin"/>
          <w:color w:val="111111"/>
          <w:sz w:val="28"/>
          <w:sz w:val="28"/>
          <w:szCs w:val="28"/>
          <w:rtl w:val="true"/>
          <w:lang w:bidi="fa-IR"/>
        </w:rPr>
        <w:t>إذا عرفت ذلک کلّه، فاعلم أنّ التخصیص و إن لم یوجب تقیید حکم العامّ بحیث یوجب أن یکون الحکم المنشأ متعلّقاً بغیر مورد الخاصّ، إلاّ أنّه یوجب تضییق الموضوع فی الإرادة الجدّیة، و تخصیصه بغیر مورده، 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 العلماء، بعد تخصیصه بلا تکرم الفسّاق منهم، یکون المراد به هو إکرام العلماء الغیر الفسّاق، و 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أخذ هذا الأمر العدمی فی الموضوع یمکن أن یکون نظیر القضیة الموجبة المعدولة المحمول بحیث یکون الأمر السلبی محمولاً علیه و وصفاً له، فیصیر الموضوع حینئذٍ هو إکرام العلماء الموصوفین بغیر الفسق، و یمکن أن یکون نظیر القضیّة الموجبة السالبة المحمول، فیکون القید کالمحمول فیها قضیّة سالبة، فیصیر الموضوع حینئذٍ هو إکرام العلماء الذین لا یکونون فاسقین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احتمال أن یکون أخذ القید العدمی فی المقام نظیر القضیّة السالبة المحصّلة الصادقة مع عدم الموضوع بحیث یکون الموضوع فی المقام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العالم لیس بفاسق، بحیث لا ینافی عدم الموضوع، فمندفع بأنّ هذا النحو من الموضوع لا یعقل أن یکون موضوعاً للأحکام الشرعیة، فإنّه لا یعقل إیجاب إکرام العالم لیس بفاسق الصادق مع عدم العلم أیضاً کما هو واضح</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یمکن أن یؤخذ موضوعه مفروض الوجود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 الموجود لیس بفاسق، مثل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الموجود لیس بقائم، فإنّ مع فرض وجود الموضوع ینحصر فرض صدق القضیة فی عدم ثبوت المحمول له فی الواقع،</w:t>
      </w:r>
    </w:p>
    <w:p>
      <w:pPr>
        <w:pStyle w:val="BookText"/>
        <w:rPr/>
      </w:pPr>
      <w:r>
        <w:rPr>
          <w:rFonts w:ascii="IRNazanin" w:hAnsi="IRNazanin" w:eastAsia="IRNazanin"/>
          <w:color w:val="111111"/>
          <w:sz w:val="28"/>
          <w:sz w:val="28"/>
          <w:szCs w:val="28"/>
          <w:rtl w:val="true"/>
          <w:lang w:bidi="fa-IR"/>
        </w:rPr>
        <w:t>و 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مجال لجریان الاستصحاب فی المرأة التی شکّ فی کونها قرشیة لإثبات عدم کونها کذلک، فیترتّب علیها حکم المرأة الغیر القرشیة، و هو رؤیتها الدم إلی خمسین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علی الاحتمال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یکون مرجعه إلی أنّ الموضوع هی المرأة المتّصفة بوصف الغیر القرشیة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فواضح؛ لأنّ ثبوت الوصف إنّما یتوقّف علی تحقّق الموصوف و ثبوته، و هذه المرأة المتولّدة فی الحال لم تکن متحقّقةً فی الأزل فضلاً عن أن تکون متّصفةً بوصف، فلیس للاستصحاب حالة سابقة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علی الاحتمال الثانی الذی مرجعه إلی جعل نظیر القضیّة السالبة وصفاً للموضوع، فإنّ اتّصافه به مشروط بوجوده، و المعلوم خلافه فی الأزل، فضلاً عن اتّصافه به، فلا مجال للاستصحاب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الاحتمال الأخیر الذی کان مرجعه إلی أنّ أخذ القید العدمی لا علی سبیل الوصف، و لکن کان موضوعه مفروض الوجود، فالظاهر أیضاً عدم جریان الاستصحاب؛ لأنّ المفید فی المسألة إنّما هو استصحاب عدم قرشیة مرأة خاصة، و المعلوم أنّ الموضوع کان منتفیاً فی الأزل؛ لأنّ المصحّح للإشارة إلیها بأنّ هذه المرأة لم تکن قرشیّةً إنّما هو الوجود؛ إذ لا یعقل الإشارة إلی الأعدام حسّیةً کانت أو 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تقدّم فی تقریب القول بالجریان من إمکان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المرأة، مشیراً إلی ماهیتها، إلی آخره، فهو غیر صحیح؛ لأنّ الماهیّة قبل وجودها لا تکون شیئاً حتّی یمکن أن تقع مشاراً إلیها</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نجعل الحالة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المرأة الغیر القرشیة علی نحو القضایا السالبة التی تکون أعمّ من وجود الموضوع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نستصحبها إلی زمان وجودها، فیصیر الموضوع موجوداً، فیترتّب علیه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تلک الحالة و جرّها إلی زمان وجود المرأة و إن کان صحیحاً من حیث وجود الحالة السابقة إلاّ أنّ تطبیق تلک الحالة التی تکون أعمّ من وجود الموضوع علی الحالة اللّاحقة المشروطة بوجود الموضوع یکون بحکم العقل، فهو یکون حینئذٍ مثبتاً؛ لأنّ الأثر الشرعی مترتّب علی الخاصّ، و إثباته إنّما هو بحکم العقل، فالحقّ عدم جریان هذا الاستصحاب و نظائره، کاستصحاب عدم قابلیّة التذکیة، و أمّا استصحاب غیر العدم الأزلی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فالأقوی جریانه فیما إذا کانت له حالة سابقة متیقّنة فی بعض الموارد لا مطلقاً</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تفصیله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 العلماء إلاّ الفسّاق منهم، أو کان المخصّص منفصلاً، ثمّ شکّ فی أنّ زیداً العالم هل یکون فاسقاً أو لا، فتارة یکون زید فی السابق عالماً غیر فاسق یقیناً، فلا شبهة فی جریان الاستصحاب بالنسبة إلی العالم المقیّد بذلک القید، فیترتّب علیه حکم العامّ لتنقیح موضوعه بالاستصحاب، فیدخل فی الکبری الکلّیة، و اخری یکون فی السابق غیر فاسق یقیناً و لکن لم یکن عالماً، فالآن شکّ فی بقاء عدالته مع العلم باتّصافه بالعالمیة فی الحال، و الظاهر عدم جریان الاستصحاب حینئذٍ؛ لأنّ القاعدة الکلّیة فی صحّة جریان الاستصحاب الموضوعی أن یکون المستصحب بنفسه صغری لإحدی الکبریات الشرعیة بلا واسطة، و فی المقام لیس کذلک؛ لأنّ استصحاب کون زید غیر فاسق إنّما یجدی فی إثبات کونه غیر فاسق، و لکنّه لا یکون موضوعاً للحکم الشرعی، ضرورة أنّه تعلّق بالعالم الغیر الفاسق، و إثباته بضمیمة الوجدان، ضرورة أنّ زیداً لو کان فی الحالة اللّاحقة غیر فاسق یکون عالماً غیر فاسق إنّما هو بحکم العقل، فیصیر الأصل مثبتاً، فلا یجری، کما أنّه لا یجری فیما إذا کان عالماً فاسقاً فی الزمان السابق ثمّ صار عادلاً فی اللّاحق</w:t>
      </w:r>
      <w:bookmarkStart w:id="523" w:name="pg11586_104883"/>
    </w:p>
    <w:p>
      <w:pPr>
        <w:pStyle w:val="BookText"/>
        <w:rPr/>
      </w:pPr>
      <w:bookmarkEnd w:id="523"/>
      <w:r>
        <w:rPr>
          <w:rFonts w:ascii="IRNazanin" w:hAnsi="IRNazanin" w:eastAsia="IRNazanin"/>
          <w:color w:val="111111"/>
          <w:sz w:val="28"/>
          <w:sz w:val="28"/>
          <w:szCs w:val="28"/>
          <w:rtl w:val="true"/>
          <w:lang w:bidi="fa-IR"/>
        </w:rPr>
        <w:t>و لکن شکّ فی بقاء علمه، فإنّ استصحاب علمه لا یجدی بعد کون الموضوع هو العالم الغیر الفاسق إلاّ علی القول بالأصل المثبت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الفرض خارج عن المقام؛ لأنّ مفروضه استصحاب عدم عنوان الخاصّ و مثله فی الخروج عن مورد النزاع ما لو کان زید عالماً غیر فاسق فی السابق یقیناً ثمّ شکّ فی بقاء علمه مع العلم بعدالته عکس الصورة الاُولی، و لا إشکال أیضاً فی جریان الاستصحاب فیها؛ لأنّه کان فی السابق عالماً غیر فاسق، فیستصحب هذا العنوان المقیّد، و یجری علیه حکم العامّ فی الزمان اللّاحق، کما هو واضح</w:t>
      </w:r>
      <w:r>
        <w:rPr>
          <w:rFonts w:eastAsia="IRNazanin" w:cs="IRNazanin"/>
          <w:color w:val="111111"/>
          <w:sz w:val="28"/>
          <w:szCs w:val="28"/>
          <w:rtl w:val="true"/>
          <w:lang w:bidi="fa-IR"/>
        </w:rPr>
        <w:t>.</w:t>
      </w:r>
    </w:p>
    <w:p>
      <w:pPr>
        <w:pStyle w:val="Heading6"/>
        <w:numPr>
          <w:ilvl w:val="5"/>
          <w:numId w:val="1"/>
        </w:numPr>
        <w:rPr/>
      </w:pPr>
      <w:bookmarkStart w:id="524" w:name="__RefHeading___Toc5145997_73709187"/>
      <w:bookmarkStart w:id="525" w:name="_Toc198"/>
      <w:bookmarkEnd w:id="524"/>
      <w:r>
        <w:rPr>
          <w:rtl w:val="true"/>
        </w:rPr>
        <w:t>الأمر الرابع</w:t>
      </w:r>
      <w:r>
        <w:rPr>
          <w:rtl w:val="true"/>
        </w:rPr>
        <w:t xml:space="preserve">: </w:t>
      </w:r>
      <w:r>
        <w:rPr>
          <w:rtl w:val="true"/>
        </w:rPr>
        <w:t>التمسّک بالعامّ إذا شکّ فی فرد من غیر جهة التخصیص</w:t>
      </w:r>
      <w:bookmarkEnd w:id="525"/>
    </w:p>
    <w:p>
      <w:pPr>
        <w:pStyle w:val="BookText"/>
        <w:rPr/>
      </w:pPr>
      <w:r>
        <w:rPr>
          <w:rFonts w:ascii="IRNazanin" w:hAnsi="IRNazanin" w:eastAsia="IRNazanin"/>
          <w:color w:val="111111"/>
          <w:sz w:val="28"/>
          <w:sz w:val="28"/>
          <w:szCs w:val="28"/>
          <w:rtl w:val="true"/>
          <w:lang w:bidi="fa-IR"/>
        </w:rPr>
        <w:t>حکی عن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التمسّک بالعامّ فیما إذا شکّ فی فرد لا من جهة التخصیص، بل من جهة اخری،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شکّ فی صحّة الوضوء بالمائع المضاف، فیتمسّک فی صحّته بعموم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أوفوا بالنذور، فیما إذا وقع متعلّقاً للنذر، فیقال هذا الوضوء یجب الوفاء به للعموم، و کلّ ما یجب الوفاء به فلا محالة یکون صحیحاً؛ للقطع بعدم وجوب الوفاء بالفاسد</w:t>
      </w:r>
      <w:r>
        <w:rPr>
          <w:rStyle w:val="FootnoteAnchor"/>
          <w:rtl w:val="true"/>
        </w:rPr>
        <w:footnoteReference w:id="207"/>
      </w:r>
      <w:r>
        <w:rPr>
          <w:rFonts w:ascii="IRNazanin" w:hAnsi="IRNazanin" w:eastAsia="IRNazanin"/>
          <w:color w:val="111111"/>
          <w:sz w:val="28"/>
          <w:sz w:val="28"/>
          <w:szCs w:val="28"/>
          <w:rtl w:val="true"/>
          <w:lang w:bidi="fa-IR"/>
        </w:rPr>
        <w:t>، و یستنتج صحّة الوضوء بالمضاف و لو لم یتعلّق به النذر، و کذا القول فی إطاعة الوالدین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ایّدَ ذلک بصحّة الصوم فی السفر و الإحرام قبل المیقات إذا تعلّق النذر بهما کذلک، و بصحّة النافلة فی وقت الفریضة إذا صارت متعلّقةً للنذر</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لا یخفی عدم تمامیة هذا الکلام؛ فإنّ هنا دلیلین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الوفاء بالنذور مثلاً،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انعقاد النذر إلاّ فی طاعة اللّه، فمع الشکّ فی</w:t>
      </w:r>
      <w:bookmarkStart w:id="526" w:name="pg11586_104884"/>
    </w:p>
    <w:p>
      <w:pPr>
        <w:pStyle w:val="BookText"/>
        <w:rPr/>
      </w:pPr>
      <w:bookmarkEnd w:id="526"/>
      <w:r>
        <w:rPr>
          <w:rFonts w:ascii="IRNazanin" w:hAnsi="IRNazanin" w:eastAsia="IRNazanin"/>
          <w:color w:val="111111"/>
          <w:sz w:val="28"/>
          <w:sz w:val="28"/>
          <w:szCs w:val="28"/>
          <w:rtl w:val="true"/>
          <w:lang w:bidi="fa-IR"/>
        </w:rPr>
        <w:t>صحّة الوضوء بالمضاف لا مجال للتمسّک بعموم الدلیل الأوّل؛ لأنّ مرجع الشکّ فیها إلی الشکّ فی کونه طاعةً للّه، فیرجع إلی التمسّک بالعامّ فی الشبهة المصداقیة للمخصّص، و لو فرض وجود دلیل واحد نظراً إلی حکومة الدلیل الثانی علی الأوّل لا مخصّصاً له، فعدم الجواز مستند إلی أنّ إثبات حکم العامّ متوقّف علی إحراز موضوعه؛ إذ لا یمکن إثبات الصغری بسبب الکبری،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قضیّة الأمثلة المذکورة هو الاختصاص بصورة النذر، فلا ترتبط بالمقام، مضافاً إلی أنّها لیست مورداً للشکّ؛ للعلم بالحرمة و البطلان قبل تعلّق النذر و بارتفاعها بعده، و توجیه الأوّلین بأحد الوجوه المذکورة فی الکفایة</w:t>
      </w:r>
      <w:r>
        <w:rPr>
          <w:rStyle w:val="FootnoteAnchor"/>
          <w:rtl w:val="true"/>
        </w:rPr>
        <w:footnoteReference w:id="208"/>
      </w:r>
      <w:r>
        <w:rPr>
          <w:rFonts w:ascii="IRNazanin" w:hAnsi="IRNazanin" w:eastAsia="IRNazanin"/>
          <w:color w:val="111111"/>
          <w:sz w:val="28"/>
          <w:sz w:val="28"/>
          <w:szCs w:val="28"/>
          <w:rtl w:val="true"/>
          <w:lang w:bidi="fa-IR"/>
        </w:rPr>
        <w:t>، کما أنّ توجیه الأخیر المذکور فی الدّرر</w:t>
      </w:r>
      <w:r>
        <w:rPr>
          <w:rStyle w:val="FootnoteAnchor"/>
          <w:rtl w:val="true"/>
        </w:rPr>
        <w:footnoteReference w:id="209"/>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pStyle w:val="Heading6"/>
        <w:numPr>
          <w:ilvl w:val="5"/>
          <w:numId w:val="1"/>
        </w:numPr>
        <w:rPr/>
      </w:pPr>
      <w:bookmarkStart w:id="527" w:name="__RefHeading___Toc5145999_73709187"/>
      <w:bookmarkStart w:id="528" w:name="_Toc199"/>
      <w:bookmarkEnd w:id="527"/>
      <w:r>
        <w:rPr>
          <w:rtl w:val="true"/>
        </w:rPr>
        <w:t>الأمر الخامس</w:t>
      </w:r>
      <w:r>
        <w:rPr>
          <w:rtl w:val="true"/>
        </w:rPr>
        <w:t xml:space="preserve">: </w:t>
      </w:r>
      <w:r>
        <w:rPr>
          <w:rtl w:val="true"/>
        </w:rPr>
        <w:t>التمسّک بالعامّ عند الشکّ بین التخصیص و التخصّص</w:t>
      </w:r>
      <w:bookmarkEnd w:id="528"/>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علم بحرمة إکرام زید مثلاً و لکن شکّ فی أنّه عالم، فیکون الدلیل الدالّ علی حرمة إکرامه مخصّصاً لإکرام العلماء، فیترتّب علیه الأحکام المترتّبة علی العالم، أو جاهل فلم یرد تخصیص علی العموم فیترتّب علیه الأحکام المترتّبة علی الجاهل، فهل یجوز التمسّک بأصالة العموم فی إثبات أنّه غیر عالم أو لا؟ ظاهر المحکیّ عن الأصحاب فی موارد کثیرة هو الجواز حیث إنّهم ذکروا فی مسألة عدم نجاسة الغسالة أنّ الدلیل علی ذلک أنّها لا ینجّس المحل؛ إذ لو کانت نجسةً مع عدم تنجّس المحلّ بها، یلزم التخصیص فی عموم کلّ نجس</w:t>
      </w:r>
    </w:p>
    <w:p>
      <w:pPr>
        <w:pStyle w:val="BookText"/>
        <w:rPr/>
      </w:pPr>
      <w:r>
        <w:rPr>
          <w:rFonts w:ascii="IRNazanin" w:hAnsi="IRNazanin" w:eastAsia="IRNazanin"/>
          <w:color w:val="111111"/>
          <w:sz w:val="28"/>
          <w:sz w:val="28"/>
          <w:szCs w:val="28"/>
          <w:rtl w:val="true"/>
          <w:lang w:bidi="fa-IR"/>
        </w:rPr>
        <w:t>منجّس، فأصالة العموم یقتضی منجّسیّة جمیع النجاسات ممّا لا یکون بمنجّس لا یکون نجساً علی ما هو مقتضی عکس نقیضه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حکی عن المقالات أنّ أصالة العموم و إن کانت جاریةً إلاّ أنّ عکس نقیض القضیة الذی هو لازم لها لا یثبت بها؛ لأنّ الدلیل علیها هو بناء العقلاء، و لم یثبت بناؤهم علی ترتیب اللّوازم علیها، و للمقام نظائر کثیرة من حیث التفکیک بین اللازم و الملزوم فی عدم إثبات الثانی بالأوّل، و کذا العکس</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التحقیق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جریان أصالة العموم فی أمثال المقام مورد تأمّل و إشکال؛ لأنّ مدرکها هو بناء العقلاء، فیحتاج فی جریانها فیه إلی إحراز بنائهم، مع أنّ المتیقّن ما إذا کان المراد غیر معلوم،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شکّ فی وجوب إکرام زید العالم بعد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 العلماء، و أمّا إذا علم مراده و شکّ فی علمه لأن یترتّب علیه الأحکام الاُخر، فلم یعلم استقرار بنائهم علی التمسّک به، نظیر أصالة الحقیقة التی ینحصر مورد جریانها بما إذا شکّ فی کون المراد هل هو المعنی الحقیقی أو المجازی، و أمّا إذا علم بالمراد و لکن لم یعلم أنّه معنی حقیقی للّفظ و مجازی له، فلا تجری أصالة الحقیقة لإثبات أنّ المعنی المراد معنی حقیقی له، فالإنصاف أنّه لا یجری الأصل فی المقام حتّی یتکلّم فی إثبات اللوازم به أوّلاً</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ذکرنا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مانع من التمسّک بأصالة العموم فیما لو علم بحرمة إکرام زید و لکن شکّ فی أنّ المراد به هو زید العالم، فیکون مخصّصاً، أو زید الجاهل، فیکون تخصّصاً</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الجریان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بالنسبة إلی زید العالم مشکوک، لأنّه لا یعلم أنّه هل یجب إکرامه أم لا، فلا بأس بالتمسّک بأصالة العموم لإثبات وجوب إکرامه، فیترتّب علیه حرمة زید الجاهل، و یصیر مدلول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تکرم زیداً، مبیّناً حینئذٍ؛ لخروجه عن الإجمال بسبب وجوب إکرام زید العالم الثابت بأصالة العموم، فتأمّل فی الفرق بین المسألتین حتّی لا یختلط علیک الأمر</w:t>
      </w:r>
      <w:r>
        <w:rPr>
          <w:rFonts w:eastAsia="IRNazanin" w:cs="IRNazanin"/>
          <w:color w:val="111111"/>
          <w:sz w:val="28"/>
          <w:szCs w:val="28"/>
          <w:rtl w:val="true"/>
          <w:lang w:bidi="fa-IR"/>
        </w:rPr>
        <w:t>.</w:t>
      </w:r>
      <w:bookmarkStart w:id="529" w:name="pg11586_104887"/>
    </w:p>
    <w:p>
      <w:pPr>
        <w:pStyle w:val="BookText"/>
        <w:rPr/>
      </w:pPr>
      <w:bookmarkEnd w:id="529"/>
      <w:r>
        <w:rPr>
          <w:rFonts w:ascii="IRNazanin" w:hAnsi="IRNazanin" w:eastAsia="IRNazanin"/>
          <w:color w:val="111111"/>
          <w:sz w:val="28"/>
          <w:sz w:val="28"/>
          <w:szCs w:val="28"/>
          <w:rtl w:val="true"/>
          <w:lang w:bidi="fa-IR"/>
        </w:rPr>
        <w:t>فی وجوب الفحص عن المخصّص</w:t>
      </w:r>
    </w:p>
    <w:p>
      <w:pPr>
        <w:pStyle w:val="Heading3"/>
        <w:numPr>
          <w:ilvl w:val="2"/>
          <w:numId w:val="1"/>
        </w:numPr>
        <w:rPr/>
      </w:pPr>
      <w:bookmarkStart w:id="530" w:name="__RefHeading___Toc5146001_73709187"/>
      <w:bookmarkStart w:id="531" w:name="_Toc200"/>
      <w:bookmarkEnd w:id="530"/>
      <w:r>
        <w:rPr>
          <w:rtl w:val="true"/>
        </w:rPr>
        <w:t>الفصل الثالث فی وجوب الفحص عن المخصّص</w:t>
      </w:r>
      <w:bookmarkEnd w:id="531"/>
    </w:p>
    <w:p>
      <w:pPr>
        <w:pStyle w:val="Heading4"/>
        <w:numPr>
          <w:ilvl w:val="3"/>
          <w:numId w:val="1"/>
        </w:numPr>
        <w:rPr/>
      </w:pPr>
      <w:bookmarkStart w:id="532" w:name="__RefHeading___Toc5146003_73709187"/>
      <w:bookmarkStart w:id="533" w:name="_Toc201"/>
      <w:bookmarkEnd w:id="532"/>
      <w:r>
        <w:rPr>
          <w:rtl w:val="true"/>
        </w:rPr>
        <w:t>اشارة</w:t>
      </w:r>
      <w:bookmarkEnd w:id="533"/>
    </w:p>
    <w:p>
      <w:pPr>
        <w:pStyle w:val="BookText"/>
        <w:rPr/>
      </w:pPr>
      <w:r>
        <w:rPr>
          <w:rFonts w:ascii="IRNazanin" w:hAnsi="IRNazanin" w:eastAsia="IRNazanin"/>
          <w:color w:val="111111"/>
          <w:sz w:val="28"/>
          <w:sz w:val="28"/>
          <w:szCs w:val="28"/>
          <w:rtl w:val="true"/>
          <w:lang w:bidi="fa-IR"/>
        </w:rPr>
        <w:t>هل یجوز التمسّک بالعامّ قبل الفحص عن المخصّص أم لا؟ فیه خلاف</w:t>
      </w:r>
      <w:r>
        <w:rPr>
          <w:rFonts w:eastAsia="IRNazanin" w:cs="IRNazanin"/>
          <w:color w:val="111111"/>
          <w:sz w:val="28"/>
          <w:szCs w:val="28"/>
          <w:rtl w:val="true"/>
          <w:lang w:bidi="fa-IR"/>
        </w:rPr>
        <w:t>.</w:t>
      </w:r>
    </w:p>
    <w:p>
      <w:pPr>
        <w:pStyle w:val="Heading4"/>
        <w:numPr>
          <w:ilvl w:val="3"/>
          <w:numId w:val="1"/>
        </w:numPr>
        <w:rPr/>
      </w:pPr>
      <w:bookmarkStart w:id="534" w:name="__RefHeading___Toc5146005_73709187"/>
      <w:bookmarkStart w:id="535" w:name="_Toc202"/>
      <w:bookmarkEnd w:id="534"/>
      <w:r>
        <w:rPr>
          <w:rtl w:val="true"/>
        </w:rPr>
        <w:t>تقریر محطّ البحث و محلّ النزاع</w:t>
      </w:r>
      <w:bookmarkEnd w:id="535"/>
    </w:p>
    <w:p>
      <w:pPr>
        <w:pStyle w:val="BookText"/>
        <w:rPr/>
      </w:pPr>
      <w:r>
        <w:rPr>
          <w:rFonts w:ascii="IRNazanin" w:hAnsi="IRNazanin" w:eastAsia="IRNazanin"/>
          <w:color w:val="111111"/>
          <w:sz w:val="28"/>
          <w:sz w:val="28"/>
          <w:szCs w:val="28"/>
          <w:rtl w:val="true"/>
          <w:lang w:bidi="fa-IR"/>
        </w:rPr>
        <w:t>و لیکن محلّ البحث ممحّضاً فی أنّ أصالة العموم هل یکون متّبعةً مطلقاً، أو بعد الفحص و الیأس؟ بعد الفراغ عن حجّیتها من باب الظنّ النوعی و عدم اختصاص حجّیتها بالمشافهین، و لم یکن العامّ معلوم التخصیص تفصیلاً أو إجمالاً، کما أنّ الظاهر اختصاصه بالمخصّص المنفصل، و أمّا المتّصل فلا یکون احتماله مانعاً من التمسّک بها مطلقاً؛ لأنّه نظیر قرینة المجاز، و قد قام الإجماع علی عدم الاعتناء باحتمالها</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ظهر لک ذلک، فاعلم أنّ التحقیق یقتضی التفصیل فی الموارد، کما فی الکفایة</w:t>
      </w:r>
      <w:r>
        <w:rPr>
          <w:rStyle w:val="FootnoteAnchor"/>
          <w:rtl w:val="true"/>
        </w:rPr>
        <w:footnoteReference w:id="211"/>
      </w:r>
      <w:r>
        <w:rPr>
          <w:rFonts w:ascii="IRNazanin" w:hAnsi="IRNazanin" w:eastAsia="IRNazanin"/>
          <w:color w:val="111111"/>
          <w:sz w:val="28"/>
          <w:sz w:val="28"/>
          <w:szCs w:val="28"/>
          <w:rtl w:val="true"/>
          <w:lang w:bidi="fa-IR"/>
        </w:rPr>
        <w:t>و القول بلزوم الفحص فیما إذا کان العامّ فی معرض التخصیص، نظیر</w:t>
      </w:r>
    </w:p>
    <w:p>
      <w:pPr>
        <w:pStyle w:val="BookText"/>
        <w:rPr/>
      </w:pPr>
      <w:r>
        <w:rPr>
          <w:rFonts w:ascii="IRNazanin" w:hAnsi="IRNazanin" w:eastAsia="IRNazanin"/>
          <w:color w:val="111111"/>
          <w:sz w:val="28"/>
          <w:sz w:val="28"/>
          <w:szCs w:val="28"/>
          <w:rtl w:val="true"/>
          <w:lang w:bidi="fa-IR"/>
        </w:rPr>
        <w:t>العمومات الواقعة فی القوانین التی یجعلها العقلاء لنظام امورهم علی ما هو المتداول بینهم، فإنّ جعل القانون یقتضی أن یجعل فی الأوّل أمراً کلیّاً ثمّ بیان المخصّصات و المستثنیات فی الفصول المتأخّرة و القوانین الموضوعة فی الشریعة إنّما هی علی هذا المنوال، و لم تکن مجعولةً علی غیر النهج المتعارف بین العقلاء المقنّنین للقوانین الدنیویة التی یکون المقصود بها انتظام امورهم، و هذا بخلاف العمومات الواقعة فی ألسنة أهل المحاورات التی لو کان المقصود بها غیر ما هو ظاهرها لاتّصل به ما یدلّ علی ذلک نوعاً، و لم یکن دأبهم بیان العموم ثمّ ذکر المخصّص لو کان مخصّصاً فی البین، فأصالة العموم فی هذا النحو من العمومات متّبعة مطلقاً، بخلاف ما کان من قبیل الأوّل، فإنّ جریانها فیه مشروط بالفحص و الیأس عن الظفر بالخاصّ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الفحص هنا أیضاً یکون عمّا لا حجّیة للعامّ بدون الفحص عنه نظیره فی الاُصول العملیة التی لم تکن حجّةً قبل الفحص أصلاً؛ لما عرفت من أنّ جریانها مشروط بالفحص فقبله لا یکون هنا حجّة أصلاً؛ لتوقّف الحجیّة علی إحراز کون مدلول الکلام مراداً جدّیاً للمولی، و هذا المعنی إنّما یثبت بعد جریان أصالة العموم التی تکون مشروطةً بالفحص، فعدم جریانها قبله یوجب عدم حجّیة العامّ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فظهر أنّ العامّ قبل الفحص عن المخصّص لا یکون حجّةً أصلاً، کما أنّ الاُصول العملیة أیضاً کذلک</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فانقدح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ما فی الکفایة</w:t>
      </w:r>
      <w:r>
        <w:rPr>
          <w:rStyle w:val="FootnoteAnchor"/>
          <w:rtl w:val="true"/>
        </w:rPr>
        <w:footnoteReference w:id="212"/>
      </w:r>
      <w:r>
        <w:rPr>
          <w:rFonts w:ascii="IRNazanin" w:hAnsi="IRNazanin" w:eastAsia="IRNazanin"/>
          <w:color w:val="111111"/>
          <w:sz w:val="28"/>
          <w:sz w:val="28"/>
          <w:szCs w:val="28"/>
          <w:rtl w:val="true"/>
          <w:lang w:bidi="fa-IR"/>
        </w:rPr>
        <w:t>من الفرق بین الفحص فی المقامین بأنّ الفحص هنا عمّا یزاحم الحجّیة، بخلافه هناک؛ فإنّه بدونه لا حجّة</w:t>
      </w:r>
      <w:r>
        <w:rPr>
          <w:rFonts w:eastAsia="IRNazanin" w:cs="IRNazanin"/>
          <w:color w:val="111111"/>
          <w:sz w:val="28"/>
          <w:szCs w:val="28"/>
          <w:rtl w:val="true"/>
          <w:lang w:bidi="fa-IR"/>
        </w:rPr>
        <w:t>.</w:t>
      </w:r>
      <w:bookmarkStart w:id="536" w:name="pg11586_104889"/>
    </w:p>
    <w:p>
      <w:pPr>
        <w:pStyle w:val="BookText"/>
        <w:rPr/>
      </w:pPr>
      <w:bookmarkEnd w:id="536"/>
      <w:r>
        <w:rPr>
          <w:rFonts w:ascii="Amiri" w:hAnsi="Amiri" w:eastAsia="Amiri" w:cs="Amiri"/>
          <w:color w:val="111111"/>
          <w:sz w:val="28"/>
          <w:sz w:val="28"/>
          <w:szCs w:val="28"/>
          <w:rtl w:val="true"/>
          <w:lang w:bidi="ar-SA"/>
        </w:rPr>
        <w:t>وجه الفساد ما عرفت من أنّ العامّ قبل الفحص أیضاً لا یکون حجّةً؛ لما 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لا یخفی أنّه و إن لم یکن حجّة قبله إلاّ أنّ ظهوره فی العموم قد انعقد و استقرّ و لو بعد التخصیص، سواء کانت العمومات من قبیل الأوّل أو الثانی؛ إذ مجرّد جری العادة علی ذکر المخصّصات منفصلاً لا یوجب إلاّ عدم حجّیة العامّ قبل الفحص عنها، لا عدم انعقاد ظهور له فی العموم، و علیه فلو کان الخاصّ دائراً بین الأقلّ و الأکثر، لا یسری إجماله إلی العامّ أصلاً بل یرفع الید عن ذلک الظهور بالمقدار الذی یکون الخاصّ فیه حجّةً، و یحکم فی الباقی بتطابق الإرادة الجدّیة مع الاستعمالیة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فی الدّرر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حال المخصّص المنفصل فی کلام المتکلّم الذی جرت عادته علی بیان الخاصّ منفصلاً حال المخصّص المتّصل فی کلام غیره، فیسری إجماله فی الفرض المذکور إلی العامّ </w:t>
      </w:r>
      <w:r>
        <w:rPr>
          <w:rStyle w:val="FootnoteAnchor"/>
          <w:rtl w:val="true"/>
        </w:rPr>
        <w:footnoteReference w:id="2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نظر بل منع، فتدبّر</w:t>
      </w:r>
      <w:r>
        <w:rPr>
          <w:rFonts w:eastAsia="Amiri" w:cs="Amiri" w:ascii="Amiri" w:hAnsi="Amiri"/>
          <w:color w:val="111111"/>
          <w:sz w:val="28"/>
          <w:szCs w:val="28"/>
          <w:rtl w:val="true"/>
          <w:lang w:bidi="ar-SA"/>
        </w:rPr>
        <w:t>.</w:t>
      </w:r>
    </w:p>
    <w:p>
      <w:pPr>
        <w:pStyle w:val="Heading4"/>
        <w:numPr>
          <w:ilvl w:val="3"/>
          <w:numId w:val="1"/>
        </w:numPr>
        <w:rPr/>
      </w:pPr>
      <w:bookmarkStart w:id="537" w:name="__RefHeading___Toc5146007_73709187"/>
      <w:bookmarkStart w:id="538" w:name="_Toc203"/>
      <w:bookmarkEnd w:id="537"/>
      <w:r>
        <w:rPr>
          <w:rtl w:val="true"/>
        </w:rPr>
        <w:t>الاستدلال علی لزوم الفحص بالعلم الإجمالی</w:t>
      </w:r>
      <w:bookmarkEnd w:id="538"/>
    </w:p>
    <w:p>
      <w:pPr>
        <w:pStyle w:val="BookText"/>
        <w:rPr/>
      </w:pPr>
      <w:r>
        <w:rPr>
          <w:rFonts w:ascii="IRNazanin" w:hAnsi="IRNazanin" w:eastAsia="IRNazanin"/>
          <w:color w:val="111111"/>
          <w:sz w:val="28"/>
          <w:sz w:val="28"/>
          <w:szCs w:val="28"/>
          <w:rtl w:val="true"/>
          <w:lang w:bidi="fa-IR"/>
        </w:rPr>
        <w:t>ثمّ إنّک عرفت أنّ محلّ النزاع فی هذا المقام هو ما إذا لم یکن العامّ من أطراف ما عُلم إجمالاً بتخصیصه، و لکن بعضهم عمّموا النزاع، و استدلّوا علی لزوم الفحص بالعلم الإجمالی بورود المخصّصات علی العمومات</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تقریبه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نعلم إجمالاً بوجود مقیّدات و مخصّصات للعمومات و الإطلاقات فیما بأیدینا من الکتب بل مطلق الجوامع و لو ما لم یصل منها إلینا، کما هو معلوم لکلّ مَنْ راجعها، و من المعلوم عدم جریان الاُصول فی أطراف العلم الإجمالی کما قد قرّر فی محلّه</w:t>
      </w:r>
      <w:r>
        <w:rPr>
          <w:rFonts w:eastAsia="IRNazanin" w:cs="IRNazanin"/>
          <w:color w:val="111111"/>
          <w:sz w:val="28"/>
          <w:szCs w:val="28"/>
          <w:rtl w:val="true"/>
          <w:lang w:bidi="fa-IR"/>
        </w:rPr>
        <w:t>.</w:t>
      </w:r>
      <w:bookmarkStart w:id="539" w:name="pg11586_104890"/>
    </w:p>
    <w:p>
      <w:pPr>
        <w:pStyle w:val="Heading4"/>
        <w:numPr>
          <w:ilvl w:val="3"/>
          <w:numId w:val="1"/>
        </w:numPr>
        <w:rPr/>
      </w:pPr>
      <w:bookmarkStart w:id="540" w:name="__RefHeading___Toc5146009_73709187"/>
      <w:bookmarkStart w:id="541" w:name="_Toc204"/>
      <w:bookmarkEnd w:id="539"/>
      <w:bookmarkEnd w:id="540"/>
      <w:r>
        <w:rPr>
          <w:rtl w:val="true"/>
        </w:rPr>
        <w:t>الإشکال فی الاستدلال بانحلال العلم الإجمالی</w:t>
      </w:r>
      <w:bookmarkEnd w:id="541"/>
    </w:p>
    <w:p>
      <w:pPr>
        <w:pStyle w:val="BookText"/>
        <w:rPr/>
      </w:pPr>
      <w:r>
        <w:rPr>
          <w:rFonts w:ascii="IRNazanin" w:hAnsi="IRNazanin" w:eastAsia="IRNazanin"/>
          <w:color w:val="111111"/>
          <w:sz w:val="28"/>
          <w:sz w:val="28"/>
          <w:szCs w:val="28"/>
          <w:rtl w:val="true"/>
          <w:lang w:bidi="fa-IR"/>
        </w:rPr>
        <w:t>و قد استشکل فی جعل مدرک لزوم الفحص هو العلم الإجمالی بما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العلم الإجمالی بذلک و إن اقتضی عدم جریان الأصل قبل الفحص إلاّ أنّه بعد الفحص و العثور علی المقدار المتیقّن من المخصّصات یصیر العلم الإجمالی منحلا، کما هو الحال فی کلّ علم إجمالی تردّدت أطرافه بین الأقلّ و الأکثر، فإنّه بعد العثور علی الأقلّ ینحلّ العلم الإجمالی و یکون الأکثر شبهة بدویّة یجری فیه الأصل، و لا بدّ أن یکون فی المقام مقدار متیقّن للعلم الإجمالی بوجود المخصّصات فی الکتب؛ إذ لا یمکن أن لا یکون له مقدار متیقّن، فمع العثور علی ذلک المقدار ینحلّ العلم، و حینئذٍ فلا یجب الفحص فی سائر الشبهات؛ لجریان الاُصول اللفظیّة فیها مع أنّه لا یقول به أحد</w:t>
      </w:r>
      <w:r>
        <w:rPr>
          <w:rStyle w:val="FootnoteAnchor"/>
          <w:rtl w:val="true"/>
        </w:rPr>
        <w:footnoteReference w:id="21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إلی أنّ الفحص فی الکتب التی بأیدینا لا یوجب جواز إجراء الاُصول؛ لأنّ دائرة العلم الإجمالی أوسع من هذه الکتب، فلازم ذلک عدم جواز التمسّک بالعمومات و لو بعد الفحص أیضاً</w:t>
      </w:r>
      <w:r>
        <w:rPr>
          <w:rFonts w:eastAsia="IRNazanin" w:cs="IRNazanin"/>
          <w:color w:val="111111"/>
          <w:sz w:val="28"/>
          <w:szCs w:val="28"/>
          <w:rtl w:val="true"/>
          <w:lang w:bidi="fa-IR"/>
        </w:rPr>
        <w:t>.</w:t>
      </w:r>
    </w:p>
    <w:p>
      <w:pPr>
        <w:pStyle w:val="Heading4"/>
        <w:numPr>
          <w:ilvl w:val="3"/>
          <w:numId w:val="1"/>
        </w:numPr>
        <w:rPr/>
      </w:pPr>
      <w:bookmarkStart w:id="542" w:name="__RefHeading___Toc5146011_73709187"/>
      <w:bookmarkStart w:id="543" w:name="_Toc205"/>
      <w:bookmarkEnd w:id="542"/>
      <w:r>
        <w:rPr>
          <w:rtl w:val="true"/>
        </w:rPr>
        <w:t>جواب المحقّق النائینی عن انحلال العلم الإجمالی</w:t>
      </w:r>
      <w:bookmarkEnd w:id="543"/>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أجاب المحقّق النائینی عن الانحلال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فی التقریرات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المعلوم بالإجمال تارةً یکون مرسلاً غیر معلّم بعلامة یشار إلیه بها، و اخری یکون معلّماً بعلامة یشار إلیه بها، و انحلال العلم الإجمالی بالعثور علی المقدار المتیقّن إنّما یکون فی الصورة الاُولی، و أمّا الصورة الثانیة فلا ینحلّ</w:t>
      </w:r>
    </w:p>
    <w:p>
      <w:pPr>
        <w:pStyle w:val="BookText"/>
        <w:rPr/>
      </w:pPr>
      <w:r>
        <w:rPr>
          <w:rFonts w:ascii="IRNazanin" w:hAnsi="IRNazanin" w:eastAsia="IRNazanin"/>
          <w:color w:val="111111"/>
          <w:sz w:val="28"/>
          <w:sz w:val="28"/>
          <w:szCs w:val="28"/>
          <w:rtl w:val="true"/>
          <w:lang w:bidi="fa-IR"/>
        </w:rPr>
        <w:t>بذلک، بل حاله حال دوران الأمر بین المتباینین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ضابط القسمین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العلم الإجمالی کلیّاً إنّما یکون علی سبیل المنفصلة المانعة الخلوّ المنحلّة إلی قضیّتین حملیّتین، و هاتان القضیّتان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إحداهما من أوّل الأمر متیقّنة و الاُخری مشکوکة بحیث یکون العلم الإجمالی ناشئاً منهما، و یکون العلم الإجمالی عبارة عن ضمّ القضیّة المتیقّنة إلی المشکوکة، کما إذا علم إجمالاً بأنّه مدیون لزید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تردّد بین أن یکون خمسة دراهم أو عشرة، فإنّ هذا العلم الإجمالی لیس إلاّ عبارة عن قضیة متیقّنة و هی کونه مدیوناً لزید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بخمسة دراهم، و قضیة مشکوکة، و هی کونه مدیوناً له بخمسة زائدة علی الخمسة المتیقّنة، ففی مثل هذا العلم الإجمالی ینحلّ قهراً بالعثور علی المقدار المتیقّن؛ إذ لا علم حقیقة إلاّ بذلک المقدار، و الزائد کان مشکوکاً من أوّل الأمر، و لم یکن من أطراف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تکون القضیّتان علی هذا النحو، بل تعلّق العلم بالأطراف علی وجه تکون جمیع الأطراف ممّا تعلّق العلم بها بوجه بحیث لو کان الأکثر هو الواجب، لکان ممّا تعلّق به العلم و تنجّز بسببه، و لیس الأکثر مشکوکاً من أوّل الأمر، و ذلک فی کلّ ما یکون المعلوم بالإجمال معلّماً لعلامة کان قد تعلّق العلم به بتلک العلامة، فیکون کلّ ما اندرج تحتها ممّا تعلّق به العلم بلا فرق بین الأقلّ و الأکثر</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علمت بأنّک مدیون لزید بما فی الدفتر، فإنّ جمیع ما فیه من دین له قد تعلّق العلم به، سواء کان دینه خمسة أو عشرة، بخلاف الصورة الاُولی، فإنّ قضیّة کونه مدیوناً لزید بعشرة کانت مشکوکة من أوّل الأمر، و فی مثل هذا لیس له الاقتصار علی المتیقّن؛ إذ لا مؤمّن له علی تقدیر ثبوت الأکثر فی الواقع بعد ما نالَه العلم و أصابه، فحال العلم الإجمالی فی مثل هذا الأقلّ</w:t>
      </w:r>
      <w:bookmarkStart w:id="544" w:name="pg11586_104892"/>
    </w:p>
    <w:p>
      <w:pPr>
        <w:pStyle w:val="BookText"/>
        <w:rPr/>
      </w:pPr>
      <w:bookmarkEnd w:id="544"/>
      <w:r>
        <w:rPr>
          <w:rFonts w:ascii="IRNazanin" w:hAnsi="IRNazanin" w:eastAsia="IRNazanin"/>
          <w:color w:val="111111"/>
          <w:sz w:val="28"/>
          <w:sz w:val="28"/>
          <w:szCs w:val="28"/>
          <w:rtl w:val="true"/>
          <w:lang w:bidi="fa-IR"/>
        </w:rPr>
        <w:t>و الأکثر حاله فی المتباینین فی وجوب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هنا علمین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إجمالی بکونه مدیوناً لزید بجمیع ما فی الدفتر و علم إجمالی آخر بأنّ دینه عشرة أو خمسة، و انحلال الثانی الغیر المقتضی لوجوب الاحتیاط بالنسبة إلی العشرة لا ینافی العلم الإجمالی الأوّل المقتضی للاحتیاط بالنسبة إلیها؛ لعدم التزاحم بین اللّامقتضی و المقتضی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نحن فیه من قبیل الثانی؛ لأنّ العلم قد تعلّق بأنّ فی الکتب التی بأیدینا مقیّدات و مخصّصات، فیکون نظیر تعلّقه بأنّه مدیون لزید بما فی الدفتر، و قد عرفت عدم الانحلال فی هذا النحو بالعثور علی المقدار المتیقّن، بل لا بد فیه من الفحص التامّ فی جمیع ما بأیدینا من الکتب</w:t>
      </w:r>
      <w:r>
        <w:rPr>
          <w:rStyle w:val="FootnoteAnchor"/>
          <w:rtl w:val="true"/>
        </w:rPr>
        <w:footnoteReference w:id="2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Heading4"/>
        <w:numPr>
          <w:ilvl w:val="3"/>
          <w:numId w:val="1"/>
        </w:numPr>
        <w:rPr/>
      </w:pPr>
      <w:bookmarkStart w:id="545" w:name="__RefHeading___Toc5146013_73709187"/>
      <w:bookmarkStart w:id="546" w:name="_Toc206"/>
      <w:bookmarkEnd w:id="545"/>
      <w:r>
        <w:rPr>
          <w:rtl w:val="true"/>
        </w:rPr>
        <w:t>أقول</w:t>
      </w:r>
      <w:r>
        <w:rPr>
          <w:rtl w:val="true"/>
        </w:rPr>
        <w:t xml:space="preserve">: </w:t>
      </w:r>
      <w:r>
        <w:rPr>
          <w:rtl w:val="true"/>
        </w:rPr>
        <w:t>الظاهر عدم تمامیّة هذا الکلام، فإنّه یرد علیه</w:t>
      </w:r>
      <w:r>
        <w:rPr>
          <w:rtl w:val="true"/>
        </w:rPr>
        <w:t>:</w:t>
      </w:r>
      <w:bookmarkEnd w:id="546"/>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النقض بجمیع الموارد التی تردّد الأمر فیها بین الأقلّ و الأکثر؛ لأنّه فیها و إن کان المعلوم بالإجمال مردّداً بینهما إلاّ أنّه تعلّق علم آخر بشیء من المقارنات، فمقتضی ما ذکره إصابة العلم بالنسبة إلی الأکثر أیضاً، فیجب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دار دین زید بین خمسة أو عشرة، و لکنّه یعلم بأنّ دینه کان فی الکیس، أو کان فی الیوم الفلانی، أو فی المجلس الفلانی، فإنّ دینه و إن کان مردّداً بینهما، و لکنّه یعلم بأنّ دینه هو ما فی الکیس، أو ما أدّاه إلیه فی الیوم الفلانی، أو المجلس الفلانی، و من المعلوم بناءً علیه إصابة العلم بالنسبة إلی الأکثر، فیجب الاحتیاط مع أنّه لم یقل به أحد، و لا یلتزم القائل به أیضاً</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 و 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العناوین التی یتعلّق بها العلم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یکون ذلک العنوان بنفسه موضوعاً للأثر الشرعی، و قسم لا یکون کذلک، بل یکون من المقارنات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الأوّل فتارة یکون ذلک العنوان أمراً بسیطاً و مصادیقه المتحقّقة فی الخارج محصّلات له، کالطهور بناءً علی أن یکون عبارةً عمّا یحصل من الوضوء أو الغسل مثلاً، و اخری یکون أمراً مرکّباً، کإکرام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إشکال فی وجوب الاحتیاط فی الأوّل لو دار أمر المحصّل لذلک العنوان بین الأقلّ و الأکثر؛ لأنّ الصلاة مثلاً مشروطة بتحقّق الطهور، و قد تعلّق العلم باشتراطها بهذا العنوان، و مع الإتیان بالأقلّ لا یعلم بحصوله، مع أنّه شرط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 ففی وجوب الاحتیاط فیه خلاف، و یأتی تحقیقه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فی العناوین التی تکون بنفسها موضوعةً للآثار الشرعیة، و أمّا العناوین التی لا تکون کذلک، مثل عنوان ما فی الدفتر و ما فی الکیس و غیرهما من العناوین التی لا تکون بنفسها مترتّبة علیها الأحکام بل تکون من الاُمور المقارنة للموضوع للحکم الشرعی و الملازمة له فی الخارج، فلا وجه لوجوب الاحتیاط فیها، بل اللّازم ملاحظة ما هو الموضوع للأثر الشرعی، و المفروض أنّ أمره دائر بین الأقلّ و الأکثر، و الأصل یجری بالنسبة إلی الأکثر، کما اعترف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فالعلم المتعلّق بهذا العنوان لا یعقل أن یصیر سبباً لتنجّز الحکم بعد عدم کون ذلک العنوان موضوعاً له</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فدعوی أنّ ذلک العلم یقتضی التنجّز و لو کان متعلّقاً بالأکثر، ممنوعة جدّاً، و مسألتنا من هذا القبیل؛ ضرورة أنّ العلم الموجب للتنجّز هو العلم بوجود المخصّصات و المقیّدات لا بما أنّها موجودة فی الکتب و الجوامع؛ لأنّ هذا العنوان</w:t>
      </w:r>
      <w:bookmarkStart w:id="547" w:name="pg11586_104894"/>
    </w:p>
    <w:p>
      <w:pPr>
        <w:pStyle w:val="BookText"/>
        <w:rPr/>
      </w:pPr>
      <w:bookmarkEnd w:id="547"/>
      <w:r>
        <w:rPr>
          <w:rFonts w:ascii="IRNazanin" w:hAnsi="IRNazanin" w:eastAsia="IRNazanin"/>
          <w:color w:val="111111"/>
          <w:sz w:val="28"/>
          <w:sz w:val="28"/>
          <w:szCs w:val="28"/>
          <w:rtl w:val="true"/>
          <w:lang w:bidi="fa-IR"/>
        </w:rPr>
        <w:t>من المقارنات التی لا یضرّ عدمها، و لا ینفع وجودها، کما هو واضح، فینحصر العلم المنجّز بما یکون معلومه من أوّل الأمر مردّداً بین الأقلّ و الأکثر، و هو مجری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المثال الذی ذکره یجب الاحتیاط، لا لتعلّق العلم بذلک العنوان؛ لوجوبه فی شبهاته البدویّة أیضاً علی ما ذکروه فی مبحث البراءة من أنّ جریان الأصل فی الشبهات الموضوعیة مشروط بأن لا یکون قادراً علی إحراز الواقع بمجرّد أدنی تفحّص، فإذا شکّ فی أنّه مدیون لزید، فلا یجوز له إجراء البراءة بعد العلم بأنّه بمراجعة الدفتر یظهر له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عمّموا جریانها فی بعض الشبهات الموضوعیة، کالشبهة من حیث النجاسة؛ لورود النصّ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فما ذکره من وجوب الاحتیاط فی القسم الثانی من جهة العلم الإجمالی ممّا لا یتمّ أصلاً، کما عرفت، فبقی الإشکال علی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ما ذکره جواباً علی ذیل الإشکال الراجع إلی منع کون دائرة العلم أوسع ممّا بأیدینا من الکتب و الجوامع، ممّا لا یبعد الالتزام به، کما أنّ صاحب المقالات أجاب عنه بمثل ما ذکره حیث ذکر أنّ بعد الفحص و عدم الظفر بالمعارض یستکشف خروج هذا المورد عن دائرة العلم؛ لأنّ أطرافه هی المعارضات التی لو تفحّص عنها لظفر به، فعدم الظفر یکشف عن خروجه عن أطراف العلم</w:t>
      </w:r>
      <w:r>
        <w:rPr>
          <w:rFonts w:eastAsia="IRNazanin" w:cs="IRNazanin"/>
          <w:color w:val="111111"/>
          <w:sz w:val="28"/>
          <w:szCs w:val="28"/>
          <w:rtl w:val="true"/>
          <w:lang w:bidi="fa-IR"/>
        </w:rPr>
        <w:t>.</w:t>
      </w:r>
    </w:p>
    <w:p>
      <w:pPr>
        <w:pStyle w:val="Heading4"/>
        <w:numPr>
          <w:ilvl w:val="3"/>
          <w:numId w:val="1"/>
        </w:numPr>
        <w:rPr/>
      </w:pPr>
      <w:bookmarkStart w:id="548" w:name="__RefHeading___Toc5146015_73709187"/>
      <w:bookmarkStart w:id="549" w:name="_Toc207"/>
      <w:bookmarkEnd w:id="548"/>
      <w:r>
        <w:rPr>
          <w:rtl w:val="true"/>
        </w:rPr>
        <w:t>جواب آخر عن انحلال العلم الإجمالی</w:t>
      </w:r>
      <w:bookmarkEnd w:id="549"/>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أجاب به عن الانحلال ممّا هذه عبارته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مقدار المعلوم کمّاً و إن کان بالأخرة معلوماً بحیث ینتهی الزائد منه إلی الشکّ البدوی، و لکن هذا المقدار</w:t>
      </w:r>
    </w:p>
    <w:p>
      <w:pPr>
        <w:pStyle w:val="BookText"/>
        <w:rPr/>
      </w:pPr>
      <w:r>
        <w:rPr>
          <w:rFonts w:ascii="IRNazanin" w:hAnsi="IRNazanin" w:eastAsia="IRNazanin"/>
          <w:color w:val="111111"/>
          <w:sz w:val="28"/>
          <w:sz w:val="28"/>
          <w:szCs w:val="28"/>
          <w:rtl w:val="true"/>
          <w:lang w:bidi="fa-IR"/>
        </w:rPr>
        <w:t>إذا کان مردّداً بین محتملات متباینات منتشرات فی أبواب الفقه من أوّله إلی آخره، یصیر جمیع الشکوک فی تمام الأبواب طرف هذا العلم، فیمنع عن الأخذ به قبل فحصه، و فی هذه الصورة لا یفید الظفر بالمعارض بمقدار المعلوم؛ إذ مثل هذا العلم الحاصل جدیداً بکون المعلوم بالإجمال فی غیر هذه الشکوک الباقیة التی کانت ظرفاً من الأوّل للاحتمال فی المتباینات نظیر العلوم الحاصلة بعد العلم الإجمالی غیر قابلة للانحلال، فقهراً الاحتمال القائم فی المورد الموجب لکونه من الأوّل طرفاً للعلم منجّز للواقع بمقدار استعداده، فلا محیص أن یفحص کی یعدم ظفره بالمخصّص بکشف خروجه عن دائرة العلم المزبور من الأوّل، و هذه الجهة هی النکتة فی أخذ هذا القید فی دائرة العلم، و إلّا فیلزم عدم الاکتفاء بالفحص و لو ظفرنا بمقدار المعلوم فضلاً عمّا لو لم نظفر کما هو ظاهر</w:t>
      </w:r>
      <w:r>
        <w:rPr>
          <w:rStyle w:val="FootnoteAnchor"/>
          <w:rtl w:val="true"/>
        </w:rPr>
        <w:footnoteReference w:id="2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ظفرنا بعد التفحّص بالمخصّصات المنتشرة فی أبواب الفقه بمقدار المعلوم یقیناً، فلا وجه لعدم انحلال العلم الإجمالی بسبب ذلک؛ لأنّه یصیر کالعلم تفصیلاً بنجاسة أحد من الإناءین اللذین علم بنجاسة أحدهما إجمالاً؛ إذ بعده یصیر الإناء الآخر مشکوک النجاسة التی هی مجری قاعدة الطهارة؛ لکون الشکّ فی نجاسته شکّاً بدویّاً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علم تفصیلاً بنجاسة حادثة غیر النجاسة المعلومة بالإجمال، لا یرتفع أثر العلم الإجمالی بالنسبة إلی الطرف الآخر بذلک، و لکنّ المقام من قبیل الصورة الاُولی کما هو واضح</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أمّا إذا ظفرنا بعد التفحّص بمقدار المعلوم إجمالاً فی بعض الأبواب</w:t>
      </w:r>
    </w:p>
    <w:p>
      <w:pPr>
        <w:pStyle w:val="BookText"/>
        <w:rPr/>
      </w:pPr>
      <w:r>
        <w:rPr>
          <w:rFonts w:ascii="IRNazanin" w:hAnsi="IRNazanin" w:eastAsia="IRNazanin"/>
          <w:color w:val="111111"/>
          <w:sz w:val="28"/>
          <w:sz w:val="28"/>
          <w:szCs w:val="28"/>
          <w:rtl w:val="true"/>
          <w:lang w:bidi="fa-IR"/>
        </w:rPr>
        <w:t>فقط، فلا محالة یکشف ذلک إمّا عن بطلان العلم بالانتشار فی جمیع الأبواب الذی أوجب الفحص فی الجمیع، و إمّا عن کون مقدار المعلوم بالإجمال أزید ممّا ظفرنا به من المخصّصات؛ إذ مع اجتماع العلم بالانتشار و العلم بذلک المقدار یمتنع الظفر به فی خصوص بعض الأبواب، فإذا بطل الأوّل، فلا یبقی مجال للفحص فی الزائد عنه، و إذا بطل الثانی بحدوث علم آخر، فیقع الإشکال فی الزائد عن ذلک المقدار الذی لا بدّ أن یکون مقداراً معیّناً؛ إذ حینئذٍ یصیر الشکّ فی الزائد شکّاً بدویّاً، 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فالإنصاف أنّ هذا الجواب نظیر سابقه فی الضعف</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مقدار الفحص اللّازم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الاستدلال علیه بما ذکره فی الکفایة</w:t>
      </w:r>
      <w:r>
        <w:rPr>
          <w:rStyle w:val="FootnoteAnchor"/>
          <w:rtl w:val="true"/>
        </w:rPr>
        <w:footnoteReference w:id="217"/>
      </w:r>
      <w:r>
        <w:rPr>
          <w:rFonts w:ascii="IRNazanin" w:hAnsi="IRNazanin" w:eastAsia="IRNazanin"/>
          <w:color w:val="111111"/>
          <w:sz w:val="28"/>
          <w:sz w:val="28"/>
          <w:szCs w:val="28"/>
          <w:rtl w:val="true"/>
          <w:lang w:bidi="fa-IR"/>
        </w:rPr>
        <w:t xml:space="preserve">و اخترناه تبعاً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الفحص بمقدار یخرج معه العامّ عن معرضیة التخصیص بالیأس عن الظفر به، و أمّا بناء علی الاستدلال بالعلم الإجمالی، فالمقدار اللازم منه هو الذی خرج معه المورد عن أطرافه، کما لا یخفی</w:t>
      </w:r>
      <w:r>
        <w:rPr>
          <w:rFonts w:eastAsia="IRNazanin" w:cs="IRNazanin"/>
          <w:color w:val="111111"/>
          <w:sz w:val="28"/>
          <w:szCs w:val="28"/>
          <w:rtl w:val="true"/>
          <w:lang w:bidi="fa-IR"/>
        </w:rPr>
        <w:t>.</w:t>
      </w:r>
      <w:bookmarkStart w:id="550" w:name="pg11586_104897"/>
    </w:p>
    <w:p>
      <w:pPr>
        <w:pStyle w:val="BookText"/>
        <w:rPr/>
      </w:pPr>
      <w:bookmarkEnd w:id="550"/>
      <w:r>
        <w:rPr>
          <w:rFonts w:ascii="IRNazanin" w:hAnsi="IRNazanin" w:eastAsia="IRNazanin"/>
          <w:color w:val="111111"/>
          <w:sz w:val="28"/>
          <w:sz w:val="28"/>
          <w:szCs w:val="28"/>
          <w:rtl w:val="true"/>
          <w:lang w:bidi="fa-IR"/>
        </w:rPr>
        <w:t>عدم اختصاص الخطابات بالحاضرین</w:t>
      </w:r>
    </w:p>
    <w:p>
      <w:pPr>
        <w:pStyle w:val="Heading3"/>
        <w:numPr>
          <w:ilvl w:val="2"/>
          <w:numId w:val="1"/>
        </w:numPr>
        <w:rPr/>
      </w:pPr>
      <w:bookmarkStart w:id="551" w:name="__RefHeading___Toc5146017_73709187"/>
      <w:bookmarkStart w:id="552" w:name="_Toc208"/>
      <w:bookmarkEnd w:id="551"/>
      <w:r>
        <w:rPr>
          <w:rtl w:val="true"/>
        </w:rPr>
        <w:t>الفصل الرابع فی عموم الخطابات الشفاهیّة لغیر الحاضرین</w:t>
      </w:r>
      <w:bookmarkEnd w:id="552"/>
    </w:p>
    <w:p>
      <w:pPr>
        <w:pStyle w:val="Heading4"/>
        <w:numPr>
          <w:ilvl w:val="3"/>
          <w:numId w:val="1"/>
        </w:numPr>
        <w:rPr/>
      </w:pPr>
      <w:bookmarkStart w:id="553" w:name="__RefHeading___Toc5146019_73709187"/>
      <w:bookmarkStart w:id="554" w:name="_Toc209"/>
      <w:bookmarkEnd w:id="553"/>
      <w:r>
        <w:rPr>
          <w:rtl w:val="true"/>
        </w:rPr>
        <w:t>اشارة</w:t>
      </w:r>
      <w:bookmarkEnd w:id="554"/>
    </w:p>
    <w:p>
      <w:pPr>
        <w:pStyle w:val="BookText"/>
        <w:rPr/>
      </w:pPr>
      <w:r>
        <w:rPr>
          <w:rFonts w:ascii="IRNazanin" w:hAnsi="IRNazanin" w:eastAsia="IRNazanin"/>
          <w:color w:val="111111"/>
          <w:sz w:val="28"/>
          <w:sz w:val="28"/>
          <w:szCs w:val="28"/>
          <w:rtl w:val="true"/>
          <w:lang w:bidi="fa-IR"/>
        </w:rPr>
        <w:t>هل الخطابات الشفاهیة تختصّ بالموجودین فی زمن الخطاب بل الحاضرین مجلس التخاطب، أو یعمّ المعدومین فضلاً عن الغائبین عنه؟</w:t>
      </w:r>
    </w:p>
    <w:p>
      <w:pPr>
        <w:pStyle w:val="BookText"/>
        <w:rPr/>
      </w:pPr>
      <w:r>
        <w:rPr>
          <w:rFonts w:ascii="Amiri" w:hAnsi="Amiri" w:eastAsia="Amiri" w:cs="Amiri"/>
          <w:color w:val="111111"/>
          <w:sz w:val="28"/>
          <w:sz w:val="28"/>
          <w:szCs w:val="28"/>
          <w:rtl w:val="true"/>
          <w:lang w:bidi="ar-SA"/>
        </w:rPr>
        <w:t>و لا یخفی عدم اختصاص النزاع بما یتضمّن خطاباً، بل یجری فی جمیع الأحکام الموضوعة علی العناوین الکلّیة و لو لم یکن بلسان الخطاب، مثل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عَلَی النّاسِ حِجُّ الْبَیْتِ مَنِ اسْتَطاعَ إِلَیْهِ سَبِیلاً</w:t>
      </w:r>
      <w:r>
        <w:rPr>
          <w:rFonts w:eastAsia="Amiri" w:cs="Amiri" w:ascii="Amiri" w:hAnsi="Amiri"/>
          <w:color w:val="111111"/>
          <w:sz w:val="28"/>
          <w:szCs w:val="28"/>
          <w:rtl w:val="true"/>
          <w:lang w:bidi="ar-SA"/>
        </w:rPr>
        <w:t xml:space="preserve">» </w:t>
      </w:r>
      <w:r>
        <w:rPr>
          <w:rStyle w:val="FootnoteAnchor"/>
          <w:rtl w:val="true"/>
        </w:rPr>
        <w:footnoteReference w:id="218"/>
      </w:r>
      <w:r>
        <w:rPr>
          <w:rFonts w:ascii="IRNazanin" w:hAnsi="IRNazanin" w:eastAsia="IRNazanin"/>
          <w:color w:val="111111"/>
          <w:sz w:val="28"/>
          <w:sz w:val="28"/>
          <w:szCs w:val="28"/>
          <w:rtl w:val="true"/>
          <w:lang w:bidi="fa-IR"/>
        </w:rPr>
        <w:t>لجریان الملاک فیه أیضاً، کما سیأتی</w:t>
      </w:r>
      <w:r>
        <w:rPr>
          <w:rFonts w:eastAsia="IRNazanin" w:cs="IRNazanin"/>
          <w:color w:val="111111"/>
          <w:sz w:val="28"/>
          <w:szCs w:val="28"/>
          <w:rtl w:val="true"/>
          <w:lang w:bidi="fa-IR"/>
        </w:rPr>
        <w:t>.</w:t>
      </w:r>
    </w:p>
    <w:p>
      <w:pPr>
        <w:pStyle w:val="Heading4"/>
        <w:numPr>
          <w:ilvl w:val="3"/>
          <w:numId w:val="1"/>
        </w:numPr>
        <w:rPr/>
      </w:pPr>
      <w:bookmarkStart w:id="555" w:name="__RefHeading___Toc5146021_73709187"/>
      <w:bookmarkStart w:id="556" w:name="_Toc210"/>
      <w:bookmarkEnd w:id="555"/>
      <w:r>
        <w:rPr>
          <w:rtl w:val="true"/>
        </w:rPr>
        <w:t>تقریر محلّ النزاع</w:t>
      </w:r>
      <w:bookmarkEnd w:id="556"/>
    </w:p>
    <w:p>
      <w:pPr>
        <w:pStyle w:val="Heading5"/>
        <w:numPr>
          <w:ilvl w:val="4"/>
          <w:numId w:val="1"/>
        </w:numPr>
        <w:rPr/>
      </w:pPr>
      <w:bookmarkStart w:id="557" w:name="__RefHeading___Toc5146023_73709187"/>
      <w:bookmarkStart w:id="558" w:name="_Toc211"/>
      <w:bookmarkEnd w:id="557"/>
      <w:r>
        <w:rPr>
          <w:rtl w:val="true"/>
        </w:rPr>
        <w:t>اشارة</w:t>
      </w:r>
      <w:bookmarkEnd w:id="558"/>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لا بدّ قبل الخوض فی تحقیق المقام من بیان ما یمکن أن یکون محلاّ للبحث بین الأعلام،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الکفایة أنّه یمکن أن یکون النزاع فی صحّة تعلّق التکلیف بالمعدومین أو فی صحّة المخاطبة معهم أو فی صیرورة</w:t>
      </w:r>
    </w:p>
    <w:p>
      <w:pPr>
        <w:pStyle w:val="BookText"/>
        <w:rPr/>
      </w:pPr>
      <w:r>
        <w:rPr>
          <w:rFonts w:ascii="IRNazanin" w:hAnsi="IRNazanin" w:eastAsia="IRNazanin"/>
          <w:color w:val="111111"/>
          <w:sz w:val="28"/>
          <w:sz w:val="28"/>
          <w:szCs w:val="28"/>
          <w:rtl w:val="true"/>
          <w:lang w:bidi="fa-IR"/>
        </w:rPr>
        <w:t>عموم المتعلّق قرینة علی التصرّف فی أدوات الخطاب و العکس، فالنزاع علی الأوّلین عقلی، و علی الأخیر لغوی</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النزاع علی الوجهین الأوّلین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یعقل وقوعه بین الأعلام بعد وضوح استحالة بعث المعدوم أو زجره، و کذا توجیه الخطاب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النزاع علی الوجه الأخیر الذی یرجع إلی أمر لغوی، فهو مستبعد جدّاً؛ لأنّ الظاهر کون النزاع بینهم إنّما هو فی أمر عقلی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الحقّ أن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النزاع إنّما هو</w:t>
      </w:r>
      <w:r>
        <w:rPr>
          <w:rStyle w:val="FootnoteAnchor"/>
          <w:rtl w:val="true"/>
        </w:rPr>
        <w:footnoteReference w:id="220"/>
      </w:r>
      <w:r>
        <w:rPr>
          <w:rFonts w:ascii="IRNazanin" w:hAnsi="IRNazanin" w:eastAsia="IRNazanin"/>
          <w:color w:val="111111"/>
          <w:sz w:val="28"/>
          <w:sz w:val="28"/>
          <w:szCs w:val="28"/>
          <w:rtl w:val="true"/>
          <w:lang w:bidi="fa-IR"/>
        </w:rPr>
        <w:t>فی أنّ شمول الخطابات القرآنیّة و الأحکام المتعلّقة بالعناوین الکلّیة الواردة فیها للمعدومین هل یستلزم تعلّق التکلیف بهم و المخاطبة معهم الممتنع عقلاً بداهةً، أو لا یستلزم ذلک الأمر المستحیل؟ فالنزاع إنّما هو فی الملازمة بین الأمرین التی هی أمر عقلی</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التحقیق عدم الاستلزام؛ لأنّ تلک الأحکام موضوعة علی المکلّفین بنحو</w:t>
      </w:r>
      <w:bookmarkStart w:id="559" w:name="pg11586_104899"/>
    </w:p>
    <w:p>
      <w:pPr>
        <w:pStyle w:val="BookText"/>
        <w:rPr/>
      </w:pPr>
      <w:bookmarkEnd w:id="559"/>
      <w:r>
        <w:rPr>
          <w:rFonts w:ascii="IRNazanin" w:hAnsi="IRNazanin" w:eastAsia="IRNazanin"/>
          <w:color w:val="111111"/>
          <w:sz w:val="28"/>
          <w:sz w:val="28"/>
          <w:szCs w:val="28"/>
          <w:rtl w:val="true"/>
          <w:lang w:bidi="fa-IR"/>
        </w:rPr>
        <w:t>القضایا الحقیقیّة لا الخارجیة، و توضیح ذلک یتوقّف علی بیان المراد منهما</w:t>
      </w:r>
      <w:r>
        <w:rPr>
          <w:rFonts w:eastAsia="IRNazanin" w:cs="IRNazanin"/>
          <w:color w:val="111111"/>
          <w:sz w:val="28"/>
          <w:szCs w:val="28"/>
          <w:rtl w:val="true"/>
          <w:lang w:bidi="fa-IR"/>
        </w:rPr>
        <w:t>.</w:t>
      </w:r>
    </w:p>
    <w:p>
      <w:pPr>
        <w:pStyle w:val="Heading5"/>
        <w:numPr>
          <w:ilvl w:val="4"/>
          <w:numId w:val="1"/>
        </w:numPr>
        <w:rPr/>
      </w:pPr>
      <w:bookmarkStart w:id="560" w:name="__RefHeading___Toc5146025_73709187"/>
      <w:bookmarkStart w:id="561" w:name="_Toc212"/>
      <w:bookmarkEnd w:id="560"/>
      <w:r>
        <w:rPr>
          <w:rtl w:val="true"/>
        </w:rPr>
        <w:t>تحقیق</w:t>
      </w:r>
      <w:r>
        <w:rPr>
          <w:rtl w:val="true"/>
        </w:rPr>
        <w:t xml:space="preserve">: </w:t>
      </w:r>
      <w:r>
        <w:rPr>
          <w:rtl w:val="true"/>
        </w:rPr>
        <w:t>فی القضایا الحقیقیّة</w:t>
      </w:r>
      <w:bookmarkEnd w:id="561"/>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القضایا الحقیقیة هی القضایا التی یکون الحکم فیها مترتّباً علی جمیع أفراد الطبیعة من غیر اختصاص بالأفراد الموجودة خارجاً، بل کلّ فرد وُجد مصداقاً لها یترتّب علیه الحکم، فإذا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نار حارّة، فقد جعل الموضوع هو جمیع أفراد النار أعمّ من الموجودة و المعدومة، و ذلک لما عرفت سابقاً من أنّ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سائر الأسماء الموضوعة للطبیعة المطلقة إنّما تدلّ بالوضع علی نفس الطبیعة الموضوعة بإزائها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کما لا یمکن أن تکون الطبیعة مرآةً للأفراد و الخصوصیّات، کذلک لا یحکی اللّفظ الموضوع بإزائها إلاّ عن نفس الطبیعة المجرّدة عن القیود التی منها نفس الوجود، فکلمة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حاکیة عن نفس ماهیّتها التی هی مقسم للموجودیة و المعدومیة</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المضافة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عرفت سابقاً أنّها موضوعة لإفادة استیعاب أفراد مدخولها، و لا دلالة لها علی خصوص الأفراد الموجودة، بل مدلولها هو استیعاب الأفراد التی تقبل الاتّصاف بالوجود تارةً و بالعدم اخری، و بهما ثالثةً،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أفراد الطبیعة بعضها موجود و بعضها معدوم، فظهر عدم اختصاص مدلولها أیضاً بالأفراد الموجودة، و من المعلوم أنّ إضافة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اللّفظ الموضوع لنفس الطبیعة المطلقة لا تدلّ علی أمر وراء استیعاب أفراد تلک الطبیعة الواقعة مدخولة لها، فالموضوع فی أمثال تلک القضایا إنّما هو جمیع أفراد الطبیعة بما أنّها مصداق لها، 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 کلّ عالم، یکون الموضوع فیه هو إکرام کلّ عالم بما أنّه مصداق لطبیعة لا بما أنّه زید أو عمرو أو بکر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قد اشتهر بین أهل الفن أنّ القضیّة الحقیقیّة برزخ بین الطبیعة الصرفة و الکثرة المحضة؛ إذ لا یکون الموضوع فیها هی نفس الطبیعة؛ لوضوح الفرق بینها و بین القضیّة الطبیعیّة، و لا الکثرة المحضة؛ لعدم ملاحظة الکثرات، بل لا یعقل ذلک فی جمیع أفراد الطبیعة، کما هو واضح، بل الموضوع فیها هو عنوان کلّ عالم مثلاً، الذی هو عنوان إجمالی لأفراد طبیعة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لا یتوهّم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الحکم علی جمیع الأفراد أعمّ من الموجودة و المعدومة أنّ ذلک مستلزم لإثبات شیء علی المعدوم فی حال عدمه؛ لأنّ المعدوم لا یکون شیئاً حتّی یکون فرداً للماهیة، فما دام لم تنصبغ الماهیّة بصبغة الموجود لا تکون ماهیّةً أصلاً، فالنار المعدوم بالفعل لا تکون ناراً حتّی یترتّب علیها الحکم المترتّب علی جمیع أفراد النار، فاعتبار الوجود فی ترتّب الحکم علیه إنّما هو لعدم کونه مصداقاً لها بدون ذلک، لا لکون الاتّصاف به مأخوذاً فی الموضوع، کیف و قد عرفت أنّه لیس فی الموضوع ما یدلّ علی الاختصاص بالأفراد الموجودة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وقع فی التقریرات المنسوبة إلی المحقّق النائینی من تفسیر القضیّة الحقیقیة بما إذا لوحظ الأفراد المعدومة بمنزلة الأفراد الموجودة تنزیلاً للمعدوم منزلة الموجود ثمّ جعلها موضوعاً للحکم</w:t>
      </w:r>
      <w:r>
        <w:rPr>
          <w:rStyle w:val="FootnoteAnchor"/>
          <w:rtl w:val="true"/>
        </w:rPr>
        <w:footnoteReference w:id="221"/>
      </w:r>
      <w:r>
        <w:rPr>
          <w:rFonts w:ascii="IRNazanin" w:hAnsi="IRNazanin" w:eastAsia="IRNazanin"/>
          <w:color w:val="111111"/>
          <w:sz w:val="28"/>
          <w:sz w:val="28"/>
          <w:szCs w:val="28"/>
          <w:rtl w:val="true"/>
          <w:lang w:bidi="fa-IR"/>
        </w:rPr>
        <w:t>، ممّا لا یرتبط بمعنی القضیّة الحقیقیّة المذکورة فی فنّها، بل الوجدان أیضاً یأبی عن ذلک؛ لأنّا لا نری فی أنفسنا حین إلقاء هذا النحو من القضایا فرض المعدومین بمنزلة الموجودین، و تنزیلهم منزلتهم، کما لا یخفی</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فاعلم أنّ القوانین المجعولة فی العالم التی یوضعها العقلاء</w:t>
      </w:r>
      <w:bookmarkStart w:id="562" w:name="pg11586_104901"/>
    </w:p>
    <w:p>
      <w:pPr>
        <w:pStyle w:val="BookText"/>
        <w:rPr/>
      </w:pPr>
      <w:bookmarkEnd w:id="562"/>
      <w:r>
        <w:rPr>
          <w:rFonts w:ascii="IRNazanin" w:hAnsi="IRNazanin" w:eastAsia="IRNazanin"/>
          <w:color w:val="111111"/>
          <w:sz w:val="28"/>
          <w:sz w:val="28"/>
          <w:szCs w:val="28"/>
          <w:rtl w:val="true"/>
          <w:lang w:bidi="fa-IR"/>
        </w:rPr>
        <w:t>المقنّنین لها إنّما هو علی هذا النحو الذی عرفت؛ لأنّ بناءهم علی جعلها لیعمل بها الأفراد، و أکثرها خالیة عن المخاطبة، و القانون الإسلامی المجعول فی شریعتنا إنّما هو علی هذا النحو مع خصوصیّة زائدة، و هو عدم إمکان المخاطبة فیه بالنسبة إلی الناس، ضرورة عدم قابلیّة البشر العادی لأن یصیر مخاطباً للّه تعالی؛ إذ طریق ذلک الوحی، و هو منحصر بالأنبیاء العظام علیهم السلام و باقی الناس أبعد من هذه المرحلة بمراحل، و إظهار الوحی الجاری بلسان الرسول صلی الله علیه و آله و سلم إنّما هو علی طریق التبلیغ لا بنحو المخاطبة، فالخطاب بنحو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أَوْفُوا بِالْعُقُودِ</w:t>
      </w:r>
      <w:r>
        <w:rPr>
          <w:rFonts w:eastAsia="IRNazanin" w:cs="IRNazanin"/>
          <w:color w:val="111111"/>
          <w:sz w:val="28"/>
          <w:szCs w:val="28"/>
          <w:rtl w:val="true"/>
          <w:lang w:bidi="fa-IR"/>
        </w:rPr>
        <w:t xml:space="preserve">» </w:t>
      </w:r>
      <w:r>
        <w:rPr>
          <w:rStyle w:val="FootnoteAnchor"/>
          <w:rtl w:val="true"/>
        </w:rPr>
        <w:footnoteReference w:id="222"/>
      </w:r>
      <w:r>
        <w:rPr>
          <w:rFonts w:ascii="IRNazanin" w:hAnsi="IRNazanin" w:eastAsia="IRNazanin"/>
          <w:color w:val="111111"/>
          <w:sz w:val="28"/>
          <w:sz w:val="28"/>
          <w:szCs w:val="28"/>
          <w:rtl w:val="true"/>
          <w:lang w:bidi="fa-IR"/>
        </w:rPr>
        <w:t>مثلاً لا یکون المخاطب فیها أحد من المؤمنین أصلاً، بل إنّما هو خطاب کتبی حفظ بالکتب لیعمل به کلّ مَنْ نظر إلیه، نظیر الخطابات الواقعة فی قوانین العقلاء المکتوبة المنتشرة بین الناس لیطّلعوا علیها فیعملوا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الخطابات الواقعة فی الشریعة لا تشمل الحاضرین أیضاً بنحو یکونوا هم المخاطبین فضلاً عن أن تکون منحصرةً بهم أو عامّةً لجمیع المکلّفین، و التعبیر بالخطابات الشفاهیة أیضاً مسامحة؛ لما عرفت من عدم کون واحد من المکلّفین مخاطباً بها أصلاً، بل إنّما هی قوانین کلّیة بصورة المخاطبة أوحی اللّه تعالی بها نبیّه صلی الله علیه و آله و سلم و هو بلّغها إلی الناس کما انزلت علی قلبه صلی الله علیه و آله و سلم</w:t>
      </w:r>
      <w:r>
        <w:rPr>
          <w:rFonts w:eastAsia="IRNazanin" w:cs="IRNazanin"/>
          <w:color w:val="111111"/>
          <w:sz w:val="28"/>
          <w:szCs w:val="28"/>
          <w:rtl w:val="true"/>
          <w:lang w:bidi="fa-IR"/>
        </w:rPr>
        <w:t>.</w:t>
      </w:r>
    </w:p>
    <w:p>
      <w:pPr>
        <w:pStyle w:val="Heading4"/>
        <w:numPr>
          <w:ilvl w:val="3"/>
          <w:numId w:val="1"/>
        </w:numPr>
        <w:rPr/>
      </w:pPr>
      <w:bookmarkStart w:id="563" w:name="__RefHeading___Toc5146027_73709187"/>
      <w:bookmarkStart w:id="564" w:name="_Toc213"/>
      <w:bookmarkEnd w:id="563"/>
      <w:r>
        <w:rPr>
          <w:rtl w:val="true"/>
        </w:rPr>
        <w:t>تنبیه</w:t>
      </w:r>
      <w:r>
        <w:rPr>
          <w:rtl w:val="true"/>
        </w:rPr>
        <w:t xml:space="preserve">: </w:t>
      </w:r>
      <w:r>
        <w:rPr>
          <w:rtl w:val="true"/>
        </w:rPr>
        <w:t>فی کیفیة القوانین الواردة فی الشریعة</w:t>
      </w:r>
      <w:bookmarkEnd w:id="564"/>
    </w:p>
    <w:p>
      <w:pPr>
        <w:pStyle w:val="BookText"/>
        <w:rPr/>
      </w:pPr>
      <w:r>
        <w:rPr>
          <w:rFonts w:ascii="IRNazanin" w:hAnsi="IRNazanin" w:eastAsia="IRNazanin"/>
          <w:color w:val="111111"/>
          <w:sz w:val="28"/>
          <w:sz w:val="28"/>
          <w:szCs w:val="28"/>
          <w:rtl w:val="true"/>
          <w:lang w:bidi="fa-IR"/>
        </w:rPr>
        <w:t>و تلخّص ممّا ذکرنا أنّ القوانین الواردة فی الشریعة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لا یکون مشتملاً علی الخطاب، بل إنّما جعل الحکم علی العناوین الکلّیة، مثل</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وجوب الحجّ الموضوع علی عنوان المستطیع، و قسم یشتمل علی الخطاب، مثل</w:t>
      </w:r>
    </w:p>
    <w:p>
      <w:pPr>
        <w:pStyle w:val="BookText"/>
        <w:rPr/>
      </w:pPr>
      <w:r>
        <w:rPr>
          <w:rFonts w:ascii="IRNazanin" w:hAnsi="IRNazanin" w:eastAsia="IRNazanin"/>
          <w:color w:val="111111"/>
          <w:sz w:val="28"/>
          <w:sz w:val="28"/>
          <w:szCs w:val="28"/>
          <w:rtl w:val="true"/>
          <w:lang w:bidi="fa-IR"/>
        </w:rPr>
        <w:t>المثال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فالإشکال المتقدّم الذی یرجع إلی استلزام عدم الاختصاص بالحاضرین فی زمان صدوره لتکلیف المعدوم المستحیل بداهة یندفع بما ذکرناه من کون العناوین المأخوذة فی موضوعات الأحکام إنّما اخذت علی سبیل القضیّة الحقیقیة بالمعنی الذی تقدّم، و هذا المعنی لا یستلزم أن یکون المعدوم فی حال العدم مکلّفاً؛ لأنّ عنوان المستطیع إنّما یصدق علی خصوص المکلّف الموجود الحاصل له الاستطاعة، فکما أنّه لا یصدق علی المکلّف الغیر المستطیع کذلک لا یصدق علی المعدوم بطریق أولی؛ لأنّه لیس بشیء، نعم بعد الوجود و صیرورته متّصفاً بذلک الوصف یتحقّق مصداق لذلک العنوان، فیشمله الحکم، کما عرفت تفصیله</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فالإشکال الراجع إلی استحالة المخاطبة مع المعدوم لا یندفع بما ذکر من کون الموضوع علی نحو القضیّة الحقیقیة؛ لأنّ الخطاب بالعنوان الذی جعل موضوعاً فیها غیر معقول؛ إذ لا معنی للخطاب بأفراد الطبیعة أعمّ من الموجودة و المعدومة، فلا بدّ إمّا من الالتزام بتنزیل المعدومین منزلة الموجودین، و إمّا من الالتزام بما ذکر من کون هذه الخطابات خطابات کتبیة، و الأوّل لا دلیل علیه، کما اعترف به الشیخ</w:t>
      </w:r>
      <w:r>
        <w:rPr>
          <w:rStyle w:val="FootnoteAnchor"/>
          <w:rtl w:val="true"/>
        </w:rPr>
        <w:footnoteReference w:id="223"/>
      </w:r>
      <w:r>
        <w:rPr>
          <w:rFonts w:ascii="IRNazanin" w:hAnsi="IRNazanin" w:eastAsia="IRNazanin"/>
          <w:color w:val="111111"/>
          <w:sz w:val="28"/>
          <w:sz w:val="28"/>
          <w:szCs w:val="28"/>
          <w:rtl w:val="true"/>
          <w:lang w:bidi="fa-IR"/>
        </w:rPr>
        <w:t>، و معه لا یمکن القول بالتعمیم، فلا بدّ من الجواب بنحو ما ذکر؛ لما عرفت من استحالة أن یکون الناس مخاطباً للّه تعالی، بل المخاطب فیها هو الرسول صلی الله علیه و آله و سلم و حکایته صلی الله علیه و آله و سلم علی الناس إنّما وقعت علی سبیل التبلیغ و حکایة الوحی، و لا تکون خطاباً منه صلی الله علیه و آله و سلم إلی الناس، کما هو واضح</w:t>
      </w:r>
      <w:r>
        <w:rPr>
          <w:rFonts w:eastAsia="IRNazanin" w:cs="IRNazanin"/>
          <w:color w:val="111111"/>
          <w:sz w:val="28"/>
          <w:szCs w:val="28"/>
          <w:rtl w:val="true"/>
          <w:lang w:bidi="fa-IR"/>
        </w:rPr>
        <w:t>.</w:t>
      </w:r>
      <w:bookmarkStart w:id="565" w:name="pg11586_104903"/>
    </w:p>
    <w:p>
      <w:pPr>
        <w:pStyle w:val="Heading4"/>
        <w:numPr>
          <w:ilvl w:val="3"/>
          <w:numId w:val="1"/>
        </w:numPr>
        <w:rPr/>
      </w:pPr>
      <w:bookmarkStart w:id="566" w:name="__RefHeading___Toc5146029_73709187"/>
      <w:bookmarkStart w:id="567" w:name="_Toc214"/>
      <w:bookmarkEnd w:id="565"/>
      <w:bookmarkEnd w:id="566"/>
      <w:r>
        <w:rPr>
          <w:rtl w:val="true"/>
        </w:rPr>
        <w:t>خاتمة</w:t>
      </w:r>
      <w:r>
        <w:rPr>
          <w:rtl w:val="true"/>
        </w:rPr>
        <w:t xml:space="preserve">: </w:t>
      </w:r>
      <w:r>
        <w:rPr>
          <w:rtl w:val="true"/>
        </w:rPr>
        <w:t>فی الثمرة بین القولین</w:t>
      </w:r>
      <w:bookmarkEnd w:id="567"/>
    </w:p>
    <w:p>
      <w:pPr>
        <w:pStyle w:val="BookText"/>
        <w:rPr/>
      </w:pPr>
      <w:r>
        <w:rPr>
          <w:rFonts w:ascii="IRNazanin" w:hAnsi="IRNazanin" w:eastAsia="IRNazanin"/>
          <w:color w:val="111111"/>
          <w:sz w:val="28"/>
          <w:sz w:val="28"/>
          <w:szCs w:val="28"/>
          <w:rtl w:val="true"/>
          <w:lang w:bidi="fa-IR"/>
        </w:rPr>
        <w:t>بقی الکلام فی الثمرة بین القولین،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قیل بأنّه یظهر لعموم الخطابات الشفاهیة للمعدومین ثمرتان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حجّیة ظهور خطابات الکتاب لهم کالمشافهین</w:t>
      </w:r>
      <w:r>
        <w:rPr>
          <w:rStyle w:val="FootnoteAnchor"/>
          <w:rtl w:val="true"/>
        </w:rPr>
        <w:footnoteReference w:id="22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أورد علیه فی الکفایة بأنّه مبنی علی اختصاص حجّیة الظواهر بالمقصودین بالإفهام، و قد حقّق عدم الاختصاص بهم، و لو سلّم فاختصاص المشافهین بکونهم مقصودین بذلک ممنوع، بل الظاهر أنّ الناس کلّهم إلی یوم القیامة یکونون کذلک و إن لَمْ یعمّهم الخطاب کما یومئ إلیه غیر واحد من الأخبار</w:t>
      </w:r>
      <w:r>
        <w:rPr>
          <w:rStyle w:val="FootnoteAnchor"/>
          <w:rtl w:val="true"/>
        </w:rPr>
        <w:footnoteReference w:id="22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المحقّق النائینی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فی التقریرات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ترتّب الثمرة لا یبتنی علی مقالة المحقّق القمّی؛ فإنّ الخطابات الشفاهیة لو کانت مقصورةً علی المشافهین و لا تعمّ غیرهم، فلا معنی للرجوع إلیها و حجّیتها فی حقّ الغیر، سواء قلنا بمقالة المحقّق القمّی أو لم نقل، فلا ابتناء للثمرة علی ذلک أصلاً</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معنی الرجوع إلیه و حجّیته فی حقّ الغیر لیس هو التمسّک به لإثبات حکم المعدومین حتّی یورد علیه بما ذکر، بل المراد هو التمسّک به لکشف حکم المشافهین بناء علی الاختصاص، ثمّ إجراء أدلّة الاشتراک، و حینئذٍ فیبتنی علی مقالة المحقّق القمّی لو سلّم کونهم مقصودین بالإفهام، کما ذکره فی</w:t>
      </w:r>
    </w:p>
    <w:p>
      <w:pPr>
        <w:pStyle w:val="BookText"/>
        <w:rPr/>
      </w:pPr>
      <w:r>
        <w:rPr>
          <w:rFonts w:ascii="IRNazanin" w:hAnsi="IRNazanin" w:eastAsia="IRNazanin"/>
          <w:color w:val="111111"/>
          <w:sz w:val="28"/>
          <w:sz w:val="28"/>
          <w:szCs w:val="28"/>
          <w:rtl w:val="true"/>
          <w:lang w:bidi="fa-IR"/>
        </w:rPr>
        <w:t>الکفایة</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صحّة التمسّک بإطلاقات الخطابات القرآنیة بناءً علی التعمیم لثبوت الأحکام لمن وجد و بلغ من المعدومین و إن لم یکن متّحداً مع المشافهین فی الصنف، و عدم صحّته علی عدمه؛ لعدم کونها حینئذٍ متکفّلةً لأحکام غیر المشافهین، فلا بدّ من إثبات اتّحاده معهم فی الصنف حتّی یحکم بالاشتراک معهم فی الأحکام، و مع عدم الدلیل 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منحصر بالإجماع، و لا إجماع إلاّ فیما إذا اتّحد الصنف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مجال للتمسّک بها</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لا ریب فی ترتّب هذه الثمرة فیما إذا کان المکلّف البالغ الآن لما کان المشافهون واجدین له ممّا یحتمل مدخلیّته فی ترتّب الحکم و ثبوته و لم یکن ممّا یزول تارةً و یثبت اخری، فإنّه حینئذٍ یمکن أن یکون إطلاق الخطاب إلیهم اتّکالاً علی ثبوت القید بالنسبة إلیهم؛ إذ لا احتیاج إلی التقیید بعد ثبوته فی المخاطبین، فالتمسّک بتلک الخطابات متفرّع علی إثبات اتّحاد الصنف؛ إذ بدونه لا معنی لجریان أدلّة الاشتراک، بخلاف القول بالتعمیم؛ فإنّه یصحّ بناء علیه التمسّک بها لإثبات الأحکام و إن کان الموجودون فی الحال فاقدین لما یحتمل دخله فی الحکم؛ إذ مدخلیّته ترتفع بالإطلاق؛ لأنّه لا مجال له اتّکالاً علی وجدان الحاضرین له؛ لعدم اختصاص الخطاب بهم، کما لا یخفی</w:t>
      </w:r>
      <w:r>
        <w:rPr>
          <w:rFonts w:eastAsia="IRNazanin" w:cs="IRNazanin"/>
          <w:color w:val="111111"/>
          <w:sz w:val="28"/>
          <w:szCs w:val="28"/>
          <w:rtl w:val="true"/>
          <w:lang w:bidi="fa-IR"/>
        </w:rPr>
        <w:t>.</w:t>
      </w:r>
      <w:bookmarkStart w:id="568" w:name="pg11586_104905"/>
    </w:p>
    <w:p>
      <w:pPr>
        <w:pStyle w:val="BookText"/>
        <w:rPr/>
      </w:pPr>
      <w:bookmarkEnd w:id="568"/>
      <w:r>
        <w:rPr>
          <w:rFonts w:ascii="Amiri" w:hAnsi="Amiri" w:eastAsia="Amiri" w:cs="Amiri"/>
          <w:color w:val="111111"/>
          <w:sz w:val="28"/>
          <w:sz w:val="28"/>
          <w:szCs w:val="28"/>
          <w:rtl w:val="true"/>
          <w:lang w:bidi="ar-SA"/>
        </w:rPr>
        <w:t>تعقّب العامّ بالضمیر</w:t>
      </w:r>
    </w:p>
    <w:p>
      <w:pPr>
        <w:pStyle w:val="Heading3"/>
        <w:numPr>
          <w:ilvl w:val="2"/>
          <w:numId w:val="1"/>
        </w:numPr>
        <w:rPr/>
      </w:pPr>
      <w:bookmarkStart w:id="569" w:name="__RefHeading___Toc5146031_73709187"/>
      <w:bookmarkStart w:id="570" w:name="_Toc215"/>
      <w:bookmarkEnd w:id="569"/>
      <w:r>
        <w:rPr>
          <w:rtl w:val="true"/>
        </w:rPr>
        <w:t>الفصل الخامس فی تعقّب العامّ بضمیر یرجع إلی بعض أفراده</w:t>
      </w:r>
      <w:bookmarkEnd w:id="570"/>
    </w:p>
    <w:p>
      <w:pPr>
        <w:pStyle w:val="BookText"/>
        <w:rPr/>
      </w:pPr>
      <w:r>
        <w:rPr>
          <w:rFonts w:ascii="IRNazanin" w:hAnsi="IRNazanin" w:eastAsia="IRNazanin"/>
          <w:color w:val="111111"/>
          <w:sz w:val="28"/>
          <w:sz w:val="28"/>
          <w:szCs w:val="28"/>
          <w:rtl w:val="true"/>
          <w:lang w:bidi="fa-IR"/>
        </w:rPr>
        <w:t>إذا تعقّب العامّ بضمیر یرجع إلی بعض أفراده، یوجب تخصیصه به أو لا؟ فیه خلاف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محلّ النزاع ما إذا کان العامّ موضوعاً لحکم آخر غیر الحکم المترتّب علی البعض المدلول علیه بالضمیر الذی یرجع إلیه، مثل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الْمُطَلَّقاتُ یَتَرَبَّصْنَ بِأَنْفُسِهِنَّ ثَلاثَةَ قُرُوءٍ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بُعُولَتُهُنَّ أَحَقُّ بِرَدِّهِنَّ</w:t>
      </w:r>
      <w:r>
        <w:rPr>
          <w:rFonts w:eastAsia="Amiri" w:cs="Amiri" w:ascii="Amiri" w:hAnsi="Amiri"/>
          <w:color w:val="111111"/>
          <w:sz w:val="28"/>
          <w:szCs w:val="28"/>
          <w:rtl w:val="true"/>
          <w:lang w:bidi="ar-SA"/>
        </w:rPr>
        <w:t xml:space="preserve">» </w:t>
      </w:r>
      <w:r>
        <w:rPr>
          <w:rStyle w:val="FootnoteAnchor"/>
          <w:rtl w:val="true"/>
        </w:rPr>
        <w:footnoteReference w:id="228"/>
      </w:r>
      <w:r>
        <w:rPr>
          <w:rFonts w:ascii="IRNazanin" w:hAnsi="IRNazanin" w:eastAsia="IRNazanin"/>
          <w:color w:val="111111"/>
          <w:sz w:val="28"/>
          <w:sz w:val="28"/>
          <w:szCs w:val="28"/>
          <w:rtl w:val="true"/>
          <w:lang w:bidi="fa-IR"/>
        </w:rPr>
        <w:t>و أمّا إذا کانت هنا قضیة واحدة ذکر فیها العامّ و الضمیر معاً، مثل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المطلّقات أزواجهنّ أحقّ بردّهنّ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شبهة فی تخصیصه به، کما هو واضح</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هل محلّ الخلاف یختصّ بما إذا علم من الخارج بکون المراد من الضمیر الواقع فی القضیّة الثانیة هو بعض أفراد العامّ، المذکورة فی القضیّة الاُولی، کما فی المثال المذکور، أو یختصّ بما إذا علم لا من الخارج، بل بمجرّد إلقاء القضیّة الثانیة یعلم أنّ المراد هو البعض لحکم العقل بذلک مثلاً، کما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أهن</w:t>
      </w:r>
    </w:p>
    <w:p>
      <w:pPr>
        <w:pStyle w:val="BookText"/>
        <w:rPr/>
      </w:pPr>
      <w:r>
        <w:rPr>
          <w:rFonts w:ascii="IRNazanin" w:hAnsi="IRNazanin" w:eastAsia="IRNazanin"/>
          <w:color w:val="111111"/>
          <w:sz w:val="28"/>
          <w:sz w:val="28"/>
          <w:szCs w:val="28"/>
          <w:rtl w:val="true"/>
          <w:lang w:bidi="fa-IR"/>
        </w:rPr>
        <w:t>الفسّاق و اقتلهم، فإنّ العقل یحکم بأنّ المراد بالضمیر لیس جمیع الفسّاق؛ لعدم اقتضاء الفسق بنفسه لإیجاب القتل، بل المراد به هو الکفّار منهم، أو یشمل الصورتین معاً؟ وجوه، و کلامهم خالیة عن التعرّض لهذه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ظاهر تمثیل أکثرهم بالآیة الشریفة التی هی من قبیل الصورة الاُولی؛ لأنّ العلم باختصاص الأحقیّة بالردّ ببعولة المطلّقات الرجعیّات إنّما کان مستنداً إلی دلیل آخر هو عدم الاختصاص بالصورة الثانیة، نعم لا یستفاد منه التعمیم أو الاختصاص بالصورة الاُولی،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فإن کان محلّ البحث هی الصورة الاُولی، فلا إشکال فی أنّ أصالة العموم الجاریة فی القضیّة الاُولی یقتضی الحمل علی العموم؛ لأنّ الأمر هنا دائر بین تخصیص واحد أو أزید، و قد استقرّ رأی المحقّقین من الاُصولیّین علی التمسّک فی نفی الزائد بأصالة العموم فیما إذا شکّ فی تخصیص زائد بالنسبة إلی عامّ واحد، فضلاً عن مثل المقام الذی یکون فیه عامّان خصّص أحدهما یقیناً و الشکّ فی تخصیص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القضیّة المشتملة علی الضمیر إنّما تقتضی بظاهرها ثبوت الحکم بالنسبة إلی جمیع أفراد العامّ؛ لأنّ الضمیر موضوع للإشارة إلی مرجعه الذی هو العامّ فی المقام، 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بعولتهنّ بمنزلة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بعولة المطلّقات، و العلم باختصاصها بالرجعیات لا یوجب استعمال الضمیر فیها حتّی تلزم المجازیة؛ لما عرفت من أنّ التخصیص إنّما یقتضی قصر الإرادة الجدّیة علی غیر مورد الخاصّ، و لا یوجب أن یکون العامّ مستعملاً فیما عدا مورده، و حینئذٍ فالدلیل علی تخصیص القضیّة الثانیة لا یوجب تصرّفاً فی القضیّة الاُولی أصلاً؛ لما عرفت من أنّ مورد الشکّ فی التخصیص یکون المرجع فیه أصالة العموم</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انقدح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مجال حینئذٍ لهذا النزاع بعد ما تقدّم منهم من عدم</w:t>
      </w:r>
    </w:p>
    <w:p>
      <w:pPr>
        <w:pStyle w:val="BookText"/>
        <w:rPr/>
      </w:pPr>
      <w:r>
        <w:rPr>
          <w:rFonts w:ascii="IRNazanin" w:hAnsi="IRNazanin" w:eastAsia="IRNazanin"/>
          <w:color w:val="111111"/>
          <w:sz w:val="28"/>
          <w:sz w:val="28"/>
          <w:szCs w:val="28"/>
          <w:rtl w:val="true"/>
          <w:lang w:bidi="fa-IR"/>
        </w:rPr>
        <w:t>اقتضاء التخصیص للمجازیة، و أنّ المرجع فی مورد الشکّ فیه أو فی الزائد هی أصالة العموم، کما أنّه ظهر فساد ما فی الکفایة من أنّ المتیقّن من بناء العقلاء هو اتّباع الظهور فیما إذا شکّ فی تعیین المراد، و أمّا إذا شکّ فی کیفیة الاستعمال مع العلم بالمراد، کما فی ناحیة الضمیر، فلا</w:t>
      </w:r>
      <w:r>
        <w:rPr>
          <w:rStyle w:val="FootnoteAnchor"/>
          <w:rtl w:val="true"/>
        </w:rPr>
        <w:footnoteReference w:id="229"/>
      </w:r>
      <w:r>
        <w:rPr>
          <w:rFonts w:ascii="IRNazanin" w:hAnsi="IRNazanin" w:eastAsia="IRNazanin"/>
          <w:color w:val="111111"/>
          <w:sz w:val="28"/>
          <w:sz w:val="28"/>
          <w:szCs w:val="28"/>
          <w:rtl w:val="true"/>
          <w:lang w:bidi="fa-IR"/>
        </w:rPr>
        <w:t>، و ذلک لما عرفت من عدم استلزام التخصیص للمجازیّة فی ناحیة الضمیر، فکما أنّ المراد معلوم کذلک کیفیّة الاستعمال معلومة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هذا إنّما یتمّ علی مذهب القدماء القائلین بأنّ العامّ المخصّص یصیر مجازاً، و هو مع أنّه خلاف التحقیق مخالف لما اختاره</w:t>
      </w:r>
      <w:r>
        <w:rPr>
          <w:rStyle w:val="FootnoteAnchor"/>
          <w:rtl w:val="true"/>
        </w:rPr>
        <w:footnoteReference w:id="230"/>
      </w:r>
      <w:r>
        <w:rPr>
          <w:rFonts w:ascii="IRNazanin" w:hAnsi="IRNazanin" w:eastAsia="IRNazanin"/>
          <w:color w:val="111111"/>
          <w:sz w:val="28"/>
          <w:sz w:val="28"/>
          <w:szCs w:val="28"/>
          <w:rtl w:val="true"/>
          <w:lang w:bidi="fa-IR"/>
        </w:rPr>
        <w:t>أیضاً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التعبیر فی محلّ النزاع بضمیر یرجع إلی بعض أفراد العامّ لیس فی محلّه؛ لما عرفت من أنّ الضمیر لم یستعمل إلاّ فیما وُضع له، و هو إیجاد الإشارة به إلی مرجعه الذی هو العامّ فی المقام، و التخصیص لا یوجب تصرّفاً فی مقام الاستعمال أصلاً، کما هو واضح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محلّ البحث هی 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فالتمسّک بأصالة العموم محلّ إشکال؛ لأنّ ظهوره فی العموم غیر منعقد مع اشتماله علی الضمیر الصالح للقرینیّة، کما أشار إلیه فی الکفایة، فیصیر مجملاً، فیجب الرجوع إلی مقتضی الاُصول</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ذکرنا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کان محلّ النزاع عامّاً شاملاً لکلتا الصورتین، فالواجب التفصیل، و الحکم بالرجوع إلی أصالة العموم فی الصورة الاُولی، و بالاُصول العملیّة فی الصورة الثانیة، فتدبّر جیّداً</w:t>
      </w:r>
      <w:r>
        <w:rPr>
          <w:rFonts w:eastAsia="IRNazanin" w:cs="IRNazanin"/>
          <w:color w:val="111111"/>
          <w:sz w:val="28"/>
          <w:szCs w:val="28"/>
          <w:rtl w:val="true"/>
          <w:lang w:bidi="fa-IR"/>
        </w:rPr>
        <w:t>.</w:t>
      </w:r>
      <w:bookmarkStart w:id="571" w:name="pg11586_104908"/>
    </w:p>
    <w:p>
      <w:pPr>
        <w:pStyle w:val="Heading3"/>
        <w:numPr>
          <w:ilvl w:val="2"/>
          <w:numId w:val="1"/>
        </w:numPr>
        <w:rPr/>
      </w:pPr>
      <w:bookmarkStart w:id="572" w:name="__RefHeading___Toc5146033_73709187"/>
      <w:bookmarkStart w:id="573" w:name="_Toc216"/>
      <w:bookmarkEnd w:id="571"/>
      <w:bookmarkEnd w:id="572"/>
      <w:r>
        <w:rPr>
          <w:rtl w:val="true"/>
        </w:rPr>
        <w:t>الفصل السادس فی جواز تخصیص العامّ بالمفهوم</w:t>
      </w:r>
      <w:bookmarkEnd w:id="573"/>
    </w:p>
    <w:p>
      <w:pPr>
        <w:pStyle w:val="Heading4"/>
        <w:numPr>
          <w:ilvl w:val="3"/>
          <w:numId w:val="1"/>
        </w:numPr>
        <w:rPr/>
      </w:pPr>
      <w:bookmarkStart w:id="574" w:name="__RefHeading___Toc5146035_73709187"/>
      <w:bookmarkStart w:id="575" w:name="_Toc217"/>
      <w:bookmarkEnd w:id="574"/>
      <w:r>
        <w:rPr>
          <w:rtl w:val="true"/>
        </w:rPr>
        <w:t>اشارة</w:t>
      </w:r>
      <w:bookmarkEnd w:id="575"/>
    </w:p>
    <w:p>
      <w:pPr>
        <w:pStyle w:val="BookText"/>
        <w:rPr/>
      </w:pPr>
      <w:r>
        <w:rPr>
          <w:rFonts w:ascii="IRNazanin" w:hAnsi="IRNazanin" w:eastAsia="IRNazanin"/>
          <w:color w:val="111111"/>
          <w:sz w:val="28"/>
          <w:sz w:val="28"/>
          <w:szCs w:val="28"/>
          <w:rtl w:val="true"/>
          <w:lang w:bidi="fa-IR"/>
        </w:rPr>
        <w:t>و فیه مقامان</w:t>
      </w:r>
      <w:r>
        <w:rPr>
          <w:rFonts w:eastAsia="IRNazanin" w:cs="IRNazanin"/>
          <w:color w:val="111111"/>
          <w:sz w:val="28"/>
          <w:szCs w:val="28"/>
          <w:rtl w:val="true"/>
          <w:lang w:bidi="fa-IR"/>
        </w:rPr>
        <w:t>:</w:t>
      </w:r>
    </w:p>
    <w:p>
      <w:pPr>
        <w:pStyle w:val="Heading4"/>
        <w:numPr>
          <w:ilvl w:val="3"/>
          <w:numId w:val="1"/>
        </w:numPr>
        <w:rPr/>
      </w:pPr>
      <w:bookmarkStart w:id="576" w:name="__RefHeading___Toc5146037_73709187"/>
      <w:bookmarkStart w:id="577" w:name="_Toc218"/>
      <w:bookmarkEnd w:id="576"/>
      <w:r>
        <w:rPr>
          <w:rtl w:val="true"/>
        </w:rPr>
        <w:t>المقام الأوّل</w:t>
      </w:r>
      <w:r>
        <w:rPr>
          <w:rtl w:val="true"/>
        </w:rPr>
        <w:t xml:space="preserve">: </w:t>
      </w:r>
      <w:r>
        <w:rPr>
          <w:rtl w:val="true"/>
        </w:rPr>
        <w:t>فی تخصیص العامّ بالمفهوم الموافق</w:t>
      </w:r>
      <w:bookmarkEnd w:id="577"/>
    </w:p>
    <w:p>
      <w:pPr>
        <w:pStyle w:val="BookText"/>
        <w:rPr/>
      </w:pPr>
      <w:r>
        <w:rPr>
          <w:rFonts w:ascii="IRNazanin" w:hAnsi="IRNazanin" w:eastAsia="IRNazanin"/>
          <w:color w:val="111111"/>
          <w:sz w:val="28"/>
          <w:sz w:val="28"/>
          <w:szCs w:val="28"/>
          <w:rtl w:val="true"/>
          <w:lang w:bidi="fa-IR"/>
        </w:rPr>
        <w:t>هل یجوز تخصیص العامّ بمفهوم الموافقة أم لا؟ و قد ادّعی الإجماع علی الجواز</w:t>
      </w:r>
      <w:r>
        <w:rPr>
          <w:rStyle w:val="FootnoteAnchor"/>
          <w:rtl w:val="true"/>
        </w:rPr>
        <w:footnoteReference w:id="231"/>
      </w:r>
      <w:r>
        <w:rPr>
          <w:rFonts w:ascii="IRNazanin" w:hAnsi="IRNazanin" w:eastAsia="IRNazanin"/>
          <w:color w:val="111111"/>
          <w:sz w:val="28"/>
          <w:sz w:val="28"/>
          <w:szCs w:val="28"/>
          <w:rtl w:val="true"/>
          <w:lang w:bidi="fa-IR"/>
        </w:rPr>
        <w:t>، و لکنّه لا یفید فی المسألة الغیر الشرعیة، سواء کانت عقلیّة أو عرفیّة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بدّ قبل الورود فی محلّ البحث من بیان المراد بمفهوم الموافقة بعد ظهور أنّه عبارة عن القضیّة الموافقة للمنطوق فی الإیجاب و السلب</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أن یکون المراد به هو ما یعبّرون عنه بإلغاء الخصوصیة، و مرجعه إلی أنّ الخصوصیّة المذکورة فی الکلام ممّا لا یری لها العرف مدخلیة فی ترتّب الحکم بحیث یکون الکلام بنفسه دالاًّ علی ثبوت الحکم مع انتفاء</w:t>
      </w:r>
    </w:p>
    <w:p>
      <w:pPr>
        <w:pStyle w:val="BookText"/>
        <w:rPr/>
      </w:pPr>
      <w:r>
        <w:rPr>
          <w:rFonts w:ascii="IRNazanin" w:hAnsi="IRNazanin" w:eastAsia="IRNazanin"/>
          <w:color w:val="111111"/>
          <w:sz w:val="28"/>
          <w:sz w:val="28"/>
          <w:szCs w:val="28"/>
          <w:rtl w:val="true"/>
          <w:lang w:bidi="fa-IR"/>
        </w:rPr>
        <w:t>الخصوصیة أیضاً، مثل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شکّ بین الثلاث و الأربع فعلیه کذا، فإنّ العرف لا یفهم منه اختصاص الحکم بالرجل، بل یری أنّ ذکره إنّما هو من باب المثال، و إلّا فالمقصود هو المصلّی الذی شکّ بین الثلاث و الأربع، سواء کان رجلاً أو امرأة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یکون المراد به هو الذی یکون الغرض من إلقاء الکلام إفادته إلی المخاطب، غایة الأمر أنّه کنّی عنه بشیء آخر، و یمکن أن یکون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تَقُلْ لَهُما أُفٍّ</w:t>
      </w:r>
      <w:r>
        <w:rPr>
          <w:rFonts w:eastAsia="IRNazanin" w:cs="IRNazanin"/>
          <w:color w:val="111111"/>
          <w:sz w:val="28"/>
          <w:szCs w:val="28"/>
          <w:rtl w:val="true"/>
          <w:lang w:bidi="fa-IR"/>
        </w:rPr>
        <w:t xml:space="preserve">» </w:t>
      </w:r>
      <w:r>
        <w:rPr>
          <w:rStyle w:val="FootnoteAnchor"/>
          <w:rtl w:val="true"/>
        </w:rPr>
        <w:footnoteReference w:id="232"/>
      </w:r>
      <w:r>
        <w:rPr>
          <w:rFonts w:ascii="IRNazanin" w:hAnsi="IRNazanin" w:eastAsia="IRNazanin"/>
          <w:color w:val="111111"/>
          <w:sz w:val="28"/>
          <w:sz w:val="28"/>
          <w:szCs w:val="28"/>
          <w:rtl w:val="true"/>
          <w:lang w:bidi="fa-IR"/>
        </w:rPr>
        <w:t xml:space="preserve">من هذا القبیل، بناءً علی أن لا یکون المقصود به هو حرمة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الإتیان به إنّما هو من باب الکنایة و إفهام حرمة الاُمور الاُخر من الضرب و الشتم و غیرهما، و هذا لا ینافی عدم حرمة ذلک القول، کما فی نظائره من أمثلة الکنایة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یکون المراد به هو ما یکون الکلام مسوقاً لإفادته أیضاً، کالمنطوق، غایة الأمر أنّه أتی بالفرد الخفی تنبیهاً علی الفرد الجلیّ، فهما معاً مقصودان بالإفادة إلاّ أنّه اقتصر علی الأوّل مع دخول الثانی فی المراد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تکون الآیة الشریفة من هذا القبیل،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یکون المراد به هو ما یستفاد من المنطوق بالأولویة القطعیة من غیر أن یکون الکلام مسوقاً لإفادته، و الآیة الشریفة تحتمل هذا المعنی أیضاً</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یحتمل أن یکون المراد به هو ما یستفاد من العلّة المنصوصة فی المنطوق، کقوله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تشرب الخمر؛ لأنّه مسکر، فإنّه یستفاد منه حرمة شرب النبیذ المسکر أیضاً؛ لأنّ الظاهر من القضیّة کون تمام العلّة هو المسکریّة، لا</w:t>
      </w:r>
    </w:p>
    <w:p>
      <w:pPr>
        <w:pStyle w:val="BookText"/>
        <w:rPr/>
      </w:pPr>
      <w:r>
        <w:rPr>
          <w:rFonts w:ascii="IRNazanin" w:hAnsi="IRNazanin" w:eastAsia="IRNazanin"/>
          <w:color w:val="111111"/>
          <w:sz w:val="28"/>
          <w:sz w:val="28"/>
          <w:szCs w:val="28"/>
          <w:rtl w:val="true"/>
          <w:lang w:bidi="fa-IR"/>
        </w:rPr>
        <w:t>أنّه جزء الموضوع، و الخمریة جزء آخر، و یعبّر عنه بمنصوص العلّة، و إطلاق المفهوم علیه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هذه الاحتمالات التی ذکرنا لیس من قبیل مانعة الجمع، بل علی سبیل منع الخلوّ، فیمکن أن یکون المراد بمفهوم الموافقة هو الأمر الجامع بینهما، و هو القضیّة الخارجة عن محلّ النطق المشترکة فی الإیجاب و السلب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فاعلم أنّه لو کان المراد بمفهوم الموافقة هو الاحتمال الراجع إلی إلغاء الخصوصیة، فلا إشکال فی تقدیمه علی العامّ إذا کان أخصّ منه؛ لأنّه بنظر العرف مفاد نفس الکلام الملقی إلیهم، و لا یحتاج فی استفادته إلی إعمال حکم العقل أیضاً، و کذا لو کان المراد به هو الاحتمال الثانی أو الثالث أو الأخیر؛ لأنّه فی جمیع الصور مستفاد من نفس الکلام کما لا یخفی فی الأوّلین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الأخیر فلأنّ التعلیل لا یتمّ بدون انضمام کبری کلّیة مطویّة؛ فإنّه لو لم یکن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مسکر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یصحّ تعلیل الحرمة فی الخمر بأنّه مسکر فالکبری التی یکون مورد المفهوم من صغریاتها، مستفادة من نفس الکلام و لا یحتاج إلی شیء آخر اصلاً</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لو کان المراد به هو الاحتمال الرابع الذی مرجعه إلی استفادته من القضیّة المنطوقیة بضمیمة حکم العقل بالأولویة القطعیة، فقد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تقریرات المحقّق النائینی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 یعقل أن یکون المفهوم معارضاً للعامّ من دون معارضة منطوقه؛ لأنّا فرضنا أنّ المفهوم موافق للمنطوق، و أنّه یستفاد حکمه منه، فکیف یعقل أن یکون المنطوق أجنبیّاً عن العامّ و غیر معارض له مع کون المفهوم معارضاً؟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فالتعارض یقع ابتداء بین المنطوق و العامّ، و یتبعه وقوعه بین المفهوم و العامّ، و حینئذٍ فلا بدّ أوّلاً من علاج التعارض بین المنطوق و العامّ،</w:t>
      </w:r>
    </w:p>
    <w:p>
      <w:pPr>
        <w:pStyle w:val="BookText"/>
        <w:rPr/>
      </w:pPr>
      <w:r>
        <w:rPr>
          <w:rFonts w:ascii="IRNazanin" w:hAnsi="IRNazanin" w:eastAsia="IRNazanin"/>
          <w:color w:val="111111"/>
          <w:sz w:val="28"/>
          <w:sz w:val="28"/>
          <w:szCs w:val="28"/>
          <w:rtl w:val="true"/>
          <w:lang w:bidi="fa-IR"/>
        </w:rPr>
        <w:t>و یلزمه العلاج بین المفهوم و العامّ‌</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الدعوی بنحو الکلّیة ممنوعة؛ لعدم التلازم بین کون المفهوم معارضاً للعامّ و کون المنطوق أیضاً کذلک، بل یمکن الانفکاک بینهما فی بعض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تکرم العلماء،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أکرم جهّال خدّام النحویّین، فإنّ المنطوق فی المثال لا یعارض العامّ؛ لأنّ الجهّال غیر داخل فی العلماء مع أنّ المفهوم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وجوب إکرام علماء خدّام النحویّین، و کذا إکرام النحویّین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معارض للعامّ،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فالموارد مختلفة، فلو کانت المعارضة بین المنطوق و العامّ أیضاً، فلا بدّ أوّلاً من علاج التعارض بینه و بین العامّ، و یلزمه العلاج بین المفهوم و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کانت المعارضة منحصرةً بالمفهوم، فقد یقال فی وجه ترجیحه علی العامّ و لو کان التعارض بالعموم و الخصوص من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الأمر هنا یدور بین رفع الید عن العموم و تخصیصه بالمفهوم، و بین رفع الید عن المنطوق المستلزم للمفهوم عقلاً، و بین رفع الید عن المفهوم مع ثبوت الحکم فی المنطوق، و الثانی لا سبیل إلیه بعد کون المنطوق أجنبیّاً عن العامّ، و غیر معارض له، کما هو المفروض، و الثالث کذلک؛ لأنّ رفع الید عن خصوص المفهوم یوجب نفی الملازمة و رفع الید عنها مع کونها عقلیّةً قطعیّةً، فینحصر فی الأوّل الذی مرجعه إلی رفع الید عن ظهور لفظی</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الملازمة تقتضی عدم الانفکاک بین المنطوق و المفهوم،</w:t>
      </w:r>
      <w:bookmarkStart w:id="578" w:name="pg11586_104912"/>
    </w:p>
    <w:p>
      <w:pPr>
        <w:pStyle w:val="BookText"/>
        <w:rPr/>
      </w:pPr>
      <w:bookmarkEnd w:id="578"/>
      <w:r>
        <w:rPr>
          <w:rFonts w:ascii="IRNazanin" w:hAnsi="IRNazanin" w:eastAsia="IRNazanin"/>
          <w:color w:val="111111"/>
          <w:sz w:val="28"/>
          <w:sz w:val="28"/>
          <w:szCs w:val="28"/>
          <w:rtl w:val="true"/>
          <w:lang w:bidi="fa-IR"/>
        </w:rPr>
        <w:t>فإذا کانت المعارضة بین المفهوم و العامّ، فالملازمة بین المنطوق و المفهوم توجب سرایتها إلیه، و کونه معارضاً للعامّ بالتبع، و حینئذٍ فلا بأس بتقدیم العامّ علی المفهوم، و الحکم برفع الید عن المنطوق أیضاً بسبب الملازمة، فلم یستلزم تقدیم العامّ علی المفهوم الإخلال بالملازمة، و کذا رفع الید عن المنطوق بلا وجه 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فواضح، 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رفع الید عنه إنّما هو لرفع الید عن المفهوم الملازم له،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المفهوم الموافق</w:t>
      </w:r>
      <w:r>
        <w:rPr>
          <w:rFonts w:eastAsia="IRNazanin" w:cs="IRNazanin"/>
          <w:color w:val="111111"/>
          <w:sz w:val="28"/>
          <w:szCs w:val="28"/>
          <w:rtl w:val="true"/>
          <w:lang w:bidi="fa-IR"/>
        </w:rPr>
        <w:t>.</w:t>
      </w:r>
    </w:p>
    <w:p>
      <w:pPr>
        <w:pStyle w:val="Heading4"/>
        <w:numPr>
          <w:ilvl w:val="3"/>
          <w:numId w:val="1"/>
        </w:numPr>
        <w:rPr/>
      </w:pPr>
      <w:bookmarkStart w:id="579" w:name="__RefHeading___Toc5146039_73709187"/>
      <w:bookmarkStart w:id="580" w:name="_Toc219"/>
      <w:bookmarkEnd w:id="579"/>
      <w:r>
        <w:rPr>
          <w:rtl w:val="true"/>
        </w:rPr>
        <w:t>المقام الثانی</w:t>
      </w:r>
      <w:r>
        <w:rPr>
          <w:rtl w:val="true"/>
        </w:rPr>
        <w:t xml:space="preserve">: </w:t>
      </w:r>
      <w:r>
        <w:rPr>
          <w:rtl w:val="true"/>
        </w:rPr>
        <w:t>فی تخصیص العامّ بالمفهوم المخالف</w:t>
      </w:r>
      <w:bookmarkEnd w:id="580"/>
    </w:p>
    <w:p>
      <w:pPr>
        <w:pStyle w:val="BookText"/>
        <w:rPr/>
      </w:pPr>
      <w:r>
        <w:rPr>
          <w:rFonts w:ascii="IRNazanin" w:hAnsi="IRNazanin" w:eastAsia="IRNazanin"/>
          <w:color w:val="111111"/>
          <w:sz w:val="28"/>
          <w:sz w:val="28"/>
          <w:szCs w:val="28"/>
          <w:rtl w:val="true"/>
          <w:lang w:bidi="fa-IR"/>
        </w:rPr>
        <w:t>و أمّا المفهوم المخالف فقد اختلف فی جواز تخصیص العامّ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أن یعلم أنّ محلّ النزاع إنّما هو فیما إذا کان هنا عامّ و کان المفهوم معارضاً له بالعموم و الخصوص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فرضه فیما إذا کان هنا مطلق و مقیّد ثمّ إجراء أحکام تلک المسألة علیه، مثل قوله صلی الله علیه و آله و 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اللّه الماء طهوراً لا ینجّسه شیء</w:t>
      </w:r>
      <w:r>
        <w:rPr>
          <w:rFonts w:eastAsia="Amiri" w:cs="Amiri" w:ascii="Amiri" w:hAnsi="Amiri"/>
          <w:color w:val="111111"/>
          <w:sz w:val="28"/>
          <w:szCs w:val="28"/>
          <w:rtl w:val="true"/>
          <w:lang w:bidi="ar-SA"/>
        </w:rPr>
        <w:t xml:space="preserve">» </w:t>
      </w:r>
      <w:r>
        <w:rPr>
          <w:rStyle w:val="FootnoteAnchor"/>
          <w:rtl w:val="true"/>
        </w:rPr>
        <w:footnoteReference w:id="234"/>
      </w:r>
      <w:r>
        <w:rPr>
          <w:rFonts w:ascii="IRNazanin" w:hAnsi="IRNazanin" w:eastAsia="IRNazanin"/>
          <w:color w:val="111111"/>
          <w:sz w:val="28"/>
          <w:sz w:val="28"/>
          <w:szCs w:val="28"/>
          <w:rtl w:val="true"/>
          <w:lang w:bidi="fa-IR"/>
        </w:rPr>
        <w:t>الحدیث، و قوله علیه السلام</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الماء قدر کرّ لم ینجّسه شیء</w:t>
      </w:r>
      <w:r>
        <w:rPr>
          <w:rFonts w:eastAsia="IRNazanin" w:cs="IRNazanin"/>
          <w:color w:val="111111"/>
          <w:sz w:val="28"/>
          <w:szCs w:val="28"/>
          <w:rtl w:val="true"/>
          <w:lang w:bidi="fa-IR"/>
        </w:rPr>
        <w:t xml:space="preserve">» </w:t>
      </w:r>
      <w:r>
        <w:rPr>
          <w:rStyle w:val="FootnoteAnchor"/>
          <w:rtl w:val="true"/>
        </w:rPr>
        <w:footnoteReference w:id="235"/>
      </w:r>
      <w:r>
        <w:rPr>
          <w:rFonts w:ascii="IRNazanin" w:hAnsi="IRNazanin" w:eastAsia="IRNazanin"/>
          <w:color w:val="111111"/>
          <w:sz w:val="28"/>
          <w:sz w:val="28"/>
          <w:szCs w:val="28"/>
          <w:rtl w:val="true"/>
          <w:lang w:bidi="fa-IR"/>
        </w:rPr>
        <w:t>حیث إنّ ظاهر الدلیل الأوّل کون تمام الموضوع للطهوریّة و الاعتصام هو نفس الماء، و ظاهر الدلیل الثانی مدخلیّة الکرّیة أیضاً، فیجب حمل المطلق علی المقیّد،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خارج</w:t>
      </w:r>
    </w:p>
    <w:p>
      <w:pPr>
        <w:pStyle w:val="BookText"/>
        <w:rPr/>
      </w:pPr>
      <w:r>
        <w:rPr>
          <w:rFonts w:ascii="IRNazanin" w:hAnsi="IRNazanin" w:eastAsia="IRNazanin"/>
          <w:color w:val="111111"/>
          <w:sz w:val="28"/>
          <w:sz w:val="28"/>
          <w:szCs w:val="28"/>
          <w:rtl w:val="true"/>
          <w:lang w:bidi="fa-IR"/>
        </w:rPr>
        <w:t>عن محلّ البحث؛ فإنّ مورده هو ما إذا کان المفهوم معارضاً للعامّ بالعموم و الخصوص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 العلماء،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جاءک زید العالم فأکرمه، فإنّ مفهومه أنّه إذا لم یجئک فلا یجب إکرامه، و هو یخالف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فاعلم أنّه إذا ورد العامّ و ما له المفهوم فی کلام واحد و دار الأمر بین تخصیص العموم أو إلغاء المفهوم، فإن کان کلّ واحد منهما مستفاداً من الإطلاق بقرینة مقدّمات الحکمة، أو کان کلٌّ منهما بالوضع، فالظاهر إجمال الدلیل، و وجوب الرجوع إلی الاُصول العملیّة، و إلّا فلو کان واحد منهما مستفاداً من الإطلاق، و الآخر بالوضع، فلا شبهة فی کون الترجیح مع الظهور الوضعی؛ لعدم تمامیة مقدّمات الحکمة معه</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لو کانا فی کلامین لا یصلح أن یکون واحد منهما قرینةً متّصلة للآخر، فإن کان أحدهما مستفاداً من الإطلاق و الآخر مدلولاً علیه بالوضع، فلا شبهة فی تقدیمه علی الأوّل لو کان عدم البیان المأخوذ فی مقدّمات الحکمة أعمّ من البیان المتّصل، و علی تقدیر الاختصاص به یتمّ الإطلاق، و یعارض الآخر، مثل ما إذا کان کلّ واحد منهما مستفاداً من الإطلاق أو مدلولاً علیه بالوضع، و الترجیح فیه یدور مدار الأظهریة، کما لا یخفی</w:t>
      </w:r>
      <w:r>
        <w:rPr>
          <w:rFonts w:eastAsia="IRNazanin" w:cs="IRNazanin"/>
          <w:color w:val="111111"/>
          <w:sz w:val="28"/>
          <w:szCs w:val="28"/>
          <w:rtl w:val="true"/>
          <w:lang w:bidi="fa-IR"/>
        </w:rPr>
        <w:t>.</w:t>
      </w:r>
      <w:bookmarkStart w:id="581" w:name="pg11586_104914"/>
    </w:p>
    <w:p>
      <w:pPr>
        <w:pStyle w:val="Heading3"/>
        <w:numPr>
          <w:ilvl w:val="2"/>
          <w:numId w:val="1"/>
        </w:numPr>
        <w:rPr/>
      </w:pPr>
      <w:bookmarkStart w:id="582" w:name="__RefHeading___Toc5146041_73709187"/>
      <w:bookmarkStart w:id="583" w:name="_Toc220"/>
      <w:bookmarkEnd w:id="581"/>
      <w:bookmarkEnd w:id="582"/>
      <w:r>
        <w:rPr>
          <w:rtl w:val="true"/>
        </w:rPr>
        <w:t>الفصل السابع تخصیص الکتاب بالخبر الواحد</w:t>
      </w:r>
      <w:bookmarkEnd w:id="583"/>
    </w:p>
    <w:p>
      <w:pPr>
        <w:pStyle w:val="BookText"/>
        <w:rPr/>
      </w:pPr>
      <w:r>
        <w:rPr>
          <w:rFonts w:ascii="IRNazanin" w:hAnsi="IRNazanin" w:eastAsia="IRNazanin"/>
          <w:color w:val="111111"/>
          <w:sz w:val="28"/>
          <w:sz w:val="28"/>
          <w:szCs w:val="28"/>
          <w:rtl w:val="true"/>
          <w:lang w:bidi="fa-IR"/>
        </w:rPr>
        <w:t>لا شبهة فی جواز تخصیص الکتاب بالخبر الواحد المعتبر بالخصوص، کما یجوز بالکتاب و بالخبر المتواتر أو الواحد المحفوف بالقرینة القطعیة اتّفاقاً؛ لوضوح استقرار سیرة الأصحاب علی العمل بالخبر الواحد فی قبال عمومات الکتاب</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عمدة ما یتوهّم سنداً للمنع هی الأخبار الدالّة علی وجوب طرح الأخبار المخالفة للقرآن</w:t>
      </w:r>
      <w:r>
        <w:rPr>
          <w:rStyle w:val="FootnoteAnchor"/>
          <w:rtl w:val="true"/>
        </w:rPr>
        <w:footnoteReference w:id="236"/>
      </w:r>
      <w:r>
        <w:rPr>
          <w:rFonts w:ascii="IRNazanin" w:hAnsi="IRNazanin" w:eastAsia="IRNazanin"/>
          <w:color w:val="111111"/>
          <w:sz w:val="28"/>
          <w:sz w:val="28"/>
          <w:szCs w:val="28"/>
          <w:rtl w:val="true"/>
          <w:lang w:bidi="fa-IR"/>
        </w:rPr>
        <w:t>، و ضربها علی الجدار</w:t>
      </w:r>
      <w:r>
        <w:rPr>
          <w:rStyle w:val="FootnoteAnchor"/>
          <w:rtl w:val="true"/>
        </w:rPr>
        <w:footnoteReference w:id="237"/>
      </w:r>
      <w:r>
        <w:rPr>
          <w:rFonts w:ascii="IRNazanin" w:hAnsi="IRNazanin" w:eastAsia="IRNazanin"/>
          <w:color w:val="111111"/>
          <w:sz w:val="28"/>
          <w:sz w:val="28"/>
          <w:szCs w:val="28"/>
          <w:rtl w:val="true"/>
          <w:lang w:bidi="fa-IR"/>
        </w:rPr>
        <w:t>، و أنّها زخرف</w:t>
      </w:r>
      <w:r>
        <w:rPr>
          <w:rStyle w:val="FootnoteAnchor"/>
          <w:rtl w:val="true"/>
        </w:rPr>
        <w:footnoteReference w:id="238"/>
      </w:r>
      <w:r>
        <w:rPr>
          <w:rFonts w:ascii="IRNazanin" w:hAnsi="IRNazanin" w:eastAsia="IRNazanin"/>
          <w:color w:val="111111"/>
          <w:sz w:val="28"/>
          <w:sz w:val="28"/>
          <w:szCs w:val="28"/>
          <w:rtl w:val="true"/>
          <w:lang w:bidi="fa-IR"/>
        </w:rPr>
        <w:t>، و أنّها ممّا لم یقل به الإمام علیه السلام</w:t>
      </w:r>
      <w:r>
        <w:rPr>
          <w:rStyle w:val="FootnoteAnchor"/>
          <w:rtl w:val="true"/>
        </w:rPr>
        <w:footnoteReference w:id="239"/>
      </w:r>
      <w:r>
        <w:rPr>
          <w:rFonts w:ascii="IRNazanin" w:hAnsi="IRNazanin" w:eastAsia="IRNazanin"/>
          <w:color w:val="111111"/>
          <w:sz w:val="28"/>
          <w:sz w:val="28"/>
          <w:szCs w:val="28"/>
          <w:rtl w:val="true"/>
          <w:lang w:bidi="fa-IR"/>
        </w:rPr>
        <w:t>علی اختلاف ألسنتها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یخفی عدم دلالتها علی المنع فی المقام؛ لوضوح أنّ المخالفة بالعموم لا تعدّ بنظر العرف مخالفة، ضرورة ثبوت هذا النحو من المخالفة فی نفس الکتاب العزیز، مع أنّ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کانَ مِنْ عِنْدِ غَیْرِ اللّهِ لَوَجَدُوا فِیهِ اخْتِلافاً کَثِیراً</w:t>
      </w:r>
      <w:r>
        <w:rPr>
          <w:rFonts w:eastAsia="Amiri" w:cs="Amiri" w:ascii="Amiri" w:hAnsi="Amiri"/>
          <w:color w:val="111111"/>
          <w:sz w:val="28"/>
          <w:szCs w:val="28"/>
          <w:rtl w:val="true"/>
          <w:lang w:bidi="ar-SA"/>
        </w:rPr>
        <w:t xml:space="preserve">» </w:t>
      </w:r>
      <w:r>
        <w:rPr>
          <w:rStyle w:val="FootnoteAnchor"/>
          <w:rtl w:val="true"/>
        </w:rPr>
        <w:footnoteReference w:id="240"/>
      </w:r>
      <w:r>
        <w:rPr>
          <w:rFonts w:ascii="IRNazanin" w:hAnsi="IRNazanin" w:eastAsia="IRNazanin"/>
          <w:color w:val="111111"/>
          <w:sz w:val="28"/>
          <w:sz w:val="28"/>
          <w:szCs w:val="28"/>
          <w:rtl w:val="true"/>
          <w:lang w:bidi="fa-IR"/>
        </w:rPr>
        <w:t>ینادی بعدم الاختلاف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صدور الأخبار المخالفة للکتاب بهذا المعنی من الأئمّة علیهم السلام کثیرة جدّاً</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السرّ فیه ما عرفت من عدم کون هذه المخالفة مخالفةً بنظر العرف و العقلاء، و ثبوت المناقضة، و التنافی بین الموجبة الکلّیة و السالبة الجزئیّة، و کذا بین السالبة الکلّیة و الموجبة الجزئیّة و إن کان أمراً بدیهیّاً إلاّ أنّ ذلک فی غیر محیط جعل القوانین و تقنینها، کما لا یخفی</w:t>
      </w:r>
      <w:r>
        <w:rPr>
          <w:rFonts w:eastAsia="IRNazanin" w:cs="IRNazanin"/>
          <w:color w:val="111111"/>
          <w:sz w:val="28"/>
          <w:szCs w:val="28"/>
          <w:rtl w:val="true"/>
          <w:lang w:bidi="fa-IR"/>
        </w:rPr>
        <w:t>.</w:t>
      </w:r>
      <w:bookmarkStart w:id="584" w:name="pg11586_104916"/>
    </w:p>
    <w:p>
      <w:pPr>
        <w:pStyle w:val="BookText"/>
        <w:rPr/>
      </w:pPr>
      <w:bookmarkEnd w:id="584"/>
      <w:r>
        <w:rPr>
          <w:rFonts w:ascii="Amiri" w:hAnsi="Amiri" w:eastAsia="Amiri" w:cs="Amiri"/>
          <w:color w:val="111111"/>
          <w:sz w:val="28"/>
          <w:sz w:val="28"/>
          <w:szCs w:val="28"/>
          <w:rtl w:val="true"/>
          <w:lang w:bidi="ar-SA"/>
        </w:rPr>
        <w:t>استثناء المتعقّب لجمل متعدّدة</w:t>
      </w:r>
    </w:p>
    <w:p>
      <w:pPr>
        <w:pStyle w:val="Heading3"/>
        <w:numPr>
          <w:ilvl w:val="2"/>
          <w:numId w:val="1"/>
        </w:numPr>
        <w:rPr/>
      </w:pPr>
      <w:bookmarkStart w:id="585" w:name="__RefHeading___Toc5146043_73709187"/>
      <w:bookmarkStart w:id="586" w:name="_Toc221"/>
      <w:bookmarkEnd w:id="585"/>
      <w:r>
        <w:rPr>
          <w:rtl w:val="true"/>
        </w:rPr>
        <w:t>الفصل الثامن فی استثناء المتعقّب لجمل متعدّدة</w:t>
      </w:r>
      <w:bookmarkEnd w:id="586"/>
    </w:p>
    <w:p>
      <w:pPr>
        <w:pStyle w:val="Heading4"/>
        <w:numPr>
          <w:ilvl w:val="3"/>
          <w:numId w:val="1"/>
        </w:numPr>
        <w:rPr/>
      </w:pPr>
      <w:bookmarkStart w:id="587" w:name="__RefHeading___Toc5146045_73709187"/>
      <w:bookmarkStart w:id="588" w:name="_Toc222"/>
      <w:bookmarkEnd w:id="587"/>
      <w:r>
        <w:rPr>
          <w:rtl w:val="true"/>
        </w:rPr>
        <w:t>اشارة</w:t>
      </w:r>
      <w:bookmarkEnd w:id="588"/>
    </w:p>
    <w:p>
      <w:pPr>
        <w:pStyle w:val="BookText"/>
        <w:rPr/>
      </w:pPr>
      <w:r>
        <w:rPr>
          <w:rFonts w:ascii="IRNazanin" w:hAnsi="IRNazanin" w:eastAsia="IRNazanin"/>
          <w:color w:val="111111"/>
          <w:sz w:val="28"/>
          <w:sz w:val="28"/>
          <w:szCs w:val="28"/>
          <w:rtl w:val="true"/>
          <w:lang w:bidi="fa-IR"/>
        </w:rPr>
        <w:t>هل الاستثناء المتعقّب للجُمل المتعدّدة ظاهر فی رجوعه إلی الکلّ أو خصوص الأخیرة، أو لا ظهور له فی واحد منهما؟ وجوه و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بد من البحث هنا فی مقامین</w:t>
      </w:r>
      <w:r>
        <w:rPr>
          <w:rFonts w:eastAsia="IRNazanin" w:cs="IRNazanin"/>
          <w:color w:val="111111"/>
          <w:sz w:val="28"/>
          <w:szCs w:val="28"/>
          <w:rtl w:val="true"/>
          <w:lang w:bidi="fa-IR"/>
        </w:rPr>
        <w:t>:</w:t>
      </w:r>
    </w:p>
    <w:p>
      <w:pPr>
        <w:pStyle w:val="Heading4"/>
        <w:numPr>
          <w:ilvl w:val="3"/>
          <w:numId w:val="1"/>
        </w:numPr>
        <w:rPr/>
      </w:pPr>
      <w:bookmarkStart w:id="589" w:name="__RefHeading___Toc5146047_73709187"/>
      <w:bookmarkStart w:id="590" w:name="_Toc223"/>
      <w:bookmarkEnd w:id="589"/>
      <w:r>
        <w:rPr>
          <w:rtl w:val="true"/>
        </w:rPr>
        <w:t>المقام الأوّل</w:t>
      </w:r>
      <w:r>
        <w:rPr>
          <w:rtl w:val="true"/>
        </w:rPr>
        <w:t xml:space="preserve">: </w:t>
      </w:r>
      <w:r>
        <w:rPr>
          <w:rtl w:val="true"/>
        </w:rPr>
        <w:t>إمکان الرجوع إلی الجمیع</w:t>
      </w:r>
      <w:bookmarkEnd w:id="590"/>
    </w:p>
    <w:p>
      <w:pPr>
        <w:pStyle w:val="BookText"/>
        <w:rPr/>
      </w:pPr>
      <w:r>
        <w:rPr>
          <w:rFonts w:ascii="IRNazanin" w:hAnsi="IRNazanin" w:eastAsia="IRNazanin"/>
          <w:color w:val="111111"/>
          <w:sz w:val="28"/>
          <w:sz w:val="28"/>
          <w:szCs w:val="28"/>
          <w:rtl w:val="true"/>
          <w:lang w:bidi="fa-IR"/>
        </w:rPr>
        <w:t>و لیعلم أنّ ذلک إنّما هو بعد الفراغ عن إمکان رجوعه إلی الکلّ مع أنّه قد یقال باستحالته؛ نظراً إلی أنّ آلة الاستثناء قد تکون حرفاً، و قد تکون اسماً، و علی التقدیرین تارةً یکون المستثنی عنواناً کلّیاً منطبقاً علی کثیرین، و اخری یکون فرداً واحداً متصادقاً علیه جمیع العناوین المستثنی منها، و ثالثة یکون أفراداً متعدّدة کلّ واحد منهما فرد لعنوان من تلک العناوین، مثل ما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 العلماء و أهن الفسّاق و أضف الهاشمی إلاّ زیداً، و کان زید المستثنی مردّداً بین زید العالم و زید الفاسق و زید الهاشمی و بین خصوص الأخیر</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إذا کانت أداة الاستثناء اسماً و کان المستثنی عامّاً، فالإخراج من الجمیع</w:t>
      </w:r>
    </w:p>
    <w:p>
      <w:pPr>
        <w:pStyle w:val="BookText"/>
        <w:rPr/>
      </w:pPr>
      <w:r>
        <w:rPr>
          <w:rFonts w:ascii="IRNazanin" w:hAnsi="IRNazanin" w:eastAsia="IRNazanin"/>
          <w:color w:val="111111"/>
          <w:sz w:val="28"/>
          <w:sz w:val="28"/>
          <w:szCs w:val="28"/>
          <w:rtl w:val="true"/>
          <w:lang w:bidi="fa-IR"/>
        </w:rPr>
        <w:t>من دون ملاحظة الوحدة بینهما یستلزم استعمال اللّفظ فی أکثر من معنی واحد، و هو مستحیل، و کذا فیما لو کان المستثنی فرداً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کان المستثنی أفراداً متعدّدة، فمضافاً إلی ذلک یلزم استعمال المستثنی أیضاً فی أکثر من معنی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کانت أداة الاستثناء حرفاً، فبناءً علی کونه موضوعاً للجزئیّات، فاستعمالها فی أکثر من فرد واحد مستلزم لذلک المحذور الذی جریانه فی الحروف أوضح؛ لأنّ اندکاکها فی متعلّقاتها أشدّ من فناء الألفاظ فی معانیها الاسمیة</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أنّ استعمال اللّفظ فی الأکثر من معنی واحد بمکان من الإمکان، و أنّ الوجوه التی استندوا إلیها لإثبات الاستحالة لم تکن ناهضةً لإثباتها، و الموضوع له فی الحروف و إن لم یکن عامّاً إلاّ أنّه لا إشکال فی استعمالها فی أکثر من واحد، و الجامع بین معانیها و إن کان منتفیاً، ضرورة عدم وجود الجامع الحقیقی بین الابتداءات الخارجیّة مثلاً، و مفهوم الابتداء الذی هو معنی اسمی لم یکن ابتداء حقیقةً إلاّ أنّه مع ذلک یمکن استعمالها فی أکثر من واحد تبعاً للأسماء و متعلّقاتها؛ نظیر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من کل نقطة من البصرة فإنّ الکثرة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هی مفاد الکلّ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تسری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فیفید وجوب السیر مبتدئاً من کلّ نقطة</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 یظهر أنّ جواز استعمال الحرف فی أکثر من واحد أوضح من جواز استعمال الاسم کذلک؛ لما عرفت من تبعیّة المقتضیة لسرایة مدلوله إلیه، کما هو واضح</w:t>
      </w:r>
      <w:r>
        <w:rPr>
          <w:rFonts w:eastAsia="IRNazanin" w:cs="IRNazanin"/>
          <w:color w:val="111111"/>
          <w:sz w:val="28"/>
          <w:szCs w:val="28"/>
          <w:rtl w:val="true"/>
          <w:lang w:bidi="fa-IR"/>
        </w:rPr>
        <w:t>.</w:t>
      </w:r>
      <w:bookmarkStart w:id="591" w:name="pg11586_104918"/>
    </w:p>
    <w:p>
      <w:pPr>
        <w:pStyle w:val="BookText"/>
        <w:rPr/>
      </w:pPr>
      <w:bookmarkEnd w:id="591"/>
      <w:r>
        <w:rPr>
          <w:rFonts w:ascii="IRNazanin" w:hAnsi="IRNazanin" w:eastAsia="IRNazanin"/>
          <w:color w:val="111111"/>
          <w:sz w:val="28"/>
          <w:sz w:val="28"/>
          <w:szCs w:val="28"/>
          <w:rtl w:val="true"/>
          <w:lang w:bidi="fa-IR"/>
        </w:rPr>
        <w:t>بل یمکن أن یقال بعدم استلزام الرجوع إلی الجمیع؛ لتعدّد الإخراج حتّی یبتنی علی القول بجواز استعمال الحروف فی أکثر من 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فیما کان المستثنی مشتملاً علی الضمیر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الموضوع له فی باب الضمائر هو الإشارة إلی مرجعه، و من الممکن أن یکون فی المقام إشارة فی جمیع الجُمل المتقدّمة، و یکون الإخراج واحداً، و لا یلزم تجوّز فی ناحیة الضمیر فی أکثر من معنی واحد؛ لأنّ الإشارة واحدة و إن کان المشار إلیه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فیما إذا لم یکن مشتملاً علی الضمیر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استعمال المستثنی أکثر من واحد لا یوجب أن یکون الإخراج متعدّداً حیث یلزم استعمال أداة الاستثناء فی أکثر من واحد کما هو</w:t>
      </w:r>
      <w:r>
        <w:rPr>
          <w:rFonts w:eastAsia="IRNazanin" w:cs="IRNazanin"/>
          <w:color w:val="111111"/>
          <w:sz w:val="28"/>
          <w:szCs w:val="28"/>
          <w:rtl w:val="true"/>
          <w:lang w:bidi="fa-IR"/>
        </w:rPr>
        <w:t>.</w:t>
      </w:r>
    </w:p>
    <w:p>
      <w:pPr>
        <w:pStyle w:val="Heading4"/>
        <w:numPr>
          <w:ilvl w:val="3"/>
          <w:numId w:val="1"/>
        </w:numPr>
        <w:rPr/>
      </w:pPr>
      <w:bookmarkStart w:id="592" w:name="__RefHeading___Toc5146049_73709187"/>
      <w:bookmarkStart w:id="593" w:name="_Toc224"/>
      <w:bookmarkEnd w:id="592"/>
      <w:r>
        <w:rPr>
          <w:rtl w:val="true"/>
        </w:rPr>
        <w:t>المقام الثانی</w:t>
      </w:r>
      <w:r>
        <w:rPr>
          <w:rtl w:val="true"/>
        </w:rPr>
        <w:t xml:space="preserve">: </w:t>
      </w:r>
      <w:r>
        <w:rPr>
          <w:rtl w:val="true"/>
        </w:rPr>
        <w:t>فی مقام الإثبات</w:t>
      </w:r>
      <w:bookmarkEnd w:id="593"/>
    </w:p>
    <w:p>
      <w:pPr>
        <w:pStyle w:val="BookText"/>
        <w:rPr/>
      </w:pPr>
      <w:r>
        <w:rPr>
          <w:rFonts w:ascii="IRNazanin" w:hAnsi="IRNazanin" w:eastAsia="IRNazanin"/>
          <w:color w:val="111111"/>
          <w:sz w:val="28"/>
          <w:sz w:val="28"/>
          <w:szCs w:val="28"/>
          <w:rtl w:val="true"/>
          <w:lang w:bidi="fa-IR"/>
        </w:rPr>
        <w:t xml:space="preserve">إذا عرفت ذلک، فاعلم أنّه 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تقریرات المحقّق النائینی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التحقیق یقتضی التفصیل بین ما إذا کانت الجُمل المتعدّدة المتقدّمة مشتملةً علی عقد الوضع بأن یکون ذلک مکرّراً فی جمیعها و بین ما إذا لم یکن کذلک، بل کان ذکر عقد الوضع منحصراً بصدر الکلام، کما إذا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 العلماء و أضفهم و أطعمهم إلاّ فسّاقهم، بأن یقال برجوعه إلی الجمیع دون خصوص الأخیرة فی الثانی، و برجوعه إلی خصوصها فی الأوّل</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السرّ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بدّ من رجوع الاستثناء إلی عقد الوضع لا محالة، فإذا لم یکن مذکوراً إلاّ فی صدر الکلام، فلا بدّ من رجوعه إلیه، بخلاف ما إذا کان تکراره فی الجملة الأخیرة یوجب أخذ الاستثناء محلّه من الکلام، فیحتاج</w:t>
      </w:r>
    </w:p>
    <w:p>
      <w:pPr>
        <w:pStyle w:val="BookText"/>
        <w:rPr/>
      </w:pPr>
      <w:r>
        <w:rPr>
          <w:rFonts w:ascii="IRNazanin" w:hAnsi="IRNazanin" w:eastAsia="IRNazanin"/>
          <w:color w:val="111111"/>
          <w:sz w:val="28"/>
          <w:sz w:val="28"/>
          <w:szCs w:val="28"/>
          <w:rtl w:val="true"/>
          <w:lang w:bidi="fa-IR"/>
        </w:rPr>
        <w:t>تخصیص الباقی إلی دلیل آخر مفقود علی الفرض</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 ما ذکره من أنّه لا بدّ من رجوع الاستثناء إلی عقد الوضع مخالف لما ذکروه فی قبال أبی حنیفة من أنّ الاستثناء من النفی إثبات و من الإثبات نفی، فإنّ مرجع ذلک إلی رجوع الاستثناء إلی عقد الحمل، و الحکم المذکور فی الکلام، و إلّا لم یکن الاستثناء من النفی إثباتاً أصلاً، و کذا العکس، فلا بدّ من القول برجوعه إلی الحکم، و حینئذٍ فیتّجه التفصیل بین ما إذا کان عقد الحمل متکرّراً أو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تفصیله بملاحظة ما عرفت أنّ المستثنی قد یکون مشتملاً علی الضمیر، و قد لا یکون، و علی التقدیر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عقد الوضع أیضاً واحداً و عقد الحمل متکرّراً، غایة الأمر أنّ عقد الوضع فی غیر الجملة الاُولی إنّما افید بالضمیر سواء کان المستثنی أیضاً مشتملاً علی الضمیر، کما فی المثال المذکور فی کلامه، أو لم یکن، کما لو حذف الضمیر فی المثال من المستثنی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فی هذا القسم الرجوع إلی الجمیع، لا لما ذکره، بل لأنّ ظاهر اتّحاد السیاق یقتضی أن یکون مثل الجُمل المشتملة علی الضمیر فی عوده إلی الاُولی،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بالعکس، مثل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أضف العلماء و التجّار و الهاشمیّین إلاّ فسّاقهم</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فی هذا القسم أیضاً الرجوع إلی الجمیع؛ لکون عقد الحمل غیر متعدّد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کلٌّ منهما متکرّراً، و فی هذا القسم قد تکون الأحکام مختلفةً بالصنف، و قد لا تکون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هذا القسم یتردّد الأمر بین الرجوع إلی الجمیع أو خصوص الأخیرة، و لا دلیل علی التعیین، و علی التقدیر الثانی فالظاهر هو الرجوع إلی الجمیع فی مثل الصورة الثانیة فی التقدیر الأوّل دون البواقی،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الرجوع إلی الأخیرة فی موارد الإجمال متیقّن علی کلّ تقدیر، و فی غیرها من الجُمل لا یجوز التمسّک بأصالة العموم؛ لاکتنافه بما یصلح للقرینیّة، و لم یحرز استقرار بناء العقلاء علی التمسّک بها فی أمثال المقام، فلا بدّ فی مورد الاستثناء فیه من الرجوع إلی الاُصول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فی التقریرات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توهّم کون المقام من قبیل اکتناف الکلام بما یصلح للقرینیّة غیر صحیح؛ لأنّ المولی لو أراد تخصیص الجمیع و مع ذلک قد اکتفی فی مقام البیان بذکر استثناء واحد مع تکرار عقد الوضع فی الجملة الأخیرة، لکان مخلا ببیانه؛ إذ بعد أخذ الاستثناء محلّه من الکلام لا یکون موجب لرجوعه إلی الجمیع</w:t>
      </w:r>
      <w:r>
        <w:rPr>
          <w:rStyle w:val="FootnoteAnchor"/>
          <w:rtl w:val="true"/>
        </w:rPr>
        <w:footnoteReference w:id="24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یخفی أنّ ذلک یوجب سدّ باب الإجمال؛ فإنّه کیف لا یجوز أن یکون غرضه تخصیص الجمیع و مع ذلک أجمل کلامه لمصلحة مقتضیة له کما فی سائر المجملات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 بعد أخذ الاستثناء محلّه من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نعرف له معنی</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حکی عن المقالات أنّه قال فی المقام ما 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إطلاق الاستثناء و المستثنی یوجب الرجوع إلی الجمیع، و حینئذٍ فلو کان العموم فی الجُمل</w:t>
      </w:r>
    </w:p>
    <w:p>
      <w:pPr>
        <w:pStyle w:val="BookText"/>
        <w:rPr/>
      </w:pPr>
      <w:r>
        <w:rPr>
          <w:rFonts w:ascii="IRNazanin" w:hAnsi="IRNazanin" w:eastAsia="IRNazanin"/>
          <w:color w:val="111111"/>
          <w:sz w:val="28"/>
          <w:sz w:val="28"/>
          <w:szCs w:val="28"/>
          <w:rtl w:val="true"/>
          <w:lang w:bidi="fa-IR"/>
        </w:rPr>
        <w:t>المستثنی منها مستفاداً لا من الإطلاق، یوجب ذلک عدم انعقاد الإطلاق فی الاستثناء و المستثنی؛ لصیرورة العموم فی غیر الجملة الأخیرة قرینةً علی اختصاصهما بها، و أمّا لو کان العموم مستفاداً من مقدّمات الحکمة، فهنا إطلاقان یکون انعقاد کلٍّ منهما معلّقاً علی عدم الآخر، فلا ینعقدان، فیصیر الکلام بالنسبة إلی غیر الجملة الأخیرة مجملاً</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فی الشقّ الأوّل من صیرورة العموم قرینة علی اختصاص الاستثناء بالجملة الأخیرة، محلّ نظر بل 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فیما کان المستثنی مشتملاً علی الضمیر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رجوعه إلی الجمیع أو خصوص الأخیرة متوقّف علی تعیین مرجع الضمیر، و أنّه اشیر به إلی الجمیع أو إلیها</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فیما لم یکن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عرفت أنّ أصالة العموم فی غیر هذه الأخیرة فی أمثال المقام غیر جاریة، فتدبّر</w:t>
      </w:r>
      <w:r>
        <w:rPr>
          <w:rFonts w:eastAsia="IRNazanin" w:cs="IRNazanin"/>
          <w:color w:val="111111"/>
          <w:sz w:val="28"/>
          <w:szCs w:val="28"/>
          <w:rtl w:val="true"/>
          <w:lang w:bidi="fa-IR"/>
        </w:rPr>
        <w:t>.</w:t>
      </w:r>
      <w:bookmarkStart w:id="594" w:name="pg11586_104922"/>
    </w:p>
    <w:p>
      <w:pPr>
        <w:pStyle w:val="Heading2"/>
        <w:numPr>
          <w:ilvl w:val="1"/>
          <w:numId w:val="1"/>
        </w:numPr>
        <w:rPr/>
      </w:pPr>
      <w:bookmarkStart w:id="595" w:name="__RefHeading___Toc5146051_73709187"/>
      <w:bookmarkStart w:id="596" w:name="_Toc225"/>
      <w:bookmarkEnd w:id="594"/>
      <w:bookmarkEnd w:id="595"/>
      <w:r>
        <w:rPr>
          <w:rtl w:val="true"/>
        </w:rPr>
        <w:t>المقصد الخامس فی المطلق و المقیّد</w:t>
      </w:r>
      <w:bookmarkEnd w:id="596"/>
    </w:p>
    <w:p>
      <w:pPr>
        <w:pStyle w:val="Heading3"/>
        <w:numPr>
          <w:ilvl w:val="2"/>
          <w:numId w:val="1"/>
        </w:numPr>
        <w:rPr/>
      </w:pPr>
      <w:bookmarkStart w:id="597" w:name="__RefHeading___Toc5146053_73709187"/>
      <w:bookmarkStart w:id="598" w:name="_Toc226"/>
      <w:bookmarkEnd w:id="597"/>
      <w:r>
        <w:rPr>
          <w:rtl w:val="true"/>
        </w:rPr>
        <w:t>اشارة</w:t>
      </w:r>
      <w:bookmarkEnd w:id="598"/>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فصول</w:t>
      </w:r>
      <w:r>
        <w:rPr>
          <w:rFonts w:eastAsia="IRNazanin" w:cs="IRNazanin"/>
          <w:color w:val="111111"/>
          <w:sz w:val="28"/>
          <w:szCs w:val="28"/>
          <w:rtl w:val="true"/>
          <w:lang w:bidi="fa-IR"/>
        </w:rPr>
        <w:t>:</w:t>
      </w:r>
      <w:bookmarkStart w:id="599" w:name="pg11586_104924"/>
    </w:p>
    <w:p>
      <w:pPr>
        <w:pStyle w:val="Heading3"/>
        <w:numPr>
          <w:ilvl w:val="2"/>
          <w:numId w:val="1"/>
        </w:numPr>
        <w:rPr/>
      </w:pPr>
      <w:bookmarkStart w:id="600" w:name="__RefHeading___Toc5146055_73709187"/>
      <w:bookmarkStart w:id="601" w:name="_Toc227"/>
      <w:bookmarkEnd w:id="599"/>
      <w:bookmarkEnd w:id="600"/>
      <w:r>
        <w:rPr>
          <w:rtl w:val="true"/>
        </w:rPr>
        <w:t>الفصل الأوّل فی تعریف المطلق</w:t>
      </w:r>
      <w:bookmarkEnd w:id="601"/>
    </w:p>
    <w:p>
      <w:pPr>
        <w:pStyle w:val="BookText"/>
        <w:rPr/>
      </w:pPr>
      <w:r>
        <w:rPr>
          <w:rFonts w:ascii="IRNazanin" w:hAnsi="IRNazanin" w:eastAsia="IRNazanin"/>
          <w:color w:val="111111"/>
          <w:sz w:val="28"/>
          <w:sz w:val="28"/>
          <w:szCs w:val="28"/>
          <w:rtl w:val="true"/>
          <w:lang w:bidi="fa-IR"/>
        </w:rPr>
        <w:t>قد عرّف المطلق بأنّه ما دلّ علی شایع فی جنسه</w:t>
      </w:r>
      <w:r>
        <w:rPr>
          <w:rStyle w:val="FootnoteAnchor"/>
          <w:rtl w:val="true"/>
        </w:rPr>
        <w:footnoteReference w:id="24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لکنّه مخدوش من وجوه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ظاهره کون الإطلاق وصفاً لنفس اللّفظ مع أنّه من صفات المعنی، ضرورة أنّه یتّصف به المعنی و لو لم یکن فی العالم لفظ فإنّ ماهیّة الإنسان مطلقة و لو لم یوضع بإزائها لفظ أصلاً فإنّها أمر شائع فی أفراده الذاتیة، و معرّاة عن القیود و الخصوصیات الوجودیة المجامعة مع کلّ واحد منها، کما لا یخفی</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اعتبار الشیوع فی الجنس إن کان قیداً للمدلول بما أنّه مدلول بحیث کان مرجعه إلی دلالة اللّفظ علی الشیوع و السریان أیضاً، فلیس فی العالم مطلق أصلاً، ضرورة أنّ اللّفظ لا یحکی إلاّ عن نفس الماهیّة المطلقة، و کونها بذاتها شائعة فی أفرادها، ساریة فی وجوداتها لا ارتباط له بدلالة اللّفظ</w:t>
      </w:r>
    </w:p>
    <w:p>
      <w:pPr>
        <w:pStyle w:val="BookText"/>
        <w:rPr/>
      </w:pPr>
      <w:r>
        <w:rPr>
          <w:rFonts w:ascii="IRNazanin" w:hAnsi="IRNazanin" w:eastAsia="IRNazanin"/>
          <w:color w:val="111111"/>
          <w:sz w:val="28"/>
          <w:sz w:val="28"/>
          <w:szCs w:val="28"/>
          <w:rtl w:val="true"/>
          <w:lang w:bidi="fa-IR"/>
        </w:rPr>
        <w:t>أصلاً، کما هو واضح، فلا بدّ من أن یکون هذا القید وصفاً لنفس المعنی مع قطع النظر عن کونه مدلولاً 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التعریف اختصاص الإطلاق بالمعانی الکلّیة، ضرورة أنّها تکون شائعةً فی جنسها، أی الأفراد المجانسة لها، لا الجنس الاصطلاحی المنطقی، و أمّا الاُمور الجزئیة الغیر القابلة للسریان فظاهره أنّها لا تکون متّصفةً بالإطلاق مع أنّها أیضاً کذلک، ضرورة 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 زیداً، مطلق غیر مشروط بشیء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أنّ المعانی الجزئیة غیر قابلة للتقیید فلا یتّصف بالإطلاق، مدفوعة بمنع ذلک؛ فإنّ الاُمور الجزئیة أیضاً قابلة للتقیید، فإنّ جعل زید مثلاً موضوعاً للحکم تارة یکون بنحو الإطلاق، و اخری مقیّداً بمجیئه أو بغیره من الحالات و العوارض، کما هو واضح</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التعریف یشمل بعض المقیّدات أیضاً، ضرورة أنّ الرقبة المقیّدة بالمؤمنة أیضاً شائعة فی جمیع أفراد الرقبة المؤمنة، کما لا یخفی فالأولی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المطلق عبارة عن المعنی المعرّی عن القید المعبّر عنه بالفارسیة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المقیّد بخلافه، و لا شبهة فی أنّهما وصفان إضافیّان، ضرورة أنّ المعنی الملحوظ مع أمر آخر تارة یکون مقیّداً به و اخری معرّی عنه، و هذا المعنی یجری فی جمیع القیود، و ربّما یکون مقیّداً ببعضها و غیر مقیّد بالبعض الآخر، و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یکون وصفاً للحکم، و قد یکون وصفاً لمتعلّقه، و قد یکون وصفاً لموضوعه، و قد یکون وصفاً لنفس المعنی مع قطع النظر عن تعلّق الحکم، فإنّ ماهیّة الإنسان مطلقة و الإنسان الأبیض مقیّدة و لو لم یکن فی البین حکم أصلاً، کما هو واضح، و الإطلاق فی الجمیع بمعنی واحد، و هو خلوّه عن التقیّد بشیء آخر</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التقابل بین الإطلاق و التقیید أشبه بتقابل العدم و الملکة من حیث إنّ اتّصاف معنیً بالإطلاق إنّما هو فیما لو کان قابلاً و صالحا للتقیید و إن کان بینهما فرق من حیث إنّ أعدام الملکات إذا انقلبت من مرحلة القابلیّة إلی الفعلیّة یوجب ذلک تبدّل صورتها، بخلاف المطلق؛ فإنّ تقیید الإنسان بالعالم مثلاً لا یوجب ذلک تصرّفاً فی معناه، فإنّ معنی الإنسان واحد، سواء قیّد ببعض القیود أم لم یقیّد، و قد مرّت الإشارة إلیه</w:t>
      </w:r>
      <w:r>
        <w:rPr>
          <w:rFonts w:eastAsia="IRNazanin" w:cs="IRNazanin"/>
          <w:color w:val="111111"/>
          <w:sz w:val="28"/>
          <w:szCs w:val="28"/>
          <w:rtl w:val="true"/>
          <w:lang w:bidi="fa-IR"/>
        </w:rPr>
        <w:t>.</w:t>
      </w:r>
      <w:bookmarkStart w:id="602" w:name="pg11586_104927"/>
    </w:p>
    <w:p>
      <w:pPr>
        <w:pStyle w:val="BookText"/>
        <w:rPr/>
      </w:pPr>
      <w:bookmarkEnd w:id="602"/>
      <w:r>
        <w:rPr>
          <w:rFonts w:ascii="IRNazanin" w:hAnsi="IRNazanin" w:eastAsia="IRNazanin"/>
          <w:color w:val="111111"/>
          <w:sz w:val="28"/>
          <w:sz w:val="28"/>
          <w:szCs w:val="28"/>
          <w:rtl w:val="true"/>
          <w:lang w:bidi="fa-IR"/>
        </w:rPr>
        <w:t>الألفاظ التی یطلق علیها المطلق</w:t>
      </w:r>
    </w:p>
    <w:p>
      <w:pPr>
        <w:pStyle w:val="Heading3"/>
        <w:numPr>
          <w:ilvl w:val="2"/>
          <w:numId w:val="1"/>
        </w:numPr>
        <w:rPr/>
      </w:pPr>
      <w:bookmarkStart w:id="603" w:name="__RefHeading___Toc5146057_73709187"/>
      <w:bookmarkStart w:id="604" w:name="_Toc228"/>
      <w:bookmarkEnd w:id="603"/>
      <w:r>
        <w:rPr>
          <w:rtl w:val="true"/>
        </w:rPr>
        <w:t>الفصل الثانی حول الألفاظ التی یطلق علیها المطلق</w:t>
      </w:r>
      <w:bookmarkEnd w:id="604"/>
    </w:p>
    <w:p>
      <w:pPr>
        <w:pStyle w:val="Heading4"/>
        <w:numPr>
          <w:ilvl w:val="3"/>
          <w:numId w:val="1"/>
        </w:numPr>
        <w:rPr/>
      </w:pPr>
      <w:bookmarkStart w:id="605" w:name="__RefHeading___Toc5146059_73709187"/>
      <w:bookmarkStart w:id="606" w:name="_Toc229"/>
      <w:bookmarkEnd w:id="605"/>
      <w:r>
        <w:rPr>
          <w:rtl w:val="true"/>
        </w:rPr>
        <w:t>اشارة</w:t>
      </w:r>
      <w:bookmarkEnd w:id="606"/>
    </w:p>
    <w:p>
      <w:pPr>
        <w:pStyle w:val="BookText"/>
        <w:rPr/>
      </w:pPr>
      <w:r>
        <w:rPr>
          <w:rFonts w:ascii="IRNazanin" w:hAnsi="IRNazanin" w:eastAsia="IRNazanin"/>
          <w:color w:val="111111"/>
          <w:sz w:val="28"/>
          <w:sz w:val="28"/>
          <w:szCs w:val="28"/>
          <w:rtl w:val="true"/>
          <w:lang w:bidi="fa-IR"/>
        </w:rPr>
        <w:t>ثمّ إنّه جرت العادة هنا بذکر تعیین ما وضع له بعض الألفاظ التی یطلق علیها المطلق، و نحن نقتفی أثرهم و إن کان غیر مرتبط بالمقام؛ لما عرفت من أنّ معنی الإطلاق هو خلوّ المعنی عن التعلّق بشیء آخر، سواء کان کلیّاً أو جزئیّاً، و أنّ الإطلاق و التقیید وصفان إضافیّان، و أنّ الإطلاق فی جمیع الموارد بمعنی واحد، فالتکلّم فیما وضع له اسم الجنس مثلاً لیس له ارتباط بتلک الاُمور المذکورة، کما هو واضح</w:t>
      </w:r>
      <w:r>
        <w:rPr>
          <w:rFonts w:eastAsia="IRNazanin" w:cs="IRNazanin"/>
          <w:color w:val="111111"/>
          <w:sz w:val="28"/>
          <w:szCs w:val="28"/>
          <w:rtl w:val="true"/>
          <w:lang w:bidi="fa-IR"/>
        </w:rPr>
        <w:t>.</w:t>
      </w:r>
    </w:p>
    <w:p>
      <w:pPr>
        <w:pStyle w:val="Heading4"/>
        <w:numPr>
          <w:ilvl w:val="3"/>
          <w:numId w:val="1"/>
        </w:numPr>
        <w:rPr/>
      </w:pPr>
      <w:bookmarkStart w:id="607" w:name="__RefHeading___Toc5146061_73709187"/>
      <w:bookmarkStart w:id="608" w:name="_Toc230"/>
      <w:bookmarkEnd w:id="607"/>
      <w:r>
        <w:rPr>
          <w:rtl w:val="true"/>
        </w:rPr>
        <w:t>منها</w:t>
      </w:r>
      <w:r>
        <w:rPr>
          <w:rtl w:val="true"/>
        </w:rPr>
        <w:t xml:space="preserve">: </w:t>
      </w:r>
      <w:r>
        <w:rPr>
          <w:rtl w:val="true"/>
        </w:rPr>
        <w:t>اسم الجنس</w:t>
      </w:r>
      <w:bookmarkEnd w:id="608"/>
    </w:p>
    <w:p>
      <w:pPr>
        <w:pStyle w:val="Heading5"/>
        <w:numPr>
          <w:ilvl w:val="4"/>
          <w:numId w:val="1"/>
        </w:numPr>
        <w:rPr/>
      </w:pPr>
      <w:bookmarkStart w:id="609" w:name="__RefHeading___Toc5146063_73709187"/>
      <w:bookmarkStart w:id="610" w:name="_Toc231"/>
      <w:bookmarkEnd w:id="609"/>
      <w:r>
        <w:rPr>
          <w:rtl w:val="true"/>
        </w:rPr>
        <w:t>اشارة</w:t>
      </w:r>
      <w:bookmarkEnd w:id="610"/>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 فقد عدّوا منها اسم الجنس، کإنسان و رجل و سواد و بیاض و الزوجیة و غیرها من أسماء الکلّیات من الجواهر و الأعراض و العرضیات، و لا شبهة فی أنّها موضوعة لنفس الماهیّة و المفهوم بما هی هی، و من المعلوم أنّها عین أفرادها فی الخارج، فصحّة إطلاقها علی أفرادها لا یستلزم ملاحظة الماهیّة فی مرحلة الوضع بنحو اللّابشرط القسمی تسریةً للوضع إلی المعنی</w:t>
      </w:r>
      <w:bookmarkStart w:id="611" w:name="pg11586_104928"/>
    </w:p>
    <w:p>
      <w:pPr>
        <w:pStyle w:val="BookText"/>
        <w:rPr/>
      </w:pPr>
      <w:bookmarkEnd w:id="611"/>
      <w:r>
        <w:rPr>
          <w:rFonts w:ascii="IRNazanin" w:hAnsi="IRNazanin" w:eastAsia="IRNazanin"/>
          <w:color w:val="111111"/>
          <w:sz w:val="28"/>
          <w:sz w:val="28"/>
          <w:szCs w:val="28"/>
          <w:rtl w:val="true"/>
          <w:lang w:bidi="fa-IR"/>
        </w:rPr>
        <w:t>بجمیع أطواره، و جعل الوضع بإزاء نفسها، کما أفاده بعض المحقّقین من محشّی الکفایة</w:t>
      </w:r>
      <w:r>
        <w:rPr>
          <w:rStyle w:val="FootnoteAnchor"/>
          <w:rtl w:val="true"/>
        </w:rPr>
        <w:footnoteReference w:id="24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لأنّ المراد من تسریة الوضع إن کان بحیث یوجب صحّة إطلاق اللّفظ علی جمیع أفراده و الحمل علیه بالحمل الذاتی، فلا شبهة فی بطلانه؛ لأنّ استعمال لفظ الإنسان فی بعض أفراده مجاز بالاتّفاق و إن کان بحیث یوجب صحّة الحمل علیه بالحمل الشائع، فذلک لا یستلزم ملاحظة الماهیّة بنحو اللّابشرط القسمی،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فلا شبهة فی أنّ ما وضع له أسماء الأجناس هی نفس المفاهیم الکلّیة و الماهیات بما هی هی</w:t>
      </w:r>
      <w:r>
        <w:rPr>
          <w:rFonts w:eastAsia="IRNazanin" w:cs="IRNazanin"/>
          <w:color w:val="111111"/>
          <w:sz w:val="28"/>
          <w:szCs w:val="28"/>
          <w:rtl w:val="true"/>
          <w:lang w:bidi="fa-IR"/>
        </w:rPr>
        <w:t>.</w:t>
      </w:r>
    </w:p>
    <w:p>
      <w:pPr>
        <w:pStyle w:val="Heading5"/>
        <w:numPr>
          <w:ilvl w:val="4"/>
          <w:numId w:val="1"/>
        </w:numPr>
        <w:rPr/>
      </w:pPr>
      <w:bookmarkStart w:id="612" w:name="__RefHeading___Toc5146065_73709187"/>
      <w:bookmarkStart w:id="613" w:name="_Toc232"/>
      <w:bookmarkEnd w:id="612"/>
      <w:r>
        <w:rPr>
          <w:rtl w:val="true"/>
        </w:rPr>
        <w:t>أقسام الماهیّة</w:t>
      </w:r>
      <w:bookmarkEnd w:id="613"/>
    </w:p>
    <w:p>
      <w:pPr>
        <w:pStyle w:val="BookText"/>
        <w:rPr/>
      </w:pPr>
      <w:r>
        <w:rPr>
          <w:rFonts w:ascii="IRNazanin" w:hAnsi="IRNazanin" w:eastAsia="IRNazanin"/>
          <w:color w:val="111111"/>
          <w:sz w:val="28"/>
          <w:sz w:val="28"/>
          <w:szCs w:val="28"/>
          <w:rtl w:val="true"/>
          <w:lang w:bidi="fa-IR"/>
        </w:rPr>
        <w:t>ثمّ إنّهم قسّموا الماهیّة إلی الأقسام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الماهیّة اللّابشرط و الماهیّة البشرط شیء و الماهیّة البشرطلا؛ نظراً إلی أنّه إذا لوحظت الماهیّة مع أمر خارج عنها فإمّا أن تلاحظ مع وجودها أو مع عدمها أو لا مع وجودها و لا مع عدمها</w:t>
      </w:r>
      <w:r>
        <w:rPr>
          <w:rStyle w:val="FootnoteAnchor"/>
          <w:rtl w:val="true"/>
        </w:rPr>
        <w:footnoteReference w:id="24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اشکل علیه بأنّ القسم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الماهیّة اللّابشرط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المقسم، فالتقسیم تقسیم إلی نفسه و إلی غیره</w:t>
      </w:r>
      <w:r>
        <w:rPr>
          <w:rStyle w:val="FootnoteAnchor"/>
          <w:rtl w:val="true"/>
        </w:rPr>
        <w:footnoteReference w:id="248"/>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اجیب عن ذلک بالفرق؛ فإنّ المقسم هو اللّابشرط المقسمی، و القسم هو</w:t>
      </w:r>
    </w:p>
    <w:p>
      <w:pPr>
        <w:pStyle w:val="BookText"/>
        <w:rPr/>
      </w:pPr>
      <w:r>
        <w:rPr>
          <w:rFonts w:ascii="IRNazanin" w:hAnsi="IRNazanin" w:eastAsia="IRNazanin"/>
          <w:color w:val="111111"/>
          <w:sz w:val="28"/>
          <w:sz w:val="28"/>
          <w:szCs w:val="28"/>
          <w:rtl w:val="true"/>
          <w:lang w:bidi="fa-IR"/>
        </w:rPr>
        <w:t>اللّابشرط القسمی</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قیل فی 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التقسیم إلی الأقسام الثلاثة المذکورة لیس تقسیماً لنفس الماهیّة، بل المقسم إنّما هو لحاظها، و حینئذٍ فالمراد بالماهیّة اللّابشرط هو لحاظها کذلک، فالتفاوت بین المقسم و القسم إنّما هو باعتبار أنّ الأوّل هو مجرّد لحاظ الماهیّة من دون ملاحظة شیء معها، و الثانی هو لحاظها مجرّداً عن قید آخر وجودیّاً کان أم عدمیّاً، کما أنّ المراد بالماهیّة البشرط شیء هو لحاظها مشروطاً به، و بالماهیة البشرطلا هو لحاظها مشروطاً بعدمه</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لازم کون التقسیم للحاظ الماهیّة لا لنفسها أنّ کلّ أمر خارج عنها إذا لوحظت الماهیّة بالقیاس إلیها، یمکن اعتبار الأقسام الثلاثة فیه، فإنّ باب اللّحاظ واسع، فیمکن ملاحظة الماهیّة بالنسبة إلی کلّ قید مشروطاً بوجوده أو بعدمه أو غیر مشروطٍ بشیءٍ منهما، مع أنّ ذلک مستبعد جدّاً؛ فإنّه کیف یمکن أن یکون مراد أساطین الحکمة المتعرّضین لهذا التقسیم ذلک المعنی الذی هو مجرّد الاعتبار و صرف اللّحاظ و إن کان ظاهر عبائرهم فی بیان التقسیم ذلک، لکنّه لیس بمرادهم، فالتحقیق أنّ هذا تقسیم لنفس الماهیّة</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ماهیّة إذا لوحظت مع أمر من الاُمور الخارجة عنها فإمّا أن تکون مشروطةً بوجوده واقعاً بحیث لا یعقل الانفکاک بینهما فی نفس الأمر و لو مع عدم لحاظها کذلک، و إمّا أن تکون مشروطةً بعدمه واقعاً بحیث یستحیل اجتماعهما کذلک، و إمّا أن لا تکون مشروطةً بوجوده و لا بعدمه، بل یکون ذلک الأمر من العوارض التی قد یجتمع معها و قد یفترق عنها و لو مع لحاظها مشروطةً بوجوده</w:t>
      </w:r>
    </w:p>
    <w:p>
      <w:pPr>
        <w:pStyle w:val="BookText"/>
        <w:rPr/>
      </w:pPr>
      <w:r>
        <w:rPr>
          <w:rFonts w:ascii="IRNazanin" w:hAnsi="IRNazanin" w:eastAsia="IRNazanin"/>
          <w:color w:val="111111"/>
          <w:sz w:val="28"/>
          <w:sz w:val="28"/>
          <w:szCs w:val="28"/>
          <w:rtl w:val="true"/>
          <w:lang w:bidi="fa-IR"/>
        </w:rPr>
        <w:t>أو بعدمه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الماهیّة البشرط شیء، و مثاله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ماهیّة الجسم بالنسبة إلی التحیّز، فإنّها تکون دائماً مشروطة به، و یستحیل تحقّق الانفکاک بینهما و لو لم تلاحظ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الماهیّة البشرطلا، و مثاله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ماهیّة الجسم بالنسبة إلی التجرّد مثلاً، فإنّها تکون دائماً متفرّقة عنه، و لا یعقل اجتماعهما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الماهیّة اللّابشرط، و مثاله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ماهیّة الإنسان بالنسبة إلی الکتابة، فإنّها لا تکون مشروطةً بوجودها دائماً بحیث کان الانفکاک مستحیلاً، و لا بعدمها بحیث کان الاجتماع محالاً، بل ربّما توجد معها و ربّما توجد منفکّة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الماهیّة بالنسبة إلی کلّ قید لوحظ معها لها أحد الأقسام الثلاثة علی سبیل المنفصلة الحقیقیة، و لا یعقل اجتماعها بالنسبة إلی قید واحد، کما لا یخفی، کما أنّه ظهر ثبوت المغایرة بین المقسم و القسم، فإنّ المقسم هی نفس الماهیّة المحفوظة فی جمیع الأقسام الثلاثة، و بإضافة شیء من الخصوصیّات المأخوذة فی الأقسام یتحقّق قسم منها،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أفاد المحقّق النائینی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فی التقریرات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کلاماً فی معنی الأقسام و بیان الفرق بین اللّابشرط القسمی و المقسمی</w:t>
      </w:r>
      <w:r>
        <w:rPr>
          <w:rStyle w:val="FootnoteAnchor"/>
          <w:rtl w:val="true"/>
        </w:rPr>
        <w:footnoteReference w:id="25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المناقضة بین الصدر و الذیل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من الخلل، کما یظهر لمن راجعه و تأمّل</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الإنصاف أنّ ما ذکرنا هو التقسیم المعقول الذی یمکن أن یکون مقصوداً لأساطین الحکمة، کما عرفت</w:t>
      </w:r>
      <w:r>
        <w:rPr>
          <w:rFonts w:eastAsia="IRNazanin" w:cs="IRNazanin"/>
          <w:color w:val="111111"/>
          <w:sz w:val="28"/>
          <w:szCs w:val="28"/>
          <w:rtl w:val="true"/>
          <w:lang w:bidi="fa-IR"/>
        </w:rPr>
        <w:t>.</w:t>
      </w:r>
      <w:bookmarkStart w:id="614" w:name="pg11586_104931"/>
    </w:p>
    <w:p>
      <w:pPr>
        <w:pStyle w:val="Heading4"/>
        <w:numPr>
          <w:ilvl w:val="3"/>
          <w:numId w:val="1"/>
        </w:numPr>
        <w:rPr/>
      </w:pPr>
      <w:bookmarkStart w:id="615" w:name="__RefHeading___Toc5146067_73709187"/>
      <w:bookmarkStart w:id="616" w:name="_Toc233"/>
      <w:bookmarkEnd w:id="614"/>
      <w:bookmarkEnd w:id="615"/>
      <w:r>
        <w:rPr>
          <w:rtl w:val="true"/>
        </w:rPr>
        <w:t>منها</w:t>
      </w:r>
      <w:r>
        <w:rPr>
          <w:rtl w:val="true"/>
        </w:rPr>
        <w:t xml:space="preserve">: </w:t>
      </w:r>
      <w:r>
        <w:rPr>
          <w:rtl w:val="true"/>
        </w:rPr>
        <w:t>علم الجنس</w:t>
      </w:r>
      <w:bookmarkEnd w:id="616"/>
    </w:p>
    <w:p>
      <w:pPr>
        <w:pStyle w:val="BookText"/>
        <w:rPr/>
      </w:pPr>
      <w:r>
        <w:rPr>
          <w:rFonts w:ascii="IRNazanin" w:hAnsi="IRNazanin" w:eastAsia="IRNazanin"/>
          <w:color w:val="111111"/>
          <w:sz w:val="28"/>
          <w:sz w:val="28"/>
          <w:szCs w:val="28"/>
          <w:rtl w:val="true"/>
          <w:lang w:bidi="fa-IR"/>
        </w:rPr>
        <w:t>و هی کاسامة، و المشهور بین أهل العربیة أنّه موضوع للطبیعة بما هی متعیّنة، و لذا یعامل معه معاملة المعرفة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ذهب فی الکفایة إلی أنّه موضوع لصرف المعنی و نفس الطبیعة، کاسم الجنس، و التعریف لفظی، کما فی التأنیث اللفظی؛ نظراً إلی أنّه لو لم یکن کذلک لما صحّ حمله علی الأفراد بلا تصرّف و تأویل؛ لأنّه علی المشهور أمر ذهنی، و هو لا یصدق علی الخارج إلاّ مع التجرید، مع صحّة حمله علیها بدونه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وضعه لما یحتاج إلی التجرید فی مقام الاستعمال لا یصدر عن الواضع الحکیم</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لکنّه تنظّر فیه فی کتاب الدّرر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فیما أفاده نظر؛ لإمکان دخل الوجود الذهنی علی نحو المرآتیّة فی نظر اللّاحظ، کما أنّه ینتزع الکلّیة عن المفاهیم الموجودة فی الذهن لکن لا علی نحو یکون الوجود الذهنی ملحوظاً للمتصوّر بالمعنی الاسمی؛ إذ هی بهذه الملاحظة مباینة مع الخارج، و لا تنطبق علی شیء، و لا معنی لکلّیة شیء لا ینطبق علی الخارج أصلاً</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هذا،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للأسد بشرط تعیّنه فی الذهن علی نحو الحکایة عن الخارج، و یکون استعمال ذلک اللّفظ فی معناه بملاحظة القید المذکور، کاستعمال الألفاظ الدالّة علی المعانی الحرفیّة، فافهم و تدبّر</w:t>
      </w:r>
      <w:r>
        <w:rPr>
          <w:rStyle w:val="FootnoteAnchor"/>
          <w:rtl w:val="true"/>
        </w:rPr>
        <w:footnoteReference w:id="2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اللحاظ و لو کان بالمعنی الحرفی فی المعنی الموضوع له معناه کونه متقوّماً به، و إلّا فیصیر الموضوع له مجرّد المعنی من دون مدخلیة شیء، و لم یبق فرق بین علم الجنس و اسمه، و مع تقوّم معنی الأوّل به یرد علیه ما أفاده فی الکفایة</w:t>
      </w:r>
      <w:r>
        <w:rPr>
          <w:rStyle w:val="FootnoteAnchor"/>
          <w:rtl w:val="true"/>
        </w:rPr>
        <w:footnoteReference w:id="254"/>
      </w:r>
      <w:r>
        <w:rPr>
          <w:rFonts w:ascii="IRNazanin" w:hAnsi="IRNazanin" w:eastAsia="IRNazanin"/>
          <w:color w:val="111111"/>
          <w:sz w:val="28"/>
          <w:sz w:val="28"/>
          <w:szCs w:val="28"/>
          <w:rtl w:val="true"/>
          <w:lang w:bidi="fa-IR"/>
        </w:rPr>
        <w:t>،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الفرق بین المعرفة و النکرة و اتّصاف شیء بالأوّل و شیء آخر بالثانی أمر واقعی، فإنّ المعرفة هو ما کان فی الواقع متعیّناً غیر قابل للتردّد و الإبهام، مثل الأعلام الشخصیة، فإنّ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موضوعة لشخص متعیّن فی الواقع، بخلاف النکرة، فإنّ معنی الرجل المنکّر هو الفرد المردّد من طبیعة الرجل و المبهم فی نفس الأمر، فالامتیاز و التفاوت إنّما هو بحسب الواقع، و حینئذٍ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الموضوع له فی باب اسم الجنس هی نفس الطبیعة بما هی هی، و الطبیعة فی هذه المرتبة التی هی مرتبة ذات الطبیعة لا تکون معرفة و لا نکرة، و لذا یکون عروض التعریف و التنکیر بسبب أمر آخر، مثل الألف و اللّام المفیدة لتعریف الجنس، و تنوین التنکیر المفیدة لنکارته، فلو کان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اسم الجنس معرّفاً، لم یحتج فی تعریفه إلی إلحاق الألف و اللّام به و یستحیل تنکیره من غیر تجرید کما لا یخفی، کما أنّه لو کان منکّراً، لم یحتج إلی التنوین، و لم یصحّ تعریفه من غیر تجرید، و لیس ذلک إلاّ لکون نفس الطبیعة الموضوع لها اسم الجنس لا یکون معرفة و لا نکرة، و لذا لا یستعمل کذلک</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علم الجنس فهو موضوع لنفس الطبیعة الممتازة عن سائر الطبائع، فإنّ کلّ طبیعة إذا لوحظت بالإضافة إلی سائر الطبائع تکون ممتازة عنها و متعیّنة بذاتها فی عالم الواقع و نفس الأمر، و لیس ذلک التعیّن دائراً مدار الاعتبار، بل هو</w:t>
      </w:r>
      <w:bookmarkStart w:id="617" w:name="pg11586_104933"/>
    </w:p>
    <w:p>
      <w:pPr>
        <w:pStyle w:val="BookText"/>
        <w:rPr/>
      </w:pPr>
      <w:bookmarkEnd w:id="617"/>
      <w:r>
        <w:rPr>
          <w:rFonts w:ascii="IRNazanin" w:hAnsi="IRNazanin" w:eastAsia="IRNazanin"/>
          <w:color w:val="111111"/>
          <w:sz w:val="28"/>
          <w:sz w:val="28"/>
          <w:szCs w:val="28"/>
          <w:rtl w:val="true"/>
          <w:lang w:bidi="fa-IR"/>
        </w:rPr>
        <w:t>أمر واقعی، کالتعریف فی غیره من الموارد، و حینئذٍ فاللّحاظ لیس مأخوذاً فی المعنی حتّی یستحیل انطباقه علی الخارج، بل المعنی هی الطبیعة الممتازة بذاتها واقعاً، و هو قابل للاتّحاد مع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فمفاد علم الجنس و المعرّف بلام الجنس واحد غایة الأمر تعدّد الدالّ فی الثانی دون الأوّل، کما لا یخفی</w:t>
      </w:r>
      <w:r>
        <w:rPr>
          <w:rFonts w:eastAsia="IRNazanin" w:cs="IRNazanin"/>
          <w:color w:val="111111"/>
          <w:sz w:val="28"/>
          <w:szCs w:val="28"/>
          <w:rtl w:val="true"/>
          <w:lang w:bidi="fa-IR"/>
        </w:rPr>
        <w:t>.</w:t>
      </w:r>
    </w:p>
    <w:p>
      <w:pPr>
        <w:pStyle w:val="Heading4"/>
        <w:numPr>
          <w:ilvl w:val="3"/>
          <w:numId w:val="1"/>
        </w:numPr>
        <w:rPr/>
      </w:pPr>
      <w:bookmarkStart w:id="618" w:name="__RefHeading___Toc5146069_73709187"/>
      <w:bookmarkStart w:id="619" w:name="_Toc234"/>
      <w:bookmarkEnd w:id="618"/>
      <w:r>
        <w:rPr>
          <w:rtl w:val="true"/>
        </w:rPr>
        <w:t>منها</w:t>
      </w:r>
      <w:r>
        <w:rPr>
          <w:rtl w:val="true"/>
        </w:rPr>
        <w:t xml:space="preserve">: </w:t>
      </w:r>
      <w:r>
        <w:rPr>
          <w:rtl w:val="true"/>
        </w:rPr>
        <w:t>المفرد المعرّف باللاّم</w:t>
      </w:r>
      <w:bookmarkEnd w:id="619"/>
    </w:p>
    <w:p>
      <w:pPr>
        <w:pStyle w:val="BookText"/>
        <w:rPr/>
      </w:pPr>
      <w:r>
        <w:rPr>
          <w:rFonts w:ascii="IRNazanin" w:hAnsi="IRNazanin" w:eastAsia="IRNazanin"/>
          <w:color w:val="111111"/>
          <w:sz w:val="28"/>
          <w:sz w:val="28"/>
          <w:szCs w:val="28"/>
          <w:rtl w:val="true"/>
          <w:lang w:bidi="fa-IR"/>
        </w:rPr>
        <w:t>و ممّا ذکرنا ظهر الحال فی المفرد المعرّف باللاّم، فإنّ المعرّف بلام الجنس معناه 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المعرّف بلام الاستغراق أو العهد بأقسامه فإنّه أیضاً موضوع للمعنی المتعیّن، و هو جمیع الأفراد فی الأوّل، و المعنی المعهود فی الثانی</w:t>
      </w:r>
      <w:r>
        <w:rPr>
          <w:rFonts w:eastAsia="IRNazanin" w:cs="IRNazanin"/>
          <w:color w:val="111111"/>
          <w:sz w:val="28"/>
          <w:szCs w:val="28"/>
          <w:rtl w:val="true"/>
          <w:lang w:bidi="fa-IR"/>
        </w:rPr>
        <w:t>.</w:t>
      </w:r>
    </w:p>
    <w:p>
      <w:pPr>
        <w:pStyle w:val="Heading4"/>
        <w:numPr>
          <w:ilvl w:val="3"/>
          <w:numId w:val="1"/>
        </w:numPr>
        <w:rPr/>
      </w:pPr>
      <w:bookmarkStart w:id="620" w:name="__RefHeading___Toc5146071_73709187"/>
      <w:bookmarkStart w:id="621" w:name="_Toc235"/>
      <w:bookmarkEnd w:id="620"/>
      <w:r>
        <w:rPr>
          <w:rtl w:val="true"/>
        </w:rPr>
        <w:t>منها</w:t>
      </w:r>
      <w:r>
        <w:rPr>
          <w:rtl w:val="true"/>
        </w:rPr>
        <w:t xml:space="preserve">: </w:t>
      </w:r>
      <w:r>
        <w:rPr>
          <w:rtl w:val="true"/>
        </w:rPr>
        <w:t>النکرة</w:t>
      </w:r>
      <w:bookmarkEnd w:id="621"/>
    </w:p>
    <w:p>
      <w:pPr>
        <w:pStyle w:val="BookText"/>
        <w:rPr/>
      </w:pP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جاء رجل، أو جئنی برجل</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فی الکفایة أنّ مدلولها فی مثل الأوّل هو الفرد المعیّن المجهول عند المخاطب، و فی الثانی هی الطبیعة المأخوذة مع قید الوحدة التی یدلّ علیها تنوین التنکیر، فیکون مدلولها فی الأوّل جزئیّاً، کما هو واضح، و فی الثانی کلّیاً</w:t>
      </w:r>
      <w:r>
        <w:rPr>
          <w:rStyle w:val="FootnoteAnchor"/>
          <w:rtl w:val="true"/>
        </w:rPr>
        <w:footnoteReference w:id="255"/>
      </w:r>
      <w:r>
        <w:rPr>
          <w:rFonts w:ascii="IRNazanin" w:hAnsi="IRNazanin" w:eastAsia="IRNazanin"/>
          <w:color w:val="111111"/>
          <w:sz w:val="28"/>
          <w:sz w:val="28"/>
          <w:szCs w:val="28"/>
          <w:rtl w:val="true"/>
          <w:lang w:bidi="fa-IR"/>
        </w:rPr>
        <w:t>، و هی حصّة من الرجل و لا یخفی أنّ الجزئیة فی الأوّل إنّما یستفاد من دالّ آخر، و هو نسبة المجیء إلیه، و إلّا فمن الواضح عدم تعدّد الوضع فی باب النکرة، فالتحقیق أنّ مدلولها هو المعنی الکلّی فی الموضعین</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إنّک عرفت أنّ معنی المطلق هو خلوّ المعنی عن القید، سواء کان کلیّاً أو جزئیاً، و حینئذٍ فتخصیص المطلق باسم الجنس و النکرة بالمعنی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أفاده فی الکفایة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غیر محلّه؛ لأنّ النکرة بالمعنی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أمر جزئی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مطلقة، کما فی سائر الجزئیات، فإنّ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 زیداً، مطلق من حیث عدم تقیید زید بالجائی أو بغیره من القیود، کما أنّک عرفت أنّ لفظ المطلق لا یحکی إلاّ عن نفس الطبیعة، و هی لا یعقل أن تکون مرآةً للأفراد و الخصوصیّات، و معنی إطلاقها من حیث تعلّق الحکم بها هو کون تمام المتعلّق للحکم المجعول هی نفسها من غیر مدخلیة شیء آخر فیها، و هذا المعنی یستفاد من فعل المتکلّم حیث إنّه إذا کان بصدد بیان متعلّق حکمه و کان مختاراً فی التکلّم فهذا دلیل بنظر العقل علی أنّ المذکور تمام المتعلّق، و لیس ذلک من قبیل الدلالات اللفظیة، بل هو من الدلالات العقلیّة، کدلالة التکلّم علی کون مدلول الکلام مقصوداً للمتکلّم، و حینئذٍ فیظهر لک أنّ إثبات الإطلاق بضمیمة مقدّمات الحکمة أو بغیرها لیس یرجع إلی إثبات الشیاع و السریان، کما ذکره فی الکفایة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الشیاع و السریان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کسائر طوارئ الطبیعة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خارجاً عمّا وضع له لفظ المطلق، فلا بدّ فی الدلالة علیه من قرینة حال أو مقال أو حکمة</w:t>
      </w:r>
      <w:r>
        <w:rPr>
          <w:rStyle w:val="FootnoteAnchor"/>
          <w:rtl w:val="true"/>
        </w:rPr>
        <w:footnoteReference w:id="256"/>
      </w:r>
      <w:r>
        <w:rPr>
          <w:rFonts w:ascii="IRNazanin" w:hAnsi="IRNazanin" w:eastAsia="IRNazanin"/>
          <w:color w:val="111111"/>
          <w:sz w:val="28"/>
          <w:sz w:val="28"/>
          <w:szCs w:val="28"/>
          <w:rtl w:val="true"/>
          <w:lang w:bidi="fa-IR"/>
        </w:rPr>
        <w:t>، فإنّ ظاهره أنّ جریان مقدّمات الحکمة یفید الشیاع و السریان، مع أنّ مفادها لیس إلاّ کون المذکور تمام الموضوع، و لا مدخلیّة لشیء آخر فیه</w:t>
      </w:r>
      <w:r>
        <w:rPr>
          <w:rFonts w:eastAsia="IRNazanin" w:cs="IRNazanin"/>
          <w:color w:val="111111"/>
          <w:sz w:val="28"/>
          <w:szCs w:val="28"/>
          <w:rtl w:val="true"/>
          <w:lang w:bidi="fa-IR"/>
        </w:rPr>
        <w:t>.</w:t>
      </w:r>
      <w:bookmarkStart w:id="622" w:name="pg11586_104935"/>
    </w:p>
    <w:p>
      <w:pPr>
        <w:pStyle w:val="BookText"/>
        <w:rPr/>
      </w:pPr>
      <w:bookmarkEnd w:id="622"/>
      <w:r>
        <w:rPr>
          <w:rFonts w:ascii="IRNazanin" w:hAnsi="IRNazanin" w:eastAsia="IRNazanin"/>
          <w:color w:val="111111"/>
          <w:sz w:val="28"/>
          <w:sz w:val="28"/>
          <w:szCs w:val="28"/>
          <w:rtl w:val="true"/>
          <w:lang w:bidi="fa-IR"/>
        </w:rPr>
        <w:t>مقدّمات الحکمة</w:t>
      </w:r>
    </w:p>
    <w:p>
      <w:pPr>
        <w:pStyle w:val="Heading3"/>
        <w:numPr>
          <w:ilvl w:val="2"/>
          <w:numId w:val="1"/>
        </w:numPr>
        <w:rPr/>
      </w:pPr>
      <w:bookmarkStart w:id="623" w:name="__RefHeading___Toc5146073_73709187"/>
      <w:bookmarkStart w:id="624" w:name="_Toc236"/>
      <w:bookmarkEnd w:id="623"/>
      <w:r>
        <w:rPr>
          <w:rtl w:val="true"/>
        </w:rPr>
        <w:t>الفصل الثالث فی مقدّمات الحکمة</w:t>
      </w:r>
      <w:bookmarkEnd w:id="624"/>
    </w:p>
    <w:p>
      <w:pPr>
        <w:pStyle w:val="Heading4"/>
        <w:numPr>
          <w:ilvl w:val="3"/>
          <w:numId w:val="1"/>
        </w:numPr>
        <w:rPr/>
      </w:pPr>
      <w:bookmarkStart w:id="625" w:name="__RefHeading___Toc5146075_73709187"/>
      <w:bookmarkStart w:id="626" w:name="_Toc237"/>
      <w:bookmarkEnd w:id="625"/>
      <w:r>
        <w:rPr>
          <w:rtl w:val="true"/>
        </w:rPr>
        <w:t>اشارة</w:t>
      </w:r>
      <w:bookmarkEnd w:id="626"/>
    </w:p>
    <w:p>
      <w:pPr>
        <w:pStyle w:val="BookText"/>
        <w:rPr/>
      </w:pPr>
      <w:r>
        <w:rPr>
          <w:rFonts w:ascii="IRNazanin" w:hAnsi="IRNazanin" w:eastAsia="IRNazanin"/>
          <w:color w:val="111111"/>
          <w:sz w:val="28"/>
          <w:sz w:val="28"/>
          <w:szCs w:val="28"/>
          <w:rtl w:val="true"/>
          <w:lang w:bidi="fa-IR"/>
        </w:rPr>
        <w:t>و کیف کان فقد ذکر فی الکفایة أنّ مقدّمات الحکمة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المتکلّم فی مقام بیان تمام المراد لا الإهمال أو الإجمال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انتفاء ما یوجب التعیین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انتفاء القدر المتیقّن فی مقام التخاطب</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قرینة الحکمة لا تتوقّف إلاّ علی مقدّمة واحدة، و هی المقدّمة الاُولی، فهنا دعویان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 توقّفها علی المقدّمة الاُولی، ثانیتهما عدم توقّفها علی سائر المقدّمات</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الدعوی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فواضحة؛ لأنّه إذا لم یکن المتکلّم فی مقام بیان تمام المراد، بل کان فی مقام بیان حکم آخر أو فی مقام بیان أصل التشریع، لا یمکن أن یحتجّ بکلامه علیه عند العقلاء؛ لصحّة اعتذاره بأنّه کان بصدد بیان جهة اخری أو بیان الحکم بنحو الإجمال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فی الدّرر إلی عدم الاحتیاج إلی هذه المقدّمة، و قال فی بیانه ما 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المهملة مردّدة بین المطلق و المقیّد و لا ثالث، و لا إشکال فی أنّه لو کان المراد هو المقیّد تکون الإرادة متعلّقةً به بالأصالة، و إنّما ینسب إلی الطبیعة بالتبع لمکان الاتّحاد و حینئذٍ فنقول ظاهر الکلام هو تعلّق الإرادة أوّلاً و بالذات بنفس الطبیعة لا أنّ المراد هو المقیّد، ثمّ اضیفت الإرادة إلی الطبیعة لمکان الاتّحاد، و بعد ثبوت هذا الظهور تسری الإرادة إلی تمام الأفراد، و هو معنی الإطلاق</w:t>
      </w:r>
      <w:r>
        <w:rPr>
          <w:rStyle w:val="FootnoteAnchor"/>
          <w:rtl w:val="true"/>
        </w:rPr>
        <w:footnoteReference w:id="2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الکلام فی تعلّق الإرادة أوّلاً و بالذات بنفس الطبیعة إنّما هو فیما إذا احرز کون المتکلّم فی مقام البیان، و إلّا فلو کان بصدد بیان حکم آخر فیمنع هذا الظهور بحیث یمکن الأخذ به و الاحتجاج به علیه؛ لأنّه لیس من الظهورات اللفظیّة، بل إنّما هو من الدلالات العقلیّة، فتسلیم الظهور مبنی علی ثبوت هذه المقدّمة،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الدعوی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فعدم الاحتیاج إلی المقدّمة الثانیة واضح، ضرورة أنّ مفروض الکلام إنّما هو فیما إذا دار الأمر بین کون المراد هو المطلق أو المقیّد، و أمّا مع ثبوت القید فی الکلام فهو خارج عن مفروض المقام؛ لعدم کون المراد مردّداً حینئذٍ،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المقدّمة الثالثة فهی أیضاً غیر محتاج إلیها؛ لعدم کون ثبوت القدر المتیقّن فی مقام التخاطب مضرّاً بالإطلاق أصلاً</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 عرفت أنّ معنی الإطلاق لیس کون الطبیعة المأخوذة متعلّقاً للحکم ساریة فی جمیع الأفراد و شائعة بین جمیع الوجودات حتّی یکون</w:t>
      </w:r>
    </w:p>
    <w:p>
      <w:pPr>
        <w:pStyle w:val="BookText"/>
        <w:rPr/>
      </w:pPr>
      <w:r>
        <w:rPr>
          <w:rFonts w:ascii="IRNazanin" w:hAnsi="IRNazanin" w:eastAsia="IRNazanin"/>
          <w:color w:val="111111"/>
          <w:sz w:val="28"/>
          <w:sz w:val="28"/>
          <w:szCs w:val="28"/>
          <w:rtl w:val="true"/>
          <w:lang w:bidi="fa-IR"/>
        </w:rPr>
        <w:t xml:space="preserve">جریان مقدّمات الحکمة منتجاً لما یفیده العموم، بل المراد به هو کون نفس الطبیعة المذکورة فی الکلام ممّا یتقوّم به تمام المصلحة، و لم یکن لبعض القیودات مدخلیّة فی ذلک، و حینئذٍ فلو کان المتکلّم فی مقام بیان تمام ما لَه دخل فی موضوع حکمه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المفروض فی المقدّمة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 ذلک لم یذکر إلاّ نفس الطبیعة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المفروض فی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فإثبات الإطلاق و صحّة الاحتجاج به علیه لا یحتاج إلی أمر آخر؛ لأنّه لو کان مراده هو المقدار المتیقّن، لکان علیه تقیید الطبیعة لإخراج ما عداه، و لیس الأمر دائراً بین الأقلّ و الأکثر بمعنی أن یکون تعلّق الحکم بالمقدار المتیقّن معلوماً و بما عداه مشکوکاً، ضرورة أنّ الحکم فی باب الإطلاق و التقیید لا یکون متعلّقاً بالأفراد و الوجودات، بل إنّما کان هنا حکم واحد مردّد بین تعلّقه بنفس الطبیعة أو بها مقیّدة، و تعلّق الحکم بالمقیّد لیس معلوماً، و ثبوت القدر المتیقّن لا یوجب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فالقدر المتیقّن فی مقام التخاطب الراجع إلی کون بعض الأفراد أو الحالات ممّا کان عند المخاطب معلوم الحکم بمجرّد إلقاء الخطاب، لا بعد التأمّل ممّا لا یضرّ بالإطلاق بعد کون الأفراد و الحالات أجنبیّةً عن تعلّق الحکم بها فی باب الإطلاق،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بناءً علی ما اخترناه فی معنی الإطلاق</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بناءً علی مذاق القوم من جعله بمعنی الشیاع و السریان، فقد ذکر فی الکفایة أنّ مع ثبوته لا إخلال بالغرض لو کان المتیقّن تمام مراده، فإنّ الفرض أنّه بصدد بیان تمامه و قد بیّنه، لا بصدد بیان أنّه تمامه کی أخلّ ببیانه فافهم</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bookmarkStart w:id="627" w:name="pg11586_104938"/>
    </w:p>
    <w:p>
      <w:pPr>
        <w:pStyle w:val="BookText"/>
        <w:rPr/>
      </w:pPr>
      <w:bookmarkEnd w:id="627"/>
      <w:r>
        <w:rPr>
          <w:rFonts w:ascii="IRNazanin" w:hAnsi="IRNazanin" w:eastAsia="IRNazanin"/>
          <w:color w:val="111111"/>
          <w:sz w:val="28"/>
          <w:sz w:val="28"/>
          <w:szCs w:val="28"/>
          <w:rtl w:val="true"/>
          <w:lang w:bidi="fa-IR"/>
        </w:rPr>
        <w:t>و ذکر فی الحاشیة فی بیان المشار إلیه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فافهم، ما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أنّه لو کان بصدد بیان أنّه تمامه ما أخلّ ببیانه بعد عدم نصب قرینة علی إرادة تمام الأفراد، فإنّه بملاحظته یفهم أنّ المتیقّن تمام المراد، و إلّا کان علیه نصب القرینة علی إرادة تمامها، و إلّا قد أخلّ بفرضه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یفهم ذلک إذا لم یکن إلاّ بصدد بیان أنّ المتیقّن مراد و لم یکن بصدد بیان أنّ غیره مراد، أو لیس بمراد قبالاً للإجمال أو الإهمال المطلقین، فافهم فإنّه لا یخلو من دقّة</w:t>
      </w:r>
      <w:r>
        <w:rPr>
          <w:rStyle w:val="FootnoteAnchor"/>
          <w:rtl w:val="true"/>
        </w:rPr>
        <w:footnoteReference w:id="2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أنّه بناءً علی هذا القول أیضاً لا یکون وجود القدر المتیقّن مضرّاً، ضرورة أنّ جلّ الطبیعة مرآة لبعض الأفراد دون البعض الآخر ممّا لا یعقل، فمن ذکرها بنفسها یستکشف أنّه لاحظ السریان فی جمیع الأفراد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من أوضح مصادیق القدر المتیقّن ورود العامّ أو المطلق فی مورد خاصّ مع أنّه لا یلتزم أحد بکون المورد مخصّصاً أو مقیّداً، و إلی أنّ متیقنیّة بعض الأفراد أمر و کون الحکم مطلقاً بحسب نظر العقل و العقلاء بحیث صحّ الاحتجاج به علی الحاکم أمر آخر لا ربط لأحدهما بالآخر،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قرینة الحکمة لا تتوقّف إلاّ علی مقدّمة واحدة، و هی کون المتکلّم فی مقام بیان تمام مراده</w:t>
      </w:r>
      <w:r>
        <w:rPr>
          <w:rFonts w:eastAsia="IRNazanin" w:cs="IRNazanin"/>
          <w:color w:val="111111"/>
          <w:sz w:val="28"/>
          <w:szCs w:val="28"/>
          <w:rtl w:val="true"/>
          <w:lang w:bidi="fa-IR"/>
        </w:rPr>
        <w:t>.</w:t>
      </w:r>
    </w:p>
    <w:p>
      <w:pPr>
        <w:pStyle w:val="Heading4"/>
        <w:numPr>
          <w:ilvl w:val="3"/>
          <w:numId w:val="1"/>
        </w:numPr>
        <w:rPr/>
      </w:pPr>
      <w:bookmarkStart w:id="628" w:name="__RefHeading___Toc5146077_73709187"/>
      <w:bookmarkStart w:id="629" w:name="_Toc238"/>
      <w:bookmarkEnd w:id="628"/>
      <w:r>
        <w:rPr>
          <w:rtl w:val="true"/>
        </w:rPr>
        <w:t>المراد من کون المتکلّم فی مقام البیان</w:t>
      </w:r>
      <w:bookmarkEnd w:id="629"/>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المراد بکون المتکلّم فی مقام البیان لیس کونه فی مقام بیان مراده الجدّیّ و النفس الأمری، بل المراد به هو کونه فی مقام بیان ما یریده و لو قاعدةً</w:t>
      </w:r>
      <w:bookmarkStart w:id="630" w:name="pg11586_104939"/>
    </w:p>
    <w:p>
      <w:pPr>
        <w:pStyle w:val="BookText"/>
        <w:rPr/>
      </w:pPr>
      <w:bookmarkEnd w:id="630"/>
      <w:r>
        <w:rPr>
          <w:rFonts w:ascii="IRNazanin" w:hAnsi="IRNazanin" w:eastAsia="IRNazanin"/>
          <w:color w:val="111111"/>
          <w:sz w:val="28"/>
          <w:sz w:val="28"/>
          <w:szCs w:val="28"/>
          <w:rtl w:val="true"/>
          <w:lang w:bidi="fa-IR"/>
        </w:rPr>
        <w:t>و قانوناً، و حینئذٍ فالظفر بالمقیّد و لو کان مخالفاً لا یکشف عن عدم کونه فی مقام البیان حتّی ینثلم به الإطلاق بالنسبة إلی القیود المشکوکة، و ذلک لما عرفت فی مبحث العموم و الخصوص من أنّ تخصیص العامّ لا یوجب تصرّفاً فی مدلوله الاستعمالی، بل العامّ بعد التخصیص باقٍ علی ما کان علیه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یوجب ذلک تصرّفاً فی المراد الجدّی من حیث إنّه یکشف عن کونه مقصوراً بما عدا مورد الخاصّ، و هذا المعنی یجری فی هذا المقام أیضاً، و حینئذٍ فالظفر بالمقیّد یکشف عن مجرّد عدم تعلّق الإرادة الجدّیة بالمطلق حتّی بالنسبة إلی ذلک القید، و ذلک لا یستلزم عدم ثبوت الإطلاق بملاحظة القیود الاُخر، و هذا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کون المتکلّم من دأبه ذکر المقیّدات و المخصّصات بعد المطلقات و العمومات لا یوجب عدم جواز التمسّک بإطلاق کلامه بعد إحراز کونه فی مقام بیان مراده؛ لأنّ غایة ذلک وجوب الفحص عنها، و مفروض الکلام إنّما هو بعده، کما لا یخفی</w:t>
      </w:r>
      <w:r>
        <w:rPr>
          <w:rFonts w:eastAsia="IRNazanin" w:cs="IRNazanin"/>
          <w:color w:val="111111"/>
          <w:sz w:val="28"/>
          <w:szCs w:val="28"/>
          <w:rtl w:val="true"/>
          <w:lang w:bidi="fa-IR"/>
        </w:rPr>
        <w:t>.</w:t>
      </w:r>
    </w:p>
    <w:p>
      <w:pPr>
        <w:pStyle w:val="Heading4"/>
        <w:numPr>
          <w:ilvl w:val="3"/>
          <w:numId w:val="1"/>
        </w:numPr>
        <w:rPr/>
      </w:pPr>
      <w:bookmarkStart w:id="631" w:name="__RefHeading___Toc5146079_73709187"/>
      <w:bookmarkStart w:id="632" w:name="_Toc239"/>
      <w:bookmarkEnd w:id="631"/>
      <w:r>
        <w:rPr>
          <w:rtl w:val="true"/>
        </w:rPr>
        <w:t>تتمّة</w:t>
      </w:r>
      <w:r>
        <w:rPr>
          <w:rtl w:val="true"/>
        </w:rPr>
        <w:t xml:space="preserve">: </w:t>
      </w:r>
      <w:r>
        <w:rPr>
          <w:rtl w:val="true"/>
        </w:rPr>
        <w:t>الأصل عند الشکّ فی مقام البیان</w:t>
      </w:r>
      <w:bookmarkEnd w:id="632"/>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لا بدّ فی قرینة الحکمة المتوقّفة علی تلک المقدّمة من إحرازها، و کون المتکلّم فی مقام بیان تمام مراده، و هو قد یحرز بالوجدان، و قد یحرز بالأصل العقلائی حیث إنّ العقلاء یتمسّکون بإطلاق کلام المتکلّم بمجرّد صدوره منه فیما لم یحرز الخلاف، و أنّه کان بصدد الإهمال أو الإجمال، کما یظهر بمراجعة سیرة أهل المحاورات، و لا یخفی أنّ بناء العقلاء إنّما هو فیما إذا کان المقام مقاماً للبیان نوعاً، و لکن مع ذلک شکّ فی کونه بصدد البیان أو بصدد غیره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الجواب عن السائل عن مسألة کانت مورداً لابتلائه مقام البیان</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بحسب سیرة المتکلّمین، فلو فرض الشکّ فیه؛ لاحتمال ثبوت جهة مانعة عن المشی علی الطریق المتداول، یکون ذلک الشکّ غیر معتنی به عند العقلاء، و أمّا إذا لم یکن المقام مقاماً للبیان کذلک، کما إذا صدر من المتکلّم کلام ابتداءً و دار أمره بین کونه فی مقام بیان هذا الحکم أو حکم آخر، فلا یکون هنا أصل عقلائی حاکم بالأوّل، کما هو واضح</w:t>
      </w:r>
      <w:r>
        <w:rPr>
          <w:rFonts w:eastAsia="IRNazanin" w:cs="IRNazanin"/>
          <w:color w:val="111111"/>
          <w:sz w:val="28"/>
          <w:szCs w:val="28"/>
          <w:rtl w:val="true"/>
          <w:lang w:bidi="fa-IR"/>
        </w:rPr>
        <w:t>.</w:t>
      </w:r>
      <w:bookmarkStart w:id="633" w:name="pg11586_104941"/>
    </w:p>
    <w:p>
      <w:pPr>
        <w:pStyle w:val="Heading3"/>
        <w:numPr>
          <w:ilvl w:val="2"/>
          <w:numId w:val="1"/>
        </w:numPr>
        <w:rPr/>
      </w:pPr>
      <w:bookmarkStart w:id="634" w:name="__RefHeading___Toc5146081_73709187"/>
      <w:bookmarkStart w:id="635" w:name="_Toc240"/>
      <w:bookmarkEnd w:id="633"/>
      <w:bookmarkEnd w:id="634"/>
      <w:r>
        <w:rPr>
          <w:rtl w:val="true"/>
        </w:rPr>
        <w:t>الفصل الرابع فی أقسام المطلق و المقیّد و کیفیّة الجمع بینهما</w:t>
      </w:r>
      <w:bookmarkEnd w:id="635"/>
    </w:p>
    <w:p>
      <w:pPr>
        <w:pStyle w:val="Heading4"/>
        <w:numPr>
          <w:ilvl w:val="3"/>
          <w:numId w:val="1"/>
        </w:numPr>
        <w:rPr/>
      </w:pPr>
      <w:bookmarkStart w:id="636" w:name="__RefHeading___Toc5146083_73709187"/>
      <w:bookmarkStart w:id="637" w:name="_Toc241"/>
      <w:bookmarkEnd w:id="636"/>
      <w:r>
        <w:rPr>
          <w:rtl w:val="true"/>
        </w:rPr>
        <w:t>اشارة</w:t>
      </w:r>
      <w:bookmarkEnd w:id="637"/>
    </w:p>
    <w:p>
      <w:pPr>
        <w:pStyle w:val="BookText"/>
        <w:rPr/>
      </w:pPr>
      <w:r>
        <w:rPr>
          <w:rFonts w:ascii="IRNazanin" w:hAnsi="IRNazanin" w:eastAsia="IRNazanin"/>
          <w:color w:val="111111"/>
          <w:sz w:val="28"/>
          <w:sz w:val="28"/>
          <w:szCs w:val="28"/>
          <w:rtl w:val="true"/>
          <w:lang w:bidi="fa-IR"/>
        </w:rPr>
        <w:t>إذا ورد مطلق و مقیّد متنافیان بأن علم وحدة التکلیف إمّا من ناحیة وحدة السبب أو من جهة القرائن الاُخر، فإمّا أن یکونا مختلفین فی الإثبات و النفی، و إمّا أن یکونا متوافقین مثبتین أو منفیّین، و علی أیّ تقدیر فإمّا أن یقعا فی کلام واحد أو فی کلامین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فیقع الکلام فی مقامین</w:t>
      </w:r>
      <w:r>
        <w:rPr>
          <w:rFonts w:eastAsia="IRNazanin" w:cs="IRNazanin"/>
          <w:color w:val="111111"/>
          <w:sz w:val="28"/>
          <w:szCs w:val="28"/>
          <w:rtl w:val="true"/>
          <w:lang w:bidi="fa-IR"/>
        </w:rPr>
        <w:t>:</w:t>
      </w:r>
    </w:p>
    <w:p>
      <w:pPr>
        <w:pStyle w:val="Heading4"/>
        <w:numPr>
          <w:ilvl w:val="3"/>
          <w:numId w:val="1"/>
        </w:numPr>
        <w:rPr/>
      </w:pPr>
      <w:bookmarkStart w:id="638" w:name="__RefHeading___Toc5146085_73709187"/>
      <w:bookmarkStart w:id="639" w:name="_Toc242"/>
      <w:bookmarkEnd w:id="638"/>
      <w:r>
        <w:rPr>
          <w:rtl w:val="true"/>
        </w:rPr>
        <w:t>المقام الأوّل</w:t>
      </w:r>
      <w:r>
        <w:rPr>
          <w:rtl w:val="true"/>
        </w:rPr>
        <w:t xml:space="preserve">: </w:t>
      </w:r>
      <w:r>
        <w:rPr>
          <w:rtl w:val="true"/>
        </w:rPr>
        <w:t>إذا ورد مطلق و مقیّد بدون ذکر السبب</w:t>
      </w:r>
      <w:bookmarkEnd w:id="639"/>
    </w:p>
    <w:p>
      <w:pPr>
        <w:pStyle w:val="Heading5"/>
        <w:numPr>
          <w:ilvl w:val="4"/>
          <w:numId w:val="1"/>
        </w:numPr>
        <w:rPr/>
      </w:pPr>
      <w:bookmarkStart w:id="640" w:name="__RefHeading___Toc5146087_73709187"/>
      <w:bookmarkStart w:id="641" w:name="_Toc243"/>
      <w:bookmarkEnd w:id="640"/>
      <w:r>
        <w:rPr>
          <w:rtl w:val="true"/>
        </w:rPr>
        <w:t>اشارة</w:t>
      </w:r>
      <w:bookmarkEnd w:id="641"/>
    </w:p>
    <w:p>
      <w:pPr>
        <w:pStyle w:val="BookText"/>
        <w:rPr/>
      </w:pPr>
      <w:r>
        <w:rPr>
          <w:rFonts w:ascii="IRNazanin" w:hAnsi="IRNazanin" w:eastAsia="IRNazanin"/>
          <w:color w:val="111111"/>
          <w:sz w:val="28"/>
          <w:sz w:val="28"/>
          <w:szCs w:val="28"/>
          <w:rtl w:val="true"/>
          <w:lang w:bidi="fa-IR"/>
        </w:rPr>
        <w:t>و هو مشتمل علی صورٍ</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کانا مختلفین فلا إشکال فی لزوم حمل المطلق علی المقیّد فیما إذا کان المطلق متعلّقاً للنهی، و المقیّد متعلّقاً للأمر، مثل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تعتق رقبة، و أعتق رقبة مؤمنة، بناء علی أن لا تکون النکرة فی سیاق النهی مفیدةً للعموم، کما عرفت أنّه الحقّ، و هذا لا فرق فیه بین أن یکون النهی المتعلّق بالمطلق تحریمیّاً أو تنزیهیّاً، فإنّ مرجوحیّة عتق مطلق الرقبة لا تجتمع مع</w:t>
      </w:r>
    </w:p>
    <w:p>
      <w:pPr>
        <w:pStyle w:val="BookText"/>
        <w:rPr/>
      </w:pPr>
      <w:r>
        <w:rPr>
          <w:rFonts w:ascii="IRNazanin" w:hAnsi="IRNazanin" w:eastAsia="IRNazanin"/>
          <w:color w:val="111111"/>
          <w:sz w:val="28"/>
          <w:sz w:val="28"/>
          <w:szCs w:val="28"/>
          <w:rtl w:val="true"/>
          <w:lang w:bidi="fa-IR"/>
        </w:rPr>
        <w:t>وجوب عتق بعض أصنافها، فلا بدّ من التصرّف فی المطلق بحمله علی المقیّد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کان المطلق متعلّقاً للأمر و المقیّد للنهی، مثل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أعتق رقبة، و لا تعتق رقبة کافرة، فلو کان النهی تحریمیّاً، فلا إشکال أیضاً فی وجوب حمل المطلق علی المقیّد، کما أنّه لو کان تنزیهیّاً لا إشکال فی عدم لزوم حمله علیه؛ لعدم التنافی بینهما،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تردّد الأمر بین أن یکون تحریمیّاً أو تنزیهیّاً، فیدور الأمر بین التصرّف فی المطلق بحمله علی المقیّد، و بین أن یکون الترخیص الناشئ من قِبَل الإطلاق قرینةً علی کون المراد بالنهی هو التنزیهی منه؛ إذ قد حقّقنا سابقاً أنّ الموضوع له فی باب النواهی هو الزجر عن المنهی عنه الذی قد تفیده الإشارة بالید أو بغیرها، و هو أعمّ من أن یکون ناشئاً عن الإرادة الحتمیة أو غیرها، و لزوم ترکه فی الموارد الخالیة عن القرینة إنّما هو لحکم العقل بصحّة الاحتجاج علی العبد، لا لکشفه عن الإرادة الحتمیّة، کما هو الشأن فی باب الأوامر أیضاً علی ما حقّقناه سابقاً، و حینئذٍ فیمکن أن یکون الترخیص المستفاد من الإطلاق قرینةً علی کون المراد هو النهی التنزیهی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فالأمر دائر بین الوجهین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وجه ثالث، و هو أن یقال بتعدّد التکلیف و اختلاف متعلّقه بالإطلاق و التقیید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الاحتمال مبنیّ علی القول بدخول المطلق و المقیّد فی محلّ النزاع فی باب اجتماع الأمر و النهی، و القول بالجواز فیه، و نحن و إن اخترنا الجواز إلاّ أنّ دخول المقام فی محلّ النزاع فی ذلک الباب محلّ نظر بل منع، کما ستجیء الإشارة إلیه</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إلی أنّ النزاع هنا فی الجمع العرفی بین المطلق و المقیّد، و النزاع فی</w:t>
      </w:r>
    </w:p>
    <w:p>
      <w:pPr>
        <w:pStyle w:val="BookText"/>
        <w:rPr/>
      </w:pPr>
      <w:r>
        <w:rPr>
          <w:rFonts w:ascii="IRNazanin" w:hAnsi="IRNazanin" w:eastAsia="IRNazanin"/>
          <w:color w:val="111111"/>
          <w:sz w:val="28"/>
          <w:sz w:val="28"/>
          <w:szCs w:val="28"/>
          <w:rtl w:val="true"/>
          <w:lang w:bidi="fa-IR"/>
        </w:rPr>
        <w:t>تلک المسألة عقلیّ، فحکم العقل بجواز الاجتماع فیها نظراً إلی تغایر المتعلّقین لا یجدی بالنسبة إلی المقام، کما لا یخفی، فالأمر لا یتجاوز عن الوجهین المتقدّمین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یبعد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التصرّف فی المطلق بحمله علی المقیّد أرجح بنظر العرف الذی هو الملاک فی المقام؛ لأنّه لا ینسبق إلی أذهانهم الجمع بالتصرّف فی الحکم فی ناحیة المقیّد، و حمله علی التنزیهی، لا لکون ظهوره فی النهی التحریمی أقوی من ظهور المطلق فی الإطلاق، کیف و قد عرفت عدم ظهور النواهی فی الزجر الناشئ عن الإرادة الحتمیّة، بل لأنّ أخذ الإطلاق حیث لا یکون مستنداً إلی الظهور الوضعی، بل الوجه فیه مجرّد بنائهم علیه فیما إذا لم یذکر القید، فمع ذکره و لو منفصلاً کأنّهم یرفعون الید عن بنائهم، و یقتصرون فی ذلک علی ما إذا لم یذکر القید أصلاً، کما هو الوجه فی حمل المطلق علی المقیّد فی المواضع المسلّمة، فإنّ التصرّف فیه لیس لأجل أظهریّة المقیّد فی دخالة القید أو کونه بیاناً له، بل لما عرفت من أنّ بناءهم علی الأخذ بالإطلاق إنّما هو فیما إذا لم یذکر القید أصلاً؛ فهو دلیل حیث لا دلیل،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کانا متوافقین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فکذلک فیما لو وقعا فی کلام واحد، بل لیس هذا من باب حمل المطلق علی المقیّد؛ لأنّ مع ذکره متّصلاً لا یکون هنا ظهور فی الإطلاق؛ إذ المقتضی له هو تجرّد المعنی المذکور عن القید، و مع الإتیان به متّصلاً لا مجال لهذا الاقتضاء،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وقعا فی کلامین، فالمشهور أیضاً علی الحمل و التقیید؛ لأنّه جمع بین الدلیلین، و هو أولی</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اورد علیه بإمکان الجمع علی وجه آخر، مثل حمل الأمر فی المقیّد علی الاستحباب</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ربّما یفصّل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الدّرر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ما إذا کان إحراز وحدة التکلیف من ناحیة وحدة السبب و بین غیره، و هو ما إذا کان إحرازها من جهة القرائن الاُخر بوجوب الحمل و التقیید فی مثل الأوّل، و تحقّق الإجمال فی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ثبوت الإجمال فی الأخیر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الأمر یدور بین حمل الأمر المتعلّق بالمطلق علی ظاهره من الوجوب و الإطلاق و التصرّف فی أمر المقیّد إمّا هیئةً بحمله علی الاستحباب، و إمّا مادّةً برفع الید عن ظاهر القید من دخله فی الموضوع، و جعله إشارة إلی الفضیلة الکائنة فی المقیّد، و بین حمل المطلق علی المقیّد، و لا ترجیح لأحد الوجهین علی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تعیّن التقیید فی الأوّل؛ لأنّه لا وجه للتصرّف فی المقیّد بأحد النحوین المذکورین، فإنّ السبب لو کان علّةً لوجوب المطلق فلا یعقل أن یکون علّةً لوجوب المقیّد أو استحبابه؛ لأنّ استناد المتباینین إلی علّة واحدة غیر معقول</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یبعد أن یقال بترجیح التقیید فی الفرض الثانی علی التصرّف فی المقیّد بأحد الوجهین عند العقلاء فی أکثر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یبلغ الإطلاق من القوّة إلی حدّ لا یمکن رفع الید عنه بمجرّد ظهور الأمر المتعلّق بالمقیّد فی الوجوب،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اختار المحقّق النائینی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فی التقریرات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الجمع بینهما بحمل المطلق علی المقیّد مطلقاً من غیر فرق بین کون ظهور الأمر فی المطلق أقوی فی الإطلاق من ظهور الأمر فی المقیّد فی التقیید أو أضعف</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بیانه ما 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فی المقیّد یکون بمنزلة القرینة علی</w:t>
      </w:r>
    </w:p>
    <w:p>
      <w:pPr>
        <w:pStyle w:val="BookText"/>
        <w:rPr/>
      </w:pPr>
      <w:r>
        <w:rPr>
          <w:rFonts w:ascii="IRNazanin" w:hAnsi="IRNazanin" w:eastAsia="IRNazanin"/>
          <w:color w:val="111111"/>
          <w:sz w:val="28"/>
          <w:sz w:val="28"/>
          <w:szCs w:val="28"/>
          <w:rtl w:val="true"/>
          <w:lang w:bidi="fa-IR"/>
        </w:rPr>
        <w:t>ما هو المراد من الأمر فی المطلق، و الأصل الجاری فی ناحیة القرینة یکون حاکماً علی الأصل الجاری فی ناحیة ذیها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کونه بمنزلة القرینة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 و إن لم یتحصّل لنا بعدُ ضابط کلّی فی المائز بین القرینة و ذیها إلاّ أنّ ملحقات الکلام من الصفة و الحال و التمیز بل المفاعیل تکون غالباً بل دائماً قرینة علی أرکان الکلام من المبتدأ و الخبر و الفعل و الفاعل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خصوص المفعول به مع الفعل قد یتردّد الأمر بینهما فی أنّ أیّاً منهما قرینة و الآخر ذو القرینة، کما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تنقض الیقین بالشکّ، فإنّه کما یمکن أن یکون عموم الیقین قرینةً علی المراد من النقض الظاهر فی تعلّقه بما لَه اقتضاء البقاء کذلک یمکن 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وقع الکلام فی حجّیة الاستصحاب فی الشکّ فی المقتضی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کون الأصل الجاری فی القرینة حاکماً علی الأصل الجاری فی ذیها من غیر ملاحظة أقوی الظهورین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الشکّ فی المراد من ذی القرینة یکون مسبّباً عن الشکّ فیها، فإنّ الشکّ فی المراد من الأسد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أسداً یرمی، یکون مسبّباً عن الشکّ فی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ظهوره فی رمی النبل للانصراف مقدّم علی ظهور الأسد فی الحیوان المفترس و إن کان بالوضع؛ لأنّه رافع له، فلا یبقی للأسد ظهور فی معناه الحقیقی حتّی یدلّ بلازمه علی المراد من الرّمی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 قد عرفت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لک أنّ المقیّد یکون بمنزلة القرینة بالنسبة إلی المطلق؛ لأنّ القید نوعاً یکون من ملحقات الکلام، و قد تقدّم أنّها تکون قرینةً</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إذا کان القید متّصلاً، و أمّا إذا کان منفصلاً، فتمییز کونه قرینةً أو معارضاً هو أن یفرض متّصلاً فی کلام واحد، فإن ناقض صدر الکلام ذیله، یکون معارضاً، و إلّا قرینة، فلا فرق بین المتّصل و المنفصل سوی أنّ الأوّل یوجب عدم</w:t>
      </w:r>
      <w:bookmarkStart w:id="642" w:name="pg11586_104946"/>
    </w:p>
    <w:p>
      <w:pPr>
        <w:pStyle w:val="BookText"/>
        <w:rPr/>
      </w:pPr>
      <w:bookmarkEnd w:id="642"/>
      <w:r>
        <w:rPr>
          <w:rFonts w:ascii="IRNazanin" w:hAnsi="IRNazanin" w:eastAsia="IRNazanin"/>
          <w:color w:val="111111"/>
          <w:sz w:val="28"/>
          <w:sz w:val="28"/>
          <w:szCs w:val="28"/>
          <w:rtl w:val="true"/>
          <w:lang w:bidi="fa-IR"/>
        </w:rPr>
        <w:t>انعقاد الظهور للمطلق، بخلاف الثانی، فإنّه ینعقد فیه الظهور إلاّ أنّه یهدم حجّیته</w:t>
      </w:r>
      <w:r>
        <w:rPr>
          <w:rStyle w:val="FootnoteAnchor"/>
          <w:rtl w:val="true"/>
        </w:rPr>
        <w:footnoteReference w:id="2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Heading5"/>
        <w:numPr>
          <w:ilvl w:val="4"/>
          <w:numId w:val="1"/>
        </w:numPr>
        <w:rPr/>
      </w:pPr>
      <w:bookmarkStart w:id="643" w:name="__RefHeading___Toc5146089_73709187"/>
      <w:bookmarkStart w:id="644" w:name="_Toc244"/>
      <w:bookmarkEnd w:id="643"/>
      <w:r>
        <w:rPr>
          <w:rtl w:val="true"/>
        </w:rPr>
        <w:t>أقول</w:t>
      </w:r>
      <w:r>
        <w:rPr>
          <w:rtl w:val="true"/>
        </w:rPr>
        <w:t xml:space="preserve">: </w:t>
      </w:r>
      <w:r>
        <w:rPr>
          <w:rtl w:val="true"/>
        </w:rPr>
        <w:t>إنّ فی کلامه وجوهاً من النظر</w:t>
      </w:r>
      <w:r>
        <w:rPr>
          <w:rtl w:val="true"/>
        </w:rPr>
        <w:t>:</w:t>
      </w:r>
      <w:bookmarkEnd w:id="644"/>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جعل الشکّ فی المراد من الأسد مسبّباً عن الشکّ فی المراد من الرمی ممّا لا یصحّ، فإنّه لا یکون هنا سبب و مسبّب أصلاً، و کون زوال الشکّ فی ناحیة القرینة موجباً لزواله فی ناحیة ذی القرینة لا یوجب کونه مسبّباً عنه؛ فإنّ زواله فی ناحیته أیضاً یوجب زواله فی ناحیتها، فإنّ مع العلم بکون المراد من الأسد هو الحیوان المفترس لا یبقی مجال للشکّ فی کون المراد من الرمی هل هو رمی النبل أو التراب،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قیاس المقیّد المتّصل بالقرینة المتّصلة ممّا لا یتمّ؛ فإنّ القرائن المتّصلة فی سائر الموارد یصادم ظهور ذویها، فإنّ ظهور الرمی فی رمی النبل یصادم ظهور الأسد بالوضع فی معناه الحقیقی، غایة الأمر تقدیمه علیه للترجیح، و هذا بخلاف المقام، فإنّ مع تقیید الرقبة بالمؤمنة لا یکون هنا إلاّ ظهور واحد، و لم ینعقد للإطلاق ظهور؛ لأنّه لیس ظهوراً لفظیّاً وضعیّاً، بل إنّما هو ظهور عقلی یقتضیه التجرّد عن القید، فمع ذکره لا یبقی له مجال، کما هو واضح، و قد اعترف بذلک فی ذیل کلامه فی الفرق بین المقیّد المتّصل و المنفصل</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قیاس المقیّد المنفصل بالمتّصل قیاس مع الفارق؛ لما عرفت من أنّه لا ینعقد الکلام فی الأوّل إلاّ ظهور فی المقیّد، بخلاف الثانی؛ فإنّه قد انعقد للإطلاق ظهور، و هو یعارض الظهور فی ناحیة المقیّد، و الجمع لا ینحصر بحمل المطلق علیه، بل یمکن حمل الأمر فی ناحیة المقیّد علی الاستحباب،</w:t>
      </w:r>
    </w:p>
    <w:p>
      <w:pPr>
        <w:pStyle w:val="BookText"/>
        <w:rPr/>
      </w:pP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فهل یجب حمل المطلق علی المقیّد فی مفروض البحث، أو یلزم أن یحمل الأمر فی المقیّد علی الاستحباب، أو یقال بتعدّد الحکم و التکلیف و اختلاف متعلّقه بالإطلاق و التقیید أو بالتباین بجعل المقیّد قرینةً علی کون المراد بالمطلق هو المقیّد بغیر هذا القید، مثل أن یجعل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أعتق رقبة مؤمنة قرینة علی کون المراد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أعتق رقبة، هو الرقبة الکافرة، أو یقال بتعدّد المطلوب و کون المقیّد واجباً فی واجب؟ وجوه و احتمالات قد یقال کما فی التقریرات بأنّ مجرّد تعلّق التکلیف الإلزامی بصرف الوجود قرینة علی وحدة التکلیف؛ لأنّ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أعتق رقبة مؤمنة یقتضی إیجاد صرف وجود عتق الرقبة المؤمنة، و مقتضی کون الحکم إلزامیّاً هو أنّه لا بدّ من إیجاد عتق الرقبة المؤمنة، و عدم الرضی بعتق الرقبة الکافرة، و المفروض أنّ المطلوب فی المطلق أیضاً صرف الوجود، و مقتضی کون المطلوب صرف وجود العتق و إیجاب عتق الرّقبة المؤمنة هو وحدة التکلیف و کون المطلوب هو المقیّد لیس إلاّ</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تعلّق التکلیف الإلزامی بصرف الوجود فی ناحیة المطلق و المقیّد معاً لا یصیر دلیلاً علی وحدة التکلیف إلاّ إذا احرز ذلک، فإنّه مع إمکان التعدّد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ظاهر الدلیلین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بتعلّق التکلیف الإلزامی فی ناحیة المطلق بصرف وجود و تعلّق تکلیف إلزامی آخر بصرف وجود المقیّد، فإثبات اتّحاد التکلیف بتعلّق الحکم الإلزامی بصرف الوجود دور صریح؛ لما عرفت من أنّ مجرّد کون التکلیف إلزامیّاً متعلّقاً بصرف الوجود لا یثبت الاتّحاد إلاّ مع إحرازه، فلو توقّف ثبوته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المفروض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الدور،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الوجه فی إثبات الاتّحاد هو استحالة تعلّق تکلیفین بالمطلق و المقیّد، سواء کان التکلیفان مثلین أو غیرهما؛ لأنّ المطلق لا یغایر المقیّد أصلاً، بل المقیّد إنّما هو نفس المطلق، و من المعلوم استحالة تعلّق إرادتین بشیء واحد، کما یستحیل أن یکون الأمر الواحد متعلّقاً لحُبّین أو بغضین، و من هنا اخترنا خروج المطلق و المقیّد عن النزاع فی مسألة الاجتماع، و بذلک یبطل احتمال التعدّد و الاختلاف بالإطلاق و التقیید أو احتمال کون المقیّد واجباً فی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حمل الأمر فی المقیّد علی الاستحباب و الإرشاد إلی أفضلیّة بعض الأفراد فهو و إن کان من وجوه الجمع و یرتفع به التنافی، إلاّ أنّه خلاف الجمع المرتکز فی أذهان العرف، فإنّهم بمجرّد ورود المطلق و المقیّد کذلک یحملون الأوّل علی الثانی من دون توجّه إلی إمکان الجمع بنحو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أنّ جعل المقیّد قرینة علی کون المراد من المطلق هو ما عدا المقیّد خلاف الجمع العرفی و إن کان حمل الأمر علی التأسیس أولی من حمله علی التأکید، إلاّ أنّ ذلک فیما لم یکن بناء العرف علی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کان المتوافقان مثبتین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کانا منفیّین، کقوله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تعتق رقبة و لا تعتق رقبة کافرة، فلا وجه لحمل المطلق علی المقیّد؛ لعدم التنافی، لا نقول بتعدّد التکلیف؛ فإنّ استحالة تعلّقه بالمطلق و المقیّد لا فرق فیها بین أن یکون التکلیفان مثبتین أو منفیّین، کما هو واضح، بل المقصود أنّه لا وجه لحمل الأوّل علی الثانی، و جعل متعلّق النهی هو خصوص المقیّد، بل المحرّم أو المکروه هو نفس المطلق، فتدبّر</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فیما إذا لم یذکر السبب لا فی المطلق و لا فی المقیّد</w:t>
      </w:r>
      <w:r>
        <w:rPr>
          <w:rFonts w:eastAsia="IRNazanin" w:cs="IRNazanin"/>
          <w:color w:val="111111"/>
          <w:sz w:val="28"/>
          <w:szCs w:val="28"/>
          <w:rtl w:val="true"/>
          <w:lang w:bidi="fa-IR"/>
        </w:rPr>
        <w:t>.</w:t>
      </w:r>
      <w:bookmarkStart w:id="645" w:name="pg11586_104949"/>
    </w:p>
    <w:p>
      <w:pPr>
        <w:pStyle w:val="Heading4"/>
        <w:numPr>
          <w:ilvl w:val="3"/>
          <w:numId w:val="1"/>
        </w:numPr>
        <w:rPr/>
      </w:pPr>
      <w:bookmarkStart w:id="646" w:name="__RefHeading___Toc5146091_73709187"/>
      <w:bookmarkStart w:id="647" w:name="_Toc245"/>
      <w:bookmarkEnd w:id="645"/>
      <w:bookmarkEnd w:id="646"/>
      <w:r>
        <w:rPr>
          <w:rtl w:val="true"/>
        </w:rPr>
        <w:t>المقام الثانی</w:t>
      </w:r>
      <w:r>
        <w:rPr>
          <w:rtl w:val="true"/>
        </w:rPr>
        <w:t xml:space="preserve">: </w:t>
      </w:r>
      <w:r>
        <w:rPr>
          <w:rtl w:val="true"/>
        </w:rPr>
        <w:t>إذا ورد مطلق و مقیّد مع ذکر السبب</w:t>
      </w:r>
      <w:bookmarkEnd w:id="647"/>
    </w:p>
    <w:p>
      <w:pPr>
        <w:pStyle w:val="Heading5"/>
        <w:numPr>
          <w:ilvl w:val="4"/>
          <w:numId w:val="1"/>
        </w:numPr>
        <w:rPr/>
      </w:pPr>
      <w:bookmarkStart w:id="648" w:name="__RefHeading___Toc5146093_73709187"/>
      <w:bookmarkStart w:id="649" w:name="_Toc246"/>
      <w:bookmarkEnd w:id="648"/>
      <w:r>
        <w:rPr>
          <w:rtl w:val="true"/>
        </w:rPr>
        <w:t>اشارة</w:t>
      </w:r>
      <w:bookmarkEnd w:id="649"/>
    </w:p>
    <w:p>
      <w:pPr>
        <w:pStyle w:val="BookText"/>
        <w:rPr/>
      </w:pPr>
      <w:r>
        <w:rPr>
          <w:rFonts w:ascii="IRNazanin" w:hAnsi="IRNazanin" w:eastAsia="IRNazanin"/>
          <w:color w:val="111111"/>
          <w:sz w:val="28"/>
          <w:sz w:val="28"/>
          <w:szCs w:val="28"/>
          <w:rtl w:val="true"/>
          <w:lang w:bidi="fa-IR"/>
        </w:rPr>
        <w:t>و أمّا مع ذکره فتارةً یذکر فی کلٍّ منهما، و اخری یکون مذکوراً فی خصوص أحدهما، و علی التقدیر الأوّل فإمّا أن یتّحد السبب و أمّا أن یختلف فالصور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 السبب مذکوراً فی کلیهما مع اتّحاده، کقوله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ظاهرت فاعتق رقبة، و إن ظاهرت فأعتق رقبة مؤمنة، و لا إشکال فی حمل المطلق علی المقیّد؛ لوحدة التکلیف، و عدم کون الجمع بحمل الأمر فی المقیّد علی الإرشاد إلی أفضلیة بعض الأفراد جمعاً مقبولاً عند العقلاء،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الصورة مع اختلاف السبب، کقوله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ظاهرت فأعتق رقبة، و إن أفطرت فأعتق رقبة مؤمنة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 بأنّه لا إشکال فی أنّه لا یحمل المطلق علی المقیّد؛ لعدم التنافی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لا یخفی أنّه بعد ما کان المطلق و المقیّد غیر متغایرین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فیستحیل تعلّق تکلیفین بهما و لو کان سببهما متغایرین؛ إذ قد یجتمعان، کما فی المثال، فإنّ مع اجتماع الإفطار و الظهار یجتمع الوجوبان علی الأمر الواحد، و هو مستحیل کما عرفت فی مسألة تداخل الأسباب، إلاّ أنّ ذلک لا یوجب حمل المطلق علی المقیّد، بل یتحقّق التنافی بین المتعلّقین بتقیید کلٍّ منهما بقید، و هذا التصرّف أولی عند العقلاء من الحمل و التقیید،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 السبب مذکوراً فی خصوص أحدهما، کما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أعتق رقبة، بلا ذکر السبب،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ظاهرت فأعتق رقبة مؤمنة، أو بالعکس بأن ذکر السّبب فی المطلق دون المقیّد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التقریرات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یشکل حمل المطلق علی المقیّد فی</w:t>
      </w:r>
    </w:p>
    <w:p>
      <w:pPr>
        <w:pStyle w:val="BookText"/>
        <w:rPr/>
      </w:pPr>
      <w:r>
        <w:rPr>
          <w:rFonts w:ascii="Amiri" w:hAnsi="Amiri" w:eastAsia="Amiri" w:cs="Amiri"/>
          <w:color w:val="111111"/>
          <w:sz w:val="28"/>
          <w:sz w:val="28"/>
          <w:szCs w:val="28"/>
          <w:rtl w:val="true"/>
          <w:lang w:bidi="ar-SA"/>
        </w:rPr>
        <w:t>هذه الصورة؛ للزوم الدور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فی بیانه ما 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هنا إطلاقین و مقیّدین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فی ناحیة الواجب، و هو عتق الرقبة و عتق الرقبة المؤمنة، ثانیهما فی ناحیة الوجوب و التکلیف، و هو وجوب العتق غیر مقیّد بسبب، و وجوبه مقیّداً بسبب، کالظهار فی المثال، و تقیید کلٍّ من الإطلاقین یتوقّف علی تقیید الإطلاق الآخر، و ذلک لأنّ حمل المطلق علی المقیّد یتوقّف علی وحدة التکلیف، و فی المثال تقیید أحد الوجوبین بصورة تحقّق سبب الآخر یتوقّف علی وحدة المتعلّق؛ إذ مع اختلافه لا موجب لحمل أحد التکلیفین علی الآخر، کما هو واضح، و وحدة المتعلّق فی المقام یتوقّف علی حمل أحد التکلیفین علی الآخر؛ إذ لو لم یحمل أحدهما علی الآخر و لم یقیّد وجوب العتق المطلق بخصوص صورة الظهار لم یتحقّق وحدة المتعلّق</w:t>
      </w:r>
      <w:r>
        <w:rPr>
          <w:rStyle w:val="FootnoteAnchor"/>
          <w:rtl w:val="true"/>
        </w:rPr>
        <w:footnoteReference w:id="2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تقیید أحد الوجوبین بصورة تحقّق سبب الآخر علی وحدة متعلّق التکلیفین ممّا لا ریب فیه؛ إذ مع اختلاف المتعلّقین لا ربط لإحدی القضیّتین بالأُخری؛ إذ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ظاهرت فأعتق رقبة،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أطعم ستّین مسکیناً، مثلاً، لا یتوهّم أحد تقیید وجوب الإطعام بصورة تحقّق الظهار، کما هو واضح</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توقّف وحدة المتعلّق علی تقیید التکلیف المطلق بصورة وجود القید، فلا نعرف له وجهاً أصلاً، فإنّ اتّحاد المتعلّقین و تغایرهما أمر وجدانیّ واقعی لا یتوقّف علی شیء أصلاً؛ فإنّ تغایر الإطعام مع العتق و اتّحاد عتق الرقبة مع عتق الرقبة المؤمنة لا یتوقّف إحرازه علی إحراز وحدة التکلیف أصلاً؛ و حینئذٍ فمن وحدة المتعلّق المحرزة بالوجدان یستکشف وحدة الحکم، و هی توجب حمل</w:t>
      </w:r>
      <w:bookmarkStart w:id="650" w:name="pg11586_104951"/>
    </w:p>
    <w:p>
      <w:pPr>
        <w:pStyle w:val="BookText"/>
        <w:rPr/>
      </w:pPr>
      <w:bookmarkEnd w:id="650"/>
      <w:r>
        <w:rPr>
          <w:rFonts w:ascii="IRNazanin" w:hAnsi="IRNazanin" w:eastAsia="IRNazanin"/>
          <w:color w:val="111111"/>
          <w:sz w:val="28"/>
          <w:sz w:val="28"/>
          <w:szCs w:val="28"/>
          <w:rtl w:val="true"/>
          <w:lang w:bidi="fa-IR"/>
        </w:rPr>
        <w:t>أحد التکلیفین علی الآخر،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مضافاً إلی أنّ لزوم الدور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تقدیر تسلیمه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یقدح بالجمع العرفی لو تحقّق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العرف و العقلاء لا یرون التنافی بین المطلق و المقیّد فی مثل المقام، و لا یحملون الأوّل علی الثانی أصلاً، بل یعملون بمقتضی ظاهر الدلیلین من تعدّد التکلیف، کما فیما إذا ذکر السبب فی کلّ منهما مع اختلافه</w:t>
      </w:r>
      <w:r>
        <w:rPr>
          <w:rFonts w:eastAsia="IRNazanin" w:cs="IRNazanin"/>
          <w:color w:val="111111"/>
          <w:sz w:val="28"/>
          <w:szCs w:val="28"/>
          <w:rtl w:val="true"/>
          <w:lang w:bidi="fa-IR"/>
        </w:rPr>
        <w:t>.</w:t>
      </w:r>
    </w:p>
    <w:p>
      <w:pPr>
        <w:pStyle w:val="Heading5"/>
        <w:numPr>
          <w:ilvl w:val="4"/>
          <w:numId w:val="1"/>
        </w:numPr>
        <w:rPr/>
      </w:pPr>
      <w:bookmarkStart w:id="651" w:name="__RefHeading___Toc5146095_73709187"/>
      <w:bookmarkStart w:id="652" w:name="_Toc247"/>
      <w:bookmarkEnd w:id="651"/>
      <w:r>
        <w:rPr>
          <w:rtl w:val="true"/>
        </w:rPr>
        <w:t>تنبیه</w:t>
      </w:r>
      <w:r>
        <w:rPr>
          <w:rtl w:val="true"/>
        </w:rPr>
        <w:t xml:space="preserve">: </w:t>
      </w:r>
      <w:r>
        <w:rPr>
          <w:rtl w:val="true"/>
        </w:rPr>
        <w:t>لا فرق بین الأحکام الوضعیّة و التکلیفیّة فی حمل المطلق</w:t>
      </w:r>
      <w:bookmarkEnd w:id="652"/>
    </w:p>
    <w:p>
      <w:pPr>
        <w:pStyle w:val="BookText"/>
        <w:rPr/>
      </w:pPr>
      <w:r>
        <w:rPr>
          <w:rFonts w:ascii="IRNazanin" w:hAnsi="IRNazanin" w:eastAsia="IRNazanin"/>
          <w:color w:val="111111"/>
          <w:sz w:val="28"/>
          <w:sz w:val="28"/>
          <w:szCs w:val="28"/>
          <w:rtl w:val="true"/>
          <w:lang w:bidi="fa-IR"/>
        </w:rPr>
        <w:t>لا یخفی أنّ جمیع ما ذکرنا فی المقام یجری فیما إذا کان الدلیلان واردین لإفادة الحکم الوضعی من الجزئیة و الشرطیة و المانعیّة، فإنّ موارد حمل المطلق علی المقیّد فیها هی بعینها موارد الحمل فی الأحکام التکلیفیة، کما هو واضح، کما أنّ جمیع ما ذکرنا فی الأحکام التکلیفیّة الوجوبیة یجری فی التکالیف المستحبّة، و لکنّ بناءهم فیها علی حمل الأمر بالمقیّد علی تأکّد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السرّ فیه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الغالب فی هذا الباب هو تفاوت الأفراد بحسب المراتب، و أمّا احتمال کون ذلک بملاحظة التسامح فی أدلّة السنن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الکفایة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التسامح فیها إنّما هو بعد فرض تمامیّة دلالة دلیلها، و لو قیل بالحمل علی المقیّد لا یبقی هنا دلالة فی الإطلاق أصلاً، کما لا یخفی</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لنختم بذلک الکلام فی مباحث الألفاظ و من اللّه نستمدّ و به الاعتصام و کان ختامه فی الیوم الرابع عشر من شهر شعبان من شهور سنة </w:t>
      </w:r>
      <w:r>
        <w:rPr>
          <w:rFonts w:eastAsia="IRNazanin" w:cs="IRNazanin"/>
          <w:color w:val="111111"/>
          <w:sz w:val="28"/>
          <w:szCs w:val="28"/>
          <w:lang w:bidi="fa-IR"/>
        </w:rPr>
        <w:t>1373</w:t>
      </w:r>
      <w:bookmarkStart w:id="653" w:name="pg11586_104952"/>
    </w:p>
    <w:p>
      <w:pPr>
        <w:pStyle w:val="Heading2"/>
        <w:numPr>
          <w:ilvl w:val="1"/>
          <w:numId w:val="1"/>
        </w:numPr>
        <w:rPr/>
      </w:pPr>
      <w:bookmarkStart w:id="654" w:name="__RefHeading___Toc5146097_73709187"/>
      <w:bookmarkStart w:id="655" w:name="_Toc248"/>
      <w:bookmarkEnd w:id="653"/>
      <w:bookmarkEnd w:id="654"/>
      <w:r>
        <w:rPr>
          <w:rtl w:val="true"/>
        </w:rPr>
        <w:t>المقصد السادس فی أحکام القطع</w:t>
      </w:r>
      <w:bookmarkEnd w:id="655"/>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56" w:name="__RefHeading___Toc5146099_73709187"/>
      <w:bookmarkStart w:id="657" w:name="_Toc249"/>
      <w:bookmarkEnd w:id="656"/>
      <w:r>
        <w:rPr>
          <w:rtl w:val="true"/>
        </w:rPr>
        <w:t>اشارة</w:t>
      </w:r>
      <w:bookmarkStart w:id="658" w:name="pg11586_104954"/>
      <w:bookmarkEnd w:id="657"/>
    </w:p>
    <w:p>
      <w:pPr>
        <w:pStyle w:val="BookText"/>
        <w:rPr/>
      </w:pPr>
      <w:bookmarkEnd w:id="658"/>
      <w:r>
        <w:rPr>
          <w:rFonts w:ascii="IRNazanin" w:hAnsi="IRNazanin" w:eastAsia="IRNazanin"/>
          <w:color w:val="111111"/>
          <w:sz w:val="28"/>
          <w:sz w:val="28"/>
          <w:szCs w:val="28"/>
          <w:rtl w:val="true"/>
          <w:lang w:bidi="fa-IR"/>
        </w:rPr>
        <w:t>بسم اللّه الرحمن الرحیم، و به نستعین</w:t>
      </w:r>
    </w:p>
    <w:p>
      <w:pPr>
        <w:pStyle w:val="BookText"/>
        <w:rPr/>
      </w:pPr>
      <w:r>
        <w:rPr>
          <w:rFonts w:ascii="IRNazanin" w:hAnsi="IRNazanin" w:eastAsia="IRNazanin"/>
          <w:color w:val="111111"/>
          <w:sz w:val="28"/>
          <w:sz w:val="28"/>
          <w:szCs w:val="28"/>
          <w:rtl w:val="true"/>
          <w:lang w:bidi="fa-IR"/>
        </w:rPr>
        <w:t>الحمد للّه ربّ العالمین، و الصلاة و السلام علی خیر خلقه محمّد أشرف النبیّین، و علی آله الطیّبین، و لعنة اللّه علی أعدائهم أجمعین إلی یوم الدین</w:t>
      </w:r>
      <w:r>
        <w:rPr>
          <w:rFonts w:eastAsia="IRNazanin" w:cs="IRNazanin"/>
          <w:color w:val="111111"/>
          <w:sz w:val="28"/>
          <w:szCs w:val="28"/>
          <w:rtl w:val="true"/>
          <w:lang w:bidi="fa-IR"/>
        </w:rPr>
        <w:t>.</w:t>
      </w:r>
    </w:p>
    <w:p>
      <w:pPr>
        <w:pStyle w:val="Heading3"/>
        <w:numPr>
          <w:ilvl w:val="2"/>
          <w:numId w:val="1"/>
        </w:numPr>
        <w:rPr/>
      </w:pPr>
      <w:bookmarkStart w:id="659" w:name="__RefHeading___Toc5146101_73709187"/>
      <w:bookmarkStart w:id="660" w:name="_Toc250"/>
      <w:bookmarkEnd w:id="659"/>
      <w:r>
        <w:rPr>
          <w:rtl w:val="true"/>
        </w:rPr>
        <w:t>مقدّمة</w:t>
      </w:r>
      <w:bookmarkEnd w:id="660"/>
    </w:p>
    <w:p>
      <w:pPr>
        <w:pStyle w:val="BookText"/>
        <w:rPr/>
      </w:pPr>
      <w:r>
        <w:rPr>
          <w:rFonts w:ascii="IRNazanin" w:hAnsi="IRNazanin" w:eastAsia="IRNazanin"/>
          <w:color w:val="111111"/>
          <w:sz w:val="28"/>
          <w:sz w:val="28"/>
          <w:szCs w:val="28"/>
          <w:rtl w:val="true"/>
          <w:lang w:bidi="fa-IR"/>
        </w:rPr>
        <w:t>و بعد، فلا یخفی أنّ مباحث القطع لا یکون خارجاً عن مسائل علم الاُصول کما قیل</w:t>
      </w:r>
      <w:r>
        <w:rPr>
          <w:rStyle w:val="FootnoteAnchor"/>
          <w:rtl w:val="true"/>
        </w:rPr>
        <w:footnoteReference w:id="266"/>
      </w:r>
      <w:r>
        <w:rPr>
          <w:rFonts w:ascii="IRNazanin" w:hAnsi="IRNazanin" w:eastAsia="IRNazanin"/>
          <w:color w:val="111111"/>
          <w:sz w:val="28"/>
          <w:sz w:val="28"/>
          <w:szCs w:val="28"/>
          <w:rtl w:val="true"/>
          <w:lang w:bidi="fa-IR"/>
        </w:rPr>
        <w:t>؛ لعدم الفرق بینه و بین الأمارات المعتبرة شرعاً، التی یکون البحث عنها داخلاً فی علم الاُصول قطعاً</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ذکره الشیخ قدس 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إطلاق الحجّة علی القطع لیس کإطلاق الحجّة علی الأمارات المعتبرة شرعاً؛ لأنّ الحجّة عبارة عن الوسط الذی به یحتجّ علی ثبوت الأکبر للأصغر، و یصیر واسطة للقطع بثبوته له، کالتغیّر لإثبات حدوث العالم، و هذا المعنی متحقّق فی الظنّ، فیقال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مظنون الخمریة، و کلّ مظنون الخمریة یجب الاجتناب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بخلاف القطع؛ لأنّا إذا قطعنا بخمریة شیء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خمر، و کلّ خمر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لا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معلوم</w:t>
      </w:r>
    </w:p>
    <w:p>
      <w:pPr>
        <w:pStyle w:val="BookText"/>
        <w:rPr/>
      </w:pPr>
      <w:r>
        <w:rPr>
          <w:rFonts w:ascii="IRNazanin" w:hAnsi="IRNazanin" w:eastAsia="IRNazanin"/>
          <w:color w:val="111111"/>
          <w:sz w:val="28"/>
          <w:sz w:val="28"/>
          <w:szCs w:val="28"/>
          <w:rtl w:val="true"/>
          <w:lang w:bidi="fa-IR"/>
        </w:rPr>
        <w:t>الخمریة، و کلّ معلوم الخمریة یجب الاجتناب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أحکام الخمر إنّما تثبت للخمر، لا لما علم أنّه خمر</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 فی مورد الظنّ أیضاً، فإنّ وجوب الاجتناب مثلاً إنّما هو حکم لنفس الخمر، لا للخمر المظنون، کما هو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المراد بالحجّة ما ذکره فإطلاقها علی الأمارات أیضاً ممنوع، و إن کان المراد بها هی ما یحتجّ به المولی علی العبد، و یصحّ له الاحتجاج به علیه فهو متحقّق فی کلیهما،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مجرّد کون حجّیة القطع غیر مجعولة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الظنّ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یوجب خروجها عن مسائل علم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ذکر الشیخ قدس 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المکلّف إذا التفت إلی حکم شرعی فیحصل له إمّا الشکّ فیه أو القطع أو الظنّ‌</w:t>
      </w:r>
      <w:r>
        <w:rPr>
          <w:rStyle w:val="FootnoteAnchor"/>
          <w:rtl w:val="true"/>
        </w:rPr>
        <w:footnoteReference w:id="268"/>
      </w:r>
      <w:r>
        <w:rPr>
          <w:rFonts w:ascii="IRNazanin" w:hAnsi="IRNazanin" w:eastAsia="IRNazanin"/>
          <w:color w:val="111111"/>
          <w:sz w:val="28"/>
          <w:sz w:val="28"/>
          <w:szCs w:val="28"/>
          <w:rtl w:val="true"/>
          <w:lang w:bidi="fa-IR"/>
        </w:rPr>
        <w:t xml:space="preserve">، و ظاهره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باعتبار أخذ الشکّ و الظنّ فی التقسیم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بالحکم الشرعی هو الحکم الشرعی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لذا عدل عن هذا التقسیم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نظراً إلی عدم اختصاص أحکام القطع بما إذا کان متعلّقاً بالأحکام الواقعیة، و عمّم متعلّق القطع</w:t>
      </w:r>
      <w:r>
        <w:rPr>
          <w:rStyle w:val="FootnoteAnchor"/>
          <w:rtl w:val="true"/>
        </w:rPr>
        <w:footnoteReference w:id="269"/>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لکنّه 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جعل حکم العقل باتباع الظنّ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حصل، و قد تمّت مقدّمات الانسداد علی تقدیر الحکومة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مقابل القطع ممّا لا وجه له؛ لأنّ المراد بالقطع الحاصل إن کان هو القطع التفصیلی فاللازم أن یکون البحث عن القطع الإجمالی فی باب أحکام القطع استطرادیاً، و إن کان المراد الأعمّ منه و من الإجمالی فلا وجه لجعل الظنّ المذکور مقابلاً له؛ لأنّ حکم العقل باتباع الظنّ</w:t>
      </w:r>
    </w:p>
    <w:p>
      <w:pPr>
        <w:pStyle w:val="BookText"/>
        <w:rPr/>
      </w:pPr>
      <w:r>
        <w:rPr>
          <w:rFonts w:ascii="IRNazanin" w:hAnsi="IRNazanin" w:eastAsia="IRNazanin"/>
          <w:color w:val="111111"/>
          <w:sz w:val="28"/>
          <w:sz w:val="28"/>
          <w:szCs w:val="28"/>
          <w:rtl w:val="true"/>
          <w:lang w:bidi="fa-IR"/>
        </w:rPr>
        <w:t>لیس لاعتباره بنفسه، بل منشأه العلم الإجمالی بثبوت التکالیف، فوجوب العمل علی طبقه إنّما هو لوجود الحجّة القطعیة الإجمالیة، و عدم إمکان تحصیل الموافقة القطعیة، أو عدم وجوبه،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یرد علی ما ذکره الشیخ من التقسیم التثلیثی إشکال التداخل، فإنّ الظنّ إن قام دلیل علی اعتباره فهو ملحق بالعلم، و إلّا فملحق بالشکّ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لکنّه اعتذر عنه بعض المحقّقین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فی تقریرات بحثه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عقد البحث فی الظنّ إنّما هو لأجل تمیّز الظنّ المعتبر الملحق بالعلم عن الظنّ الغیر المعتبر الملحق بالشکّ، فلا بدّ أوّلاً من تثلیث الأقسام، ثمّ البحث عن حکم الظنّ؛ من حیث الاعتبار و عدمه</w:t>
      </w:r>
      <w:r>
        <w:rPr>
          <w:rStyle w:val="FootnoteAnchor"/>
          <w:rtl w:val="true"/>
        </w:rPr>
        <w:footnoteReference w:id="27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لکنّه لا یخفی أنّ تثلیث الأقسام لو کان توطئة لما کان وجه لتقیید مجری الاستصحاب بکون الحالة السابقة ملحوظة، فإنّ الظاهر أنّ هذا التقیید إنّما هو لأجل بیان المختار فی مجری الاستصحاب، و سوق العبارة تقتضی کون التثلیث أیضاً وقع من باب بیان الحقّ، لا مجرّد التوطئة،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التثلیث بوجه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المکلّف إذا التفت إلی الحکم الشرعی الواقعی فإمّا أن یحصل له القطع به أو لا، و علی الثانی إمّا أن یکون له طریق شرعی أو لا، و علی الثانی یرجع إلی الاُصول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حینئذٍ فالظنّ الانسدادی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الحکومة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مسائل القطع؛ لأنّه أعمّ من القطع الإجمالی، کما أنّ بعض مباحث الاشتغال إنّما یدخل فیه أیضاً، کما لا یخفی</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المراد بالمکلّف الذی یحصل له أحد الأقسام هو خصوص المجتهد؛ إذ المراد من الالتفات هو الالتفات التفصیلی الحاصل للمجتهد، و لا اعتبار بظنّ</w:t>
      </w:r>
    </w:p>
    <w:p>
      <w:pPr>
        <w:pStyle w:val="BookText"/>
        <w:rPr/>
      </w:pPr>
      <w:r>
        <w:rPr>
          <w:rFonts w:ascii="IRNazanin" w:hAnsi="IRNazanin" w:eastAsia="IRNazanin"/>
          <w:color w:val="111111"/>
          <w:sz w:val="28"/>
          <w:sz w:val="28"/>
          <w:szCs w:val="28"/>
          <w:rtl w:val="true"/>
          <w:lang w:bidi="fa-IR"/>
        </w:rPr>
        <w:t>المقلّد و شکّه، فلا یشمله الخطابات الواردة فی أدلّة اعتبار الطرق و الأمارات، مثل قوله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Style w:val="FootnoteAnchor"/>
          <w:rtl w:val="true"/>
        </w:rPr>
        <w:footnoteReference w:id="271"/>
      </w:r>
      <w:r>
        <w:rPr>
          <w:rFonts w:ascii="IRNazanin" w:hAnsi="IRNazanin" w:eastAsia="IRNazanin"/>
          <w:color w:val="111111"/>
          <w:sz w:val="28"/>
          <w:sz w:val="28"/>
          <w:szCs w:val="28"/>
          <w:rtl w:val="true"/>
          <w:lang w:bidi="fa-IR"/>
        </w:rPr>
        <w:t>؛ ضرورة أنّه لا یکاد یحصل للمقلّد الشکّ و الیقین فی الشبهات الحکمیة، و علی فرض الحصول فلا عبرة بهما ما لم یکن مجتهداً فی مسألة حجّیة الاستصحاب</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 فقد ذکروا فی مقام بیان أحکام القطع و أقسامه اموراً</w:t>
      </w:r>
      <w:r>
        <w:rPr>
          <w:rFonts w:eastAsia="IRNazanin" w:cs="IRNazanin"/>
          <w:color w:val="111111"/>
          <w:sz w:val="28"/>
          <w:szCs w:val="28"/>
          <w:rtl w:val="true"/>
          <w:lang w:bidi="fa-IR"/>
        </w:rPr>
        <w:t>:</w:t>
      </w:r>
      <w:bookmarkStart w:id="661" w:name="pg11586_104958"/>
    </w:p>
    <w:p>
      <w:pPr>
        <w:pStyle w:val="BookText"/>
        <w:rPr/>
      </w:pPr>
      <w:bookmarkEnd w:id="661"/>
      <w:r>
        <w:rPr>
          <w:rFonts w:ascii="IRNazanin" w:hAnsi="IRNazanin" w:eastAsia="IRNazanin"/>
          <w:color w:val="111111"/>
          <w:sz w:val="28"/>
          <w:sz w:val="28"/>
          <w:szCs w:val="28"/>
          <w:rtl w:val="true"/>
          <w:lang w:bidi="fa-IR"/>
        </w:rPr>
        <w:t>وجوب متابعة القطع و حجّیته</w:t>
      </w:r>
    </w:p>
    <w:p>
      <w:pPr>
        <w:pStyle w:val="Heading3"/>
        <w:numPr>
          <w:ilvl w:val="2"/>
          <w:numId w:val="1"/>
        </w:numPr>
        <w:rPr/>
      </w:pPr>
      <w:bookmarkStart w:id="662" w:name="__RefHeading___Toc5146103_73709187"/>
      <w:bookmarkStart w:id="663" w:name="_Toc251"/>
      <w:bookmarkEnd w:id="662"/>
      <w:r>
        <w:rPr>
          <w:rtl w:val="true"/>
        </w:rPr>
        <w:t>الأمر الأوّل وجوب متابعة القطع و حجّیته</w:t>
      </w:r>
      <w:bookmarkEnd w:id="663"/>
    </w:p>
    <w:p>
      <w:pPr>
        <w:pStyle w:val="BookText"/>
        <w:rPr/>
      </w:pPr>
      <w:r>
        <w:rPr>
          <w:rFonts w:ascii="IRNazanin" w:hAnsi="IRNazanin" w:eastAsia="IRNazanin"/>
          <w:color w:val="111111"/>
          <w:sz w:val="28"/>
          <w:sz w:val="28"/>
          <w:szCs w:val="28"/>
          <w:rtl w:val="true"/>
          <w:lang w:bidi="fa-IR"/>
        </w:rPr>
        <w:t>لا شبهة فی وجوب العمل علی وفق القطع، و لزوم الحرکة علی طبقه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یخفی أنّ المراد بالقطع الذی یجب العمل علی وفقه إن کان هو نفس صفة القطع التی هی من صفات النفس فلا معنی للعمل علی طبقه؛ لأنّه لا عمل له، کما هو واضح، و إن کان المراد به هو الشیء المقطوع به فوجوب العمل علی وفقه عقلاً و إن کان ممّا لا ریب فیه إلاّ أنّ هذا الحکم لیس من أحکام القطع، مثلاً لو قطع بوجوب صلاة الجمعة فالعقل و إن کان یحکم بلزوم الإتیان بها؛ نظراً إلی لزوم إطاعة المولی إلاّ أنّ لزوم الإتیان بها لیس من أحکام القطع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لیس فی البین إلاّ حکم العقل بوجوب إطاعة المولی، و هو من المسائل الکلامیة الغیر المرتبطة بالمقام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ما یصحّ أن یعدّ من أحکام القطع هو کونه منجّزاً للواقع علی تقدیر الإصابة؛ بحیث لا یبقی للمکلّف القاطع عذر أصلاً، کما هو واضح</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ثبوت العذر علی تقدیر عدم الإصابة فلا یکون أیضاً من أحکام القطع؛ لأنّ المعذوریة إنّما هو بسبب الجهل بالواقع، و عدم الطریق إلیه،</w:t>
      </w:r>
    </w:p>
    <w:p>
      <w:pPr>
        <w:pStyle w:val="BookText"/>
        <w:rPr/>
      </w:pPr>
      <w:r>
        <w:rPr>
          <w:rFonts w:ascii="IRNazanin" w:hAnsi="IRNazanin" w:eastAsia="IRNazanin"/>
          <w:color w:val="111111"/>
          <w:sz w:val="28"/>
          <w:sz w:val="28"/>
          <w:szCs w:val="28"/>
          <w:rtl w:val="true"/>
          <w:lang w:bidi="fa-IR"/>
        </w:rPr>
        <w:t>لا بسبب القطع بالخلاف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إنّهم ذکروا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الحجّیة و الکاشفیة من لوازم القطع، و لا یحتاج إلی جعل جاعل؛ لعدم جعل تألیفی حقیقة بین الشیء و لوازمه، و ظاهرهم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من لوازم ماهیة القطع، کما یظهر من تنظیر بعضهم ذلک بالزوجیة بالنسبة إلی الأربعة</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یخفی ما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صفة الکاشفیة و الطریقیة فلو کانت من لوازم القطع التی لا تنفکّ عنه، کما هو الشأن فی لوازم الماهیة فاللازم أن لا یتحقّق القطع علی خلاف الواقع أصلاً، مع أنّا نری بالوجدان تحقّقه علی کثرة، فکیف یمکن أن تعدّ هذه الصفة من الأوصاف التی تلازم طبیعة القطع؟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الکاشفیة بحسب نظر القاطع ثابتة فی جمیع الموارد، و لکن هذا التقیید یخرجها عن کونها ذاتیة للقطع؛ لأنّ الذاتیات لا فرق فیها؛ من حیث الأنظار أصلاً،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الکاشفیة بحسب نظر القاطع من لوازم وجود القطع، لا ماهیته، و لوازم الوجود کلّها مجعولة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معنی لتعلّق الجعل التشریعی به، مع کونه من لوازم الوجود؛ للزوم اللغویة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الحجّیة فهی حکم عقلی مترتّب علی القطع، بمعنی أنّ العقل و العقلاء لا یرون القاطع معذوراً فی المخالفة أصلاً، و یصحّ عندهم أن یحتجّ به المولی علی العبد، و یعاقب العبد بسبب مخالفة القطع</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لا یصحّ للشارع جعل الحجّیة له؛ لکونه لغواً، لا لکونه من لوازم الماهیة، فتدبّر</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یصحّ له نفی الحجّیة عنه، لا لما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لزوم اجتماع الضدّین، اعتقاداً مطلقاً و حقیقة فی صورة الإصابة</w:t>
      </w:r>
      <w:r>
        <w:rPr>
          <w:rStyle w:val="FootnoteAnchor"/>
          <w:rtl w:val="true"/>
        </w:rPr>
        <w:footnoteReference w:id="273"/>
      </w:r>
      <w:r>
        <w:rPr>
          <w:rFonts w:ascii="IRNazanin" w:hAnsi="IRNazanin" w:eastAsia="IRNazanin"/>
          <w:color w:val="111111"/>
          <w:sz w:val="28"/>
          <w:sz w:val="28"/>
          <w:szCs w:val="28"/>
          <w:rtl w:val="true"/>
          <w:lang w:bidi="fa-IR"/>
        </w:rPr>
        <w:t xml:space="preserve">؛ لما عرفت فی مبحث اجتماع الأمر و النهی من عدم التضادّ بین الأحکام و نظائره من الاُمور الاعتباریة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و لو کانت الأحکام متضادّة لکان من المستحیل تعلّق أکثر من واحد بشیء واحد، و لو کان من شخصین، مع أنّا نری بالوجدان کون شیء واحد مأموراً به لشخص، و منهیاً عنه لشخص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لاستحالة تعلّق البعث و الزجر إلی شیء واحد من شخص واحد بنظر العقل إمّا لعدم قدرة العبد علی الامتثال، أو لعدم إمکان ثبوت مبادئهما فی نفس المولی، کما لا یخفی</w:t>
      </w:r>
      <w:r>
        <w:rPr>
          <w:rFonts w:eastAsia="IRNazanin" w:cs="IRNazanin"/>
          <w:color w:val="111111"/>
          <w:sz w:val="28"/>
          <w:szCs w:val="28"/>
          <w:rtl w:val="true"/>
          <w:lang w:bidi="fa-IR"/>
        </w:rPr>
        <w:t>.</w:t>
      </w:r>
      <w:bookmarkStart w:id="664" w:name="pg11586_104961"/>
    </w:p>
    <w:p>
      <w:pPr>
        <w:pStyle w:val="BookText"/>
        <w:rPr/>
      </w:pPr>
      <w:bookmarkEnd w:id="664"/>
      <w:r>
        <w:rPr>
          <w:rFonts w:ascii="IRNazanin" w:hAnsi="IRNazanin" w:eastAsia="IRNazanin"/>
          <w:color w:val="111111"/>
          <w:sz w:val="28"/>
          <w:sz w:val="28"/>
          <w:szCs w:val="28"/>
          <w:rtl w:val="true"/>
          <w:lang w:bidi="fa-IR"/>
        </w:rPr>
        <w:t>مبحث التجرّی</w:t>
      </w:r>
    </w:p>
    <w:p>
      <w:pPr>
        <w:pStyle w:val="Heading3"/>
        <w:numPr>
          <w:ilvl w:val="2"/>
          <w:numId w:val="1"/>
        </w:numPr>
        <w:rPr/>
      </w:pPr>
      <w:bookmarkStart w:id="665" w:name="__RefHeading___Toc5146105_73709187"/>
      <w:bookmarkStart w:id="666" w:name="_Toc252"/>
      <w:bookmarkEnd w:id="665"/>
      <w:r>
        <w:rPr>
          <w:rtl w:val="true"/>
        </w:rPr>
        <w:t>الأمر الثانی مبحث التجرّی</w:t>
      </w:r>
      <w:bookmarkEnd w:id="666"/>
    </w:p>
    <w:p>
      <w:pPr>
        <w:pStyle w:val="Heading4"/>
        <w:numPr>
          <w:ilvl w:val="3"/>
          <w:numId w:val="1"/>
        </w:numPr>
        <w:rPr/>
      </w:pPr>
      <w:bookmarkStart w:id="667" w:name="__RefHeading___Toc5146107_73709187"/>
      <w:bookmarkStart w:id="668" w:name="_Toc253"/>
      <w:bookmarkEnd w:id="667"/>
      <w:r>
        <w:rPr>
          <w:rtl w:val="true"/>
        </w:rPr>
        <w:t>هل البحث عن التجرّی من المباحث الاُصولیّة أم لا؟</w:t>
      </w:r>
      <w:bookmarkEnd w:id="668"/>
    </w:p>
    <w:p>
      <w:pPr>
        <w:pStyle w:val="BookText"/>
        <w:rPr/>
      </w:pPr>
      <w:r>
        <w:rPr>
          <w:rFonts w:ascii="IRNazanin" w:hAnsi="IRNazanin" w:eastAsia="IRNazanin"/>
          <w:color w:val="111111"/>
          <w:sz w:val="28"/>
          <w:sz w:val="28"/>
          <w:szCs w:val="28"/>
          <w:rtl w:val="true"/>
          <w:lang w:bidi="fa-IR"/>
        </w:rPr>
        <w:t>إنّما الکلام یقع فی استحقاق العقوبة علی التجرّی و المثوبة علی الانقیاد و عدمه، و هل البحث فی المقام یکون بحثاً فی المسألة الاُصولیة، أو أنّها من المسائل الفقهیة أو الکلامیة؟</w:t>
      </w:r>
    </w:p>
    <w:p>
      <w:pPr>
        <w:pStyle w:val="BookText"/>
        <w:rPr/>
      </w:pPr>
      <w:r>
        <w:rPr>
          <w:rFonts w:ascii="IRNazanin" w:hAnsi="IRNazanin" w:eastAsia="IRNazanin"/>
          <w:color w:val="111111"/>
          <w:sz w:val="28"/>
          <w:sz w:val="28"/>
          <w:szCs w:val="28"/>
          <w:rtl w:val="true"/>
          <w:lang w:bidi="fa-IR"/>
        </w:rPr>
        <w:t>لا إشکال فی أنّه إذا قرّر محلّ النزاع ثبوت الحرمة للتجرّی، فیقال التجرّی هل هو حرام أو لا؟ تصیر المسألة فقهیة محضة، کما أنّه إذا قرّر بالوجه الذی ذکرنا، و هو استحقاق العقوبة علی التجرّی و عدمه تصیر مسألة عقلیة کلامیة؛ لأنّ مرجعه إلی حسن عقوبة المولی للمتجرّی و قبحها،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بإمکان إدراجها فی المسائل الاُصولیة التی یکون الضابط فیها هو وقوعها کبری لقیاس استنباط الأحکام الکلّیة الفقهیة، أو کونها حجّة فی الفقه، و ذکر له وجوه</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تسالموا علیه من أنّ البحث إذا وقع فی أنّ ارتکاب الشیء</w:t>
      </w:r>
    </w:p>
    <w:p>
      <w:pPr>
        <w:pStyle w:val="BookText"/>
        <w:rPr/>
      </w:pPr>
      <w:r>
        <w:rPr>
          <w:rFonts w:ascii="IRNazanin" w:hAnsi="IRNazanin" w:eastAsia="IRNazanin"/>
          <w:color w:val="111111"/>
          <w:sz w:val="28"/>
          <w:sz w:val="28"/>
          <w:szCs w:val="28"/>
          <w:rtl w:val="true"/>
          <w:lang w:bidi="fa-IR"/>
        </w:rPr>
        <w:t>المقطوع حرمته هل هو قبیح أو لا یندرج المسألة فی المسائل الاُصولیة التی یستدلّ بها علی الحکم الشرعی؛ و ذلک لأنّه بعد ثبوت القبح یستکشف الحرمة؛ لقاعدة الملازمة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مرجع هذا الوجه إلی أنّ النزاع إنّما هو فی قبح التجرّی و عدمه</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ضرورة أنّ قاعدة الملازمة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تقدیر تسلیمها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فی غیر المقام ممّا لا یکون حکم العقل معلولاً لحکم الشرع، نظیر قبح الظلم، و أمّا فی مثل المقام ممّا یکون حکم العقل واقعاً فی سلسلة المعلولات للأحکام الشرعیة فلا تجری قاعدة الملازمة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لا تری أنّ العقل یحکم بقبح العصیان و لزوم الإطاعة، مع أنّه لو کانت المعصیة منهیاً عنها، و الإطاعة مأموراً بها من قبل الشارع یلزم النواهی و الأوامر الغیر المتناهیة؛ ضرورة أنّ لذلک النهی أیضاً عصیاناً و إطاعة، و للنهی الثالث أیضاً کذلک، إلی أن یتسلسل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قبح التجرّی أیضاً کقبح المعصیة لا یکون مورداً لقاعدة الملازمة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سلّمنا ذلک، لکنّه لا یوجب صحّة إدراج المقام فی المسائل الاُصولیة؛ ضرورة أنّ البحث فی ثبوت حکم العقل بالقبح إنّما هو بحث صغروی؛ إذ بعد ثبوت القبح نحتاج أیضاً إلی ضمّ الکبری لیستنتج الحکم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وقوع المسألة فی صغری قیاس الاستنباط یخرجها عن کونها مسألة اصولیة، و إلّا یلزم دخول کثیر من المسائل الخارجة عنها فیها، کالبحث عن کون شیء مقدّمة للواجب و نظائره، و هو ممّا لا یلتزم به أحد، کما لا یخفی</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تقریرات المحقّق النائینی قدس سره من أنّه لو کان مستند القائل باستحقاق المتجرّی للعقاب هی دعوی أنّ الخطابات الشرعیة تعمّ صورتی</w:t>
      </w:r>
      <w:bookmarkStart w:id="669" w:name="pg11586_104963"/>
    </w:p>
    <w:p>
      <w:pPr>
        <w:pStyle w:val="BookText"/>
        <w:rPr/>
      </w:pPr>
      <w:bookmarkEnd w:id="669"/>
      <w:r>
        <w:rPr>
          <w:rFonts w:ascii="IRNazanin" w:hAnsi="IRNazanin" w:eastAsia="IRNazanin"/>
          <w:color w:val="111111"/>
          <w:sz w:val="28"/>
          <w:sz w:val="28"/>
          <w:szCs w:val="28"/>
          <w:rtl w:val="true"/>
          <w:lang w:bidi="fa-IR"/>
        </w:rPr>
        <w:t>مصادفة القطع للواقع و مخالفته، و یندرج المتجرّی فی عموم الخطابات الشرعیة حقیقة تصیر المسألة من المباحث الاُصولیة</w:t>
      </w:r>
      <w:r>
        <w:rPr>
          <w:rStyle w:val="FootnoteAnchor"/>
          <w:rtl w:val="true"/>
        </w:rPr>
        <w:footnoteReference w:id="27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ما لا یخفی؛ فإنّ دعوی إطلاق الخطاب لا یوجب اندراج المسألة فی المسائل الاُصولیة، فإنّها بحث صغروی مندرج فی الفقهیات؛ لأنّک قد عرفت أنّ المسائل الاُصولیة هی الکبریات الواقعة فی قیاس استنباط الأحکام الفرعیة، کالبحث عن حجّیة أصالة الإطلاق، لا البحث عن شموله لمورد، و إلّا یلزم دخول جلّ المسائل الفقهیة فی الاُصول، ضرورة أنّه قلّما یتّفق فی مسألة من المسائل الفقهیة أن لا یقع البحث عن شمول العموم أو الإطلاق بالنسبة إلی بعض الموضوعات، کما لا یخفی</w:t>
      </w:r>
      <w:r>
        <w:rPr>
          <w:rFonts w:eastAsia="IRNazanin" w:cs="IRNazanin"/>
          <w:color w:val="111111"/>
          <w:sz w:val="28"/>
          <w:szCs w:val="28"/>
          <w:rtl w:val="true"/>
          <w:lang w:bidi="fa-IR"/>
        </w:rPr>
        <w:t>.</w:t>
      </w:r>
    </w:p>
    <w:p>
      <w:pPr>
        <w:pStyle w:val="Heading4"/>
        <w:numPr>
          <w:ilvl w:val="3"/>
          <w:numId w:val="1"/>
        </w:numPr>
        <w:rPr/>
      </w:pPr>
      <w:bookmarkStart w:id="670" w:name="__RefHeading___Toc5146109_73709187"/>
      <w:bookmarkStart w:id="671" w:name="_Toc254"/>
      <w:bookmarkEnd w:id="670"/>
      <w:r>
        <w:rPr>
          <w:rtl w:val="true"/>
        </w:rPr>
        <w:t>هل یمکن عدّ مسألة التجرّی من المسائل الفقهیة؟</w:t>
      </w:r>
      <w:bookmarkEnd w:id="671"/>
    </w:p>
    <w:p>
      <w:pPr>
        <w:pStyle w:val="BookText"/>
        <w:rPr/>
      </w:pPr>
      <w:r>
        <w:rPr>
          <w:rFonts w:ascii="IRNazanin" w:hAnsi="IRNazanin" w:eastAsia="IRNazanin"/>
          <w:color w:val="111111"/>
          <w:sz w:val="28"/>
          <w:sz w:val="28"/>
          <w:szCs w:val="28"/>
          <w:rtl w:val="true"/>
          <w:lang w:bidi="fa-IR"/>
        </w:rPr>
        <w:t>ثمّ إنّه قد استشکل فی جعل النزاع فی حرمة التجرّی؛ بحیث صار من المسائل الفقهیة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الفعل المتجرّی به أو المنقاد به بما هو مقطوع الحرمة أو الوجوب لا یکون اختیاریاً، فإنّ القاطع لا یقصده إلاّ بما قطع أنّه علیه من عنوانه الواقعی الاستقلالی، لا بعنوانه الطارئ الآلی، بل لا یکون غالباً بهذا العنوان ممّا یلتفت إلیه</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فکیف یکون من جهات الحسن أو القبح عقلاً، و من مناطات الوجوب أو الحرمة شرعاً، و لا یکاد یکون صفة موجبة لذلک إلاّ إذا کانت اختیاریة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زاد فی ذیل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المتجرّی قد لا یصدر منه فعل بالاختیار، کما فی التجرّی</w:t>
      </w:r>
    </w:p>
    <w:p>
      <w:pPr>
        <w:pStyle w:val="BookText"/>
        <w:rPr/>
      </w:pPr>
      <w:r>
        <w:rPr>
          <w:rFonts w:ascii="IRNazanin" w:hAnsi="IRNazanin" w:eastAsia="IRNazanin"/>
          <w:color w:val="111111"/>
          <w:sz w:val="28"/>
          <w:sz w:val="28"/>
          <w:szCs w:val="28"/>
          <w:rtl w:val="true"/>
          <w:lang w:bidi="fa-IR"/>
        </w:rPr>
        <w:t>بارتکاب ما قطع أنّه من مصادیق الخمر</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وضوح إمکان الالتفات إلی العلم؛ لأنّه لیس من العناوین التی لا یمکن الالتفات إلیها، کعنوان التجرّی مثلاً؛ حیث إنّ التوجّه و الالتفات إلیه یخرج الملتفت عن کونه متجرّیاً، کما هو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العلم و نظائره من العناوین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کعنوان القصد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فیمکن الالتفات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حینئذٍ فلا إشکال فی اختصاص الخطاب به، فإنّ العالم بالخمر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ما التفت إلی أنّ معلومه بما أنّه معلوم یکون موضوعاً للحرمة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یتوجّه بالتوجّه الثانوی إلی علمه، توجّهاً استقلالیاً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 ذلک وقوع العلم فی الشریعة متعلّقاً للأحکام کثیراً، کقوله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شیء طاهر، حتّی تعلم أنّه قذر</w:t>
      </w:r>
      <w:r>
        <w:rPr>
          <w:rFonts w:eastAsia="Amiri" w:cs="Amiri" w:ascii="Amiri" w:hAnsi="Amiri"/>
          <w:color w:val="111111"/>
          <w:sz w:val="28"/>
          <w:szCs w:val="28"/>
          <w:rtl w:val="true"/>
          <w:lang w:bidi="ar-SA"/>
        </w:rPr>
        <w:t xml:space="preserve">» </w:t>
      </w:r>
      <w:r>
        <w:rPr>
          <w:rStyle w:val="FootnoteAnchor"/>
          <w:rtl w:val="true"/>
        </w:rPr>
        <w:footnoteReference w:id="27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ما أفاده فی ذیل کلامه ففساده أظهر من أن یخفی؛ ضرورة أنّ شرب المائع فی المثال کان اختیاریاً له بلا إشکال؛ و لذا یترتّب علیه بطلان الصوم و نظائره،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 تقریرات المحقّق المتقدّم من أنّ توجیه الخطاب بمثل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معلوم الخمریة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مستلزم لاجتماع المثلین فی نظر العالم دائماً، و إن لم یلزم ذلک واقعاً؛ لأنّ النسبة بین الخمر الواقعی و الخمر المعلوم هی العموم من وجه، و فی مادّة الاجتماع یتأکّد الحکمان، کما 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العالم، و أکرم الهاشمی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فی نظر العالم دائماً یلزم اجتماع المثلین؛ لأنّ العالم لا یحتمل المخالفة، و دائماً یری مصادفة علمه للواقع، فدائماً یجتمع فی نظره حکمان</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یصلح کلّ من هذین الحکمین لأن یکون داعیاً و محرّکاً لإرادة العبد</w:t>
      </w:r>
    </w:p>
    <w:p>
      <w:pPr>
        <w:pStyle w:val="BookText"/>
        <w:rPr/>
      </w:pPr>
      <w:r>
        <w:rPr>
          <w:rFonts w:ascii="IRNazanin" w:hAnsi="IRNazanin" w:eastAsia="IRNazanin"/>
          <w:color w:val="111111"/>
          <w:sz w:val="28"/>
          <w:sz w:val="28"/>
          <w:szCs w:val="28"/>
          <w:rtl w:val="true"/>
          <w:lang w:bidi="fa-IR"/>
        </w:rPr>
        <w:t>بحیال ذاته، فإنّه لو فرض أنّ للخمر حکماً، و لمعلوم الخمریة أیضاً حکماً فبمجرّد العلم بخمریة شیء یعلم بوجوب الاجتناب عنه، الذی فرض أنّه رتّب علی ذات الخمر، فیکون هو المحرّک و الباعث للاجتناب، و الحکم الآخر المترتّب علی معلوم الخمریة لا یصلح لأن یکون باعثاً، و یلزم لغویته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له مورد آخر یمکن استقلاله فی الباعثیة، فإنّ العلم بالخمریة دائماً ملازم للعلم بوجوب الاجتناب عنه، المترتّب علی الخمر الواقعی، و ذلک واضح بعد ما کان العالم لا یحتمل المخالفة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فتوجیه خطاب آخر علی معلوم الخمریة لا یصحّ‌</w:t>
      </w:r>
      <w:r>
        <w:rPr>
          <w:rStyle w:val="FootnoteAnchor"/>
          <w:rtl w:val="true"/>
        </w:rPr>
        <w:footnoteReference w:id="2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ما لا یخفی؛ لأنّ تعلّق الحکمین بالخمر الواقعی و بمعلوم الخمریة لا یکاد یکون مستلزماً لاجتماع المثلین، بعد وضوح کون النسبة بین المتعلّقین هی العموم من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مجرّد اجتماعهما فی نظر القاطع لا یوجب اجتماع المثلین عنده، بعد ثبوت الاختلاف بین المفهومین فی نظر القاطع أیضاً؛ لأنّه لا یری إلاّ مصادفة قطعه للواقع، و هذا لا یستلزم اتحاد المفهومین فی عالم المفهومیة، الذی هو عالم تعلّق الأحکام، کما حقّقناه فی المباحث السابقة بما لا مزید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أنّ الحکم لا ینحصر بهذا القاطع؛ ضرورة اشتراک الکلّ فی الأحکام، فهذا القاطع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 یری مصادفة قطعه للواقع، المستلزمة لاجتماع المثلین عنده، بناءً علی ما ذکره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الخطأ بالنسبة إلی القاطع الآخر، فلم یجتمع الحکمان بالنسبة إلیه فی نظر هذا القاطع، کما هو واضح</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ذکره من عدم صلاحیة کلّ من الحکمین لأن یکون داعیاً و محرّکاً فیرد علیه وضوح أنّ المکلّف قد لا ینبعث بأمر واحد، و ینبعث بأمرین أو أکثر</w:t>
      </w:r>
      <w:r>
        <w:rPr>
          <w:rFonts w:eastAsia="IRNazanin" w:cs="IRNazanin"/>
          <w:color w:val="111111"/>
          <w:sz w:val="28"/>
          <w:szCs w:val="28"/>
          <w:rtl w:val="true"/>
          <w:lang w:bidi="fa-IR"/>
        </w:rPr>
        <w:t>.</w:t>
      </w:r>
      <w:bookmarkStart w:id="672" w:name="pg11586_104966"/>
    </w:p>
    <w:p>
      <w:pPr>
        <w:pStyle w:val="BookText"/>
        <w:rPr/>
      </w:pPr>
      <w:bookmarkEnd w:id="672"/>
      <w:r>
        <w:rPr>
          <w:rFonts w:ascii="IRNazanin" w:hAnsi="IRNazanin" w:eastAsia="IRNazanin"/>
          <w:color w:val="111111"/>
          <w:sz w:val="28"/>
          <w:sz w:val="28"/>
          <w:szCs w:val="28"/>
          <w:rtl w:val="true"/>
          <w:lang w:bidi="fa-IR"/>
        </w:rPr>
        <w:t>و مجرّد تحقّق الإطاعة بترک فعل واحد و العصیان بإتیانه لا یوجب اللغویة بعد وجود مادّة الافتراق بینهما،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لکن الظاهر عدم کون النزاع فی حرمة التجرّی؛ لأنّ تعلّق الحرمة بعنوانه قد عرفت بطلانه، و تعلّقه بمعلوم الخمریة مقیّداً بعدم مصادفة العلم للواقع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استحالته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لعدم اختصاص ملاک التحریم به، فلا بدّ من أن یکون متعلّقاً بمعلوم الخمریة مطلقاً، و من غیر تقیید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تعلّقه به مستلزم للتسلسل؛ لأنّ تعلّق الحرمة بمعلوم الخمریة معلوم أیضاً، فیتحقّق نهی آخر متعلّق بمعلوم الحرمة، و تعلّق النهی الثانی به أیضاً معلوم، فیتحقّق نهی آخر، إلی ما لا نهایة له، و هذا ممّا یقطع بخلافه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فانقدح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المسألة عقلیة کلامیة، یکون محلّ النزاع فیها هو حکم العقل باستحقاق المتجرّی للعقاب و عدمه، فلا تغفل</w:t>
      </w:r>
      <w:r>
        <w:rPr>
          <w:rFonts w:eastAsia="IRNazanin" w:cs="IRNazanin"/>
          <w:color w:val="111111"/>
          <w:sz w:val="28"/>
          <w:szCs w:val="28"/>
          <w:rtl w:val="true"/>
          <w:lang w:bidi="fa-IR"/>
        </w:rPr>
        <w:t>.</w:t>
      </w:r>
    </w:p>
    <w:p>
      <w:pPr>
        <w:pStyle w:val="Heading4"/>
        <w:numPr>
          <w:ilvl w:val="3"/>
          <w:numId w:val="1"/>
        </w:numPr>
        <w:rPr/>
      </w:pPr>
      <w:bookmarkStart w:id="673" w:name="__RefHeading___Toc5146111_73709187"/>
      <w:bookmarkStart w:id="674" w:name="_Toc255"/>
      <w:bookmarkEnd w:id="673"/>
      <w:r>
        <w:rPr>
          <w:rtl w:val="true"/>
        </w:rPr>
        <w:t>المناط فی استحقاق العقوبة</w:t>
      </w:r>
      <w:bookmarkEnd w:id="674"/>
    </w:p>
    <w:p>
      <w:pPr>
        <w:pStyle w:val="BookText"/>
        <w:rPr/>
      </w:pPr>
      <w:r>
        <w:rPr>
          <w:rFonts w:ascii="IRNazanin" w:hAnsi="IRNazanin" w:eastAsia="IRNazanin"/>
          <w:color w:val="111111"/>
          <w:sz w:val="28"/>
          <w:sz w:val="28"/>
          <w:szCs w:val="28"/>
          <w:rtl w:val="true"/>
          <w:lang w:bidi="fa-IR"/>
        </w:rPr>
        <w:t>إذا عرفت ذلک فاعلم أنّ المتجرّی و العاصی کلیهما یشترکان فی جمیع المراحل، من تصوّر الحرام، و التصدیق بفائدته، و العزم علی ارتکابه، و الجرأة علی المولی، و إنّما یفترقان فی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ارتکاب مبغوض المولی، و الإتیان بما فیه المفسدة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مخالفة المولی، و عدم إطاعة تکلیفه عمداً</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هذین الأمرین متحقّقان فی العاصی دون المتجرّی، و لا شبهة فی أنّ استحقاق العقوبة لیس لمجرّد ارتکاب المبغوض و ما فیه المفسدة، و إلّا یلزم أن یکون الجاهل المرتکب للحرام مستحقّاً للعقوبة، کما أنّه لا شبهة فی أنّ مخالفة المولی عمداً قبیح عند العقل، و یستحقّ العبد بسببها العقوبة، بمعنی أنّ</w:t>
      </w:r>
    </w:p>
    <w:p>
      <w:pPr>
        <w:pStyle w:val="BookText"/>
        <w:rPr/>
      </w:pPr>
      <w:r>
        <w:rPr>
          <w:rFonts w:ascii="IRNazanin" w:hAnsi="IRNazanin" w:eastAsia="IRNazanin"/>
          <w:color w:val="111111"/>
          <w:sz w:val="28"/>
          <w:sz w:val="28"/>
          <w:szCs w:val="28"/>
          <w:rtl w:val="true"/>
          <w:lang w:bidi="fa-IR"/>
        </w:rPr>
        <w:t>العقل یحکم بحسن عقاب المولی للعبد الذی خالف أحکامه من أوامره و نواهیه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إنّما الإشکال فی أنّ الجرأة علی المولی و هتک حرمته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یکون قبیحاً عقلاً بلا 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یوجب استحقاق العقوبة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یتوهّم الملازمة بین القبح العقلی و استحقاق العقوبة؛ ضرورة أنّ أکثر ما یحکم العقل بقبحه لا یترتّب علیه إلاّ مجرّد اللوم و الذّم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لا تری أنّ ترجیح المرجوح علی الراجح قبیح، مع أنّه لا یستحقّ المرجّح بسببه العقوبة أصلاً، کما هو واضح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فمجرّد حکم العقل بقبح شیء لا یوجب استحقاق الفاعل للعقوبة، و حینئذٍ فإن قلنا بترتّب العقوبة علی مجرّد الجرأة علی المولی فاللازم هو الالتزام بثبوت العقوبتین فی صورة العصیان، و لا وجه للتداخل، بعد کون کلّ من المخالفة العمدیة و الجرأة علی المولی سبباً مستقلاًّ لثبوت العقاب، و لم نعثر علی من یقول بذلک، فیستکشف منه أنّ الجرأة علی المولی التی یشترک فیها العاصی و المتجرّی لا یوجب العقاب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یختصّ العاصی بالمخالفة العمدیة التی هی السبب فی الاستحقاق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فانقدح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یترتّب علی مجرّد التجرّی استحقاق للعقوبة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قلنا بأنّ الجرأة علی المولی لها صورة برزخیّة، و أثر فی النفس یظهر فی عالم الغیب، و یکون ملازماً للإنسان، کما أنّه یتجسّم الأعمال الصالحة و القبیحة بصورها الملکوتیة، و تری کلّ نفس عین عمله، کما قال اللّه تعالی</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تَجِدُ کُلُّ نَفْسٍ ما عَمِلَتْ مِنْ خَیْرٍ مُحْضَراً وَ ما عَمِلَتْ مِنْ سُوءٍ</w:t>
      </w:r>
      <w:r>
        <w:rPr>
          <w:rFonts w:eastAsia="Amiri" w:cs="Amiri" w:ascii="Amiri" w:hAnsi="Amiri"/>
          <w:color w:val="111111"/>
          <w:sz w:val="28"/>
          <w:szCs w:val="28"/>
          <w:rtl w:val="true"/>
          <w:lang w:bidi="ar-SA"/>
        </w:rPr>
        <w:t xml:space="preserve">» </w:t>
      </w:r>
      <w:r>
        <w:rPr>
          <w:rStyle w:val="FootnoteAnchor"/>
          <w:rtl w:val="true"/>
        </w:rPr>
        <w:footnoteReference w:id="279"/>
      </w:r>
      <w:r>
        <w:rPr>
          <w:rFonts w:ascii="IRNazanin" w:hAnsi="IRNazanin" w:eastAsia="IRNazanin"/>
          <w:color w:val="111111"/>
          <w:sz w:val="28"/>
          <w:sz w:val="28"/>
          <w:szCs w:val="28"/>
          <w:rtl w:val="true"/>
          <w:lang w:bidi="fa-IR"/>
        </w:rPr>
        <w:t>، و قال</w:t>
      </w:r>
      <w:bookmarkStart w:id="675" w:name="pg11586_104968"/>
    </w:p>
    <w:p>
      <w:pPr>
        <w:pStyle w:val="BookText"/>
        <w:rPr/>
      </w:pPr>
      <w:bookmarkEnd w:id="675"/>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یَعْمَلْ مِثْقالَ ذَرَّةٍ خَیْراً 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یَعْمَلْ مِثْقالَ ذَرَّةٍ شَرًّا یَرَهُ</w:t>
      </w:r>
      <w:r>
        <w:rPr>
          <w:rFonts w:eastAsia="Amiri" w:cs="Amiri" w:ascii="Amiri" w:hAnsi="Amiri"/>
          <w:color w:val="111111"/>
          <w:sz w:val="28"/>
          <w:szCs w:val="28"/>
          <w:rtl w:val="true"/>
          <w:lang w:bidi="ar-SA"/>
        </w:rPr>
        <w:t xml:space="preserve">» </w:t>
      </w:r>
      <w:r>
        <w:rPr>
          <w:rStyle w:val="FootnoteAnchor"/>
          <w:rtl w:val="true"/>
        </w:rPr>
        <w:footnoteReference w:id="280"/>
      </w:r>
      <w:r>
        <w:rPr>
          <w:rFonts w:ascii="IRNazanin" w:hAnsi="IRNazanin" w:eastAsia="IRNazanin"/>
          <w:color w:val="111111"/>
          <w:sz w:val="28"/>
          <w:sz w:val="28"/>
          <w:szCs w:val="28"/>
          <w:rtl w:val="true"/>
          <w:lang w:bidi="fa-IR"/>
        </w:rPr>
        <w:t>، فیشترک العاصی و المتجرّی فی هذا المعنی، بلا تداخل فی العاصی أصلاً،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یذهب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الفعل المتجرّی به الذی یکون مصداقاً لبعض العناوین الغیر المحرّمة حقیقةً لا یتصف بالقبح أصلاً؛ لعدم کونه مصداقاً للتجرّی علی المولی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قد عرفت أنّه قبیح عند 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أنّ الجرأة علی المولی إنّما تکون من الصفات النفسانیة و الأحوال العارضة للنفس، و لا یکون لها مصداق فی الخارج أصلاً، بل هو نظیر العلم و الإرادة و غیرهما من الصفات التی محلّها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یکون الإتیان بالفعل المتجرّی به کاشفاً عن تحقّقه فیها، و مظهراً لثبوته، و لا یکون مصداقاً له، کما هو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فلا وجه لسرایة القبح إلیه، بعد کونه مصداقاً حقیقیاً لبعض العناوین الغیر المحرّمة</w:t>
      </w:r>
      <w:r>
        <w:rPr>
          <w:rFonts w:eastAsia="IRNazanin" w:cs="IRNazanin"/>
          <w:color w:val="111111"/>
          <w:sz w:val="28"/>
          <w:szCs w:val="28"/>
          <w:rtl w:val="true"/>
          <w:lang w:bidi="fa-IR"/>
        </w:rPr>
        <w:t>.</w:t>
      </w:r>
    </w:p>
    <w:p>
      <w:pPr>
        <w:pStyle w:val="Heading4"/>
        <w:numPr>
          <w:ilvl w:val="3"/>
          <w:numId w:val="1"/>
        </w:numPr>
        <w:rPr/>
      </w:pPr>
      <w:bookmarkStart w:id="676" w:name="__RefHeading___Toc5146113_73709187"/>
      <w:bookmarkStart w:id="677" w:name="_Toc256"/>
      <w:bookmarkEnd w:id="676"/>
      <w:r>
        <w:rPr>
          <w:rtl w:val="true"/>
        </w:rPr>
        <w:t>نقد کلام صاحب الکفایة</w:t>
      </w:r>
      <w:bookmarkEnd w:id="677"/>
    </w:p>
    <w:p>
      <w:pPr>
        <w:pStyle w:val="BookText"/>
        <w:rPr/>
      </w:pPr>
      <w:r>
        <w:rPr>
          <w:rFonts w:ascii="IRNazanin" w:hAnsi="IRNazanin" w:eastAsia="IRNazanin"/>
          <w:color w:val="111111"/>
          <w:sz w:val="28"/>
          <w:sz w:val="28"/>
          <w:szCs w:val="28"/>
          <w:rtl w:val="true"/>
          <w:lang w:bidi="fa-IR"/>
        </w:rPr>
        <w:t xml:space="preserve">ثمّ إنّ المحقّق الخراسانی قدس سره بعد أن اختار قبح التجرّی؛ مستدلا بشهادة الوجدان، و ذهب إلی أنّه لا یوجب تفاوتاً فی الفعل المتجرّی به، بل هو باقٍ علی ما هو علیه من الحسن و القبح و الوجوب أو الحرمة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لعدم کونه بما هو مقطوع الحرمة اختیاریاً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 علی نفسه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الفعل کذلک فلا وجه لاستحقاق العقوبة علی مخالفة القطع، و هل کان العقاب علیها إلاّ عقاباً علی ما لیس بالاختیار</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أجاب بأنّ العقاب إنّما یکون علی قصد العصیان و العزم علی الطغیان، لا</w:t>
      </w:r>
      <w:bookmarkStart w:id="678" w:name="pg11586_104969"/>
    </w:p>
    <w:p>
      <w:pPr>
        <w:pStyle w:val="BookText"/>
        <w:rPr/>
      </w:pPr>
      <w:bookmarkEnd w:id="678"/>
      <w:r>
        <w:rPr>
          <w:rFonts w:ascii="IRNazanin" w:hAnsi="IRNazanin" w:eastAsia="IRNazanin"/>
          <w:color w:val="111111"/>
          <w:sz w:val="28"/>
          <w:sz w:val="28"/>
          <w:szCs w:val="28"/>
          <w:rtl w:val="true"/>
          <w:lang w:bidi="fa-IR"/>
        </w:rPr>
        <w:t>علی الفعل الصادر بهذا العنوان بلا 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أورد علی ذلک أیضاً بأنّ العزم و القصد إنّما یکون من مبادئ الاختیار، و هی لیست باختیاریة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بما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أنّ الاختیار و إن لم یکن بالاختیار إلاّ أنّ بعض مبادئه غالباً یکون وجوده بالاختیار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صحّة المؤاخذة و العقوبة إنّما هی من آثار بعده عن سیّده بتجرّیه علیه، فکما أنّ التجرّی یوجب البعد عنه فکذلک لا غرو فی أن یوجب حسن العقوبة، فإنّه و إن لم یکن باختیاره إلاّ أنّه بسوء سریرته بحسب نقصانه ذاتاً، و مع انتهاء الأمر إلیه یرتفع الإشکال، و ینقطع السؤال بلِمَ، فإنّ الذاتیات ضروری الثبوت للذات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أیضاً ینقطع السؤال عن أنّه لِمَ اختار الکافر الکفر و العاصی العصیان و المؤمن الإیمان؟ فإنّه یساوق السؤال عن أنّ الحمار لِمَ یکون ناهقاً؟ و الإنسان لِمَ یکون ناطقاً؟ و بالجملة فتفاوت أفراد الإنسان بالأخرة یکون ذاتیاً، و الذاتی لا یعلّل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هذا فلا فائدة فی بعث الرسل و إنزال الکتب و الوعظ و الإنذار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بما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لینتفع به من حسنت سریرته، و یکون حجّة علی من ساءت سریرته؛ لیهلک من هلک عن بیّنة، و یحیی من حیّ عن بیّنة</w:t>
      </w:r>
      <w:r>
        <w:rPr>
          <w:rStyle w:val="FootnoteAnchor"/>
          <w:rtl w:val="true"/>
        </w:rPr>
        <w:footnoteReference w:id="281"/>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Heading4"/>
        <w:numPr>
          <w:ilvl w:val="3"/>
          <w:numId w:val="1"/>
        </w:numPr>
        <w:rPr/>
      </w:pPr>
      <w:bookmarkStart w:id="679" w:name="__RefHeading___Toc5146115_73709187"/>
      <w:bookmarkStart w:id="680" w:name="_Toc257"/>
      <w:bookmarkEnd w:id="679"/>
      <w:r>
        <w:rPr>
          <w:rtl w:val="true"/>
        </w:rPr>
        <w:t>و فیه وجوه من الخلل</w:t>
      </w:r>
      <w:r>
        <w:rPr>
          <w:rtl w:val="true"/>
        </w:rPr>
        <w:t>:</w:t>
      </w:r>
      <w:bookmarkEnd w:id="680"/>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من الواضح أنّ الجواب عن الإیراد الثانی بأنّ بعض مبادئ</w:t>
      </w:r>
    </w:p>
    <w:p>
      <w:pPr>
        <w:pStyle w:val="BookText"/>
        <w:rPr/>
      </w:pPr>
      <w:r>
        <w:rPr>
          <w:rFonts w:ascii="IRNazanin" w:hAnsi="IRNazanin" w:eastAsia="IRNazanin"/>
          <w:color w:val="111111"/>
          <w:sz w:val="28"/>
          <w:sz w:val="28"/>
          <w:szCs w:val="28"/>
          <w:rtl w:val="true"/>
          <w:lang w:bidi="fa-IR"/>
        </w:rPr>
        <w:t>الاختیار غالباً یکون وجوده بالاختیار ممّا لا یتمّ؛ لأنّه ینقل الکلام إلی المبادئ الاختیاریة،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اختیاریتها هل هی بالاختیار، فیلزم التسلسل، و إلّا فیعود المحذور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فی باب اختیاریة الإرادة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إشکال فی أنّ الأفعال الصادرة من الواجب تعالی إنّما تکون صادرة بالإرادة و الاختیار، و لا معنی لاختیاریتها إلاّ ذلک، لا کون إرادتها أیضاً بإرادة اخری، و إلّا یلزم أن لا تکون إرادته تعالی عین ذاته، و أن تکون إرادته حادثة، مع أنّه مستحیل بداهة؛ ضرورة أنّ الإرادة من الصفات الکمالیّة، و الواجب مستجمع لجمیعها، و إلّا یلزم النقص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أنّه لو کانت الإرادة حادثة فیه تعالی لکان حدوثها کاشفاً عن قابلیته و استعداده لأن یحدث فیه هذه الصفة، و قد قرّر فی محلّه أنّ القابلیة و الاستعداد إنّما یکون محلّها المادّة و الهیولی</w:t>
      </w:r>
      <w:r>
        <w:rPr>
          <w:rStyle w:val="FootnoteAnchor"/>
          <w:rtl w:val="true"/>
        </w:rPr>
        <w:footnoteReference w:id="282"/>
      </w:r>
      <w:r>
        <w:rPr>
          <w:rFonts w:ascii="IRNazanin" w:hAnsi="IRNazanin" w:eastAsia="IRNazanin"/>
          <w:color w:val="111111"/>
          <w:sz w:val="28"/>
          <w:sz w:val="28"/>
          <w:szCs w:val="28"/>
          <w:rtl w:val="true"/>
          <w:lang w:bidi="fa-IR"/>
        </w:rPr>
        <w:t>فیلزم أن یکون مرکّباً من الجهة الفعلیة و المادّة، و الترکیب مساوق للاحتیاج الذی هو عین ذات الممکن، فالواجب تعالی یکون مریداً للأفعال الصادرة منه، قادراً علیها، بمعنی أنّه یصدر منه بالإرادة، لا أنّه یصدر إرادتها أیضاً بالإرادة، و إلّا یلزم 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 ذلک یمکن أن یقال فی الإنسان، بمعنی أنّ الأفعال الاختیاریة الصادرة منه إنّما تصدر منه مع سبق الإرادة، و هی قائمة بالنفس، مخلوقة لها، موجودة بإیجادها، فهی أمر اختیاری صادرة عن إرادة و اختیار، لا بإرادة اخری</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إلی أنّه لا یعتبر فی صحّة العقوبة و المؤاخذة علی الفعل أزید من کون الفعل صادراً عن علم و إرادة، کما یظهر بملاحظة سیرة العقلاء، فإنّهم</w:t>
      </w:r>
    </w:p>
    <w:p>
      <w:pPr>
        <w:pStyle w:val="BookText"/>
        <w:rPr/>
      </w:pPr>
      <w:r>
        <w:rPr>
          <w:rFonts w:ascii="IRNazanin" w:hAnsi="IRNazanin" w:eastAsia="IRNazanin"/>
          <w:color w:val="111111"/>
          <w:sz w:val="28"/>
          <w:sz w:val="28"/>
          <w:szCs w:val="28"/>
          <w:rtl w:val="true"/>
          <w:lang w:bidi="fa-IR"/>
        </w:rPr>
        <w:t xml:space="preserve">یحکمون باستحقاق عبیدهم للعقوبة بمجرّد ما إذا صدر منه فعل مخالف للمولی اختیاراً، و لا یستندون فی ذلک إلاّ إلی مجرّد صدوره منه 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عن علم و إرادة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یلتفتون إلی کون مبادئ الإرادة هل هی تکون اختیاریة أم لا؟</w:t>
      </w:r>
    </w:p>
    <w:p>
      <w:pPr>
        <w:pStyle w:val="BookText"/>
        <w:rPr/>
      </w:pPr>
      <w:r>
        <w:rPr>
          <w:rFonts w:ascii="IRNazanin" w:hAnsi="IRNazanin" w:eastAsia="IRNazanin"/>
          <w:color w:val="111111"/>
          <w:sz w:val="28"/>
          <w:sz w:val="28"/>
          <w:szCs w:val="28"/>
          <w:rtl w:val="true"/>
          <w:lang w:bidi="fa-IR"/>
        </w:rPr>
        <w:t xml:space="preserve">کیف و لو کان الفعل الاختیاری عبارة عمّا یکون مبادئه اختیاریة فلا وجه لاختصاص الاختیاریة بالإرادة، بل لا بدّ من القول بلزوم أن یکون جمیع ما له دخل فی وجود الفعل اختیاریاً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کوجود الفاعل و علمه و شوقه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فیلزم أن لا یتحقّق فعل اختیاری، حتّی من الواجب تعالی، و هو ضروری 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القرب و البعد بالنسبة إلی اللّه تعالی قد یکون المراد منه هو کمال الوجود و نقصه، بمعنی أنّ کلّ ما کان وجوده تامّاً کاملاً یکون قریباً من مبدإ الکمال، کالعقول المجرّدة، و کلّ ما کان ناقصاً یکون بعیداً عنه، کالموجودات المادّیة؛ حیث إنّ کما لها عین النقص و فعلیتها عین القوّة، و من الواضح أنّ القرب و البعد بهذا المعنی لا یکونان مناط الثواب و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یکون المراد منهما هما الأمرین اللذین ینتزعان من استکمال العبد بسبب الطاعة و فعل القربات، و انحطاطه و بعده بسبب العصیان، فهما و إن کانا مناطین للثواب و العقاب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أنّ فعل القربات یوجب استحقاق الجنان، و ارتکاب المبعّدات یوجب استحقاق النیران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لیس استحقاق المثوبة و العقوبة من تبعات نفس القرب و البعد، بل هما ینتزعان من الطاعة و المعصیة، و العقل إنّما یحکم باستحقاق العاصی للعقاب و المطیع للثواب، من دون توجّه إلی القرب و البعد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القرب و البعد، و کذا استحقاق المثوبة و العقوبة کلّها منتزعات من الطاعة و المعصیة فی رتبة واحدة، بلا تقدّم لأحدهما علی الآخر،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ذکره من انتهاء الأمر بالأخرة إلی الذاتی، و هو لا یعلّل ممّا لا یتمّ أصلاً، و ذلک یتوقّف علی بیان المراد من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الذاتی لا یعلّل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لیظهر الحال و یرتفع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بالذاتی المذکور فی هذه 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قبالاً للعرضی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الذاتی المتداول فی باب البرهان، و هو ما لا یمکن انفکاکه عن الذات، سواء کان من أجزاء الماهیة أو خارجاً عنها ملازماً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 عدم کونها معلّلة و کونها مستغنیة عن العلّة هو أنّ مناط الافتقار و الاحتیاج إلیها هو الإمکان المساوق لتساوی الطرفین، من دون ترجیح لأحدهما علی الآخر؛ ضرورة أنّ الواجب و الممتنع مستغنیان عن العلّة؛ لکون الوجود للأوّل و العدم للثانی ضروریاً لا یمکن الانفکاک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فالمفهوم إذا قیس و لوحظ مع شیء آخر فإمّا أن یکون ذلک الشیء ضروری الثبوت له، أو ضروری العدم له، أو لا ضروری الثبوت و لا ضروری اللاثبوت له، فإذا فرض کونه ضروری الثبوت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کالوجود بالنسبة إلی الواجب تعالی، و کأجزاء الماهیة و لوازمها بالنسبة إلیها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یعقل أن یکون فی اتصافه بذلک الشیء مفتقراً إلی العلّة، و کذلک لو فرض کونه ضروری اللاثبوت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کالوجود بالنسبة إلی شریک الباری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لو فرض کون ثبوته له و عدمه متساویین بلا ترجیح لأحدهما علی الآخر فهو الذی یحتاج إلی علّة مرجّحة؛ لأنّ ترجّح أحد الطرفین علی الآخر بذاته مستحیل بداهة، و لا یقول به أحد، حتّی القائلین بجواز الترجیح من دون مرجّح</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فانقدح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مناط الافتقار هو الإمکان، و من الواضح أنّ جمیع الموجودات عدا واجب الوجود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شأنه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مناص لهم من الاتصاف بالإمکان، فالوجود فیهم وجود إمکانی معلول، فلا یکون ذاتیاً لهم؛ للاحتیاج إلی العلّة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ثبوت أجزاء الماهیة و لوازمها لذاتها ممّا لا یحتاج إلی الجعل و العلّة، إلاّ أنّه قد قرّر فی محلّه</w:t>
      </w:r>
      <w:r>
        <w:rPr>
          <w:rStyle w:val="FootnoteAnchor"/>
          <w:rtl w:val="true"/>
        </w:rPr>
        <w:footnoteReference w:id="283"/>
      </w:r>
      <w:r>
        <w:rPr>
          <w:rFonts w:ascii="IRNazanin" w:hAnsi="IRNazanin" w:eastAsia="IRNazanin"/>
          <w:color w:val="111111"/>
          <w:sz w:val="28"/>
          <w:sz w:val="28"/>
          <w:szCs w:val="28"/>
          <w:rtl w:val="true"/>
          <w:lang w:bidi="fa-IR"/>
        </w:rPr>
        <w:t>أنّ الماهیات امور اعتباریة ینتزعها العقل بعد ملاحظة الوجودات، و هی محرومة عن الجعل ممنوعة عنه، و لا تکون منشأ للآثار، و لا علّیة و لا معلولیة بینها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السعادة و الشقاوة هل هما من سنخ الوجودات أو من قبیل لوازم الماهیات، فعلی الأوّل لا یعقل کونهما من الذاتیات؛ لما عرفت من أنّ الوجود فی غیر الواجب تعالی وجود إمکانی محتاج إلی الجعل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دعوی کونهما ذاتیین تنافی ما قامت علیه البراهین القاطعة و الأدلّة الساطعة من وحدة الواجب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الثانی لا یکونان منشأ للآثار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فاختیار الکفر و العصیان، و کذا الإرادة التی هی أمر وجودی لا یعقل أن یکون مستنداً إلی الذات و الذاتیات التی هی امور اعتباری و مخترعات عقلی</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فالحقّ أنّهما من الاُمور الاعتباریة المنتزعة عن فعل القربات، و ارتکاب المبعّدات، و لا یکونان من الذاتیات أصلاً، کما هو واضح لا یخفی</w:t>
      </w:r>
      <w:r>
        <w:rPr>
          <w:rFonts w:eastAsia="IRNazanin" w:cs="IRNazanin"/>
          <w:color w:val="111111"/>
          <w:sz w:val="28"/>
          <w:szCs w:val="28"/>
          <w:rtl w:val="true"/>
          <w:lang w:bidi="fa-IR"/>
        </w:rPr>
        <w:t>.</w:t>
      </w:r>
      <w:bookmarkStart w:id="681" w:name="pg11586_104974"/>
    </w:p>
    <w:p>
      <w:pPr>
        <w:pStyle w:val="BookText"/>
        <w:rPr/>
      </w:pPr>
      <w:bookmarkEnd w:id="681"/>
      <w:r>
        <w:rPr>
          <w:rFonts w:ascii="IRNazanin" w:hAnsi="IRNazanin" w:eastAsia="IRNazanin"/>
          <w:color w:val="111111"/>
          <w:sz w:val="28"/>
          <w:sz w:val="28"/>
          <w:szCs w:val="28"/>
          <w:rtl w:val="true"/>
          <w:lang w:bidi="fa-IR"/>
        </w:rPr>
        <w:t>أقسام القطع و أحکامه</w:t>
      </w:r>
    </w:p>
    <w:p>
      <w:pPr>
        <w:pStyle w:val="Heading3"/>
        <w:numPr>
          <w:ilvl w:val="2"/>
          <w:numId w:val="1"/>
        </w:numPr>
        <w:rPr/>
      </w:pPr>
      <w:bookmarkStart w:id="682" w:name="__RefHeading___Toc5146117_73709187"/>
      <w:bookmarkStart w:id="683" w:name="_Toc258"/>
      <w:bookmarkEnd w:id="682"/>
      <w:r>
        <w:rPr>
          <w:rtl w:val="true"/>
        </w:rPr>
        <w:t>الأمر الثالث أقسام القطع و أحکامه</w:t>
      </w:r>
      <w:bookmarkEnd w:id="683"/>
    </w:p>
    <w:p>
      <w:pPr>
        <w:pStyle w:val="Heading4"/>
        <w:numPr>
          <w:ilvl w:val="3"/>
          <w:numId w:val="1"/>
        </w:numPr>
        <w:rPr/>
      </w:pPr>
      <w:bookmarkStart w:id="684" w:name="__RefHeading___Toc5146119_73709187"/>
      <w:bookmarkStart w:id="685" w:name="_Toc259"/>
      <w:bookmarkEnd w:id="684"/>
      <w:r>
        <w:rPr>
          <w:rtl w:val="true"/>
        </w:rPr>
        <w:t>اشارة</w:t>
      </w:r>
      <w:bookmarkEnd w:id="685"/>
    </w:p>
    <w:p>
      <w:pPr>
        <w:pStyle w:val="BookText"/>
        <w:rPr/>
      </w:pPr>
      <w:r>
        <w:rPr>
          <w:rFonts w:ascii="IRNazanin" w:hAnsi="IRNazanin" w:eastAsia="IRNazanin"/>
          <w:color w:val="111111"/>
          <w:sz w:val="28"/>
          <w:sz w:val="28"/>
          <w:szCs w:val="28"/>
          <w:rtl w:val="true"/>
          <w:lang w:bidi="fa-IR"/>
        </w:rPr>
        <w:t>القطع قد یکون طریقاً محضاً، بأن لا یکون مأخوذاً فی موضوع حکم أصلاً، سواء تعلّق بموضوع خارجی أو موضوع ذی حکم، أو حکم شرعی متعلّق بما لا یکون القطع مأخوذاً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یکون مأخوذاً فی الموضوع تارة بنحو یکون تمام الموضوع، و اخری بنحو یکون جزئه، فهاهنا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القطع لمّا کان من الصفات الحقیقیّة القائمة بالنفس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قیاماً صدوریاً أو حلولیاً علی القولین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فیمکن أن یؤخذ فی موضوع الحکم من هذه الحیثیة، مع قطع النظر عن کونه کاشفاً عن الواقع، کما أنّه یمکن أن یؤخذ فیه مع ملاحظة جهة کشفه، لکن لمّا کان الکشف فیه تامّاً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الکشف فی سائر الأمارات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فیمکن أن یؤخذ تارة بما أنّه کاشف تامّ ممتاز عن سائر الأمارات، و اخری بما أنّه کاشف، مع قطع النظر عن الاتصاف بالتمامیة</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ینافی کون العلم بسیطاً غیر مرکّب؛ ضرورة أنّ تغایر الجهتین إنّما یتحقّق بتحلیل عقلی، و إلّا فمن الواضح أنّ العلم لا یکون مرکّباً من الکشف و التمامیة، و کذلک الظنّ، فإنّه لا یکون مرکّباً منه و من النقصان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فالنسبة بینهما</w:t>
      </w:r>
      <w:bookmarkStart w:id="686" w:name="pg11586_104975"/>
    </w:p>
    <w:p>
      <w:pPr>
        <w:pStyle w:val="BookText"/>
        <w:rPr/>
      </w:pPr>
      <w:bookmarkEnd w:id="686"/>
      <w:r>
        <w:rPr>
          <w:rFonts w:ascii="IRNazanin" w:hAnsi="IRNazanin" w:eastAsia="IRNazanin"/>
          <w:color w:val="111111"/>
          <w:sz w:val="28"/>
          <w:sz w:val="28"/>
          <w:szCs w:val="28"/>
          <w:rtl w:val="true"/>
          <w:lang w:bidi="fa-IR"/>
        </w:rPr>
        <w:t>هی النسبة بین الوجود القوی و الوجود الضعیف، فإنّ العقل و إن کان یعتبر أنّ امتیاز الأوّل عن الثانی إنّما هو لجهة التمامیة و الکمال و الشدّة، إلاّ أنّه لا یوجب کونه مرکّباً؛ ضرورة أنّ الوجود بسیط، کما قد قرّر فی محلّه</w:t>
      </w:r>
      <w:r>
        <w:rPr>
          <w:rStyle w:val="FootnoteAnchor"/>
          <w:rtl w:val="true"/>
        </w:rPr>
        <w:footnoteReference w:id="28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فالأقسام الحاصلة للقطع الموضوعی ستّة؛ لأنّه إمّا أن یعتبر بنحو الصفتیة مع قطع النظر عن الکاشفیة، و إمّا أن یعتبر بنحو الکاشفیة التامّة، و إمّا أن یؤخذ بنحو أصل الکشف المشترک بینه و بین سائر الأمارات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التقدیرات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فتارة یکون تمام الموضوع، و اخری یکون بعض الموضوع</w:t>
      </w:r>
      <w:r>
        <w:rPr>
          <w:rFonts w:eastAsia="IRNazanin" w:cs="IRNazanin"/>
          <w:color w:val="111111"/>
          <w:sz w:val="28"/>
          <w:szCs w:val="28"/>
          <w:rtl w:val="true"/>
          <w:lang w:bidi="fa-IR"/>
        </w:rPr>
        <w:t>.</w:t>
      </w:r>
    </w:p>
    <w:p>
      <w:pPr>
        <w:pStyle w:val="Heading4"/>
        <w:numPr>
          <w:ilvl w:val="3"/>
          <w:numId w:val="1"/>
        </w:numPr>
        <w:rPr/>
      </w:pPr>
      <w:bookmarkStart w:id="687" w:name="__RefHeading___Toc5146121_73709187"/>
      <w:bookmarkStart w:id="688" w:name="_Toc260"/>
      <w:bookmarkEnd w:id="687"/>
      <w:r>
        <w:rPr>
          <w:rtl w:val="true"/>
        </w:rPr>
        <w:t>تقریر إشکال أخذ القطع تمام الموضوع علی وجه الطریقیة</w:t>
      </w:r>
      <w:bookmarkEnd w:id="688"/>
    </w:p>
    <w:p>
      <w:pPr>
        <w:pStyle w:val="BookText"/>
        <w:rPr/>
      </w:pPr>
      <w:r>
        <w:rPr>
          <w:rFonts w:ascii="IRNazanin" w:hAnsi="IRNazanin" w:eastAsia="IRNazanin"/>
          <w:color w:val="111111"/>
          <w:sz w:val="28"/>
          <w:sz w:val="28"/>
          <w:szCs w:val="28"/>
          <w:rtl w:val="true"/>
          <w:lang w:bidi="fa-IR"/>
        </w:rPr>
        <w:t xml:space="preserve">ثمّ إنّه استشکل بعض المحقّقین من المعاصرین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فی تقریرات بحثه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إمکان أخذ القطع تمام الموضوع علی وجه الطریقیة، فقال فی إمکان أخذه تمام الموضوع علی وجه الطریقیة إشکال، بل الظاهر أنّه لا یمکن من جهة أنّ أخذه تمام الموضوع یستدعی عدم لحاظ الواقع وذی الصورة بوجه من الوجوه، و أخذه علی وجه الطریقیة یستدعی لحاظ ذی الطریق وذی الصورة، و یکون النظر فی الحقیقة إلی الواقع المنکشف بالعلم، کما هو الشأن فی کلّ طریق؛ حیث إنّ لحاظه طریقاً یکون فی الحقیقة لحاظاً لذی الطریق، و لحاظ العلم کذلک ینافی أخذه تمام الموضوع</w:t>
      </w:r>
      <w:r>
        <w:rPr>
          <w:rStyle w:val="FootnoteAnchor"/>
          <w:rtl w:val="true"/>
        </w:rPr>
        <w:footnoteReference w:id="285"/>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عدم إمکان الجمع بین الطریقیة و الموضوعیة إنّما هو فیما</w:t>
      </w:r>
      <w:bookmarkStart w:id="689" w:name="pg11586_104976"/>
    </w:p>
    <w:p>
      <w:pPr>
        <w:pStyle w:val="BookText"/>
        <w:rPr/>
      </w:pPr>
      <w:bookmarkEnd w:id="689"/>
      <w:r>
        <w:rPr>
          <w:rFonts w:ascii="IRNazanin" w:hAnsi="IRNazanin" w:eastAsia="IRNazanin"/>
          <w:color w:val="111111"/>
          <w:sz w:val="28"/>
          <w:sz w:val="28"/>
          <w:szCs w:val="28"/>
          <w:rtl w:val="true"/>
          <w:lang w:bidi="fa-IR"/>
        </w:rPr>
        <w:t>إذا أراد القاطع الجمع بینهما؛ لأنّ نظره الاستقلالی إلی الواقع المقطوع به، و نظره إلی نفس القطع آلیّ، و لا یمکن له أن ینظر إلیه فی هذا اللحاظ باللحاظ الاستقلالی، بل یحتاج إلی لحاظ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غیر القاطع فیمکنه أن یلاحظ استقلالاً القطع الذی یکون نظر القاطع إلیه آلیاً محضاً، فهو ینظر استقلالاً إلی القطع الذی یکون طریقاً لقاطعه، و لا یلزم محال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تقدیر لزومه فلا اختصاص له بما إذا اخذ بنحو تمام الموضوع؛ لعدم الفرق بینه و بین ما إذا اخذ جزءاً له</w:t>
      </w:r>
      <w:r>
        <w:rPr>
          <w:rFonts w:eastAsia="IRNazanin" w:cs="IRNazanin"/>
          <w:color w:val="111111"/>
          <w:sz w:val="28"/>
          <w:szCs w:val="28"/>
          <w:rtl w:val="true"/>
          <w:lang w:bidi="fa-IR"/>
        </w:rPr>
        <w:t>.</w:t>
      </w:r>
    </w:p>
    <w:p>
      <w:pPr>
        <w:pStyle w:val="Heading4"/>
        <w:numPr>
          <w:ilvl w:val="3"/>
          <w:numId w:val="1"/>
        </w:numPr>
        <w:rPr/>
      </w:pPr>
      <w:bookmarkStart w:id="690" w:name="__RefHeading___Toc5146123_73709187"/>
      <w:bookmarkStart w:id="691" w:name="_Toc261"/>
      <w:bookmarkEnd w:id="690"/>
      <w:r>
        <w:rPr>
          <w:rtl w:val="true"/>
        </w:rPr>
        <w:t>أخذ القطع بحکمٍ موضوعاً لمثل ذلک الحکم</w:t>
      </w:r>
      <w:bookmarkEnd w:id="691"/>
    </w:p>
    <w:p>
      <w:pPr>
        <w:pStyle w:val="BookText"/>
        <w:rPr/>
      </w:pPr>
      <w:r>
        <w:rPr>
          <w:rFonts w:ascii="IRNazanin" w:hAnsi="IRNazanin" w:eastAsia="IRNazanin"/>
          <w:color w:val="111111"/>
          <w:sz w:val="28"/>
          <w:sz w:val="28"/>
          <w:szCs w:val="28"/>
          <w:rtl w:val="true"/>
          <w:lang w:bidi="fa-IR"/>
        </w:rPr>
        <w:t>ثمّ إنّه لا بأس فی أن یؤخذ القطع بحکم موضوعاً تامّاً لمثل ذلک الحکم، کما إذا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قطعت بحرمة شیء فهو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مقطوع الحرمة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لک حراماً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کذا فی أن یؤخذ القطع بموضوع ذی حکم موضوعاً تامّاً لمثل ذلک الحکم، کما إذا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مقطوع الخمریة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کون الخمر أیضاً بنفسه حراماً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لثبوت التغایر بین متعلّقی الحکمین بنحو العموم من وجه؛ ضرورة أنّ مقطوع الخمریة قد لا یکون خمراً بحسب الواقع، و کذلک الخمر قد لا یتعلّق به القطع، حتّی یصیر مقطوعاً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فی مبحث اجتماع الأمر و النهی أنّ الجواز هو مقتضی التحقیق، و مجرّد الاجتماع فی الخارج دائماً بنظر القاطع لا یوجب اتحاد المفهومین اللذین هما متعلّقا الأحکام، لا مصادیقهما؛ لأنّ الخارج ظرف سقوط التکلیف لا ثبوته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هنا یظهر جواز أخذه موضوعاً لنقیض الحکم المقطوع أو حکم المقطوع به</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لا یجوز ذلک إذا اخذ القطع بنحو الجزئیة للموضوع، کما إذا قیل مثلاً</w:t>
      </w:r>
      <w:r>
        <w:rPr>
          <w:rFonts w:eastAsia="IRNazanin" w:cs="IRNazanin"/>
          <w:color w:val="111111"/>
          <w:sz w:val="28"/>
          <w:szCs w:val="28"/>
          <w:rtl w:val="true"/>
          <w:lang w:bidi="fa-IR"/>
        </w:rPr>
        <w:t>:</w:t>
      </w:r>
      <w:bookmarkStart w:id="692" w:name="pg11586_104977"/>
    </w:p>
    <w:p>
      <w:pPr>
        <w:pStyle w:val="BookText"/>
        <w:rPr/>
      </w:pPr>
      <w:bookmarkEnd w:id="69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 المقطوع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یجتمع مع ثبوت الحرمة لنفس الخمر؛ لکون التغایر بین المتعلّقین بنحو العموم و الخصوص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حقّقنا سابقاً أنّه لا یجوز تعلّق حکمین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بالمطلق، و الآخر بالمقیّد، فراجع</w:t>
      </w:r>
      <w:r>
        <w:rPr>
          <w:rFonts w:eastAsia="IRNazanin" w:cs="IRNazanin"/>
          <w:color w:val="111111"/>
          <w:sz w:val="28"/>
          <w:szCs w:val="28"/>
          <w:rtl w:val="true"/>
          <w:lang w:bidi="fa-IR"/>
        </w:rPr>
        <w:t>.</w:t>
      </w:r>
    </w:p>
    <w:p>
      <w:pPr>
        <w:pStyle w:val="Heading4"/>
        <w:numPr>
          <w:ilvl w:val="3"/>
          <w:numId w:val="1"/>
        </w:numPr>
        <w:rPr/>
      </w:pPr>
      <w:bookmarkStart w:id="693" w:name="__RefHeading___Toc5146125_73709187"/>
      <w:bookmarkStart w:id="694" w:name="_Toc262"/>
      <w:bookmarkEnd w:id="693"/>
      <w:r>
        <w:rPr>
          <w:rtl w:val="true"/>
        </w:rPr>
        <w:t>أخذ القطع بحکمٍ موضوعاً لنفس ذلک الحکم</w:t>
      </w:r>
      <w:bookmarkEnd w:id="694"/>
    </w:p>
    <w:p>
      <w:pPr>
        <w:pStyle w:val="BookText"/>
        <w:rPr/>
      </w:pPr>
      <w:r>
        <w:rPr>
          <w:rFonts w:ascii="IRNazanin" w:hAnsi="IRNazanin" w:eastAsia="IRNazanin"/>
          <w:color w:val="111111"/>
          <w:sz w:val="28"/>
          <w:sz w:val="28"/>
          <w:szCs w:val="28"/>
          <w:rtl w:val="true"/>
          <w:lang w:bidi="fa-IR"/>
        </w:rPr>
        <w:t>ثمّ إنّه لا یمکن أن یؤخذ القطع بالحکم موضوعاً بالنسبة إلی نفس الحکم الذی تعلّق العلم به؛ للزوم الدور،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تقریرات بحث بعض محقّقی العصر إمکانه بنحو نتیجة التقیید، قال فی توضیحه ما 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العلم بالحکم لمّا کان من الانقسامات اللاحقة للحکم فلا یمکن فیه الإطلاق و التقیید اللحاظی؛ لاستلزامه الدور، کما هو الشأن فی الانقسامات اللاحقة للمتعلّق باعتبار تعلّق الحکم به، کقصد التعبّد، أمّا استحالة تقیید اللحاظی فواضح، و أمّا استحالة الإطلاق فلأنّه إذا امتنع التقیید امتنع الإطلاق أیضاً؛ لأنّ التقابل بین الإطلاق و التقیید تقابل العدم و الملکة</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الإهمال الثبوتی أیضاً لا یعقل، بل لا بدّ إمّا من نتیجة الإطلاق أو نتیجة التقیید، فإنّ الملاک الذی اقتضی تشریع الحکم إمّا أن یکون محفوظاً فی کلتی حالتی الوجود و العدم فلا بدّ من نتیجة الإطلاق، و إمّا أن یکون محفوظاً فی حالة العلم فقط فلا بدّ من نتیجة التقیید، و حیث لم یمکن أن یکون الجعل الأوّلی متکفّلاً لبیان ذلک فلا بدّ من جعل آخر یستفاد منه أحدهما، و هو المصطلح علیه بمتمّم الجعل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فاستکشاف کلّ منهما یکون من دلیل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ادّعی تواتر الأدلّة علی اشتراک الأحکام فی حقّ الجاهل و العالم</w:t>
      </w:r>
      <w:r>
        <w:rPr>
          <w:rStyle w:val="FootnoteAnchor"/>
          <w:rtl w:val="true"/>
        </w:rPr>
        <w:footnoteReference w:id="286"/>
      </w:r>
      <w:r>
        <w:rPr>
          <w:rFonts w:ascii="IRNazanin" w:hAnsi="IRNazanin" w:eastAsia="IRNazanin"/>
          <w:color w:val="111111"/>
          <w:sz w:val="28"/>
          <w:sz w:val="28"/>
          <w:szCs w:val="28"/>
          <w:rtl w:val="true"/>
          <w:lang w:bidi="fa-IR"/>
        </w:rPr>
        <w:t xml:space="preserve">، و نحن و إن لم نعثر علی تلک الأدلّة، سوی بعض أخبار الآحاد التی ذکرها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مقدّمات کتابه</w:t>
      </w:r>
      <w:r>
        <w:rPr>
          <w:rStyle w:val="FootnoteAnchor"/>
          <w:rtl w:val="true"/>
        </w:rPr>
        <w:footnoteReference w:id="287"/>
      </w:r>
      <w:r>
        <w:rPr>
          <w:rFonts w:ascii="IRNazanin" w:hAnsi="IRNazanin" w:eastAsia="IRNazanin"/>
          <w:color w:val="111111"/>
          <w:sz w:val="28"/>
          <w:sz w:val="28"/>
          <w:szCs w:val="28"/>
          <w:rtl w:val="true"/>
          <w:lang w:bidi="fa-IR"/>
        </w:rPr>
        <w:t>، إلاّ أنّ الظاهر قیام الإجماع، بل الضرورة علی ذلک، و من هنا کان الجاهل المقصّر معاقباً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تلک الأدلّة قابلة للتخصیص، کما قد خصّصت فی غیر مورد، کما فی مورد الجهر و الإخفات و القصر و الإتمام؛ حیث قام الدلیل علی اختصاص الحکم بالعالم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 یصحّ أخذ العلم بالحکم شرطاً فی ثبوته کذلک یصحّ أخذ العلم بالحکم من وجه خاصّ و سبب خاصّ، مانعاً عن ثبوت الحکم، کما فی باب القیاس؛ حیث إنّه قام الدلیل علی أنّه لا عبرة بالعلم بالحکم الحاصل من طریق القیاس، کما فی روایة أبان فی مسألة دیة أصابع المرأة</w:t>
      </w:r>
      <w:r>
        <w:rPr>
          <w:rStyle w:val="FootnoteAnchor"/>
          <w:rtl w:val="true"/>
        </w:rPr>
        <w:footnoteReference w:id="288"/>
      </w:r>
      <w:r>
        <w:rPr>
          <w:rFonts w:ascii="IRNazanin" w:hAnsi="IRNazanin" w:eastAsia="IRNazanin"/>
          <w:color w:val="111111"/>
          <w:sz w:val="28"/>
          <w:sz w:val="28"/>
          <w:szCs w:val="28"/>
          <w:rtl w:val="true"/>
          <w:lang w:bidi="fa-IR"/>
        </w:rPr>
        <w:t>، و لیس هذا نهی عن العمل بالعلم،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لا یعقل، بل مرجعه إلی التصرّف فی المعلوم و الواقع الذی أمره بید الشارع</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بذلک یمکن أن توجّه مقالة الأخباریین من أنّه لا عبرة بالعلم الحاصل من غیر الکتاب و السنّة</w:t>
      </w:r>
      <w:r>
        <w:rPr>
          <w:rStyle w:val="FootnoteAnchor"/>
          <w:rtl w:val="true"/>
        </w:rPr>
        <w:footnoteReference w:id="289"/>
      </w:r>
      <w:r>
        <w:rPr>
          <w:rFonts w:ascii="IRNazanin" w:hAnsi="IRNazanin" w:eastAsia="IRNazanin"/>
          <w:color w:val="111111"/>
          <w:sz w:val="28"/>
          <w:sz w:val="28"/>
          <w:szCs w:val="28"/>
          <w:rtl w:val="true"/>
          <w:lang w:bidi="fa-IR"/>
        </w:rPr>
        <w:t>، بل شیخنا الاُستاذ نفی البعد عن کون الأحکام مقیّدة بما إذا لم یکن المؤدّی إلیها مثل الجفر و الرمل و المنام و غیر ذلک من الطرق الغیر المتعارفة</w:t>
      </w:r>
      <w:r>
        <w:rPr>
          <w:rStyle w:val="FootnoteAnchor"/>
          <w:rtl w:val="true"/>
        </w:rPr>
        <w:footnoteReference w:id="290"/>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بعض الانقسامات اللاحقة ممّا لا یمکن تقیید الأدلّة به، و لا یمکن فیه نتیجة التقیید مثل المقام، فإنّ أخذ القطع موضوعاً بالنسبة إلی نفس الحکم الذی تعلّق به مستحیل بأیّ وجه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کیف یمکن أن یکون الحکم مختصّاً بالعالم به، مع کونه من الدور الواضح؟ فإنّ العلم بالحکم یتوقّف علی ثبوته بالضرورة، فلو فرض اختصاصه بالعالم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بنتیجة التقیید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یصیر الحکم متوقّفاً علی العلم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فلا یرتفع إشکال الدور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تقیید الأدلّة ببعض الانقسامات اللاحقة بدلیل آخر، کقصد التقرّب فی العبادات، بناءً علی عدم إمکان التقیید اللحاظی، و لکنّک عرفت فی مبحث التعبّدی و التوصّلی إمکانه، فضلاً عن التقیید بدلیل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باب الجهر و الإخفات، و القصر و الإتمام فلا یکون من باب الاختصاص، فإنّه یمکن أن یکون عدم وجوب القضاء و الإعادة من باب التخفیف و التقبّل، لا من باب صحّة العمل و مطابقة المأتیّ به مع المأمور به، کما نفینا البعد عنه فی مثل حدیث لا تعاد، بناءً علی عدم اختصاصه بالسهو</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التقیید اللحاظی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حکم بأنّه إذا امتنع امتنع الإطلاق؛ لأنّ التقابل بینهما تقابل العدم و الملکة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هو مقابل للإطلاق اللحاظی، أو أنّه یقابل نفس الإطلاق، من دون اتصافه بذلک</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فعلی الأوّل یرد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أنّ معنی الإطلاق، کما حقّقناه فی موضعه هو عبارة عن مجرّد عدم لحاظ التقیید، و لا یحتاج إلی اللحاظ أصلاً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اللحاظین أمران وجودیان، و التقابل بینهما حینئذٍ یکون من قبیل تقابل الضدّین، لا العدم و الملکة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 یرد علیه منع الملازمة بین امتناع التقیید و امتناع الإطلاق؛ لأنّ التقابل بینهما حینئذٍ و إن کان من قبیل تقابل العدم و الملکة إلاّ أنّ ذلک لا یقتضی ثبوت الملازمة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المتعلّق قد لا یمکن تقییده؛ لقصور فیه؛ بحیث لا یکون له شأنیة التقیید أصلاً، و قد لا یمکن ذلک، لا لقصوره و عدم الشأنیة، بل لمنع خارجی، کلزوم الدور و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الأوّل لا یمکن الإطلاق؛ لأنّ ذلک مقتضی تقابل العدم و الملکة فی جمیع الموارد، فإنّه لا یقال للجدار أعمی، و لا یقال زید مطلق بالإطلاق الأفرادی، و هذا بخلاف الثانی، کما فی المقام، فإنّ امتناع التقیید لیس لعدم القابلیة له، بل لمنع خارجی؛ و هو استلزامه للدور، و فی مثله یمکن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فلا بأس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دلیل اشتراک الأحکام بین العالم و الجاهل هو إطلاقات الکتاب و السنّة، و لا احتیاج إلی التماس دلیل آخر؛ و لذا تراهم یتمسّکون بها فی کثیر من الموارد،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ذکره فی القیاس ممّا لا یتمّ، فإنّ من راجع الأدلّة الناهیة عن العمل بالقیاس یعرف أنّ المنع عنه إنّما هو لأجل قصور العقول البشریة، و بعدها عن الوصول إلی أحکام اللّه تعالی من قبل نفسه، و عدم حصول العلم منه غالباً، لا لأجل الفرق بین العلم الحاصل منه و القطع الحاصل من غیره، فراجع الأخبار الواردة فی هذا الباب، المذکورة فی کتاب القضاء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إنّه حکی عن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ذهب إلی إمکان أخذ القطع</w:t>
      </w:r>
      <w:bookmarkStart w:id="695" w:name="pg11586_104981"/>
    </w:p>
    <w:p>
      <w:pPr>
        <w:pStyle w:val="BookText"/>
        <w:rPr/>
      </w:pPr>
      <w:bookmarkEnd w:id="695"/>
      <w:r>
        <w:rPr>
          <w:rFonts w:ascii="IRNazanin" w:hAnsi="IRNazanin" w:eastAsia="IRNazanin"/>
          <w:color w:val="111111"/>
          <w:sz w:val="28"/>
          <w:sz w:val="28"/>
          <w:szCs w:val="28"/>
          <w:rtl w:val="true"/>
          <w:lang w:bidi="fa-IR"/>
        </w:rPr>
        <w:t>بالحکم فی موضوع نفس ذلک الحکم بنحو نتیجة التقیید بوجه آخر</w:t>
      </w:r>
      <w:r>
        <w:rPr>
          <w:rStyle w:val="FootnoteAnchor"/>
          <w:rtl w:val="true"/>
        </w:rPr>
        <w:footnoteReference w:id="294"/>
      </w:r>
      <w:r>
        <w:rPr>
          <w:rFonts w:ascii="IRNazanin" w:hAnsi="IRNazanin" w:eastAsia="IRNazanin"/>
          <w:color w:val="111111"/>
          <w:sz w:val="28"/>
          <w:sz w:val="28"/>
          <w:szCs w:val="28"/>
          <w:rtl w:val="true"/>
          <w:lang w:bidi="fa-IR"/>
        </w:rPr>
        <w:t>، غیر الذی عرفت، فراجع کلامه، و تأمّل فی جوابه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فی المقام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تارة یؤخذ القطع بالحکم تمام الموضوع لذلک الحکم، بمعنی أنّ الموضوع له إنّما هو القطع، سواء أخطأ أو أصاب، فلا مدخلیة لوجود الحکم واقعاً فی تحقّق موضوعه، و اخری یؤخذ بعض الموضوع؛ بحیث کان الموضوع هو القطع الذی أصاب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الموضوع هو الواقع المقطوع به، ففی الأوّل یمکن ذلک بلا استلزام للدور أصلاً؛ ضرورة أنّ الحکم، و إن کان یتوقّف حینئذٍ علی موضوعه الذی هو القطع بالحکم، إلاّ أنّ الموضوع لا یتوقّف علی ثبوته أصلاً؛ ضرورة أنّ الموضوع إنّما هو نفس القطع، و هو قد یحصل مع عدم تحقّق المقطوع فی الواقع؛ إذ لیس کلّ قطع مصیباً،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بخلاف ما إذا اخذ بعض الموضوع، فإنّ تحقّق القطع حینئذٍ و إن کان لا یتوقّف علی ثبوت الحکم فی الواقع، إلاّ أنّ المفروض هو عدم کونه تمام الموضوع، بل قید الإصابة معتبر فیه، و هو لا یتحقّق بدون ثبوت الحکم فی الواقع، فصار تحقّق الموضوع متوقّفاً علی ثبوت الحکم فی الواقع، و هو دور صریح</w:t>
      </w:r>
      <w:r>
        <w:rPr>
          <w:rFonts w:eastAsia="IRNazanin" w:cs="IRNazanin"/>
          <w:color w:val="111111"/>
          <w:sz w:val="28"/>
          <w:szCs w:val="28"/>
          <w:rtl w:val="true"/>
          <w:lang w:bidi="fa-IR"/>
        </w:rPr>
        <w:t>.</w:t>
      </w:r>
    </w:p>
    <w:p>
      <w:pPr>
        <w:pStyle w:val="Heading4"/>
        <w:numPr>
          <w:ilvl w:val="3"/>
          <w:numId w:val="1"/>
        </w:numPr>
        <w:rPr/>
      </w:pPr>
      <w:bookmarkStart w:id="696" w:name="__RefHeading___Toc5146127_73709187"/>
      <w:bookmarkStart w:id="697" w:name="_Toc263"/>
      <w:bookmarkEnd w:id="696"/>
      <w:r>
        <w:rPr>
          <w:rtl w:val="true"/>
        </w:rPr>
        <w:t>حول قیام الأمارات و الاُصول مقام القطع</w:t>
      </w:r>
      <w:bookmarkEnd w:id="697"/>
    </w:p>
    <w:p>
      <w:pPr>
        <w:pStyle w:val="Heading5"/>
        <w:numPr>
          <w:ilvl w:val="4"/>
          <w:numId w:val="1"/>
        </w:numPr>
        <w:rPr/>
      </w:pPr>
      <w:bookmarkStart w:id="698" w:name="__RefHeading___Toc5146129_73709187"/>
      <w:bookmarkStart w:id="699" w:name="_Toc264"/>
      <w:bookmarkEnd w:id="698"/>
      <w:r>
        <w:rPr>
          <w:rtl w:val="true"/>
        </w:rPr>
        <w:t>اشارة</w:t>
      </w:r>
      <w:bookmarkEnd w:id="699"/>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ذلک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یقع البحث فی قیام الطرق و الأمارات و الاُصول بنفس أدلّتها مقام القطع بأقسامه، و فیه مقامان</w:t>
      </w:r>
      <w:r>
        <w:rPr>
          <w:rFonts w:eastAsia="IRNazanin" w:cs="IRNazanin"/>
          <w:color w:val="111111"/>
          <w:sz w:val="28"/>
          <w:szCs w:val="28"/>
          <w:rtl w:val="true"/>
          <w:lang w:bidi="fa-IR"/>
        </w:rPr>
        <w:t>:</w:t>
      </w:r>
      <w:bookmarkStart w:id="700" w:name="pg11586_104982"/>
    </w:p>
    <w:p>
      <w:pPr>
        <w:pStyle w:val="BookText"/>
        <w:rPr/>
      </w:pPr>
      <w:bookmarkEnd w:id="700"/>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إمکان قیامها مقامه ثبوتاً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وقوعه إثباتاً</w:t>
      </w:r>
      <w:r>
        <w:rPr>
          <w:rFonts w:eastAsia="IRNazanin" w:cs="IRNazanin"/>
          <w:color w:val="111111"/>
          <w:sz w:val="28"/>
          <w:szCs w:val="28"/>
          <w:rtl w:val="true"/>
          <w:lang w:bidi="fa-IR"/>
        </w:rPr>
        <w:t>.</w:t>
      </w:r>
    </w:p>
    <w:p>
      <w:pPr>
        <w:pStyle w:val="Heading5"/>
        <w:numPr>
          <w:ilvl w:val="4"/>
          <w:numId w:val="1"/>
        </w:numPr>
        <w:rPr/>
      </w:pPr>
      <w:bookmarkStart w:id="701" w:name="__RefHeading___Toc5146131_73709187"/>
      <w:bookmarkStart w:id="702" w:name="_Toc265"/>
      <w:bookmarkEnd w:id="701"/>
      <w:r>
        <w:rPr>
          <w:rtl w:val="true"/>
        </w:rPr>
        <w:t>قیام الأمارات و الاُصول مقام القطع ثبوتاً</w:t>
      </w:r>
      <w:bookmarkEnd w:id="702"/>
    </w:p>
    <w:p>
      <w:pPr>
        <w:pStyle w:val="BookText"/>
        <w:rPr/>
      </w:pPr>
      <w:r>
        <w:rPr>
          <w:rFonts w:ascii="IRNazanin" w:hAnsi="IRNazanin" w:eastAsia="IRNazanin"/>
          <w:color w:val="111111"/>
          <w:sz w:val="28"/>
          <w:sz w:val="28"/>
          <w:szCs w:val="28"/>
          <w:rtl w:val="true"/>
          <w:lang w:bidi="fa-IR"/>
        </w:rPr>
        <w:t>أمّا 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الإمکان و عدم لزوم محذور، عدا ما أفاده المحقّق الخراسانی، و هو یرجع إلی إشکالین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الدلیل الواحد لا یکاد یکفی إلاّ بأحد التنزیلین؛ حیث لا بدّ فی کلّ تنزیل من لحاظ المنزّل و المنزّل علیه، و لحاظهما فی أحدهما آلیّ و فی الآخر استقلالی؛ ضرورة أنّ النظر فی حجّیته و تنزیله منزلة القطع فی الطریقیة فی الحقیقة إلی الواقع و مؤدّی الطریق، و فی کونه بمنزلته فی دخله فی الموضوع إلی أنفسهما، و لا یکاد یمکن الجمع بینهما</w:t>
      </w:r>
      <w:r>
        <w:rPr>
          <w:rStyle w:val="FootnoteAnchor"/>
          <w:rtl w:val="true"/>
        </w:rPr>
        <w:footnoteReference w:id="295"/>
      </w:r>
      <w:r>
        <w:rPr>
          <w:rFonts w:ascii="IRNazanin" w:hAnsi="IRNazanin" w:eastAsia="IRNazanin"/>
          <w:color w:val="111111"/>
          <w:sz w:val="28"/>
          <w:sz w:val="28"/>
          <w:szCs w:val="28"/>
          <w:rtl w:val="true"/>
          <w:lang w:bidi="fa-IR"/>
        </w:rPr>
        <w:t>،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 هو ما ذکرناه جواباً عن الإشکال فی إمکان أخذ القطع تمام الموضوع علی وجه الطریقیة، کما عرفت سابقاً، فراجع</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ردّاً علی مقالته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الحاشیة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التزم فیها</w:t>
      </w:r>
      <w:bookmarkStart w:id="703" w:name="pg11586_104983"/>
    </w:p>
    <w:p>
      <w:pPr>
        <w:pStyle w:val="BookText"/>
        <w:rPr/>
      </w:pPr>
      <w:bookmarkEnd w:id="703"/>
      <w:r>
        <w:rPr>
          <w:rFonts w:ascii="IRNazanin" w:hAnsi="IRNazanin" w:eastAsia="IRNazanin"/>
          <w:color w:val="111111"/>
          <w:sz w:val="28"/>
          <w:sz w:val="28"/>
          <w:szCs w:val="28"/>
          <w:rtl w:val="true"/>
          <w:lang w:bidi="fa-IR"/>
        </w:rPr>
        <w:t>لتصحیح لحاظ واحد فی التنزیل منزلة الواقع و القطع بأنّ دلیل الاعتبار إنّما یوجب تنزیل المؤدّی منزلة الواقع، و إنّما کان تنزیل القطع فیما له دخل فی الموضوع بالملازمة بین تنزیلهما و تنزیل القطع بالواقع تعبّداً منزلة القطع بالواقع حقیقةً‌</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ملخّص ما أفاده فی وجه الردّ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یکاد یصحّ تنزیل جزء من الموضوع أو قیده بلحاظ أثره إلاّ فیما کان جزؤه الآخر أو ذاته محرزاً بالوجدان، أو تنزیله فی عرضه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یکاد یکون دلیل الأمارة دلیلاً علی تنزیل جزء الموضوع، ما لم یکن دلیل علی تنزیل جزئه الآخر، ففی مثل المقام لا یکون دلیل الأمارة دلیلاً علیه؛ للزوم الدور، فإنّ دلالته علی تنزیل المؤدّی تتوقّف علی دلالته علی تنزیل القطع بالملازمة، و لا دلالة له کذلک إلاّ بعد دلالته علی تنزیل المؤدّی، کما لا یخفی</w:t>
      </w:r>
      <w:r>
        <w:rPr>
          <w:rStyle w:val="FootnoteAnchor"/>
          <w:rtl w:val="true"/>
        </w:rPr>
        <w:footnoteReference w:id="29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یکفی فی صحّة التنزیل الأثر التعلیقی، و هو هنا متحقّق، فإنّ المؤدّی لو انضمّت إلیه جزؤه الآخر یکون ذا أثر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فانقدح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الإمکان و عدم لزوم أمر مستحیل من ذلک ممّا لا مجال للمناقشة فیه أصلاً</w:t>
      </w:r>
      <w:r>
        <w:rPr>
          <w:rFonts w:eastAsia="IRNazanin" w:cs="IRNazanin"/>
          <w:color w:val="111111"/>
          <w:sz w:val="28"/>
          <w:szCs w:val="28"/>
          <w:rtl w:val="true"/>
          <w:lang w:bidi="fa-IR"/>
        </w:rPr>
        <w:t>.</w:t>
      </w:r>
    </w:p>
    <w:p>
      <w:pPr>
        <w:pStyle w:val="Heading5"/>
        <w:numPr>
          <w:ilvl w:val="4"/>
          <w:numId w:val="1"/>
        </w:numPr>
        <w:rPr/>
      </w:pPr>
      <w:bookmarkStart w:id="704" w:name="__RefHeading___Toc5146133_73709187"/>
      <w:bookmarkStart w:id="705" w:name="_Toc266"/>
      <w:bookmarkEnd w:id="704"/>
      <w:r>
        <w:rPr>
          <w:rtl w:val="true"/>
        </w:rPr>
        <w:t>قیام الأمارات و الاُصول مقام القطع إثباتاً</w:t>
      </w:r>
      <w:bookmarkEnd w:id="705"/>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یدلّ علیه أدلّة الأمارات و الاُصول، فنقول</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الأمارات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ذکر فی التقریرات کلاماً طویلاً، و اسّس بنیاناً رفیعاً</w:t>
      </w:r>
    </w:p>
    <w:p>
      <w:pPr>
        <w:pStyle w:val="BookText"/>
        <w:rPr/>
      </w:pPr>
      <w:r>
        <w:rPr>
          <w:rFonts w:ascii="IRNazanin" w:hAnsi="IRNazanin" w:eastAsia="IRNazanin"/>
          <w:color w:val="111111"/>
          <w:sz w:val="28"/>
          <w:sz w:val="28"/>
          <w:szCs w:val="28"/>
          <w:rtl w:val="true"/>
          <w:lang w:bidi="fa-IR"/>
        </w:rPr>
        <w:t>لقیامها بأدلّة اعتبارها مقام القطع</w:t>
      </w:r>
      <w:r>
        <w:rPr>
          <w:rStyle w:val="FootnoteAnchor"/>
          <w:rtl w:val="true"/>
        </w:rPr>
        <w:footnoteReference w:id="299"/>
      </w:r>
      <w:r>
        <w:rPr>
          <w:rFonts w:ascii="IRNazanin" w:hAnsi="IRNazanin" w:eastAsia="IRNazanin"/>
          <w:color w:val="111111"/>
          <w:sz w:val="28"/>
          <w:sz w:val="28"/>
          <w:szCs w:val="28"/>
          <w:rtl w:val="true"/>
          <w:lang w:bidi="fa-IR"/>
        </w:rPr>
        <w:t>، و لکنّه خال عن الدلیل؛ لعدم دلالة أدلّة حجّیة الأمارات علی ما ذکره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العمدة فی أدلّة حجّیة الأمارات هی بناء العقلاء بما هم عقلاء علی العمل علی طبقها، و لیس للشارع فی اعتبارها تأسیس أصلاً، کما یظهر بمراجعة الأخبار الواردة فی حجّیة خبر الواحد الذی هو من عمدة الأمارات، فإنّه لا یظهر من شیء منها ما یدلّ علی حجّیة خبر الواحد، أو وجوب تصدیق العادل، أو نحوهما ممّا یشعر بکون الشارع جعل خبر الواحد طریقاً إلی الأحکام، بل التأمّل فیها یقضی بکون ذلک أمراً مسلّماً عند الناس؛ بحیث لا یحتاج إلی السؤال؛ لأنّ بنائهم فی الاُمور الدنیویة کلّها أیضاً علی العمل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الدلیل علی ذلک هو مجرّد بناء العقلاء، و عمل الشارع به إنّما هو لکونه منهم ممّا لا مجال للإشکال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أنّ الوجه فی ذلک لیس لکون الظنّ عندهم بمنزلة القطع، و یقوم مقامه، فإنّ لهم طرقاً معتبرة یعملون بها فی امورهم، من غیر تنزیل شیء منها مقام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الأثر المترتّب علی القطع الطریقی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الحجّیة و المنجّزیة للواقع علی تقدیر الثبوت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یترتّب علی تلک الطرق العقلائیة، لکن لا من باب کونها قائمة مقام القطع، و منزّلة بمنزلته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تقدّم القطع علی سائر الطرق العقلائیة لا یؤیّد دعوی التنزیل، فإنّ الوجه فیه إنّما هو أنّ العمل علی طبقها إنّما هو مع فقد العلم، و ذلک لا یوجب انحصار الطریق فی القطع؛ بحیث تکون سائر الطرق قائمة مقامه، و یکون العمل بها بعنایة التنزیل</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القطع الموضوعی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کان منه مأخوذاً فی الموضوع علی نعت</w:t>
      </w:r>
    </w:p>
    <w:p>
      <w:pPr>
        <w:pStyle w:val="BookText"/>
        <w:rPr/>
      </w:pPr>
      <w:r>
        <w:rPr>
          <w:rFonts w:ascii="IRNazanin" w:hAnsi="IRNazanin" w:eastAsia="IRNazanin"/>
          <w:color w:val="111111"/>
          <w:sz w:val="28"/>
          <w:sz w:val="28"/>
          <w:szCs w:val="28"/>
          <w:rtl w:val="true"/>
          <w:lang w:bidi="fa-IR"/>
        </w:rPr>
        <w:t>الصفتیة فلا إشکال فی عدم قیام الظنّ مقامه، و لا فی عدم ترتّب آثاره علیه، کما أنّه لا إشکال فی ذلک فیما لو کان القطع مأخوذاً علی وجه الطریقیة التامّة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کان مأخوذاً فی الموضوع بما أنّه أحد الکواشف فلا ریب فی ترتّب حکمه علی الظنّ أیضاً، لکن لا من باب کونه قائماً مقامه، بل من باب کونه أیضاً مأخوذاً فی الموضوع، فإنّ المفروض أنّ القطع قد اخذ فیه بما أنّه من الکواشف، فمرجعه إلی کون الدخیل فی الموضوع هو الکاشف بما هو کاشف، و الظنّ أیضاً کالقطع یکون من مصادیقه، کما هو واضح، هذا حال الأمارات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الاُصول، 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الاستصحاب، و لا یخفی أنّ مفاد الأخبار الواردة فی بابه لیس إلاّ مجرّد البناء العملی علی بقاء المتیقّن سابقاً فی زمان الشکّ، و ترتیب آثار البقاء فی حاله، فهو أصل تعبّدی مرجعه إلی مجرّد بقاء المتیقّن تعبّداً، و الحکم بثبوته شرعاً، و هذا المعنی لا ارتباط له بباب التنزیل و إقامته مقام القطع أصلاً، کما هو واضح</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کان مفاد أخبار الاستصحاب هی إطالة عمر الیقین و وجوب عدم نقضه؛ بحیث یکون مرجعها إلی کون الشاکّ فعلاً متیقّناً شرعاً و تعبّداً لکان الظاهر هو قیام الاستصحاب مقام القطع بجمیع أقسامه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الأمر لیس کذلک، کما سنحقّقه إن شاء اللّه تعالی فی موضعه</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قاعدتا التجاوز و الفراغ، و لا یخفی أنّ التأمّل فی الأخبار الواردة فیهما یعطی أنّ مفادها لیس إلاّ مجرّد البناء عملاً علی تحقّق المشکوک، و الحکم بثبوته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فانظر إلی ما ورد فی روایة حمّاد، بعد سؤاله عنه علیه السلام أشکّ، و أنا ساجد، فلا أدری رکعت أم لا من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رکعت</w:t>
      </w:r>
      <w:r>
        <w:rPr>
          <w:rFonts w:eastAsia="IRNazanin" w:cs="IRNazanin"/>
          <w:color w:val="111111"/>
          <w:sz w:val="28"/>
          <w:szCs w:val="28"/>
          <w:rtl w:val="true"/>
          <w:lang w:bidi="fa-IR"/>
        </w:rPr>
        <w:t xml:space="preserve">» </w:t>
      </w:r>
      <w:r>
        <w:rPr>
          <w:rStyle w:val="FootnoteAnchor"/>
          <w:rtl w:val="true"/>
        </w:rPr>
        <w:footnoteReference w:id="3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المضمون و نظائره ظاهر فی مجرّد فرض تحقّق الشیء المشکوک، و البناء علیه عملاً، و لا نظر فی أدلّتهما إلی جعل المکلّف مقام القاطع، و الحکم بکونه مثله؛ بحیث لو ورد دلیل کان القطع مأخوذاً فی موضوعه، کقوله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قطعت بالرکوع فعلیک کذا و کذا یکون مفاده شاملاً للمکلّف الشاکّ فی الرکوع المتجاوز عن محلّه، أو الفارغ عن العمل؛ نظراً إلی تلک الأدلّة</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عدم الإشکال فی أنّه لیس شیء من أدلّة الاُصول ناظراً إلی التنزیل، و بصدد جعل المکلّف قاطعاً تعبّداً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فرض کون مفادها ذلک فالظاهر أنّه لا فرق بین القطع الطریقی و الموضوعی، و لا فرق فی الثانی أیضاً بین ما کان مأخوذاً علی وجه الصفتیة و ما کان مأخوذاً علی نعت الطریقیة، کما هو واضح</w:t>
      </w:r>
      <w:r>
        <w:rPr>
          <w:rFonts w:eastAsia="IRNazanin" w:cs="IRNazanin"/>
          <w:color w:val="111111"/>
          <w:sz w:val="28"/>
          <w:szCs w:val="28"/>
          <w:rtl w:val="true"/>
          <w:lang w:bidi="fa-IR"/>
        </w:rPr>
        <w:t>.</w:t>
      </w:r>
      <w:bookmarkStart w:id="706" w:name="pg11586_104987"/>
    </w:p>
    <w:p>
      <w:pPr>
        <w:pStyle w:val="BookText"/>
        <w:rPr/>
      </w:pPr>
      <w:bookmarkEnd w:id="706"/>
      <w:r>
        <w:rPr>
          <w:rFonts w:ascii="IRNazanin" w:hAnsi="IRNazanin" w:eastAsia="IRNazanin"/>
          <w:color w:val="111111"/>
          <w:sz w:val="28"/>
          <w:sz w:val="28"/>
          <w:szCs w:val="28"/>
          <w:rtl w:val="true"/>
          <w:lang w:bidi="fa-IR"/>
        </w:rPr>
        <w:t>حکم الظنّ فی المقام</w:t>
      </w:r>
    </w:p>
    <w:p>
      <w:pPr>
        <w:pStyle w:val="Heading3"/>
        <w:numPr>
          <w:ilvl w:val="2"/>
          <w:numId w:val="1"/>
        </w:numPr>
        <w:rPr/>
      </w:pPr>
      <w:bookmarkStart w:id="707" w:name="__RefHeading___Toc5146135_73709187"/>
      <w:bookmarkStart w:id="708" w:name="_Toc267"/>
      <w:bookmarkEnd w:id="707"/>
      <w:r>
        <w:rPr>
          <w:rtl w:val="true"/>
        </w:rPr>
        <w:t>الأمر الرابع حکم الظنّ فی المقام</w:t>
      </w:r>
      <w:bookmarkEnd w:id="708"/>
    </w:p>
    <w:p>
      <w:pPr>
        <w:pStyle w:val="BookText"/>
        <w:rPr/>
      </w:pPr>
      <w:r>
        <w:rPr>
          <w:rFonts w:ascii="IRNazanin" w:hAnsi="IRNazanin" w:eastAsia="IRNazanin"/>
          <w:color w:val="111111"/>
          <w:sz w:val="28"/>
          <w:sz w:val="28"/>
          <w:szCs w:val="28"/>
          <w:rtl w:val="true"/>
          <w:lang w:bidi="fa-IR"/>
        </w:rPr>
        <w:t>قد عرفت حکم القطع المأخوذ فی موضوع نفس الحکم المقطوع به أو مثله أو ضدّه،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حکم الظنّ أیضاً مثله، فیجوز أن یکون مأخوذاً موضوعاً تامّاً لنفس الحکم المظنون أو لضدّه أو مثله؛ لعدم لزوم الدور أصلاً، و عدم لزوم اجتماع المثلین أو الضدّین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مأخوذاً فی الموضوع ناقصاً؛ بحیث کان الموضوع مرکّباً منه و من الشیء المظنون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قید الإصابة معتبراً فیه فلا یجوز أصلاً؛ للزوم الدور فیما إذا کان مأخوذاً فی موضوع نفس ذلک الحکم المظنون، و لزوم اجتماع المثلین أو الضدّین فیما إذا کان مأخوذاً فی موضوع مثل ذلک الحکم أو ضدّه</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لا یخفی أنّ التعبیر بکلمة التضادّ إنّما هو لأجل متابعتهم، و إلّا فقد عرفت فی بعض المباحث المتقدّمة أنّ ما اشتهر بینهم من کون النسبة بین الأحکام هی التضادّ ممّا لا وجه له، و لعلّه یجیء فیما بعد، و لکن ذلک لا یضرّ بعدم الجواز فی مورد اجتماع الحکمین؛ لأنّ اجتماعهما مستحیل، و لو لم نقل بثبوت التضادّ، کما لا یخفی</w:t>
      </w:r>
      <w:r>
        <w:rPr>
          <w:rFonts w:eastAsia="IRNazanin" w:cs="IRNazanin"/>
          <w:color w:val="111111"/>
          <w:sz w:val="28"/>
          <w:szCs w:val="28"/>
          <w:rtl w:val="true"/>
          <w:lang w:bidi="fa-IR"/>
        </w:rPr>
        <w:t>.</w:t>
      </w:r>
      <w:bookmarkStart w:id="709" w:name="pg11586_104988"/>
    </w:p>
    <w:p>
      <w:pPr>
        <w:pStyle w:val="BookText"/>
        <w:rPr/>
      </w:pPr>
      <w:bookmarkEnd w:id="709"/>
      <w:r>
        <w:rPr>
          <w:rFonts w:ascii="IRNazanin" w:hAnsi="IRNazanin" w:eastAsia="IRNazanin"/>
          <w:color w:val="111111"/>
          <w:sz w:val="28"/>
          <w:sz w:val="28"/>
          <w:szCs w:val="28"/>
          <w:rtl w:val="true"/>
          <w:lang w:bidi="fa-IR"/>
        </w:rPr>
        <w:t>الموافقة الالتزامیة</w:t>
      </w:r>
    </w:p>
    <w:p>
      <w:pPr>
        <w:pStyle w:val="Heading3"/>
        <w:numPr>
          <w:ilvl w:val="2"/>
          <w:numId w:val="1"/>
        </w:numPr>
        <w:rPr/>
      </w:pPr>
      <w:bookmarkStart w:id="710" w:name="__RefHeading___Toc5146137_73709187"/>
      <w:bookmarkStart w:id="711" w:name="_Toc268"/>
      <w:bookmarkEnd w:id="710"/>
      <w:r>
        <w:rPr>
          <w:rtl w:val="true"/>
        </w:rPr>
        <w:t>الأمر الخامس الموافقة الالتزامیة</w:t>
      </w:r>
      <w:bookmarkEnd w:id="711"/>
    </w:p>
    <w:p>
      <w:pPr>
        <w:pStyle w:val="BookText"/>
        <w:rPr/>
      </w:pPr>
      <w:r>
        <w:rPr>
          <w:rFonts w:ascii="IRNazanin" w:hAnsi="IRNazanin" w:eastAsia="IRNazanin"/>
          <w:color w:val="111111"/>
          <w:sz w:val="28"/>
          <w:sz w:val="28"/>
          <w:szCs w:val="28"/>
          <w:rtl w:val="true"/>
          <w:lang w:bidi="fa-IR"/>
        </w:rPr>
        <w:t>هل القطع بالحکم یقتضی وجوب الموافقة الالتزامیة، کما یقتضی وجوب الموافقة العملیة أم لا؟</w:t>
      </w:r>
    </w:p>
    <w:p>
      <w:pPr>
        <w:pStyle w:val="BookText"/>
        <w:rPr/>
      </w:pPr>
      <w:r>
        <w:rPr>
          <w:rFonts w:ascii="IRNazanin" w:hAnsi="IRNazanin" w:eastAsia="IRNazanin"/>
          <w:color w:val="111111"/>
          <w:sz w:val="28"/>
          <w:sz w:val="28"/>
          <w:szCs w:val="28"/>
          <w:rtl w:val="true"/>
          <w:lang w:bidi="fa-IR"/>
        </w:rPr>
        <w:t>و التحقیق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الموافقة الالتزامیة الراجعة إلی عقد القلب و الالتزام بشیء، و الانقیاد و التسلیم له إنّما هی من الأحوال القلبیة و الصفات النفسانیة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کالخضوع و الخشوع و الرجاء و الخوف و نظائرها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تحقّق تلک الأوصاف و تحصّلها فی النفس إنّما یکون قهریاً؛ تبعاً لتحقّق مبادئها، و یستحیل أن توجد بدون حصول المبادئ؛ لأنّها لیست من الأفعال الاختیاریة الحاصلة بالإرادة و الاختیار؛ لأنّها تابعة لمبادئها، فإذا حصلت تتبعها تلک الحالات قهراً، و إذا لم یحصل لا تتحقّق أصلاً</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العلم بوجود المبدإ و عظمته و جلالته یوجب الخضوع و الخشوع له تعالی، و لا یمکن أن یتخلّف عنه، کما أنّ مع عدم تحقّقه یمتنع أن یتحقّقا؛ لوضوح استحالة عقد القلب علی ضدّ أمر محسوس، کالالتزام القلبی بعدم کون النار حارّة، و الشمس مشرقة، و کما لا یمکن ذلک لا یمکن الالتزام بضدّ أمر</w:t>
      </w:r>
    </w:p>
    <w:p>
      <w:pPr>
        <w:pStyle w:val="BookText"/>
        <w:rPr/>
      </w:pPr>
      <w:r>
        <w:rPr>
          <w:rFonts w:ascii="IRNazanin" w:hAnsi="IRNazanin" w:eastAsia="IRNazanin"/>
          <w:color w:val="111111"/>
          <w:sz w:val="28"/>
          <w:sz w:val="28"/>
          <w:szCs w:val="28"/>
          <w:rtl w:val="true"/>
          <w:lang w:bidi="fa-IR"/>
        </w:rPr>
        <w:t>تشریعی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المراد من الکفر الجحودی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جَحَدُوا بِها وَ اسْتَیْقَنَتْها أَنْفُسُهُمْ</w:t>
      </w:r>
      <w:r>
        <w:rPr>
          <w:rFonts w:eastAsia="Amiri" w:cs="Amiri" w:ascii="Amiri" w:hAnsi="Amiri"/>
          <w:color w:val="111111"/>
          <w:sz w:val="28"/>
          <w:szCs w:val="28"/>
          <w:rtl w:val="true"/>
          <w:lang w:bidi="ar-SA"/>
        </w:rPr>
        <w:t xml:space="preserve">» </w:t>
      </w:r>
      <w:r>
        <w:rPr>
          <w:rStyle w:val="FootnoteAnchor"/>
          <w:rtl w:val="true"/>
        </w:rPr>
        <w:footnoteReference w:id="302"/>
      </w:r>
      <w:r>
        <w:rPr>
          <w:rFonts w:ascii="IRNazanin" w:hAnsi="IRNazanin" w:eastAsia="IRNazanin"/>
          <w:color w:val="111111"/>
          <w:sz w:val="28"/>
          <w:sz w:val="28"/>
          <w:szCs w:val="28"/>
          <w:rtl w:val="true"/>
          <w:lang w:bidi="fa-IR"/>
        </w:rPr>
        <w:t>لیس الالتزام علی خلاف الیقین الحاصل للنفس، بل هو مجرّد الإنکار اللسانی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هنا یظهر أنّ ما اشتهر بینهم من حرمة التشریع ممّا لا محصّل له إن کان المراد من التشریع هو البناء القلبی علی کون حکم من الشرع مع العلم بأنّه لیس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الموافقة الالتزامیة لیست من الاُمور الاختیاریة، حتّی یبحث فی وجوبها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حکی عن بعض الأعاظم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بثبوت التجزّم فی القضایا الکاذبة، و أنّه هو المناط فی صیرورة القضایا ممّا یصحّ السکوت علیها، و أنّ العقد القلبی علی طبقها یکون اختیاریاً</w:t>
      </w:r>
      <w:r>
        <w:rPr>
          <w:rStyle w:val="FootnoteAnchor"/>
          <w:rtl w:val="true"/>
        </w:rPr>
        <w:footnoteReference w:id="30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وجّهه بعض المحقّقین من المعاصرین بأنّ مراده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کما أنّ العلم قد یتحقّق فی النفس بوجود أسبابه، کذلک قد یخلق النفس حالة و صفة علی نحو العلم، حاکیة عن الخارج، فإذا تحقّق هذا المعنی فی الکلام یصیر جملة یصحّ السکوت علیها؛ لأنّ تلک الصفة الموجودة یحکی جزماً عن تحقّق النسبة فی الخارج</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العلم و الجزم لیسا من الاُمور الاختیاریة، فإنّهما من الاُمور التکوینیة التی لا تتحصّل إلاّ بعد تحقّق أسبابها؛ لوضوح استحالة الجزم مثلاً بأنّ الواحد لیس نصف الاثنین،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القضایا الکاذبة فإنّما هی بصورة الجزم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المناط فی صحّة السکوت هو الإخبار الجزمی، لا الجزم</w:t>
      </w:r>
    </w:p>
    <w:p>
      <w:pPr>
        <w:pStyle w:val="BookText"/>
        <w:rPr/>
      </w:pPr>
      <w:r>
        <w:rPr>
          <w:rFonts w:ascii="IRNazanin" w:hAnsi="IRNazanin" w:eastAsia="IRNazanin"/>
          <w:color w:val="111111"/>
          <w:sz w:val="28"/>
          <w:sz w:val="28"/>
          <w:szCs w:val="28"/>
          <w:rtl w:val="true"/>
          <w:lang w:bidi="fa-IR"/>
        </w:rPr>
        <w:t>القلبی؛ و لذا لو أظهر المتکلّم ما هو المقطوع به بصورة التردید لا تصیر القضیّة ممّا یصحّ السکوت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ریب فی عدم کون الموافقة الالتزامیة و نظائرها من الاُمور القلبیة تابعاً فی تحقّقه للإرادة و الاختیار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بناءً علی ما ذکرنا من کون الموافقة الالتزامیة لیست من الاُمور الاختیاریة، بل إنّما تتحقّق قهراً عند حصول مبادئها تکون الموافقة الالتزامیة علی طبق العلم بالأحکام، فإن کان العلم متعلّقاً بحکم تفصیلاً یکون الالتزام به أیضاً کذلک، و إن کان العلم إجمالیاً یکون الالتزام أیضاً کذلک، کما أنّ الالتزام قد یکون بالحکم الظاهری، إذا کان العلم أیضاً متعلّقاً به، و قد یکون بالحکم الواقعی، إذا کان متعلّقاً للعلم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 أنّ جعل الحکم الواقعی و الظاهری فی مورد واحد، و تعلّق العلم بهما ممّا لا مانع منه، کذلک الالتزام بهما فی ذلک المورد ممّا لا مانع منه أصلاً</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مانع من قبل لزوم الالتزام فی جریان الاُصول فی أطراف العلم الإجمالی، کما أنّ جریانها لا یدفع الالتزام بالحکم الواقعی؛ لأنّه تابع للعلم به، و جریانها لا ینافیه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فمسألة جریان الاُصول فی أطراف الشبهة المحصورة لا ارتباط لها بمسألة الموافقة الالتزامیة، کما لا یخفی</w:t>
      </w:r>
      <w:r>
        <w:rPr>
          <w:rFonts w:eastAsia="IRNazanin" w:cs="IRNazanin"/>
          <w:color w:val="111111"/>
          <w:sz w:val="28"/>
          <w:szCs w:val="28"/>
          <w:rtl w:val="true"/>
          <w:lang w:bidi="fa-IR"/>
        </w:rPr>
        <w:t>.</w:t>
      </w:r>
      <w:bookmarkStart w:id="712" w:name="pg11586_104991"/>
    </w:p>
    <w:p>
      <w:pPr>
        <w:pStyle w:val="BookText"/>
        <w:rPr/>
      </w:pPr>
      <w:bookmarkEnd w:id="712"/>
      <w:r>
        <w:rPr>
          <w:rFonts w:ascii="IRNazanin" w:hAnsi="IRNazanin" w:eastAsia="IRNazanin"/>
          <w:color w:val="111111"/>
          <w:sz w:val="28"/>
          <w:sz w:val="28"/>
          <w:szCs w:val="28"/>
          <w:rtl w:val="true"/>
          <w:lang w:bidi="fa-IR"/>
        </w:rPr>
        <w:t>العلم الإجمالی</w:t>
      </w:r>
    </w:p>
    <w:p>
      <w:pPr>
        <w:pStyle w:val="Heading3"/>
        <w:numPr>
          <w:ilvl w:val="2"/>
          <w:numId w:val="1"/>
        </w:numPr>
        <w:rPr/>
      </w:pPr>
      <w:bookmarkStart w:id="713" w:name="__RefHeading___Toc5146139_73709187"/>
      <w:bookmarkStart w:id="714" w:name="_Toc269"/>
      <w:bookmarkEnd w:id="713"/>
      <w:r>
        <w:rPr>
          <w:rtl w:val="true"/>
        </w:rPr>
        <w:t>الأمر السادس أحکام العلم الإجمالی</w:t>
      </w:r>
      <w:bookmarkEnd w:id="714"/>
    </w:p>
    <w:p>
      <w:pPr>
        <w:pStyle w:val="Heading4"/>
        <w:numPr>
          <w:ilvl w:val="3"/>
          <w:numId w:val="1"/>
        </w:numPr>
        <w:rPr/>
      </w:pPr>
      <w:bookmarkStart w:id="715" w:name="__RefHeading___Toc5146141_73709187"/>
      <w:bookmarkStart w:id="716" w:name="_Toc270"/>
      <w:bookmarkEnd w:id="715"/>
      <w:r>
        <w:rPr>
          <w:rtl w:val="true"/>
        </w:rPr>
        <w:t>اشارة</w:t>
      </w:r>
      <w:bookmarkEnd w:id="716"/>
    </w:p>
    <w:p>
      <w:pPr>
        <w:pStyle w:val="BookText"/>
        <w:rPr/>
      </w:pPr>
      <w:r>
        <w:rPr>
          <w:rFonts w:ascii="IRNazanin" w:hAnsi="IRNazanin" w:eastAsia="IRNazanin"/>
          <w:color w:val="111111"/>
          <w:sz w:val="28"/>
          <w:sz w:val="28"/>
          <w:szCs w:val="28"/>
          <w:rtl w:val="true"/>
          <w:lang w:bidi="fa-IR"/>
        </w:rPr>
        <w:t>قد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العلم التفصیلی یکون علّة تامّة لتنجّز التکلیف، فهل القطع الإجمالی أیضاً کذلک، أم لا؟ و لا یخفی أنّ الکلام فیما یتعلّق بالعلم الإجمالی یقع فی مقامین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فیما یرجع إلی ثبوت التکلیف به، و ثانیهما فیما یتعلّق بمرحلة سقوط التکلیف به</w:t>
      </w:r>
      <w:r>
        <w:rPr>
          <w:rFonts w:eastAsia="IRNazanin" w:cs="IRNazanin"/>
          <w:color w:val="111111"/>
          <w:sz w:val="28"/>
          <w:szCs w:val="28"/>
          <w:rtl w:val="true"/>
          <w:lang w:bidi="fa-IR"/>
        </w:rPr>
        <w:t>.</w:t>
      </w:r>
    </w:p>
    <w:p>
      <w:pPr>
        <w:pStyle w:val="Heading4"/>
        <w:numPr>
          <w:ilvl w:val="3"/>
          <w:numId w:val="1"/>
        </w:numPr>
        <w:rPr/>
      </w:pPr>
      <w:bookmarkStart w:id="717" w:name="__RefHeading___Toc5146143_73709187"/>
      <w:bookmarkStart w:id="718" w:name="_Toc271"/>
      <w:bookmarkEnd w:id="717"/>
      <w:r>
        <w:rPr>
          <w:rtl w:val="true"/>
        </w:rPr>
        <w:t>المقام الأوّل</w:t>
      </w:r>
      <w:r>
        <w:rPr>
          <w:rtl w:val="true"/>
        </w:rPr>
        <w:t xml:space="preserve">: </w:t>
      </w:r>
      <w:r>
        <w:rPr>
          <w:rtl w:val="true"/>
        </w:rPr>
        <w:t>فی تنجّز التکلیف بالعلم الإجمالی</w:t>
      </w:r>
      <w:bookmarkEnd w:id="718"/>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یقال بأنّ العلم الإجمالی لا یؤثّر فی تنجّز التکلیف أصلاً، و یکون حاله حال الشبهة البدویة؛ لأنّ موضوع حکم العقل فی باب المعصیة هو ما إذا علم المکلّف حین إتیانه أنّه معصیة فارتکبه، و من المعلوم أنّ المرتکب لأطراف العلم الإجمالی لا یکون کذلک؛ لأنّه لا یعلم بالمعصیة إلاّ بعد إتیان جمیع الأطراف فی الشبهة المحصورة التحریمیة</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 لکن یردّ هذا الکلام العقل السلیم، فإنّه لا فرق فی نظره بین قتل ابن المولی مثلاً مع کونه معلوماً تفصیلاً، و بین قتله فی ضمن عدّة فی قبحه عند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حرمة المخالفة القطعیة و قبحها عند العقل مطلقاً، و من المعلوم أنّ ارتکاب جمیع الأطراف مخالفة قطعیة لتکلیف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ذکر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التکلیف؛ حیث لم ینکشف به تمام الانکشاف، و کانت مرتبة الحکم الظاهری محفوظة معه فجاز الإذن من الشارع بمخالفته احتمالاً، بل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محذور المناقضة بینه و بین المقطوع إجمالاً إنّما هو محذور مناقضة الحکم الظاهری مع الحکم الواقعی فی الشبهة الغیر المحصورة، بل الشبهة البدویة؛ ضرورة عدم تفاوت بینهما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به التفصّی عن المحذور فیهما کان به التفصّی عنه فی المقام، نعم، العلم الإجمالی کالتفصیلی فی مجرّد الاقتضاء، لا فی العلّیة التامّة، فیوجب تنجّز التکلیف ما لم یمنع عنه مانع عقلاً أو شرعاً</w:t>
      </w:r>
      <w:r>
        <w:rPr>
          <w:rStyle w:val="FootnoteAnchor"/>
          <w:rtl w:val="true"/>
        </w:rPr>
        <w:footnoteReference w:id="306"/>
      </w:r>
      <w:r>
        <w:rPr>
          <w:rFonts w:ascii="Amiri" w:hAnsi="Amiri" w:eastAsia="Amiri" w:cs="Amiri"/>
          <w:color w:val="111111"/>
          <w:sz w:val="28"/>
          <w:sz w:val="28"/>
          <w:szCs w:val="28"/>
          <w:rtl w:val="true"/>
          <w:lang w:bidi="ar-SA"/>
        </w:rPr>
        <w:t>، انتهی ملخّصاً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أنت خبیر بأنّ مورد البحث فی المقام إنّما هو فیما إذا کان المعلوم الإجمالی تکلیفاً فعلیاً؛ ضرورة أنّ التکلیف الإنشائی لا یصیر متنجّزاً، و لو تعلّق به العلم التفصیلی، فضلاً عن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فالکلام إنّما هو فی التکلیف الذی لو کان متعلّقاً للعلم التفصیلی لما کان إشکال فی تنجّزه، و وجوب موافقته، و حرمة مخالفته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صار معلوماً بالإجمال</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حینئذٍ فمن الواضح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یعقل مع ثبوت التکلیف الفعلی الإذن فی ارتکاب بعض الأطراف، فضلاً عن جمیعها، بل لا یعقل ذلک مع احتماله؛ لاستحالة اجتماع القطع بالإذن فی الارتکاب، و احتمال التحریم الفعلی؛ لأنّ</w:t>
      </w:r>
      <w:bookmarkStart w:id="719" w:name="pg11586_104993"/>
    </w:p>
    <w:p>
      <w:pPr>
        <w:pStyle w:val="BookText"/>
        <w:rPr/>
      </w:pPr>
      <w:bookmarkEnd w:id="719"/>
      <w:r>
        <w:rPr>
          <w:rFonts w:ascii="IRNazanin" w:hAnsi="IRNazanin" w:eastAsia="IRNazanin"/>
          <w:color w:val="111111"/>
          <w:sz w:val="28"/>
          <w:sz w:val="28"/>
          <w:szCs w:val="28"/>
          <w:rtl w:val="true"/>
          <w:lang w:bidi="fa-IR"/>
        </w:rPr>
        <w:t>مرجعه إلی إمکان احتمال الجمع بین المتناقضین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مانع من اجتماع التکلیف الفعلی مع الإذن فی الارتکاب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کون متعلّقهما مختلفین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متعلّق التحریم الفعلی المعلوم إنّما هو الخمر الواقعی، و متعلّق الإذن هو الخمر المشکوک؛ أی مشکوک الخمریة، و من المعلوم أنّ بین العنوانین عموماً من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حقّق فی مبحث اجتماع الأمر و النهی القول بالجواز فی تلک الصورة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محلّ النزاع فی تلک المسألة هو ما إذا کان تکلیف متوجّهاً إلی طبیعة، و تکلیف آخر متوجّهاً إلی طبیعة اخری بینهما إمکان التصادق فی الخارج، من دون أن یکون فی أحدهما نظر إلی ثبوت الآخر، و هذا بخلاف المقام، فإنّ الترخیص فی ارتکاب مشکوک الخمریة إنّما هو بملاحظة ثبوت الحرمة للخمر الواقعی؛ ضرورة أنّه لو لم یکن الخمر الواقعی متعلّقاً للتحریم لما کان وجه فی ترخیص مشکوک الخمریة، و قد عرفت أنّ مع ثبوت فعلیة الحرمة لا یبقی مجال للترخیص أصلاً، و لا یجدی فی ذلک اختلاف العنوانین علی هذا النحو</w:t>
      </w:r>
      <w:r>
        <w:rPr>
          <w:rFonts w:eastAsia="IRNazanin" w:cs="IRNazanin"/>
          <w:color w:val="111111"/>
          <w:sz w:val="28"/>
          <w:szCs w:val="28"/>
          <w:rtl w:val="true"/>
          <w:lang w:bidi="fa-IR"/>
        </w:rPr>
        <w:t>.</w:t>
      </w:r>
    </w:p>
    <w:p>
      <w:pPr>
        <w:pStyle w:val="Heading4"/>
        <w:numPr>
          <w:ilvl w:val="3"/>
          <w:numId w:val="1"/>
        </w:numPr>
        <w:rPr/>
      </w:pPr>
      <w:bookmarkStart w:id="720" w:name="__RefHeading___Toc5146145_73709187"/>
      <w:bookmarkStart w:id="721" w:name="_Toc272"/>
      <w:bookmarkEnd w:id="720"/>
      <w:r>
        <w:rPr>
          <w:rtl w:val="true"/>
        </w:rPr>
        <w:t>المقام الثانی</w:t>
      </w:r>
      <w:r>
        <w:rPr>
          <w:rtl w:val="true"/>
        </w:rPr>
        <w:t xml:space="preserve">: </w:t>
      </w:r>
      <w:r>
        <w:rPr>
          <w:rtl w:val="true"/>
        </w:rPr>
        <w:t>فی سقوط التکلیف بالامتثال الإجمالی</w:t>
      </w:r>
      <w:bookmarkEnd w:id="721"/>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یخفی أنّ محلّ الکلام فی هذا المقام إنّما هو فی أنّ مجرّد التردید فی ناحیة الامتثال، و عدم العلم تفصیلاً بکون المأمور به الواقعی هل هی صلاة الظهر أو الجمعة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یوجب تحقّق الامتثال عند العقل أم لا، و أمّا لو فرض أنّ الامتثال الإجمالی یستلزم عدم تحقّق المأمور به بجمیع أجزائه و شرائطه؛ لکونه مقیّداً بما لا ینطبق إلاّ مع الامتثال التفصیلی فهو خارج عن مفروض البحث؛ لأنّ مورده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صورة تحقّق المأمور به تامّاً؛ من حیث القیود، غایة الأمر أنّه لا یعلم به تفصیلاً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الإشکال فی الاکتفاء به من جهة الإخلال بالوجه أو بالتمییز ممّا لا یرتبط بالمقام؛ لأنّ مرجعه إلی الامتثال الإجمالی یستلزم عدم تحقّق المأمور به بتمام قیوده؛ لإخلاله بالوجه أو التمییز المعتبر فیه، فیتوقّف تحقّقه بأجمعه علی الامتثال التفصیلی، و قد عرفت أنّ ذلک خارج عن موضوع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الاکتفاء به فی مقام الامتثال إشکالان واردان علی مورد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الامتثال الإجمالی لعباً و عبثاً بأمر المولی</w:t>
      </w:r>
      <w:r>
        <w:rPr>
          <w:rStyle w:val="FootnoteAnchor"/>
          <w:rtl w:val="true"/>
        </w:rPr>
        <w:footnoteReference w:id="3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لکنّه مردود، مضافاً إلی أنّه ربّما یکون ذلک لداع عقلائی، کما إذا کان تحصیل العلم التفصیلی أشقّ علیه من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یضرّ ذلک إذا کان لعباً بأمر المولی، لا فی کیفیة إطاعته، بعد حصول الداعی إلیها؛ ضرورة أنّ خصوصیات الإطاعة و کیفیاتها إنّما هی بید المکلّف، و لا یعتبر فیها الداعی الإلهی، کما هو واضح</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رتبة الامتثال العلمی الإجمالی متأخّرة عن رتبة الامتثال العلمی التفصیلی؛ لأنّ حقیقة الإطاعة عند العقل هو الانبعاث عن بعث المولی؛ بحیث یکون الداعی و المحرّک له نحو العمل هو تعلّق الأمر به، و انطباق المأمور به علیه، و هذا المعنی غیر متحقّق فی الامتثال الإجمالی؛ لأنّ الداعی له نحو العمل بکلّ واحد من فردی التردید لیس إلاّ احتمال تعلّق الأمر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الانبعاث عن احتمال البعث و إن کان أیضاً نحواً من الطاعة عند العقل إلاّ أنّ رتبته متأخّرة عن الامتثال التفصیلی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ملخّص ما أفاده بعض الأعاظم علی ما فی تقریرات بحثه</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یرد علیه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الانبعاث فی موارد العلم التفصیلی أیضاً لا یکون عن البعث، لا عن وجوده الواقعی، و هو واضح، و لا عن العلم به، بل الانبعاث إنّما یتحقّق بعد العلم بالبعث، و بما یترتّب علی مخالفته من العقوبة، و علی موافقته من المثوبة، مضافاً إلی أنّ الحاکم بالاستقلال فی باب الإطاعة هو العقل، و من الواضح أنّ المکلّف المنبعث عن مجرّد احتمال البعث أقوی عنده فی صدق عنوان المطیع ممّن لا ینبعث إلاّ بعد العلم بثبوت البعث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الانبعاث فی أطراف العلم الإجمالی إنّما هو عن العلم بالبعث؛ ضرورة أنّه لو لم یکن العلم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إجمالاً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متحقّقاً لم یتحقّق الانبعاث من کثیر من الناس، الذین لا ینبعثون فی موارد احتمال البعث أصلاً،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من ذلک أنّ الامتثال الإجمالی و التفصیلی کلیهما فی رتبة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إنّهم تعرّضوا هنا لبعض المباحث الاُخر ممّا یرتبط بباب الاشتغال، و نحن نحیلها إلی ذلک الباب، و نتکلّم فیه فیما بعد إن شاء اللّه تعالی</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تمام الکلام فی مباحث القطع</w:t>
      </w:r>
      <w:r>
        <w:rPr>
          <w:rFonts w:eastAsia="IRNazanin" w:cs="IRNazanin"/>
          <w:color w:val="111111"/>
          <w:sz w:val="28"/>
          <w:szCs w:val="28"/>
          <w:rtl w:val="true"/>
          <w:lang w:bidi="fa-IR"/>
        </w:rPr>
        <w:t>.</w:t>
      </w:r>
      <w:bookmarkStart w:id="722" w:name="pg11586_104996"/>
    </w:p>
    <w:p>
      <w:pPr>
        <w:pStyle w:val="Heading2"/>
        <w:numPr>
          <w:ilvl w:val="1"/>
          <w:numId w:val="1"/>
        </w:numPr>
        <w:rPr/>
      </w:pPr>
      <w:bookmarkStart w:id="723" w:name="__RefHeading___Toc5146147_73709187"/>
      <w:bookmarkStart w:id="724" w:name="_Toc273"/>
      <w:bookmarkEnd w:id="722"/>
      <w:bookmarkEnd w:id="723"/>
      <w:r>
        <w:rPr>
          <w:rtl w:val="true"/>
        </w:rPr>
        <w:t>المقصد السابع فی أحکام الظنّ</w:t>
      </w:r>
      <w:bookmarkEnd w:id="724"/>
    </w:p>
    <w:p>
      <w:pPr>
        <w:pStyle w:val="Heading3"/>
        <w:numPr>
          <w:ilvl w:val="2"/>
          <w:numId w:val="1"/>
        </w:numPr>
        <w:rPr/>
      </w:pPr>
      <w:bookmarkStart w:id="725" w:name="__RefHeading___Toc5146149_73709187"/>
      <w:bookmarkStart w:id="726" w:name="_Toc274"/>
      <w:bookmarkEnd w:id="725"/>
      <w:r>
        <w:rPr>
          <w:rtl w:val="true"/>
        </w:rPr>
        <w:t>اشارة</w:t>
      </w:r>
      <w:bookmarkEnd w:id="726"/>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الکلام فیه یقع فی ضمن مقامات</w:t>
      </w:r>
      <w:r>
        <w:rPr>
          <w:rFonts w:eastAsia="IRNazanin" w:cs="IRNazanin"/>
          <w:color w:val="111111"/>
          <w:sz w:val="28"/>
          <w:szCs w:val="28"/>
          <w:rtl w:val="true"/>
          <w:lang w:bidi="fa-IR"/>
        </w:rPr>
        <w:t>:</w:t>
      </w:r>
      <w:bookmarkStart w:id="727" w:name="pg11586_104998"/>
    </w:p>
    <w:p>
      <w:pPr>
        <w:pStyle w:val="BookText"/>
        <w:rPr/>
      </w:pPr>
      <w:bookmarkEnd w:id="727"/>
      <w:r>
        <w:rPr>
          <w:rFonts w:ascii="Amiri" w:hAnsi="Amiri" w:eastAsia="Amiri" w:cs="Amiri"/>
          <w:color w:val="111111"/>
          <w:sz w:val="28"/>
          <w:sz w:val="28"/>
          <w:szCs w:val="28"/>
          <w:rtl w:val="true"/>
          <w:lang w:bidi="ar-SA"/>
        </w:rPr>
        <w:t>إمکان التعبّد بالظنّ‌</w:t>
      </w:r>
    </w:p>
    <w:p>
      <w:pPr>
        <w:pStyle w:val="Heading3"/>
        <w:numPr>
          <w:ilvl w:val="2"/>
          <w:numId w:val="1"/>
        </w:numPr>
        <w:rPr/>
      </w:pPr>
      <w:bookmarkStart w:id="728" w:name="__RefHeading___Toc5146151_73709187"/>
      <w:bookmarkStart w:id="729" w:name="_Toc275"/>
      <w:bookmarkEnd w:id="728"/>
      <w:r>
        <w:rPr>
          <w:rtl w:val="true"/>
        </w:rPr>
        <w:t>المقام الأوّل فی إمکان التعبّد بالظنّ</w:t>
      </w:r>
      <w:bookmarkEnd w:id="729"/>
    </w:p>
    <w:p>
      <w:pPr>
        <w:pStyle w:val="Heading4"/>
        <w:numPr>
          <w:ilvl w:val="3"/>
          <w:numId w:val="1"/>
        </w:numPr>
        <w:rPr/>
      </w:pPr>
      <w:bookmarkStart w:id="730" w:name="__RefHeading___Toc5146153_73709187"/>
      <w:bookmarkStart w:id="731" w:name="_Toc276"/>
      <w:bookmarkEnd w:id="730"/>
      <w:r>
        <w:rPr>
          <w:rtl w:val="true"/>
        </w:rPr>
        <w:t>اشارة</w:t>
      </w:r>
      <w:bookmarkEnd w:id="731"/>
    </w:p>
    <w:p>
      <w:pPr>
        <w:pStyle w:val="BookText"/>
        <w:rPr/>
      </w:pPr>
      <w:r>
        <w:rPr>
          <w:rFonts w:ascii="IRNazanin" w:hAnsi="IRNazanin" w:eastAsia="IRNazanin"/>
          <w:color w:val="111111"/>
          <w:sz w:val="28"/>
          <w:sz w:val="28"/>
          <w:szCs w:val="28"/>
          <w:rtl w:val="true"/>
          <w:lang w:bidi="fa-IR"/>
        </w:rPr>
        <w:t>و لا یخفی أنّ عقد هذا المقام فی کلام القوم إنّما هو للرّد علی ابن قبة القائل بالاستحالة، مع أنّ دلیله الأوّل الذی استدلّ به یدلّ علی أنّ مراده هو نفی الوقوع؛ لتمسّکه بالإجماع</w:t>
      </w:r>
      <w:r>
        <w:rPr>
          <w:rStyle w:val="FootnoteAnchor"/>
          <w:rtl w:val="true"/>
        </w:rPr>
        <w:footnoteReference w:id="309"/>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pStyle w:val="Heading4"/>
        <w:numPr>
          <w:ilvl w:val="3"/>
          <w:numId w:val="1"/>
        </w:numPr>
        <w:rPr/>
      </w:pPr>
      <w:bookmarkStart w:id="732" w:name="__RefHeading___Toc5146155_73709187"/>
      <w:bookmarkStart w:id="733" w:name="_Toc277"/>
      <w:bookmarkEnd w:id="732"/>
      <w:r>
        <w:rPr>
          <w:rtl w:val="true"/>
        </w:rPr>
        <w:t xml:space="preserve">المراد من </w:t>
      </w:r>
      <w:r>
        <w:rPr>
          <w:rtl w:val="true"/>
        </w:rPr>
        <w:t>«</w:t>
      </w:r>
      <w:r>
        <w:rPr>
          <w:rtl w:val="true"/>
        </w:rPr>
        <w:t>الإمکان</w:t>
      </w:r>
      <w:r>
        <w:rPr>
          <w:rtl w:val="true"/>
        </w:rPr>
        <w:t xml:space="preserve">» </w:t>
      </w:r>
      <w:r>
        <w:rPr>
          <w:rtl w:val="true"/>
        </w:rPr>
        <w:t>المزبور</w:t>
      </w:r>
      <w:bookmarkEnd w:id="733"/>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هل المراد بالإمکان هو الإمکان الذاتی فی مقابل الامتناع الذاتی، أو الإمکان الوقوعی الذی یقابل الامتناع الوقوعی، و هو الذی لا یلزم من وجوده محال؟ الظاهر هو إمکان تقریر الکلام فی کلیهما، کما أنّه یمکن أن یدعی القائل بالاستحالة کلاًّ منهما؛ لأنّه یجوز أن یدعی أنّ معنی التعبّد علی طبق الأمارة هو جعل حکم مماثل لها، سواء کانت مطابقة أو مخالفة، و حینئذٍ یلزم اجتماع الضدّین أو المثلین، و هما من الممتنعات الذاتیة بلا إشکال، و یمکن أن یدعی</w:t>
      </w:r>
    </w:p>
    <w:p>
      <w:pPr>
        <w:pStyle w:val="BookText"/>
        <w:rPr/>
      </w:pPr>
      <w:r>
        <w:rPr>
          <w:rFonts w:ascii="IRNazanin" w:hAnsi="IRNazanin" w:eastAsia="IRNazanin"/>
          <w:color w:val="111111"/>
          <w:sz w:val="28"/>
          <w:sz w:val="28"/>
          <w:szCs w:val="28"/>
          <w:rtl w:val="true"/>
          <w:lang w:bidi="fa-IR"/>
        </w:rPr>
        <w:t>بنحو یوجب وقوعه تحقّق المحال، کما سیجیء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فاللازم هو البحث فی کل منهما، و لا یخفی أنّ إثبات الإمکان بأحد معنییه ممّا یحتاج إلی إقامة برهان، و من المعلوم أنّه لا برهان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الذی یسهّل الخطب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احتیاج إلی إثبات الإمکان؛ ضرورة أنّ ما هو المحتاج إلیه إنّما هو ردّ أدلّة الامتناع؛ لأنّه إذا لم یدلّ دلیل علی الامتناع فمع فرض قیام دلیل شرعی علی التعبّد بالأمارات نعمل علی طبقه، و لا یجوز لنا رفع الید عن ظاهره، و هذا بخلاف ما لو دلّ دلیل عقلی علی الامتناع، فإنّه یجب صرف دلیل الحجّیة و التعبّد عن ظاهره، کما هو الشأن فی جمیع الموارد التی قام الدلیل العقلی علی خلاف ظواهر الأدلّة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فالمهمّ فی المقام هو ردّ أدلّة الامتناع؛ لیستکشف من دلیل التعبّد الإمکان الوقوعی، لا إثبات الإمکان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الإمکان الذی یحتاج إلیه فی المقام هو الإمکان الواقع فی کلام شیخ الرئیس، و هو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 قرع سمعک من الغرائب فذره فی بقعة الإمکان ما لم یذدک عنه قائم البرهان</w:t>
      </w:r>
      <w:r>
        <w:rPr>
          <w:rFonts w:eastAsia="IRNazanin" w:cs="IRNazanin"/>
          <w:color w:val="111111"/>
          <w:sz w:val="28"/>
          <w:szCs w:val="28"/>
          <w:rtl w:val="true"/>
          <w:lang w:bidi="fa-IR"/>
        </w:rPr>
        <w:t>»</w:t>
      </w:r>
      <w:r>
        <w:rPr>
          <w:rStyle w:val="FootnoteAnchor"/>
          <w:rtl w:val="true"/>
        </w:rPr>
        <w:footnoteReference w:id="310"/>
      </w:r>
      <w:r>
        <w:rPr>
          <w:rFonts w:ascii="IRNazanin" w:hAnsi="IRNazanin" w:eastAsia="IRNazanin"/>
          <w:color w:val="111111"/>
          <w:sz w:val="28"/>
          <w:sz w:val="28"/>
          <w:szCs w:val="28"/>
          <w:rtl w:val="true"/>
          <w:lang w:bidi="fa-IR"/>
        </w:rPr>
        <w:t>؛ لما عرفت من أنّ ردّ أدلّة الامتناع الموجب لثبوت احتمال الجواز یکفی فی هذا الأمر؛ لأنّه لا موجب معه من صرف دلیل التعبّد عن ظاهره،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فالأولی فی عنوان البحث أن یقال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عدم وجدان دلیل علی امتناع التعبّد بالأمارة الغیر العلمیّة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جعل البحث فی الإمکان فمضافاً إلی عدم الاحتیاج إلیه یرد علیه ما عرفت من عدم إقامتهم الدلیل علی إثباته، مع أنّه أیضاً کالامتناع فی الاحتیاج إلی الدلیل، فتدبّر</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إنّه ذکر بعض الأعاظم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فی تقریرات بحثه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w:t>
      </w:r>
      <w:bookmarkStart w:id="734" w:name="pg11586_105000"/>
    </w:p>
    <w:p>
      <w:pPr>
        <w:pStyle w:val="BookText"/>
        <w:rPr/>
      </w:pPr>
      <w:bookmarkEnd w:id="734"/>
      <w:r>
        <w:rPr>
          <w:rFonts w:ascii="IRNazanin" w:hAnsi="IRNazanin" w:eastAsia="IRNazanin"/>
          <w:color w:val="111111"/>
          <w:sz w:val="28"/>
          <w:sz w:val="28"/>
          <w:szCs w:val="28"/>
          <w:rtl w:val="true"/>
          <w:lang w:bidi="fa-IR"/>
        </w:rPr>
        <w:t>بالإمکان المبحوث عنه فی المقام هو الإمکان التشریعی؛ یعنی أنّ من التعبّد بالأمارات هل یلزم محذور فی عالم التشریع من تفویت المصلحة و الإلقاء فی المفسدة و استلزامه الحکم بلا ملاک و اجتماع الحکمین المتنافیین و غیر ذلک من التوالی الفاسدة المتوهّمة فی المقام، أو أنّه لا یلزم شیء من ذلک؟ و لیس المراد من الإمکان هو الإمکان التکوینی؛ بحیث یلزم من التعبّد بالظنّ أو الأصل محذور فی عالم التکوین، فإنّ الإمکان التکوینی لا یتوهّم البحث عنه فی المقام</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الإمکان التشریعی لیس قسماً مقابلاً للأقسام المتقدّمة، بل هو من أقسام الإمکان الوقوعی الذی معناه عدم لزوم محال من وقوعه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المحذور الذی یلزم قد یکون تکوینیاً و قد یکون تشریعیاً، و هذا لا یوجب تکثیر الأقسام، و إلّا فیمکن التقسیم بملاحظة أنّ الممکن قد یکون مادّیاً و قد یکون غیره، و بملاحظة الجهات الاُخر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أکثر المحذورات المتوهّمة فی المقام محذور تکوینی، لا یعقل تحقّقه فی عالم التکوین، کاجتماع الحبّ و البغض، و الإرادة و الکراهة، و المصلحة و المفسدة فی شیء واحد</w:t>
      </w:r>
      <w:r>
        <w:rPr>
          <w:rFonts w:eastAsia="IRNazanin" w:cs="IRNazanin"/>
          <w:color w:val="111111"/>
          <w:sz w:val="28"/>
          <w:szCs w:val="28"/>
          <w:rtl w:val="true"/>
          <w:lang w:bidi="fa-IR"/>
        </w:rPr>
        <w:t>.</w:t>
      </w:r>
    </w:p>
    <w:p>
      <w:pPr>
        <w:pStyle w:val="Heading4"/>
        <w:numPr>
          <w:ilvl w:val="3"/>
          <w:numId w:val="1"/>
        </w:numPr>
        <w:rPr/>
      </w:pPr>
      <w:bookmarkStart w:id="735" w:name="__RefHeading___Toc5146157_73709187"/>
      <w:bookmarkStart w:id="736" w:name="_Toc278"/>
      <w:bookmarkEnd w:id="735"/>
      <w:r>
        <w:rPr>
          <w:rtl w:val="true"/>
        </w:rPr>
        <w:t xml:space="preserve">حول استدلال </w:t>
      </w:r>
      <w:r>
        <w:rPr>
          <w:rtl w:val="true"/>
        </w:rPr>
        <w:t>«</w:t>
      </w:r>
      <w:r>
        <w:rPr>
          <w:rtl w:val="true"/>
        </w:rPr>
        <w:t>ابن قبة</w:t>
      </w:r>
      <w:r>
        <w:rPr>
          <w:rtl w:val="true"/>
        </w:rPr>
        <w:t xml:space="preserve">» </w:t>
      </w:r>
      <w:r>
        <w:rPr>
          <w:rtl w:val="true"/>
        </w:rPr>
        <w:t>علی عدم إمکان التعبّد</w:t>
      </w:r>
      <w:bookmarkEnd w:id="736"/>
    </w:p>
    <w:p>
      <w:pPr>
        <w:pStyle w:val="BookText"/>
        <w:rPr/>
      </w:pPr>
      <w:r>
        <w:rPr>
          <w:rFonts w:ascii="IRNazanin" w:hAnsi="IRNazanin" w:eastAsia="IRNazanin"/>
          <w:color w:val="111111"/>
          <w:sz w:val="28"/>
          <w:sz w:val="28"/>
          <w:szCs w:val="28"/>
          <w:rtl w:val="true"/>
          <w:lang w:bidi="fa-IR"/>
        </w:rPr>
        <w:t>ثمّ إنّه استدلّ ابن قبة القائل باستحالة التعبّد بخبر الواحد، بل بمطلق الأمارات، کما یظهر من بعض أدلّته بوجهین</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جاز التعبّد بخبر الواحد فی الإخبار عن النبیّ صلی الله علیه و آله و سلم لجاز التعبّد به فی الإخبار عن اللّه تعالی، و التالی باطل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العمل به موجب لتحلیل الحرام و تحریم الحلال؛ إذ لا یؤمن أن یکون ما اخبر بحلّیته حراماً، و بالعکس</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الجواب عن 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دعوی الملازمة تبتنی علی کون الإخبار عن الرسول و الإخبار عن اللّه مثلین؛ لعدم اختلاف الإخبار بواسطة اختلاف المخبر به، و کونه هو اللّه سبحانه أو النبیّ صلی الله علیه و آله و سلم، فمرجعه إلی أنّ الإجماع قام علی نفی حجّیة الإخبار مطلقاً، سواء کان عن اللّه أو عن النبی صلی الله علیه و آله و سلم أو عن الأئمّة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سیأتی الجواب عن الإجماعات المنقولة علی عدم حجّیة الخبر الواحد، و لو کان اختلاف المخبر به دخیلاً فی ذلک، بمعنی أنّ معقد الإجماع إنّما هو خصوص الإخبار عن اللّه تعالی، لا عن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فیرد علیه منع الملازمة؛ لأنّه قیاس صرف؛ خصوصاً مع وجود الفارق بینهما، و هو أنّ التعبّد بالإخبار عن اللّه تعالی موجب للإلقاء فی المفسدة الکثیرة؛ ضرورة أنّ ذلک یوجب تحقّق الدواعی الکثیرة من المعتصمین بالأهویة العالیات و المتحرّکین بتحریک الشهوات؛ لعدم ثبوت الموازین التی علیها یعتمد، و بها یتمیّز الصحیح عن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بخلاف الإخبار عن النبیّ صلی الله علیه و آله و سلم أو الأئمّة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 الإجماع إنّما قام علی عدم الوقوع، لا علی الامتناع، کما لا یخفی</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عن الوجه الثانی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الوجه ینحلّ إلی محذورات، بعضها راجع إلی ملاکات الأحکام، کاجتماع المفسدة و المصلحة الملزمتین، و بعضها راجع إلی مبادئ الخطابات، کاجتماع الإرادة و الکراهة، و الحبّ</w:t>
      </w:r>
      <w:bookmarkStart w:id="737" w:name="pg11586_105002"/>
    </w:p>
    <w:p>
      <w:pPr>
        <w:pStyle w:val="BookText"/>
        <w:rPr/>
      </w:pPr>
      <w:bookmarkEnd w:id="737"/>
      <w:r>
        <w:rPr>
          <w:rFonts w:ascii="IRNazanin" w:hAnsi="IRNazanin" w:eastAsia="IRNazanin"/>
          <w:color w:val="111111"/>
          <w:sz w:val="28"/>
          <w:sz w:val="28"/>
          <w:szCs w:val="28"/>
          <w:rtl w:val="true"/>
          <w:lang w:bidi="fa-IR"/>
        </w:rPr>
        <w:t>و البغض، و بعضها راجع إلی نفس الخطابات، کاجتماع الضدّین أو النقیضین أو المثلین، و بعضها راجع إلی لازم الخطابات، کالإلقاء فی المفسدة و تفویت المصلحة، و الواجب دفع المحذورات بأجمعها فنقول</w:t>
      </w:r>
      <w:r>
        <w:rPr>
          <w:rFonts w:eastAsia="IRNazanin" w:cs="IRNazanin"/>
          <w:color w:val="111111"/>
          <w:sz w:val="28"/>
          <w:szCs w:val="28"/>
          <w:rtl w:val="true"/>
          <w:lang w:bidi="fa-IR"/>
        </w:rPr>
        <w:t>:</w:t>
      </w:r>
    </w:p>
    <w:p>
      <w:pPr>
        <w:pStyle w:val="Heading4"/>
        <w:numPr>
          <w:ilvl w:val="3"/>
          <w:numId w:val="1"/>
        </w:numPr>
        <w:rPr/>
      </w:pPr>
      <w:bookmarkStart w:id="738" w:name="__RefHeading___Toc5146159_73709187"/>
      <w:bookmarkStart w:id="739" w:name="_Toc279"/>
      <w:bookmarkEnd w:id="738"/>
      <w:r>
        <w:rPr>
          <w:rtl w:val="true"/>
        </w:rPr>
        <w:t>الجواب عن محذور تفویت المصلحة</w:t>
      </w:r>
      <w:bookmarkEnd w:id="739"/>
    </w:p>
    <w:p>
      <w:pPr>
        <w:pStyle w:val="BookText"/>
        <w:rPr/>
      </w:pPr>
      <w:r>
        <w:rPr>
          <w:rFonts w:ascii="IRNazanin" w:hAnsi="IRNazanin" w:eastAsia="IRNazanin"/>
          <w:color w:val="111111"/>
          <w:sz w:val="28"/>
          <w:sz w:val="28"/>
          <w:szCs w:val="28"/>
          <w:rtl w:val="true"/>
          <w:lang w:bidi="fa-IR"/>
        </w:rPr>
        <w:t>أمّا محذور تفویت المصلحة و الإلقاء فی المفسدة، فیتوقّف علی الالتزام بتبعیة الأحکام للمصالح و المفاسد فی المتعلّقات، و بأنّ المجعول فی باب الأمارات نفس الطریقیة المحضة، و إلّا لم یلزم تفویت الملاک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التقریرات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بتوقّفه أیضاً علی کون باب العلم منفتحاً، و أمّا فی صورة الانسداد فلا یلزم محذور التفویت، بل لا بدّ من التعبّد به، فإنّ المکلّف لا یتمکّن من استیفاء المصالح فی حال الانسداد، إلاّ بالاحتیاط التامّ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مبنی الشریعة علی الاحتیاط فی جمیع الأحکام</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اختصاص المحذور بصورة الانفتاح، بل یجری فی صورة الانسداد أیضاً، فإنّ التفویت و الإلقاء یلزم من رفع وجوب الاحتیاط الذی یحکم به العقل، و ترخیص العمل علی طبق الأمارات؛ ضرورة أنّه لو لم یکن التعبّد علی طبق الأمارات، و لم یرد من الشارع الترخیص فی رفع الاحتیاط لکان حکم العقل وجوب الاحتیاط فی جمیع الأطراف، فلم یلزم فوت المصلحة أو أخذ المفسدة، کما لا یخفی</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 فالتحقیق فی الجواب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بأس بالتفویت و الإلقاء إذا</w:t>
      </w:r>
    </w:p>
    <w:p>
      <w:pPr>
        <w:pStyle w:val="BookText"/>
        <w:rPr/>
      </w:pPr>
      <w:r>
        <w:rPr>
          <w:rFonts w:ascii="IRNazanin" w:hAnsi="IRNazanin" w:eastAsia="IRNazanin"/>
          <w:color w:val="111111"/>
          <w:sz w:val="28"/>
          <w:sz w:val="28"/>
          <w:szCs w:val="28"/>
          <w:rtl w:val="true"/>
          <w:lang w:bidi="fa-IR"/>
        </w:rPr>
        <w:t>کانت مصلحة التعبّد بالعمل علی طبق الأمارات أقوی، کما أنّ الأمر کان کذلک فی زمان الانفتاح؛ ضرورة أنّه لو کان کلّ من الناس مکلّفاً بالمراجعة إلی الإمام، و السؤال من شخصه یلزم بطلان أساس الشریعة؛ لأنّ مع عدم مراجعة الشیعة إلیهم إلاّ قلیلاً منهم کانوا علیهم السلام فی أعلی مراتب المحدودیة من طرف الخلفاء الاُمویة و العبّاسیة؛ بحیث لا یمکن لهم بیان الأحکام إلاّ فی الخفاء بالنسبة إلی أشخاص معدودة، فکیف إذا کان تکلیف الشیعة تحصیل العلم بالأحکام من طریق السؤال عن الإمام علیه السلام؟</w:t>
      </w:r>
    </w:p>
    <w:p>
      <w:pPr>
        <w:pStyle w:val="BookText"/>
        <w:rPr/>
      </w:pPr>
      <w:r>
        <w:rPr>
          <w:rFonts w:ascii="IRNazanin" w:hAnsi="IRNazanin" w:eastAsia="IRNazanin"/>
          <w:color w:val="111111"/>
          <w:sz w:val="28"/>
          <w:sz w:val="28"/>
          <w:szCs w:val="28"/>
          <w:rtl w:val="true"/>
          <w:lang w:bidi="fa-IR"/>
        </w:rPr>
        <w:t>و حینئذٍ فیجوز للشارع أن یجعل الأمارات الغیر العلمیة حجّة؛ نظراً إلی بقاء الشریعة، و من المعلوم أنّ المصلحة الفائتة من عدم إیجابه تحصیل العلم بالسؤال عنهم علیهم السلام بالنسبة إلی جماعة من المتشرّعین بها فانیة فی مقابل مصلحة بقاء الشریعة،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زمان الانسداد فلا إشکال فی أنّ طریق تحصیل العلم ینحصر بالاحتیاط التامّ، کما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التفویت المتوهّم إنّما یلزم من عدم إیجاب الشارع ذلک الاحتیاط؛ ضرورة أنّه لو أوجبه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مقتضی حکم 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یلزم تفویت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فلنا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عدم إیجاب الشارع یمکن أن یکون لأجل علمه بأنّه لو أوجب ذلک، مع تعسّره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لا یخفی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لکان الناس یرغبون عن أصل الشریعة، و یخرج الدین عن کونه سمحة سهلة، کیف فنحن نری بالوجدان أنّ فی هذا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سهولة العمل بالأحکام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یعملون بأکثرها، کما لا یخفی</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مجرّد الإمکان بمعنی الاحتمال یکفینا فی هذا المقام؛ إذ لسنا بصدد إثبات الإمکان الوقوعی؛ لعدم الاحتیاج إلیه، کما تقدّم</w:t>
      </w:r>
      <w:r>
        <w:rPr>
          <w:rFonts w:eastAsia="IRNazanin" w:cs="IRNazanin"/>
          <w:color w:val="111111"/>
          <w:sz w:val="28"/>
          <w:szCs w:val="28"/>
          <w:rtl w:val="true"/>
          <w:lang w:bidi="fa-IR"/>
        </w:rPr>
        <w:t>.</w:t>
      </w:r>
      <w:bookmarkStart w:id="740" w:name="pg11586_105004"/>
    </w:p>
    <w:p>
      <w:pPr>
        <w:pStyle w:val="Heading4"/>
        <w:numPr>
          <w:ilvl w:val="3"/>
          <w:numId w:val="1"/>
        </w:numPr>
        <w:rPr/>
      </w:pPr>
      <w:bookmarkStart w:id="741" w:name="__RefHeading___Toc5146161_73709187"/>
      <w:bookmarkStart w:id="742" w:name="_Toc280"/>
      <w:bookmarkEnd w:id="740"/>
      <w:bookmarkEnd w:id="741"/>
      <w:r>
        <w:rPr>
          <w:rtl w:val="true"/>
        </w:rPr>
        <w:t>دفع المحذور بناءً علی المصلحة السلوکیّة</w:t>
      </w:r>
      <w:bookmarkEnd w:id="742"/>
    </w:p>
    <w:p>
      <w:pPr>
        <w:pStyle w:val="BookText"/>
        <w:rPr/>
      </w:pPr>
      <w:r>
        <w:rPr>
          <w:rFonts w:ascii="IRNazanin" w:hAnsi="IRNazanin" w:eastAsia="IRNazanin"/>
          <w:color w:val="111111"/>
          <w:sz w:val="28"/>
          <w:sz w:val="28"/>
          <w:szCs w:val="28"/>
          <w:rtl w:val="true"/>
          <w:lang w:bidi="fa-IR"/>
        </w:rPr>
        <w:t>ثمّ إنّه أجاب الشیخ العلّامة الأنصاری قدس سره عن الإشکال بالتزام المصلحة السلوکیة</w:t>
      </w:r>
      <w:r>
        <w:rPr>
          <w:rStyle w:val="FootnoteAnchor"/>
          <w:rtl w:val="true"/>
        </w:rPr>
        <w:footnoteReference w:id="314"/>
      </w:r>
      <w:r>
        <w:rPr>
          <w:rFonts w:ascii="IRNazanin" w:hAnsi="IRNazanin" w:eastAsia="IRNazanin"/>
          <w:color w:val="111111"/>
          <w:sz w:val="28"/>
          <w:sz w:val="28"/>
          <w:szCs w:val="28"/>
          <w:rtl w:val="true"/>
          <w:lang w:bidi="fa-IR"/>
        </w:rPr>
        <w:t xml:space="preserve">، و فصّل ذلک المحقّق النائینی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فی التقریرات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ما 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سببیة الأمارة لحدوث المصلحة تتصوّر علی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الأمارة سبباً لحدوث مصلحة فی المؤدّی، تستتبع الحکم علی طبقها، بحیث لا یکون وراء الأمارة حکم فی حقّ من قامت عنده الإرادة فتکون الأحکام الواقعیة مختصّة بالعالم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هو التصویب الأشعری الذی قامت الضرورة علی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الأمارة سبباً لحدوث مصلحة فی المؤدّی أیضاً أقوی من مصلحة الواقع؛ بحیث یکون الحکم الفعلی فی حقّ من قامت عنده الأمارة هو المؤدّی، و إن کان فی الواقع أحکام یشترک فیها العالم و الجاهل علی طبق المصالح و المفاسد النفس الأمریة، إلاّ أنّ قیام الأمارة علی الخلاف یکون من قبیل الطوارئ و العوارض و العناوین الثانویة المغیّرة لجهة الحسن و القبح، نظیر الضرر و الحرج، و هذا هو التصویب المعتزلی الذی یتلو الوجه السابق فی الفساد و البطلان؛ لقیام الإجماع علی خلافه</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قیام الأمارة سبباً لحدوث مصلحة فی السلوک، مع بقاء الواقع و المؤدّی علی ما هما علیه من المصلحة و المفسدة، من دون أن یحدث فی المؤدّی مصلحة بسبب قیام الأمارة، بل المصلحة إنّما تکون فی تطرّق الطریق، و سلوک الأمارة، و تطبیق العمل علی مؤدّاها، و البناء علی أنّه الواقع</w:t>
      </w:r>
      <w:r>
        <w:rPr>
          <w:rFonts w:eastAsia="IRNazanin" w:cs="IRNazanin"/>
          <w:color w:val="111111"/>
          <w:sz w:val="28"/>
          <w:szCs w:val="28"/>
          <w:rtl w:val="true"/>
          <w:lang w:bidi="fa-IR"/>
        </w:rPr>
        <w:t>.</w:t>
      </w:r>
      <w:bookmarkStart w:id="743" w:name="pg11586_105005"/>
    </w:p>
    <w:p>
      <w:pPr>
        <w:pStyle w:val="BookText"/>
        <w:rPr/>
      </w:pPr>
      <w:bookmarkEnd w:id="743"/>
      <w:r>
        <w:rPr>
          <w:rFonts w:ascii="IRNazanin" w:hAnsi="IRNazanin" w:eastAsia="IRNazanin"/>
          <w:color w:val="111111"/>
          <w:sz w:val="28"/>
          <w:sz w:val="28"/>
          <w:szCs w:val="28"/>
          <w:rtl w:val="true"/>
          <w:lang w:bidi="fa-IR"/>
        </w:rPr>
        <w:t>و بهذه المصلحة السلوکیة یتدارک ما فات علی المکلّف من مصلحة الواقع بسبب قیام الأمارة علی خلافه</w:t>
      </w:r>
      <w:r>
        <w:rPr>
          <w:rStyle w:val="FootnoteAnchor"/>
          <w:rtl w:val="true"/>
        </w:rPr>
        <w:footnoteReference w:id="315"/>
      </w:r>
      <w:r>
        <w:rPr>
          <w:rFonts w:ascii="Amiri" w:hAnsi="Amiri" w:eastAsia="Amiri" w:cs="Amiri"/>
          <w:color w:val="111111"/>
          <w:sz w:val="28"/>
          <w:sz w:val="28"/>
          <w:szCs w:val="28"/>
          <w:rtl w:val="true"/>
          <w:lang w:bidi="ar-SA"/>
        </w:rPr>
        <w:t>، انتهی ملخّصاً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معنی لسلوک الأمارة و تطرّق الطریق إلاّ العمل علی طبق مؤدّاها، فإذا أخبر العادل بوجوب صلاة الجمعة مثلاً فسلوک هذه الأمارة و تطرّق الطریق لیس إلاّ الإتیان بصلاة الجمعة؛ إذ التصدیق الغیر العملی لا یصدق علیه السلوک علی طبقها، بل یتوقّف ذلک علی جعل العمل مطابقاً لها، الذی هو عبارة اخری عن الإتیان بمؤدّاها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الواضح أنّ التغایر بین المؤدّی و الإتیان به لیس إلاّ بالاعتبار؛ لتغایر بین الإیجاد و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فلم یبق فرق بین الوجه الثالث و الوجه الثانی الذی قامت الضرورة و الإجماع علی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الأمارات الشرعیة غالبها، بل جمیعها أمارات عقلائیة یعمل بها العقلاء فی معاملاتهم و سیاساتهم، و من الواضح أنّ الأمارات العقلائیة طرق محضة، لا مصلحة فی سلوکها أصلاً؛ إذ لیس المقصود بها إلاّ مجرّد الوصول إلی الواقع، من دون أن یکون فی سلوکها مصلحة، کما هو واضح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یتعلّق بالجواب عن محذور التفویت و الإلقاء</w:t>
      </w:r>
      <w:r>
        <w:rPr>
          <w:rFonts w:eastAsia="IRNazanin" w:cs="IRNazanin"/>
          <w:color w:val="111111"/>
          <w:sz w:val="28"/>
          <w:szCs w:val="28"/>
          <w:rtl w:val="true"/>
          <w:lang w:bidi="fa-IR"/>
        </w:rPr>
        <w:t>.</w:t>
      </w:r>
    </w:p>
    <w:p>
      <w:pPr>
        <w:pStyle w:val="Heading4"/>
        <w:numPr>
          <w:ilvl w:val="3"/>
          <w:numId w:val="1"/>
        </w:numPr>
        <w:rPr/>
      </w:pPr>
      <w:bookmarkStart w:id="744" w:name="__RefHeading___Toc5146163_73709187"/>
      <w:bookmarkStart w:id="745" w:name="_Toc281"/>
      <w:bookmarkEnd w:id="744"/>
      <w:r>
        <w:rPr>
          <w:rtl w:val="true"/>
        </w:rPr>
        <w:t>الجواب عن محذور اجتماع المثلین أو الضدّین</w:t>
      </w:r>
      <w:bookmarkEnd w:id="745"/>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اجتماع المثلین أو الضدّین أو النقیضین، فلا یخفی أنّه یمکن توجیهه بنحو لا یرد علیه ما حقّقناه فی مبحث اجتماع الأمر و النهی، من عدم ثبوت التضادّ بین الأحکام أصلاً، بأنّه کیف یجتمع الإرادة الحتمیة من المولی بفعل شیء أو ترکه، مع جعله قول العادل حجّة، الراجع إلی الترخیص فی الترک أو</w:t>
      </w:r>
    </w:p>
    <w:p>
      <w:pPr>
        <w:pStyle w:val="BookText"/>
        <w:rPr/>
      </w:pPr>
      <w:r>
        <w:rPr>
          <w:rFonts w:ascii="IRNazanin" w:hAnsi="IRNazanin" w:eastAsia="IRNazanin"/>
          <w:color w:val="111111"/>
          <w:sz w:val="28"/>
          <w:sz w:val="28"/>
          <w:szCs w:val="28"/>
          <w:rtl w:val="true"/>
          <w:lang w:bidi="fa-IR"/>
        </w:rPr>
        <w:t>الفعل، إذا قام علی نفی الوجوب أو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کون الشیء واجباً فی الواقع أنّه أراد المولی بالإرادة الحتمیة أن یوجده المکلّف فی الخارج، و بعثه إلیه بالبعث الفعلی، و معنی حجّیة قول العادل جواز تطبیق العمل علی طبق إخباره و متابعة قوله، فإذا أخبر بعدم وجوب ما یکون واجباً فی الواقع فمعنی حجّیة قوله یرجع إلی کون المکلّف مرخّصاً فی ترکه، و حینئذٍ فکیف یجتمع البعث الحتمی إلی الفعل و الإرادة الحتمیة مع الترخیص فی الترک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هذا التوجیه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أکثر الأجوبة التی أوردها الأعاظم فی کتبهم ممّا لا یرتبط بالإشکال؛ ضرورة أنّ دعوی عدم کون المقام مشتملاً علی حکمین؛ لأنّ الحجّیة غیر جعل الحکم، أو دعوی کون الحکم المجعول هو الحکم الطریقی الغیر المنافی للحکم الواقعی، أو غیرهما من الأجوبة التی سیأتی التعرّض لبعضها ممّا لا یرتبط بالإشکال؛ لأنّ بعد تسلیم تلک الأجوبة یبقی الإشکال بحاله،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فی الجواب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إشکال فی کون الأحکام الواقعیة الفعلیة مجعولة علی جمیع المکلّفین، من دون أن یکون للعلم دخل فی فعلیتها؛ لما عرفت فی بعض المباحث السابقة من أنّ المراد بالحکم الفعلی لیس إلاّ الأحکام التی اعطیت بید الإجراء، و کان المقصود بها أن یأخذها الناس، و یعملوا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لا فرق فیه بین أن یکون المکلّف عالماً بها أو جاهلاً، مضافاً إلی أنّ أخذ العلم بالحکم فی موضوعه مستحیل بداهة</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فالأحکام الفعلیة ثابتة بالنسبة إلی جمیع المکلّفین، کما أنّها ثابتة بالنسبة إلی القادر و العاجز، و لا اختصاص لها بخصوص القادر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حیث</w:t>
      </w:r>
    </w:p>
    <w:p>
      <w:pPr>
        <w:pStyle w:val="BookText"/>
        <w:rPr/>
      </w:pPr>
      <w:r>
        <w:rPr>
          <w:rFonts w:ascii="IRNazanin" w:hAnsi="IRNazanin" w:eastAsia="IRNazanin"/>
          <w:color w:val="111111"/>
          <w:sz w:val="28"/>
          <w:sz w:val="28"/>
          <w:szCs w:val="28"/>
          <w:rtl w:val="true"/>
          <w:lang w:bidi="fa-IR"/>
        </w:rPr>
        <w:t>یکون الجهل و العجز من الأعذار العقلیة؛ لعدم إمکان الانبعاث بالبعث مع الجهل به، أو عدم القدرة علی الإتیان بالمبعوث فلا محالة لا یکون المکلّف معاقباً علی المخالفة و مذموماً علیها، و قد حقّقنا فی مبحث الترتّب من مباحث الألفاظ أنّ التکلیفین باقیان علی فعلیتهما فی صورة التزاحم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عجز المکلّف صار سبباً لکونه معذوراً فی مخالفة أحدهما؛ لعدم قدرته علی امتثالهما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بینه و بین المقام فرق، و هو أنّ مخالفة المکلّف فی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أخطأت الأمارة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تکون مستندة إلی عذر عقلی؛ لأنّه لو لم تکن الأمارة حجّة من قبل الشارع لما وقع المکلّف فی مخالفة الواقع؛ لأنّه کان یعمل بمقتضی الاحتیاط الواجب بحکم العقل فی موارد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فتکون المخالفة مستندة إلی اعتبار الشارع قول العادل، و أمثاله من الأمارات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بمثل ما مرّ فی الجواب عن محذور التفویت و الإلقاء من أنّ جعل الشارع و اعتباره للأمارات یمکن أن یکون بملاحظة أنّه لو لم تکن الأمارة حجّة من قبل الشارع لکان مقتضی حکم العقل وجوب الاحتیاط علی الناس، و حینئذٍ فیلزم الحرج الشدید، و الاختلال العظیم، الموجب لرغبة أکثر الناس عن الشریعة، و خروجها عن کونها سمحة سهلة، و ذلک یوجب انتفاء المصلحة العظیمة؛ و هی مصلحة بقاء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فاعتبار قول العادل الراجع إلی الترخیص فیما لو أدّی علی خلاف الواقع، و قام علی نفی وجوب الواجب الواقعی لیس إلاّ لملاحظة حفظ الشرع الذی یکون ذا مصلحة عظیمة، فیرخّص فی ترک صلاة الجمعة الواجبة واقعاً القائمة علی نفی وجوبها الأمارة، لا لعدم کونها ذا مصلحة ملزمة، بل لرفع الید عن مصلحتها فی مقابل المصلحة التی هی أقوی منها بمراتب</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فوجوب صلاة الجمعة و إن کان حکماً فعلیاً إلاّ أنّ الشارع یرفع الید عن</w:t>
      </w:r>
    </w:p>
    <w:p>
      <w:pPr>
        <w:pStyle w:val="BookText"/>
        <w:rPr/>
      </w:pPr>
      <w:r>
        <w:rPr>
          <w:rFonts w:ascii="IRNazanin" w:hAnsi="IRNazanin" w:eastAsia="IRNazanin"/>
          <w:color w:val="111111"/>
          <w:sz w:val="28"/>
          <w:sz w:val="28"/>
          <w:szCs w:val="28"/>
          <w:rtl w:val="true"/>
          <w:lang w:bidi="fa-IR"/>
        </w:rPr>
        <w:t xml:space="preserve">مثله من بعض الأحکام الفعلیة لأجل مصلحة هی أقوی المصالح و أتمّها، فهو نظیر من یقطع یده لأجل حفظ نفسه فیما لو توقّف علیه، فقطع الید و إن لم یکن ذا مصلحة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یکون عین المفسدة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معارضته مع شیء آخر أقوی منه أوجب الإقدام علیه، مع کونه ذا مفسدة،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یجری فی جمیع الأمارات و الاُصول، و لا اختصاص له بالأوّل، فإنّ اعتبار قاعدتی الفراغ و التجاوز، و إلغاء الشکّ بعد الوقت، و عدم وجوب ترتیب الأثر علیه، مع أنّ ذلک قد یؤدّی إلی عدم الإتیان بالمأمور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بعضاً أو کلاًّ یمکن أن یکون لملاحظة أنّ تفویض الناس إلی ما یقتضیه عقولهم من ثبوت الاشتغال إلی أن یعلم الفراغ ربّما یوجب تنفّر الناس و إعراضهم عن أصل الشریعة؛ لعدم تحقّق العلم لهم بإتیان التکالیف واجدة لجمیع ما یعتبر فیها، إلاّ قلیلاً؛ ضرورة أنّ أکثرهم فی شکّ من ذلک غالباً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المصلحة التی هو أقوی المصالح أوجبت رفع الید عن بعض المصالح الضعیفة، و إن کان الحکم علی طبقها حکماً فعلیاً، و کان الإتیان بها محبوباً للمولی فی نفسها،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 من جمیع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الحکم الواقعی الفعلی عند قیام الأمارة علی خلافه یخرج عن الفعلیة، بمعنی أنّ المولی لا یرید إجرائه، فیصیر کالأحکام الإنشائیة التی لا یکون المقصود بها عمل الناس علی طبقها، إلاّ فی زمان ظهور دولة الحقّ بقیام صاحب الأمر علیه السلام، کالحکم بنجاسة العامّة علی ما فی بعض الروایات</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ما أفاده بعض محقّقی العصر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فی تقریرات بحثه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لا یعقل الحکم الإنشائی، بل الذی یکون فی الواقع هو إنشاء الأحکام، و هو عبارة عن تشریعها و جعلها علی موضوعاتها المقدّرة وجودها بجمیع ما اعتبر فیها من القیود و الشرائط علی نهج القضایا الحقیقیة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دعوی أنّ الحکم الواقعی فی مورد</w:t>
      </w:r>
      <w:bookmarkStart w:id="746" w:name="pg11586_105009"/>
    </w:p>
    <w:p>
      <w:pPr>
        <w:pStyle w:val="BookText"/>
        <w:rPr/>
      </w:pPr>
      <w:bookmarkEnd w:id="746"/>
      <w:r>
        <w:rPr>
          <w:rFonts w:ascii="IRNazanin" w:hAnsi="IRNazanin" w:eastAsia="IRNazanin"/>
          <w:color w:val="111111"/>
          <w:sz w:val="28"/>
          <w:sz w:val="28"/>
          <w:szCs w:val="28"/>
          <w:rtl w:val="true"/>
          <w:lang w:bidi="fa-IR"/>
        </w:rPr>
        <w:t>الأمارة لا یکون فعلیاً واضحة الفساد، فإنّه لا یمکن أن لا یکون الحکم فعلیاً إلاّ إذا اخذ فی موضوعه عدم قیام الأمارة علی الخلاف؛ بحیث یکون قیداً فی ذلک، و معه یعود محذور التصویب</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بالحکم الإنشائی هو الحکم الذی ینشئه العقلاء المقنّنین للقوانین العرفیة فی امورهم الدنیویة أیضاً، ثمّ یخصّصونه ببعض الأفراد، أو یقیّدونه ببعض القیود؛ ضرورة أنّ العقلاء فی جعل القوانین لیسوا بحیث یجعلون القانون بجمیع خصوصیاته؛ من حیث القیود أو الشمول، بل ینشئون الأحکام بنحو العموم أو الإطلاق، ثمّ یخصّصونه أو یقیّدونه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و لو قلنا بأنّ الأحکام الواقعیة کانت مجعولة علی موضوعاتها بجمیع ما اعتبر فیها من القیود و الشرائط لم یبق وجه للتمسّک بالإطلاق عند الشکّ فی کون الحکم مقیّداً، أو فی تقیّده بقید آخر؛ إذ مع فرض کون المتکلّم فی مقام البیان لا بدّ له من بیان الحکم المتعلّق بالموضوع بجمیع ما اعتبر فیه، و عند ذلک لا یبقی شکّ فی القید، و معه لا یجوز التمسّک بالإطلاق، کما لا یخفی</w:t>
      </w:r>
      <w:r>
        <w:rPr>
          <w:rFonts w:eastAsia="IRNazanin" w:cs="IRNazanin"/>
          <w:color w:val="111111"/>
          <w:sz w:val="28"/>
          <w:szCs w:val="28"/>
          <w:rtl w:val="true"/>
          <w:lang w:bidi="fa-IR"/>
        </w:rPr>
        <w:t>.</w:t>
      </w:r>
    </w:p>
    <w:p>
      <w:pPr>
        <w:pStyle w:val="Heading4"/>
        <w:numPr>
          <w:ilvl w:val="3"/>
          <w:numId w:val="1"/>
        </w:numPr>
        <w:rPr/>
      </w:pPr>
      <w:bookmarkStart w:id="747" w:name="__RefHeading___Toc5146165_73709187"/>
      <w:bookmarkStart w:id="748" w:name="_Toc282"/>
      <w:bookmarkEnd w:id="747"/>
      <w:r>
        <w:rPr>
          <w:rtl w:val="true"/>
        </w:rPr>
        <w:t>أجوبة الأعلام عن المشکلة و نقدها</w:t>
      </w:r>
      <w:bookmarkEnd w:id="748"/>
    </w:p>
    <w:p>
      <w:pPr>
        <w:pStyle w:val="BookText"/>
        <w:rPr/>
      </w:pPr>
      <w:r>
        <w:rPr>
          <w:rFonts w:ascii="IRNazanin" w:hAnsi="IRNazanin" w:eastAsia="IRNazanin"/>
          <w:color w:val="111111"/>
          <w:sz w:val="28"/>
          <w:sz w:val="28"/>
          <w:szCs w:val="28"/>
          <w:rtl w:val="true"/>
          <w:lang w:bidi="fa-IR"/>
        </w:rPr>
        <w:t xml:space="preserve">ثمّ إنّه تفصّی المحقّق المعاصر عن أصل الإشکال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فی التقریرات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الموارد التی توهّم وقوع التضادّ بین الأحکام الظاهریة و الواقعیة علی أنحاء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قیام الطرق و الأمارات</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مخالفة الاُصول المحرزة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تخلّف الاُصول الغیر المحرزة، و التفصّی عن الإشکال یختلف فی کلّ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باب الطرق و الأمارات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المجعول حکماً تکلیفیاً، حتّی یتوهّم التضادّ بینه و بین الحکم الواقعی، بل المجعول فیها إنّما هو الحجّیة و الوسطیة فی الإثبات، و هو أمر عقلائی، و ممّا تناله ید الجعل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فلیس حال الأمارة المخالفة إلاّ کحال العلم المخالف، فلا یکون فی البین إلاّ الحکم الواقعی فقط؛ أصاب الطریق الواقع أو أخطأ، فإنّه عند الإصابة یکون المؤدّی هو الحکم الواقعی، کالعلم الموافق، و یوجب تنجیز الواقع، و عند الخطأ یوجب المعذوریة و عدم صحّة المؤاخذة علیه، کالعلم المخالف، من دون أن یکون هناک حکم آخر مجعول</w:t>
      </w:r>
      <w:r>
        <w:rPr>
          <w:rStyle w:val="FootnoteAnchor"/>
          <w:rtl w:val="true"/>
        </w:rPr>
        <w:footnoteReference w:id="317"/>
      </w:r>
      <w:r>
        <w:rPr>
          <w:rFonts w:ascii="IRNazanin" w:hAnsi="IRNazanin" w:eastAsia="IRNazanin"/>
          <w:color w:val="111111"/>
          <w:sz w:val="28"/>
          <w:sz w:val="28"/>
          <w:szCs w:val="28"/>
          <w:rtl w:val="true"/>
          <w:lang w:bidi="fa-IR"/>
        </w:rPr>
        <w:t>، انتهی ملخّصاً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أفاده فی التفصّی عن الإشکال فی خصوص الأمارات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فی باب الأمارات و الطرق العقلائیة الإمضائیة حکم مجعول أصلاً، لا الحجّیة و لا الوسطیة فی الإثبات، و لا الحکم التعبّد به؛ ضرورة أنّه لیس فیها إلاّ مجرّد بناء العقلاء عملاً علی طبقها، و المعاملة معها معاملة العلم، من دون أن یکون هنا جعل فی البین، و الشارع أیضاً لم یتصرّف فیها، بل عمل بها، کما یعمل العقلاء فی امورهم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سلّم الجعل الشرعی فالمجعول فیها لیس إلاّ إیجاب العمل بالأمارات تعبّداً، کما یظهر بملاحظة الروایات الواردة فی ذلک، مثل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أردت حدیثاً فعلیک بهذا الجالس</w:t>
      </w:r>
      <w:r>
        <w:rPr>
          <w:rFonts w:eastAsia="IRNazanin" w:cs="IRNazanin"/>
          <w:color w:val="111111"/>
          <w:sz w:val="28"/>
          <w:szCs w:val="28"/>
          <w:rtl w:val="true"/>
          <w:lang w:bidi="fa-IR"/>
        </w:rPr>
        <w:t xml:space="preserve">» </w:t>
      </w:r>
      <w:r>
        <w:rPr>
          <w:rStyle w:val="FootnoteAnchor"/>
          <w:rtl w:val="true"/>
        </w:rPr>
        <w:footnoteReference w:id="318"/>
      </w:r>
      <w:r>
        <w:rPr>
          <w:rFonts w:ascii="IRNazanin" w:hAnsi="IRNazanin" w:eastAsia="IRNazanin"/>
          <w:color w:val="111111"/>
          <w:sz w:val="28"/>
          <w:sz w:val="28"/>
          <w:szCs w:val="28"/>
          <w:rtl w:val="true"/>
          <w:lang w:bidi="fa-IR"/>
        </w:rPr>
        <w:t>، مشیراً إلی زرارة، و قوله علیه السلام</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w:t>
      </w:r>
    </w:p>
    <w:p>
      <w:pPr>
        <w:pStyle w:val="BookText"/>
        <w:rPr/>
      </w:pPr>
      <w:r>
        <w:rPr>
          <w:rFonts w:ascii="IRNazanin" w:hAnsi="IRNazanin" w:eastAsia="IRNazanin"/>
          <w:color w:val="111111"/>
          <w:sz w:val="28"/>
          <w:sz w:val="28"/>
          <w:szCs w:val="28"/>
          <w:rtl w:val="true"/>
          <w:lang w:bidi="fa-IR"/>
        </w:rPr>
        <w:t>الحوادث الواقعة فارجعوا فیها إلی رواة أحادیثنا</w:t>
      </w:r>
      <w:r>
        <w:rPr>
          <w:rFonts w:eastAsia="IRNazanin" w:cs="IRNazanin"/>
          <w:color w:val="111111"/>
          <w:sz w:val="28"/>
          <w:szCs w:val="28"/>
          <w:rtl w:val="true"/>
          <w:lang w:bidi="fa-IR"/>
        </w:rPr>
        <w:t xml:space="preserve">» </w:t>
      </w:r>
      <w:r>
        <w:rPr>
          <w:rStyle w:val="FootnoteAnchor"/>
          <w:rtl w:val="true"/>
        </w:rPr>
        <w:footnoteReference w:id="319"/>
      </w:r>
      <w:r>
        <w:rPr>
          <w:rFonts w:ascii="IRNazanin" w:hAnsi="IRNazanin" w:eastAsia="IRNazanin"/>
          <w:color w:val="111111"/>
          <w:sz w:val="28"/>
          <w:sz w:val="28"/>
          <w:szCs w:val="28"/>
          <w:rtl w:val="true"/>
          <w:lang w:bidi="fa-IR"/>
        </w:rPr>
        <w:t>، و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بالأسدی</w:t>
      </w:r>
      <w:r>
        <w:rPr>
          <w:rFonts w:eastAsia="IRNazanin" w:cs="IRNazanin"/>
          <w:color w:val="111111"/>
          <w:sz w:val="28"/>
          <w:szCs w:val="28"/>
          <w:rtl w:val="true"/>
          <w:lang w:bidi="fa-IR"/>
        </w:rPr>
        <w:t xml:space="preserve">» </w:t>
      </w:r>
      <w:r>
        <w:rPr>
          <w:rStyle w:val="FootnoteAnchor"/>
          <w:rtl w:val="true"/>
        </w:rPr>
        <w:footnoteReference w:id="320"/>
      </w:r>
      <w:r>
        <w:rPr>
          <w:rFonts w:ascii="IRNazanin" w:hAnsi="IRNazanin" w:eastAsia="IRNazanin"/>
          <w:color w:val="111111"/>
          <w:sz w:val="28"/>
          <w:sz w:val="28"/>
          <w:szCs w:val="28"/>
          <w:rtl w:val="true"/>
          <w:lang w:bidi="fa-IR"/>
        </w:rPr>
        <w:t>؛ یعنی أبا بصیر، فإنّه لو استفید منها الجعل الشرعی، و اغمض عن کون جمیعها إرشاداً إلی الارتکاز العقلائی فظاهرها وجوب العمل علی قول العادل، لا جعل الحجّیة و الوسطیة،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العمدة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مع الغمض عن الإیرادین الأوّلین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أفاد من کون المجعول هو الوسطیة فی الإثبات لا یجدی فی دفع الإشکال؛ لما تقدّم فی توجیهه من أنّ مرجع الإشکال إلی استحالة اجتماع الإرادة الحتمیة المتعلّقة بإیجاد شیء، و الإرادة الجائیة من قبل الحجّیة الراجعة إلی الترخیص فی المخالفة فیما لو أخطأت الأمارة، و هذا لا یندفع بما ذکره، و لم یکن الإشکال منحصراً بالاجتماع فی خصوص الحکمین، حتّی یندفع بما ذکره من عدم کون المجعول فی باب الأمارات هو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أمّا ما أفاده فی باب الاُصول المحرزة فملخّصه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المجعول فیها هو البناء العملی علی أحد طرفی الشکّ علی أنّه الواقع، و إلغاء الطرف الآخر، و جعله کالعدم، فالمجعول فی الاُصول التنزیلیة لیس أمراً مغایراً للواقع، بل الجعل الشرعی إنّما تعلّق بالجری العملی علی المؤدّی، علی أنّه هو الواقع، کما یرشد إلیه قوله علیه السلام فی بعض أخبار قاعدة التجاوز</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قد رکعت</w:t>
      </w:r>
      <w:r>
        <w:rPr>
          <w:rFonts w:eastAsia="IRNazanin" w:cs="IRNazanin"/>
          <w:color w:val="111111"/>
          <w:sz w:val="28"/>
          <w:szCs w:val="28"/>
          <w:rtl w:val="true"/>
          <w:lang w:bidi="fa-IR"/>
        </w:rPr>
        <w:t xml:space="preserve">» </w:t>
      </w:r>
      <w:r>
        <w:rPr>
          <w:rStyle w:val="FootnoteAnchor"/>
          <w:rtl w:val="true"/>
        </w:rPr>
        <w:footnoteReference w:id="321"/>
      </w:r>
      <w:r>
        <w:rPr>
          <w:rFonts w:ascii="IRNazanin" w:hAnsi="IRNazanin" w:eastAsia="IRNazanin"/>
          <w:color w:val="111111"/>
          <w:sz w:val="28"/>
          <w:sz w:val="28"/>
          <w:szCs w:val="28"/>
          <w:rtl w:val="true"/>
          <w:lang w:bidi="fa-IR"/>
        </w:rPr>
        <w:t>، فإن کان</w:t>
      </w:r>
    </w:p>
    <w:p>
      <w:pPr>
        <w:pStyle w:val="BookText"/>
        <w:rPr/>
      </w:pPr>
      <w:r>
        <w:rPr>
          <w:rFonts w:ascii="IRNazanin" w:hAnsi="IRNazanin" w:eastAsia="IRNazanin"/>
          <w:color w:val="111111"/>
          <w:sz w:val="28"/>
          <w:sz w:val="28"/>
          <w:szCs w:val="28"/>
          <w:rtl w:val="true"/>
          <w:lang w:bidi="fa-IR"/>
        </w:rPr>
        <w:t>المؤدّی هو الواقع فهو، و إلّا کان الجری العملی واقعاً فی غیر محلّه، من دون أن یکون قد تعلّق بالمؤدّی حکم علی خلاف ما هو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المجعول فی باب الاُصول هو الهوهویة العملیة التی بنی علیها الشیخ فی باب الأمارات</w:t>
      </w:r>
      <w:r>
        <w:rPr>
          <w:rStyle w:val="FootnoteAnchor"/>
          <w:rtl w:val="true"/>
        </w:rPr>
        <w:footnoteReference w:id="322"/>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الجری و البناء العملی و الهوهویة العملیة لیس أمراً قابلاً للجعل الشرعی؛ لأنّه من الاُمور التکوینیة الغیر القابلة للجعل؛ ضرورة أنّه فعل للمکلّف، فإنّه هو الذی یعمل بمؤدّاها بما أنّه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قد رکع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یرشد إلی ما ذکرنا من رفع الید عن الحکم الفعلی، و الاکتفاء بخلوّ المأمور به عن بعض الأجزاء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 تقدیر تسلیم إمکان تعلّق الجعل الشرعی بالجری العملی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الذی أوجب علی المکلّف، و أجاز له البناء علی أنّ المؤدّی هو الواقع؟ فلا محالة یقال فی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الجاعل و الباعث له علی ذلک هو الشارع المرخّص فی العمل علی طبق الاُصول، و حینئذٍ فیعود الإشکال بأنّه کیف یجتمع ذلک مع الإرادة الحتمیة المتعلّقة بفعل المأمور به بجمیع أجزائه و شرائطه،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ذکر فی مقام التفصّی عن الإشکال فی الاُصول الغیر المحرزة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التفصیل فی متمّمات الجعل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للشکّ فی الحکم الواقعی اعتبارین</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من الحالات و الطوارئ اللاحقة للحکم الواقعی أو موضوعه، کحالتی العلم و الظن، و هو بهذا الاعتبار لا یمکن أخذه موضوعاً لحکم یضادّ الحکم الواقعی؛ لانحفاظ الحکم الواقعی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کونه موجباً للحیرة فی الواقع، و عدم کونه موصلاً إلیه و منجّزاً له، و هو بهذا الاعتبار یمکن أخذه موضوعاً لما یکون متمّماً للجعل و منجّزاً للواقع، کما أنّه یمکن أخذه موضوعاً لما یکون مؤمّناً عن الواقع حسب اختلاف مراتب الملاکات النفس الأمریة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کانت مصلحة الواقع مهمّة فی نظر الشارع کان علیه جعل المتمّم، لمصلحة احترام المؤمن و حفظ نفسه، فإنّه لمّا کان حفظ نفس المؤمن أولی بالرعایة و أهمّ فی نظر الشارع من مفسدة حفظ دم الکافر اقتضی ذلک تشریع حکم ظاهری طریقی بوجوب الاحتیاط فی موارد الشکّ؛ حفظاً لدمه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الحکم إنّما یکون فی طول الحکم للواقع، نشأ عن أهمّیة المصلحة الواقعیة؛ و لذا کان الخطاب بالاحتیاط خطاباً نفسیاً ناشئاً عن أهمّیة مصلحة الواقع، فهو واجب نفسی للغیر، لا واجب بالغیر؛ و لذا کان العقاب علی مخالفة التکلیف بالاحتیاط عند ترکه و أدائه إلی مخالفة الحکم الواقعی، لا علی مخالفة الواقع؛ لقبح العقاب علیه مع الجهل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مقتضی ذلک صحّة العقوبة علی مخالفة الاحتیاط، صادف الواقع أو خالفه؛ لکونه واجباً نفسیاً، و إن کان الغرض من وجوبه هو الوصلة إلی الأحکام الواقعیة، إلاّ أنّ تخلّف الغرض لا یوجب سقوط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خالف الاحتیاط، و أقدم علی قتل المشتبه، و صادف کونه مهدور الدم کان اللازم استحقاقه للعقوبة</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علل التشریع و علل الأحکام، و الذی لا یضرّ تخلّفه هو الأوّل؛ لأنّها تکون حکمة تشریع الأحکام، و أمّا علّة الحکم فالحکم یدور مدارها، و لا یمکن أن یتخلّف عنها، و لا إشکال أنّ الحکم بوجوب حفظ نفس المؤمن علّة للحکم بالاحتیاط؛ لأنّ أهمّیة ذلک أوجب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مضادّة بین إیجاب الاحتیاط و بین الحکم الواقعی، فإنّ المشتبه إن کان ممّا یجب حفظ نفسه واقعاً فوجوب الاحتیاط یتّحد مع الوجوب الواقعی، و یکون هو هو، و إن لم یکن کذلک فلا یجب الاحتیاط؛ لانتفاء علّته، و إنّما المکلّف یتخیّل وجوبه، هذا کلّه إذا کانت مصلحة الواقع تقتضی جعل المتمّم من إیجاب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تکن المصلحة الواقعیة بهذه المثابة من الأهمّیة فللشارع جعل المؤمّن بلسان الرفع کحدیث الرفع</w:t>
      </w:r>
      <w:r>
        <w:rPr>
          <w:rStyle w:val="FootnoteAnchor"/>
          <w:rtl w:val="true"/>
        </w:rPr>
        <w:footnoteReference w:id="323"/>
      </w:r>
      <w:r>
        <w:rPr>
          <w:rFonts w:ascii="IRNazanin" w:hAnsi="IRNazanin" w:eastAsia="IRNazanin"/>
          <w:color w:val="111111"/>
          <w:sz w:val="28"/>
          <w:sz w:val="28"/>
          <w:szCs w:val="28"/>
          <w:rtl w:val="true"/>
          <w:lang w:bidi="fa-IR"/>
        </w:rPr>
        <w:t>، أو بلسان الوضع کقوله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w:t>
      </w:r>
      <w:r>
        <w:rPr>
          <w:rFonts w:eastAsia="IRNazanin" w:cs="IRNazanin"/>
          <w:color w:val="111111"/>
          <w:sz w:val="28"/>
          <w:szCs w:val="28"/>
          <w:rtl w:val="true"/>
          <w:lang w:bidi="fa-IR"/>
        </w:rPr>
        <w:t xml:space="preserve">» </w:t>
      </w:r>
      <w:r>
        <w:rPr>
          <w:rStyle w:val="FootnoteAnchor"/>
          <w:rtl w:val="true"/>
        </w:rPr>
        <w:footnoteReference w:id="324"/>
      </w:r>
      <w:r>
        <w:rPr>
          <w:rFonts w:ascii="IRNazanin" w:hAnsi="IRNazanin" w:eastAsia="IRNazanin"/>
          <w:color w:val="111111"/>
          <w:sz w:val="28"/>
          <w:sz w:val="28"/>
          <w:szCs w:val="28"/>
          <w:rtl w:val="true"/>
          <w:lang w:bidi="fa-IR"/>
        </w:rPr>
        <w:t>، فإنّ المراد من الرفع لیس رفع التکلیف عن موطنه، بل رفع التکلیف عمّا یستتبعه من التبعات، و إیجاب الاحتیاط، فالرخصة المستفادة من حدیث الرفع نظیر الرخصة المستفادة من حکم العقل بقبح العقاب من دون بیان، فکما أنّ هذه الرخصة لا تنافی الحکم الواقعی کذلک الرخصة المستفادة من حدیث الرفع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السرّ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هذه الرخصة تکون فی طول الحکم الواقعی، و متأخّر رتبتها عنه؛ لأنّ الموضوع فیها هو الشکّ فی الحکم؛ من حیث کونه موجباً للحیرة فی الواقع و غیر موصل إلیه، فقد لوحظ فی الرخصة وجود الحکم الواقعی، و معه کیف یعقل أن تضادّ الحکم الواقعی</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الرخصة و الحلّیة المستفادة من حدیثی الرفع و الحلّ تکون فی عرض المنع و الحرمة المستفادة من إیجاب الاحتیاط، و قد عرفت أنّ إیجاب</w:t>
      </w:r>
    </w:p>
    <w:p>
      <w:pPr>
        <w:pStyle w:val="BookText"/>
        <w:rPr/>
      </w:pPr>
      <w:r>
        <w:rPr>
          <w:rFonts w:ascii="IRNazanin" w:hAnsi="IRNazanin" w:eastAsia="IRNazanin"/>
          <w:color w:val="111111"/>
          <w:sz w:val="28"/>
          <w:sz w:val="28"/>
          <w:szCs w:val="28"/>
          <w:rtl w:val="true"/>
          <w:lang w:bidi="fa-IR"/>
        </w:rPr>
        <w:t>الاحتیاط یکون فی طول الواقع و متفرّعاً علیه، فما یکون فی عرضه یکون فی طول الواقع أیضاً، إلاّ یلزم أن یکون ما فی طول الشیء فی عرضه</w:t>
      </w:r>
      <w:r>
        <w:rPr>
          <w:rStyle w:val="FootnoteAnchor"/>
          <w:rtl w:val="true"/>
        </w:rPr>
        <w:footnoteReference w:id="325"/>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الفرق بین أخذ الشکّ باعتبار کونه من الحالات و الطوارئ و بین أخذه باعتبار کونه موجباً للحیرة فی الواقع، دعوی المناط فی رفع التضادّ هو الأخذ علی الوجه الثانی ممّا لا محصّل له، فإنّ مجرّد الطولیة لو کان کافیاً فی رفع التضادّ فاللازم رفعه بناءً علی الوجه الأوّل أیضاً؛ لأنّ الحالات الطارئة أیضاً فی طول الواقع، و إن لم یکن کافیاً فیه، فالأخذ علی الوجه الثانی أیضاً لا یرفع التضادّ، بل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الاعتبارین مجرّد تغییر فی العبارة، و إلّا فلا فرق بینهما واقعاً،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أجاب به عن الإشکال الذی أورده علی نفسه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وجوب الاحتیاط واقعاً فی مورد الشکّ مع عدم کون المشکوک ممّا یجب حفظه؛ لکون وجوب حفظ المؤمن علّة للحکم بالاحتیاط، لا علّة للتشریع ممّا لا وجه له، فإنّ وجوب الاحتیاط حکم ظاهری مجعول لغرض حفظ الواقع، و لا بدّ أن یتعلّق حقیقة بکلّ مشکوک، سواء کان واجب الحفظ أم لم یکن، و إلّا فلو تعلّق بخصوص ما کان منطبقاً علی الواجب الواقعی فقط فیحتاج إلی متمّم آخر، فإنّ وجوب الاحتیاط المتعلّق علی المشکوک الواجب بحسب الواقع لا یصلح للداعویة نحو المشکوک کونه هو الواقع، و قاصر عن تحریک العبد نحوه، فیصیر جعل إیجاب الاحتیاط لغواً؛ لأنّ جمیع موارد الشکّ یکون تعلّق وجوب الاحتیاط بها مشکوکاً، کما لا یخفی</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أفاد من أنّ الرخصة، و کذا أصالة الحلّیة إنّما یکون فی</w:t>
      </w:r>
    </w:p>
    <w:p>
      <w:pPr>
        <w:pStyle w:val="BookText"/>
        <w:rPr/>
      </w:pPr>
      <w:r>
        <w:rPr>
          <w:rFonts w:ascii="IRNazanin" w:hAnsi="IRNazanin" w:eastAsia="IRNazanin"/>
          <w:color w:val="111111"/>
          <w:sz w:val="28"/>
          <w:sz w:val="28"/>
          <w:szCs w:val="28"/>
          <w:rtl w:val="true"/>
          <w:lang w:bidi="fa-IR"/>
        </w:rPr>
        <w:t>عرض الاحتیاط الذی هو فی طول الواقع، فلا بدّ أن تکون الرخصة أیضاً فی طوله ممنوع جدّاً؛ لأنّه قد ثبت فی محلّه أنّ ما فی عرض المتقدّم علی شیء لا یلزم أن یکون متقدّماً علیه؛ لأنّ التقدّم و التأخّر إنّما یثبت فی موارد ثبوت ملاکهما، کالعلّیة و المعلولیة، و لا معنی لثبوتهما من دون ملاک،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تقدیر تسلیم صحّته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یجدی فی رفع الإشکال بالتوجیه الذی ذکرناه،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ممّا تفصّی به عن الإشکال ما أفاده السیّد الأصفهانی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حکاه عنه المحقّق المعاصر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إشکال فی أنّ الأحکام إنّما تتعلّق بالمفاهیم المتصوّرة فی الذهن، لکن لا من حیث إنّها کذلک، بل من حیث إنّها حاکیة عن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المفهوم المتصوّر تارة یکون مطلوباً علی نحو الإطلاق، و اخری علی نحو التقیید، و علی الثانی فقد یکون ذلک لعدم المقتضی فی غیر المقیّد، و قد یکون لوجود المانع، مثلاً قد یکون عتق الرقبة مطلوباً علی سبیل الإطلاق، و قد یکون الغرض فی عتق الرقبة المؤمنة خاصّة، و قد یکون فی المطلق، إلاّ أنّ عتق الرقبة الکافرة مناف لغرضه الآخر، و لأجله قیّد العتق المطلوب بما إذا تحقّق فی الرقبة المؤمنة، فتقییده فی هذا القسم إنّما هو من جهة الکسر و الانکسار، لا لتضییق دائرة المقتضی</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یتوقّف علی تصوّر العنوان المطلوب أوّلاً مع العنوان الآخر المتّحد معه فی الوجود المخرج له عن المطلوبیة الفعلیة، فلو فرضنا عنوانین غیر مجتمعین فی الذهن فلا یعقل تحقّق الکسر و الانکسار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فاللازم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متی تصوّر العنوان الذی فیه جهة المطلوبیة یکون مطلوباً صرفاً، من دون تقیید و کذا العنوان الذی فیه جهة المبغوضیة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العنوان المتعلّق للأحکام الواقعیة مع العنوان المتعلّق للأحکام الظاهریة ممّا لا یجتمعان فی الوجود الذهنی، مثلاً إذا تصوّر الآمر صلاة الجمعة فلا یمکن أن یتصوّر معها إلاّ الحالات التی یمکن أن تتصف بها فی هذه الرتبة، مثل کونها فی المسجد أو فی الدار، و أمّا اتصافها بکون حکمها الواقعی مشکوکاً فلیس ممّا یتصوّر فی هذه الرتبة؛ لأنّ هذا الوصف إنّما یعرض الموضوع بعد تحقّق الحکم، و الأوصاف المتأخّرة عنه لا یمکن إدراجها فی موضوعه، فلا منافاة حینئذٍ بین الحکمین؛ لأنّ الجهة المطلوبیة ملحوظة فی ذات الموضوع مع قطع النظر عن الحکم، وجهة المبغوضیة ملحوظة مع لحاظه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العنوان المتأخّر و إن لم یکن متعقّلاً فی مرتبة تعقّل الذات و لکن الذات ملحوظة فی مرتبة تعقّل العنوان المتأخّر، فعند ملاحظة العنوان المتأخّر یجتمع العنوانان فی اللحاظ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ما یکون موضوعاً للحکم الواقعی الأوّلی مبنی علی قطع النظر عن الحکم، و تصوّره بعنوان کونه مشکوک الحکم لا بدّ و أن یکون بلحاظ الحکم، و لا یمکن الجمع بین لحاظ التجرّد عن الحکم و لحاظ ثبوته</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یرد علیه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عنوان کون الموضوع مشکوک الحکم لا یتوقّف علی تحقّقه قبله؛ ضرورة أنّه یمکن الشکّ فی حکم الموضوع مع عدم کونه محکوماً بحکم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فبین العنوانین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عنوان الموضوع بلحاظ حکمه الواقعی و عنوان کونه مشکوک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نسبة العموم من وجه؛ لأنّه کما یمکن أن یکون الموضوع معلوم الحکم فیتحقّق الافتراق من ناحیة الموضوع، کذلک یمکن أن یکون مشکوک الحکم مع عدم تحقّقه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و لو کان عنوان المشکوکیة</w:t>
      </w:r>
    </w:p>
    <w:p>
      <w:pPr>
        <w:pStyle w:val="BookText"/>
        <w:rPr/>
      </w:pPr>
      <w:r>
        <w:rPr>
          <w:rFonts w:ascii="IRNazanin" w:hAnsi="IRNazanin" w:eastAsia="IRNazanin"/>
          <w:color w:val="111111"/>
          <w:sz w:val="28"/>
          <w:sz w:val="28"/>
          <w:szCs w:val="28"/>
          <w:rtl w:val="true"/>
          <w:lang w:bidi="fa-IR"/>
        </w:rPr>
        <w:t>متوقّفاً علی سبق الحکم یلزم من وجود الشکّ العلم؛ لأنّ المفروض أنّ توقّفه علی سبق الحکم أمر مقطوع، فبعد الشکّ یقطع به، مع أنّه مستحیل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أنّه لو شکّ فی حکم الموضوع؛ من حیث الوجوب و التحریم مثلاً فاللازم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الموضوع فی الواقع واجباً و حراماً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سلّم أنّ تحقّق عنوان المشکوکیة فی الواقع یتوقّف علی سبق الحکم فلا نسلّم ذلک فی مقام جعل الأحکام، الذی لا یتوقّف إلاّ علی تصوّر موضوعاتها، فللمولی أن یجعل الحکم متعلّقاً بعنوان مشکوک الحکم قبل أن صدر منه حکم آخر متعلّق بذوات الموضوعات، و قد حقّقنا فی مبحث التعبّدی و التوصّلی إمکان أن یکون الموضوع مقیّداً بما لا یأتی إلاّ من قبل الحکم،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العمدة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أجاب به عن الإشکال الذی أورده علی نفسه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قلت ممّا لا یندفع به الإشکال أصلاً؛ لأنّ الموضوع المتصوّر المأخوذ موضوعاً للحکم الواقعی إمّا أن یکون مأخوذاً بشرط لا؛ من حیث کونه مشکوک الحکم، و إمّا أن یکون مأخوذاً لا بشرط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مرجع الأوّل إلی أنّ ثبوت الحکم الواقعی للموضوع إنّما هو فی صورة العلم بثبوته له، و هو تصویب قام الإجماع، بل الضرورة علی خلافه، و لو کان المراد هو الثانی فمن الواضح أنّ الشیء المأخوذ لا بشرط لا یأبی من الاجتماع مع بشرط شیء، و حینئذٍ فیجتمع الحکمان عند ملاحظة عنوان مشکوک الحکم، و جعل الحکم متعلّقاً به، کما لا یخفی</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قد تخلّص عن الإشکال بوجوه اخر، تعرّض لبعضها الاُستاذ مع الجواب عنه، و لکنّه لا فائدة فی التعرّض له بعد کونه مورداً للإشکال، و بعد الجواب عنه بما حقّقناه، فتأمّل فی المقام، فإنّه من مزالّ الأقدام</w:t>
      </w:r>
      <w:r>
        <w:rPr>
          <w:rFonts w:eastAsia="IRNazanin" w:cs="IRNazanin"/>
          <w:color w:val="111111"/>
          <w:sz w:val="28"/>
          <w:szCs w:val="28"/>
          <w:rtl w:val="true"/>
          <w:lang w:bidi="fa-IR"/>
        </w:rPr>
        <w:t>.</w:t>
      </w:r>
      <w:bookmarkStart w:id="749" w:name="pg11586_105019"/>
    </w:p>
    <w:p>
      <w:pPr>
        <w:pStyle w:val="BookText"/>
        <w:rPr/>
      </w:pPr>
      <w:bookmarkEnd w:id="749"/>
      <w:r>
        <w:rPr>
          <w:rFonts w:ascii="IRNazanin" w:hAnsi="IRNazanin" w:eastAsia="IRNazanin"/>
          <w:color w:val="111111"/>
          <w:sz w:val="28"/>
          <w:sz w:val="28"/>
          <w:szCs w:val="28"/>
          <w:rtl w:val="true"/>
          <w:lang w:bidi="fa-IR"/>
        </w:rPr>
        <w:t>فی تأسیس الأصل</w:t>
      </w:r>
    </w:p>
    <w:p>
      <w:pPr>
        <w:pStyle w:val="Heading3"/>
        <w:numPr>
          <w:ilvl w:val="2"/>
          <w:numId w:val="1"/>
        </w:numPr>
        <w:rPr/>
      </w:pPr>
      <w:bookmarkStart w:id="750" w:name="__RefHeading___Toc5146167_73709187"/>
      <w:bookmarkStart w:id="751" w:name="_Toc283"/>
      <w:bookmarkEnd w:id="750"/>
      <w:r>
        <w:rPr>
          <w:rtl w:val="true"/>
        </w:rPr>
        <w:t>المقام الثانی فی تأسیس الأصل</w:t>
      </w:r>
      <w:bookmarkEnd w:id="751"/>
    </w:p>
    <w:p>
      <w:pPr>
        <w:pStyle w:val="BookText"/>
        <w:rPr/>
      </w:pPr>
      <w:r>
        <w:rPr>
          <w:rFonts w:ascii="IRNazanin" w:hAnsi="IRNazanin" w:eastAsia="IRNazanin"/>
          <w:color w:val="111111"/>
          <w:sz w:val="28"/>
          <w:sz w:val="28"/>
          <w:szCs w:val="28"/>
          <w:rtl w:val="true"/>
          <w:lang w:bidi="fa-IR"/>
        </w:rPr>
        <w:t>یقع الکلام فی تأسیس الأصل الذی یعوّل علیه عند عدم الدلیل علی وقوع التعبّد بغیر العلم مطلقاً أو فی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التعبّد بالظنّ الذی لم یدلّ علی التعبّد به دلیل محرّم بالأدلّة الأربعة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یکفی من الکتاب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آللّهُ أَذِنَ لَکُمْ أَمْ عَلَی اللّهِ تَفْتَرُونَ</w:t>
      </w:r>
      <w:r>
        <w:rPr>
          <w:rFonts w:eastAsia="Amiri" w:cs="Amiri" w:ascii="Amiri" w:hAnsi="Amiri"/>
          <w:color w:val="111111"/>
          <w:sz w:val="28"/>
          <w:szCs w:val="28"/>
          <w:rtl w:val="true"/>
          <w:lang w:bidi="ar-SA"/>
        </w:rPr>
        <w:t xml:space="preserve">» </w:t>
      </w:r>
      <w:r>
        <w:rPr>
          <w:rStyle w:val="FootnoteAnchor"/>
          <w:rtl w:val="true"/>
        </w:rPr>
        <w:footnoteReference w:id="327"/>
      </w:r>
      <w:r>
        <w:rPr>
          <w:rFonts w:ascii="IRNazanin" w:hAnsi="IRNazanin" w:eastAsia="IRNazanin"/>
          <w:color w:val="111111"/>
          <w:sz w:val="28"/>
          <w:sz w:val="28"/>
          <w:szCs w:val="28"/>
          <w:rtl w:val="true"/>
          <w:lang w:bidi="fa-IR"/>
        </w:rPr>
        <w:t>دلّ علی أنّ ما لیس بإذن من اللّه من إسناد الحکم إلی الشارع فهو افتراء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فی عداد القضاة من أهل النار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رجل قضی بالحقّ، و هو لا یعلم</w:t>
      </w:r>
      <w:r>
        <w:rPr>
          <w:rFonts w:eastAsia="IRNazanin" w:cs="IRNazanin"/>
          <w:color w:val="111111"/>
          <w:sz w:val="28"/>
          <w:szCs w:val="28"/>
          <w:rtl w:val="true"/>
          <w:lang w:bidi="fa-IR"/>
        </w:rPr>
        <w:t xml:space="preserve">» </w:t>
      </w:r>
      <w:r>
        <w:rPr>
          <w:rStyle w:val="FootnoteAnchor"/>
          <w:rtl w:val="true"/>
        </w:rPr>
        <w:footnoteReference w:id="328"/>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ادعاه الفرید البهبهانی من عدم کون الجواز بدیهیاً عند</w:t>
      </w:r>
    </w:p>
    <w:p>
      <w:pPr>
        <w:pStyle w:val="BookText"/>
        <w:rPr/>
      </w:pPr>
      <w:r>
        <w:rPr>
          <w:rFonts w:ascii="IRNazanin" w:hAnsi="IRNazanin" w:eastAsia="IRNazanin"/>
          <w:color w:val="111111"/>
          <w:sz w:val="28"/>
          <w:sz w:val="28"/>
          <w:szCs w:val="28"/>
          <w:rtl w:val="true"/>
          <w:lang w:bidi="fa-IR"/>
        </w:rPr>
        <w:t>العوامّ، فضلاً عن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تقبیح العقلاء من یتکلّف من قبل مولاه بما لا یعلم بوروده من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فرق بین هذا و بین الاحتیاط الذی یستقلّ العقل بحسنه؛ لأنّه فرق بین الالتزام بشیء من قبل المولی علی أنّه منه، مع عدم العلم بأنّه منه، و بین الالتزام بإتیانه لاحتمال کونه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المحرّم هو العمل بغیر العلم متعبّداً به و متدیّناً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العمل به من دون تعبّد بمقتضاه فهو حسن إن کان لرجاء إدراک الواقع ما لم یعارضه احتیاط آخر، و لم یثبت من دلیل آخر وجوب العمل علی خلافه، کما لو ظنّ الوجوب، و اقتضی الاستصحاب الحرمة</w:t>
      </w:r>
      <w:r>
        <w:rPr>
          <w:rStyle w:val="FootnoteAnchor"/>
          <w:rtl w:val="true"/>
        </w:rPr>
        <w:footnoteReference w:id="329"/>
      </w:r>
      <w:r>
        <w:rPr>
          <w:rFonts w:ascii="IRNazanin" w:hAnsi="IRNazanin" w:eastAsia="IRNazanin"/>
          <w:color w:val="111111"/>
          <w:sz w:val="28"/>
          <w:sz w:val="28"/>
          <w:szCs w:val="28"/>
          <w:rtl w:val="true"/>
          <w:lang w:bidi="fa-IR"/>
        </w:rPr>
        <w:t>، انتهی موضع الحاجة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بالإسناد إلی الشارع هو التشریع الذی کان قبحه عقلاً و حرمته شرعاً مفروغاً عنه عندهم، و لکن کلّما تأمّلنا لم نعرف له معناً متصوّراً معقولاً، إذ الالتزام الحقیقی بما یعلم عدم ورود التعبّد من الشارع، أو لا یعلم وروده منه ممّا لا یمکن أن یتحقّق؛ لعدم کون الالتزامات النفسانیة تحت اختیار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الإسناد إلی الشارع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عبارة اخری عن البدعة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ممکن معقول، قد دلّ العقل و النقل علی خلافه، و أنّه أمر قبیح محرّم</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فالتعبّد بمقتضی الأمارة الغیر العلمیة التی لم یرد دلیل علی اعتبارها إن کان معناه هو العمل بمضمونها بعنوان أنّه من الشارع فهو ممّا لا یعقل، مع عدم العلم بورود التعبّد به من الشارع، و إن کان معناه هو إسناد مضمونها إلی الشارع قولاً فهو من مصادیق القول بغیر العلم الذی یحکم العقل بقبحه قطعاً،</w:t>
      </w:r>
    </w:p>
    <w:p>
      <w:pPr>
        <w:pStyle w:val="BookText"/>
        <w:rPr/>
      </w:pPr>
      <w:r>
        <w:rPr>
          <w:rFonts w:ascii="IRNazanin" w:hAnsi="IRNazanin" w:eastAsia="IRNazanin"/>
          <w:color w:val="111111"/>
          <w:sz w:val="28"/>
          <w:sz w:val="28"/>
          <w:szCs w:val="28"/>
          <w:rtl w:val="true"/>
          <w:lang w:bidi="fa-IR"/>
        </w:rPr>
        <w:t>و الدلیل النقلی بحرمته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ذکره من الأدلّة الأربعة لا یستفاد منها أزید من ذلک؛ لأنّ المراد بالافتراء فی قوله تعالی هو الکذب، کما هو معناه لغة، و کذا سائر الأدلّة لا یدلّ علی أزید من حرمة القول بغیر علم، و لا یدلّ شیء منها علی حرمة العمل بما لا یعلم بعنوان أنّه من المولی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المبحوث عنه فی المقام هو تأسیس الأصل فیما لا دلیل علی اعتباره، حتّی یتبع فی موارد الشکّ، فالاستدلال علی أنّ الأصل هو عدم الحجّیة بقبح التشریع و حرمته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عرفت فی کلام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 علی دعوی الملازمة بین الحجّیة و صحّة الإسناد، بمعنی أنّه کلّما صحّ 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إسناد مقتضاه إلی الشارع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حجّة، و کلّما لم یصحّ لا یکون بحجّة، فإذا قام الدلیل علی حرمة التشریع الذی یرجع إلی الإسناد إلی الشارع فیما لا یعلم یستفاد من ذلک عدم کونه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قد یورد علی دعوی الملازمة بالنقض بموارد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أفاده المحقّق الخراسانی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الظنّ علی تقدیر الحکومة حجّة عقلاً، مع أنّه لا یصحّ إسناد المضمون إلی الشارع فیه</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لکن 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تمامیة النقض، بناءً علی مبناه فی تقریر مقدّمات الانسداد من أنّ أحدها العلم الإجمالی بوجود التکالیف</w:t>
      </w:r>
      <w:r>
        <w:rPr>
          <w:rStyle w:val="FootnoteAnchor"/>
          <w:rtl w:val="true"/>
        </w:rPr>
        <w:footnoteReference w:id="331"/>
      </w:r>
      <w:r>
        <w:rPr>
          <w:rFonts w:ascii="IRNazanin" w:hAnsi="IRNazanin" w:eastAsia="IRNazanin"/>
          <w:color w:val="111111"/>
          <w:sz w:val="28"/>
          <w:sz w:val="28"/>
          <w:szCs w:val="28"/>
          <w:rtl w:val="true"/>
          <w:lang w:bidi="fa-IR"/>
        </w:rPr>
        <w:t>؛ لأنّه بناءً علی ذلک لا یکون الظنّ حجّة، بل الحجّة هو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حیث لا یمکن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لا یجب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الاحتیاط فی جمیع أطرافه فاکتفی بالعمل</w:t>
      </w:r>
    </w:p>
    <w:p>
      <w:pPr>
        <w:pStyle w:val="BookText"/>
        <w:rPr/>
      </w:pPr>
      <w:r>
        <w:rPr>
          <w:rFonts w:ascii="IRNazanin" w:hAnsi="IRNazanin" w:eastAsia="IRNazanin"/>
          <w:color w:val="111111"/>
          <w:sz w:val="28"/>
          <w:sz w:val="28"/>
          <w:szCs w:val="28"/>
          <w:rtl w:val="true"/>
          <w:lang w:bidi="fa-IR"/>
        </w:rPr>
        <w:t>بالمظنونات فقط، فالعمل بها لیس لکون الظنّ حجّة، بل لکونه أقرب إلی الوصول إلی الواقع،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المحقّق العراقی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فی تقریرات بحثه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النقض باحتمال التکلیف قبل الفحص، و بإیجاب الاحتیاط فی الشبهات البدویة</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احتمال التکلیف قبل الفحص لا یکون حجّة، بل الحجّة هی بیان التکلیف المذکور فی مظانّه الذی یعلم به بعد الفحص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العقل یحکم بقبح العقاب بلا بیان فیما إذا تفحّص و لم یجد، فعدم الفحص لا یقتضی أزید من عدم حکم العقل بقبحه فی مورده، لا أن یکون الاحتمال معه حجّة، کما أنّ إیجاب الاحتیاط فی الشبهات البدویة یمکن أن یقال بعدم کونه حجّة، بل إنّما هو رافع لحکم العقل بقبح العقاب الذی کان ثابتاً عند عدم إیجاب الاحتیاط؛ لأنّه لو شرب التتن مثلاً مع وجوب الاحتیاط علیه، و کان فی الواقع حراماً فهو یعاقب علی الإتیان بالمنهیّ عنه، لا علی مخالفة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یوجد مورد یتحقّق الانفکاک فیه بین الحجّیة و صحّة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یرد علی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ادعاء الملازمة بینهما إنّما هو مجرّد دعوی یحتاج إلی إقامة برهان، کما لا یخفی</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فالأولی فی تقریر الأصل ما أفاده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 الشکّ فی حجّیة شیء لا یترتّب علیه آثار الحجّیة قطعاً؛ ضرورة أنّ احتجاج المولی علی العبد لا یجوز إلاّ بما یعلم العبد بکونه حجّة منه علیه، فالآثار المرغوبة من الحجّة لا تکاد تترتّب إلاّ علی ما احرز اتصافها بالحجّیة الفعلیة؛ لقبح المؤاخذة علی مخالفة التکلیف مع الشکّ فی حجّیة الأمارة المصیبة، و نحو</w:t>
      </w:r>
    </w:p>
    <w:p>
      <w:pPr>
        <w:pStyle w:val="BookText"/>
        <w:rPr/>
      </w:pPr>
      <w:r>
        <w:rPr>
          <w:rFonts w:ascii="IRNazanin" w:hAnsi="IRNazanin" w:eastAsia="IRNazanin"/>
          <w:color w:val="111111"/>
          <w:sz w:val="28"/>
          <w:sz w:val="28"/>
          <w:szCs w:val="28"/>
          <w:rtl w:val="true"/>
          <w:lang w:bidi="fa-IR"/>
        </w:rPr>
        <w:t>ذلک من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فعدم حجّیة الأمارة التی شکّ فی اعتبارها شرعاً أمر مقطوع، یحکم به العقل جزماً</w:t>
      </w:r>
      <w:r>
        <w:rPr>
          <w:rStyle w:val="FootnoteAnchor"/>
          <w:rtl w:val="true"/>
        </w:rPr>
        <w:footnoteReference w:id="33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هنا یظهر الخلل فی استدلال الشیخ علی أصالة عدم الحجّیة بالأدلّة الأربعة، فإنّ الکلام هنا فی تأسیس الأصل الذی یتبع فی موارد الشکّ، و لم یقم بعد دلیل علی حجّیة ظواهر الکتاب أو السنّة الغیر القطعیة أو الإجماع مثلاً، حتّی یتمسّک بها علی أنّ الأصل فی موارد الشکّ یقتضی عدم الحجّیة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بأس بالتمسّک بالعقل لو کان حکمه بذلک قطعیاً،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قد یستدلّ علی أنّ الأصل عدم الحجّیة باستصحاب عدم الحجّیة و عدم وقوع التعبّد به، و إیجاب العمل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أورد علیه الشیخ قدس سره بأنّ الأصل و إن کان کذلک إلاّ أنّه لا یترتّب علی مقتضاه شیء، فإنّ حرمة العمل بالظنّ یکفی فی موضوعها مجرّد عدم العلم بورود التعبّد، من غیر حاجة إلی إحراز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أصالة عدم الحادث إنّما یحتاج إلیها فی الأحکام المترتّبة علی عدم ذلک الحادث، و أمّا الحکم المترتّب علی عدم العلم بذلک الحادث فیکفی فیه الشکّ فیه، و لا یحتاج إلی إحراز عدمه بحکم الأصل، و هذا نظیر قاعدة الاشتغال الحاکمة بوجوب الیقین بالفراغ، فإنّه لا یحتاج فی إجرائها إلی أصالة عدم فراغ الذمّة، بل یکفی فیها عدم العلم بالفراغ</w:t>
      </w:r>
      <w:r>
        <w:rPr>
          <w:rStyle w:val="FootnoteAnchor"/>
          <w:rtl w:val="true"/>
        </w:rPr>
        <w:footnoteReference w:id="334"/>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استشکل علی هذا الکلام المحقّق الخراسانی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التعلیقة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حاصله</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الحجّیة و عدمها، و کذا إیجاب التعبّد و عدمه بنفسهما ممّا یتطرّق إلیه الجعل، و تناله ید التصرّف من الشارع، و ما کان کذلک یکون الاستصحاب فیه جاریاً،</w:t>
      </w:r>
    </w:p>
    <w:p>
      <w:pPr>
        <w:pStyle w:val="BookText"/>
        <w:rPr/>
      </w:pPr>
      <w:r>
        <w:rPr>
          <w:rFonts w:ascii="IRNazanin" w:hAnsi="IRNazanin" w:eastAsia="IRNazanin"/>
          <w:color w:val="111111"/>
          <w:sz w:val="28"/>
          <w:sz w:val="28"/>
          <w:szCs w:val="28"/>
          <w:rtl w:val="true"/>
          <w:lang w:bidi="fa-IR"/>
        </w:rPr>
        <w:t>کان هناک أثر شرعی یترتّب علی المستصحب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أنّه لو کان الحجّیة و عدمها من الموضوعات الخارجیة التی لا یصحّ الاستصحاب فیها إلاّ بملاحظة الآثار الشرعیة المترتّبة علیها فإنّما لا یکون مجال لاستصحاب عدم الحجّیة فیما إذا لم یکن حرمة العمل إلاّ أثر الشکّ فیها، لا لعدمها 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کانت أثراً له أیضاً فالمورد و إن کان فی نفسه قابلاً لکل من الاستصحاب و القاعدة المضروبة لحکم هذا الشکّ إلاّ أنّه لا یجری فعلاً إلاّ الاستصحاب؛ لحکومته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کان الحکم الشرعی مترتّباً علی الواقع لیس إلاّ، فلا مجال إلاّ للاستصحاب، و إذا کان مترتّباً علی الشکّ فیه کذلک فلا مجال إلاّ للقاعدة، و إذا کان مترتّباً علی کلیهما، فالمورد و إن کان قابلاً لهما إلاّ أنّ الاستصحاب جار دونها؛ لحکومته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فیما نحن فیه و إن کان حکم حرمة العمل و التعبّد مترتّباً علی الشکّ فی الحجّیة إلاّ أنّه یکون مترتّباً أیضاً علی عدمها؛ لمکان ما دلّ علی حرمة الحکم بغیر ما أنزل اللّه، فیکون المتبع هو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انقدح الحال فی استصحاب الاشتغال و قاعدته، و أنّها لا تجری معه؛ لوروده علیها</w:t>
      </w:r>
      <w:r>
        <w:rPr>
          <w:rStyle w:val="FootnoteAnchor"/>
          <w:rtl w:val="true"/>
        </w:rPr>
        <w:footnoteReference w:id="335"/>
      </w:r>
      <w:r>
        <w:rPr>
          <w:rFonts w:ascii="Amiri" w:hAnsi="Amiri" w:eastAsia="Amiri" w:cs="Amiri"/>
          <w:color w:val="111111"/>
          <w:sz w:val="28"/>
          <w:sz w:val="28"/>
          <w:szCs w:val="28"/>
          <w:rtl w:val="true"/>
          <w:lang w:bidi="ar-SA"/>
        </w:rPr>
        <w:t>، انتهی ملخّصاً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قد أورد علی هذا الاستشکال المحقّق النائینی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فی تقریرات بحثه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أفاده أولاً من أنّ الحجّیة بنفسها من الأحکام، فلا یتوقّف جریان استصحاب عدمها علی أن یکون وراء المؤدّی أثر عملی</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اشتهر من أنّ الاُصول الحکمیة لا یتوقّف جریانها علی أن</w:t>
      </w:r>
    </w:p>
    <w:p>
      <w:pPr>
        <w:pStyle w:val="BookText"/>
        <w:rPr/>
      </w:pPr>
      <w:r>
        <w:rPr>
          <w:rFonts w:ascii="IRNazanin" w:hAnsi="IRNazanin" w:eastAsia="IRNazanin"/>
          <w:color w:val="111111"/>
          <w:sz w:val="28"/>
          <w:sz w:val="28"/>
          <w:szCs w:val="28"/>
          <w:rtl w:val="true"/>
          <w:lang w:bidi="fa-IR"/>
        </w:rPr>
        <w:t>یکون فی البین أثر عملی إنّما هو لأجل أنّ المؤدّی بنفسه من الآثار العملیة، و إلّا فلا یمکن أن تجری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و هی وظائف عملیة، و الحجّیة و إن کانت من الأحکام الوضعیّة، و کانت بنفسها ممّا تنالها ید الجعل إلاّ أنّها بوجودها الواقعی لا یترتّب علیها أثر عملی أصلاً، و الآثار المترتّبة علیها منها ما یترتّب علیها بوجودها العلمی، ککونها منجّزة و عذراً، و منها ما یترتّب علی نفس الشکّ فی حجّیتها، کحرمة التعبّد بها، و عدم جواز إسناد مؤدّاها إلی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فعدم الحجّیة الواقعیة بنفسه لا یقتضی الجری العملی، حتّی یجری استصحاب العدم؛ إذ لیس لإثبات عدم الحجّیة أثر إلاّ حرمة التعبّد بها، و هو حاصل بنفس الشکّ فی الحجّیة وجداناً؛ لما عرفت من أنّ الشکّ تمام الموضوع لحرمة التشریع و عدم جواز التعبّد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فجریان الاستصحاب لإثبات هذا الأثر یکون من تحصیل الحاصل، بل أسوأ حالاً منه؛ فإنّ تحصیل الحاصل فیما إذا کان المحصّل و الحاصل من سنخ واحد، کلاهما وجدانیان أو تعبّدیان، و فی المقام یلزم إحراز ما هو محرز بالوجدان بالتعبّد، فهو أسوأ حالاً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أفاده ثانیاً من أنّ حرمة التعبّد بالأمارة کما تکون أثراً للشکّ فی حجّیتها کذلک یکون أثراً لعدم حجّیتها واقعاً، ففی ظرف الشکّ یجری کلّ من الاستصحاب و القاعدة، و یقدّم الأوّل؛ لحکومته</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یعقل أن یکون الشکّ فی الواقع موضوعاً للأثر فی عرض الواقع، مع أنّه علی هذا الفرض لا یجری الاستصحاب أیضاً؛ لأنّ الأثر یترتّب بمجرّد الشکّ لتحقّق موضوعه، فلا یبقی مجال لجریان الاستصحاب؛ لأنّه لا تصل النوبة إلی إثبات بقاء الواقع؛ لیجری فیه الاستصحاب، فإنّه فی المرتبة السابقة علی هذا الإثبات تحقّق موضوع الأثر، و ترتّب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فائدة فی</w:t>
      </w:r>
    </w:p>
    <w:p>
      <w:pPr>
        <w:pStyle w:val="BookText"/>
        <w:rPr/>
      </w:pPr>
      <w:r>
        <w:rPr>
          <w:rFonts w:ascii="IRNazanin" w:hAnsi="IRNazanin" w:eastAsia="IRNazanin"/>
          <w:color w:val="111111"/>
          <w:sz w:val="28"/>
          <w:sz w:val="28"/>
          <w:szCs w:val="28"/>
          <w:rtl w:val="true"/>
          <w:lang w:bidi="fa-IR"/>
        </w:rPr>
        <w:t>جریان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قرع سمعک من أنّ الاستصحاب یکون حاکماً علی القاعدة المضروبة لحال الشکّ فإنّما هو فیما إذا کان ما یثبته الاستصحاب مغایراً لما تثبته القاعدة</w:t>
      </w:r>
      <w:r>
        <w:rPr>
          <w:rStyle w:val="FootnoteAnchor"/>
          <w:rtl w:val="true"/>
        </w:rPr>
        <w:footnoteReference w:id="336"/>
      </w:r>
      <w:r>
        <w:rPr>
          <w:rFonts w:ascii="Amiri" w:hAnsi="Amiri" w:eastAsia="Amiri" w:cs="Amiri"/>
          <w:color w:val="111111"/>
          <w:sz w:val="28"/>
          <w:sz w:val="28"/>
          <w:szCs w:val="28"/>
          <w:rtl w:val="true"/>
          <w:lang w:bidi="ar-SA"/>
        </w:rPr>
        <w:t>، انتهی ملخّصاً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التحقیق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ظهر من مطاوی ما ذکرنا أنّ هنا عناوین ثلاثة، قد وقع الخلط بینها فی الکلمات التی نقلناها عن الأعلام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بغیر علم الذی یدلّ علی حرمته الآیة و الروایة و العقل، و من الواضح أنّ الموضوع فیه إنّما هو نفس الشکّ و عدم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البدعة و التشریع، بمعنی إدخال ما لیس من الدین فی الدین، و إظهار أنّه منه، و هذا أمر واقعی لا ربط له بعلم المکلّف و جهله، فإنّ المکلّف قد یدخل فی الدین ما لا یکون باعتقاده منه، مع أنّه کان فی الواقع من الدین، فهذا لا یکون تشریعاً، و لا یعاقب علیه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قلنا باستحقاق المتجرّی للعقاب یترتّب علیه عقوبته، و قد یدخل فی الدین ما یکون باعتقاده منه، مع أنّه لیس فی الواقع منه، فهذا تشریع واقعاً، و لکنّ المکلّف معذور فی ارتکاب هذا الحرام؛ لجهله به</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الکذب الذی هو أعمّ من البدعة؛ إذ تختصّ هی بما إذا ادخل فی الدین و الشریعة أو نقّص منه، و الأوّل أعمّ منها و من الکذب فی غیر الأحکام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یخفی أنّ الکذب أیضاً عنوان واقعی؛ لأنّه لیس إلاّ مخالفة القول للواقع، لا للاعتقاد، فقد یتحقّق مع اعتقاد خلافه، و قد لا یتحقّق مع اعتقاد ثبوته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مع الشکّ فی حجّیة أصل أو أمارة یجری استصحاب عدم الحجّیة الراجع إلی عدم کونه من الدین، فیترتّب علیه أنّه لو أدخل فی الدین یکون تشریعاً و بدعة، فیخرج عن موضوع القول بغیر علم؛ لأنّ المراد بالعلم المأخوذ أعمّ من العلم الوجدانی و الظنّ الذی قام الدلیل علی اعتباره، فإذا ثبت بالاستصحاب عدم کونه من الدین، فیصیر من جملة ما علم أنّه لیس منه، فلو ارتکبه بأن أدخله فی الدین یعاقب علی البدعة و التشریع و الکذب مع المصادفة، و لا یعاقب علی أنّه قال بغیر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أسند إلی الشارع مضمون الأمارة التی شکّ فی حجّیتها، مع قطع النظر عن استصحاب عدم الحجّیة یعاقب علی القول بغیر العلم، و لا یعاقب علی البدعة؛ لأنّه کانت الشبهة شبهة مصداقیة لها، و لا یکون الحکم حجّة فی الشبهات المصداقیة لموضوعاتها، کما لا یخفی</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فانقدح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الشکّ فی الحجّیة کما أنّه موضوع لحرمة التعبّد و النسبة إلی الشارع، کذلک موضوع لاستصحاب عدم الحجّیة لما یترتّب علی عدمها من الأثر، و هو حرمة إدخاله فی الدین بعنوان أنّه منه، کما عرفت</w:t>
      </w:r>
      <w:r>
        <w:rPr>
          <w:rFonts w:eastAsia="IRNazanin" w:cs="IRNazanin"/>
          <w:color w:val="111111"/>
          <w:sz w:val="28"/>
          <w:szCs w:val="28"/>
          <w:rtl w:val="true"/>
          <w:lang w:bidi="fa-IR"/>
        </w:rPr>
        <w:t>.</w:t>
      </w:r>
      <w:bookmarkStart w:id="752" w:name="pg11586_105028"/>
    </w:p>
    <w:p>
      <w:pPr>
        <w:pStyle w:val="Heading3"/>
        <w:numPr>
          <w:ilvl w:val="2"/>
          <w:numId w:val="1"/>
        </w:numPr>
        <w:rPr/>
      </w:pPr>
      <w:bookmarkStart w:id="753" w:name="__RefHeading___Toc5146169_73709187"/>
      <w:bookmarkStart w:id="754" w:name="_Toc284"/>
      <w:bookmarkEnd w:id="752"/>
      <w:bookmarkEnd w:id="753"/>
      <w:r>
        <w:rPr>
          <w:rtl w:val="true"/>
        </w:rPr>
        <w:t>المقام الثالث فیما قیل أو یمکن أن یقال بخروجه عن الأصل</w:t>
      </w:r>
      <w:bookmarkEnd w:id="754"/>
    </w:p>
    <w:p>
      <w:pPr>
        <w:pStyle w:val="Heading4"/>
        <w:numPr>
          <w:ilvl w:val="3"/>
          <w:numId w:val="1"/>
        </w:numPr>
        <w:rPr/>
      </w:pPr>
      <w:bookmarkStart w:id="755" w:name="__RefHeading___Toc5146171_73709187"/>
      <w:bookmarkStart w:id="756" w:name="_Toc285"/>
      <w:bookmarkEnd w:id="755"/>
      <w:r>
        <w:rPr>
          <w:rtl w:val="true"/>
        </w:rPr>
        <w:t>اشارة</w:t>
      </w:r>
      <w:bookmarkEnd w:id="756"/>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یشتمل علی امور</w:t>
      </w:r>
      <w:r>
        <w:rPr>
          <w:rFonts w:eastAsia="IRNazanin" w:cs="IRNazanin"/>
          <w:color w:val="111111"/>
          <w:sz w:val="28"/>
          <w:szCs w:val="28"/>
          <w:rtl w:val="true"/>
          <w:lang w:bidi="fa-IR"/>
        </w:rPr>
        <w:t>:</w:t>
      </w:r>
      <w:bookmarkStart w:id="757" w:name="pg11586_105030"/>
    </w:p>
    <w:p>
      <w:pPr>
        <w:pStyle w:val="Heading4"/>
        <w:numPr>
          <w:ilvl w:val="3"/>
          <w:numId w:val="1"/>
        </w:numPr>
        <w:rPr/>
      </w:pPr>
      <w:bookmarkStart w:id="758" w:name="__RefHeading___Toc5146173_73709187"/>
      <w:bookmarkStart w:id="759" w:name="_Toc286"/>
      <w:bookmarkEnd w:id="757"/>
      <w:bookmarkEnd w:id="758"/>
      <w:r>
        <w:rPr>
          <w:rtl w:val="true"/>
        </w:rPr>
        <w:t>الأمر الأوّل ظواهر کلمات الشارع</w:t>
      </w:r>
      <w:bookmarkEnd w:id="759"/>
    </w:p>
    <w:p>
      <w:pPr>
        <w:pStyle w:val="BookText"/>
        <w:rPr/>
      </w:pPr>
      <w:r>
        <w:rPr>
          <w:rFonts w:ascii="IRNazanin" w:hAnsi="IRNazanin" w:eastAsia="IRNazanin"/>
          <w:color w:val="111111"/>
          <w:sz w:val="28"/>
          <w:sz w:val="28"/>
          <w:szCs w:val="28"/>
          <w:rtl w:val="true"/>
          <w:lang w:bidi="fa-IR"/>
        </w:rPr>
        <w:t>لا یخفی أنّ حجّیة کلام المتکلّم، و الاحتجاج به علیه یتوقّف علی طیّ مراحل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صدور الکلام منه، و المتکفّل لذلک فی الشرعیات هو بحث حجّیة خبر الواحد الذی سیجیء فیما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الکلام الصادر من المتکلّم له ظهور، و هذا یتوقّف إثباته علی التبادر و صحّة السلب و قول اللغویین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کون هذا الظاهر مراداً له بالإرادة الاستعمالیة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تلک الإرادة مطابقة للإرادة الجدّیة</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شبهة فی أنّ الأصل العقلائی یحکم فی المرحلة الثالثة بکون الظاهر مراداً له بالإرادة الاستعمالیة؛ لأنّ احتمال عدم کونه مراداً منشأه احتمال الغلط و الخطأ، و هو منفی عندهم، و لا یعتنون بالشکّ فیه، کما هو بناؤهم فی سائر أفعال الفاعلین، فإنّهم یحملونها علی کونها صادرة من فاعلها علی نحو العمد و الاختیار، لا الخطأ و الاشتباه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صدر من المتکلّم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 شکّ فی أنّ مقصوده</w:t>
      </w:r>
    </w:p>
    <w:p>
      <w:pPr>
        <w:pStyle w:val="BookText"/>
        <w:rPr/>
      </w:pPr>
      <w:r>
        <w:rPr>
          <w:rFonts w:ascii="IRNazanin" w:hAnsi="IRNazanin" w:eastAsia="IRNazanin"/>
          <w:color w:val="111111"/>
          <w:sz w:val="28"/>
          <w:sz w:val="28"/>
          <w:szCs w:val="28"/>
          <w:rtl w:val="true"/>
          <w:lang w:bidi="fa-IR"/>
        </w:rPr>
        <w:t>هل هو زید أو کان مقصوده عمراً، غایة الأمر أنّه تکلّم بکلمة زید اشتباهاً و خطأً فلا شبهة فی عدم اعتنائهم بهذا الشکّ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فی هذه المرحلة إلاّ أصالة عدم الخطأ و الاشتباه، و أمّا أصالة الحقیقة أو أصالة عدم التخصیص أو التقیید فلا یجدی شیء منها فی هذه المرحلة؛ لما حقّقناه سابقاً من أنّ المجاز لیس عبارة عن استعمال اللفظ فی غیر الموضوع له، کیف و إلّا لا یکون فیه حسن أصلاً، بل هو عبارة عن استعمال اللفظ فی الموضوع له، غایة الأمر أنّه قد ادّعی کون المعنی المجازی من مصادیق المعنی الحقیقی نظیر ما ذکره السکّاکی فی خصوص الاستعارة</w:t>
      </w:r>
      <w:r>
        <w:rPr>
          <w:rStyle w:val="FootnoteAnchor"/>
          <w:rtl w:val="true"/>
        </w:rPr>
        <w:footnoteReference w:id="337"/>
      </w:r>
      <w:r>
        <w:rPr>
          <w:rFonts w:ascii="IRNazanin" w:hAnsi="IRNazanin" w:eastAsia="IRNazanin"/>
          <w:color w:val="111111"/>
          <w:sz w:val="28"/>
          <w:sz w:val="28"/>
          <w:szCs w:val="28"/>
          <w:rtl w:val="true"/>
          <w:lang w:bidi="fa-IR"/>
        </w:rPr>
        <w:t>، علی تفاوت بینه و بین 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فاللفظ فی الاستعمال المجازی لا یکون مستعملاً إلاّ فی المعنی الحقیقی، و لا فرق بینه و بین استعماله فی معناه الحقیقی، و إرادته منه من هذه الجهة أصلاً، فأصالة الحقیقة غیر مجدیة فی تعیین المراد الاستعمالی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أصالة العموم و الإطلاق فقد عرفت فی مبحثهما أنّ العامّ المخصّص لا یکون مجازاً، و لم یکن لفظه مستعملاً فی ما عدا مورد التخصیص، بل کان المراد بالإرادة الاستعمالیة فی العامّ المخصّص و غیره واحداً، بلا تفاوت من حیثیة الاستعمال أصلاً، و کذا أصالة الإطلاق، فهما أیضاً لا یرتبطان بهذه المرحلة</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العجب من المحقّق العراقی قدس سره أنّه مع اعترافه بکون المراد الاستعمالی فی العامّ المخصّص و المطلق المقیّد هو العموم و الإطلاق</w:t>
      </w:r>
      <w:r>
        <w:rPr>
          <w:rStyle w:val="FootnoteAnchor"/>
          <w:rtl w:val="true"/>
        </w:rPr>
        <w:footnoteReference w:id="338"/>
      </w:r>
      <w:r>
        <w:rPr>
          <w:rFonts w:ascii="IRNazanin" w:hAnsi="IRNazanin" w:eastAsia="IRNazanin"/>
          <w:color w:val="111111"/>
          <w:sz w:val="28"/>
          <w:sz w:val="28"/>
          <w:szCs w:val="28"/>
          <w:rtl w:val="true"/>
          <w:lang w:bidi="fa-IR"/>
        </w:rPr>
        <w:t>ذکر علی ما فی تقریرات بحثه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الذی یرفع الشکّ فی مطابقة الإرادة الاستعمالیة لظهور</w:t>
      </w:r>
    </w:p>
    <w:p>
      <w:pPr>
        <w:pStyle w:val="BookText"/>
        <w:rPr/>
      </w:pPr>
      <w:r>
        <w:rPr>
          <w:rFonts w:ascii="IRNazanin" w:hAnsi="IRNazanin" w:eastAsia="IRNazanin"/>
          <w:color w:val="111111"/>
          <w:sz w:val="28"/>
          <w:sz w:val="28"/>
          <w:szCs w:val="28"/>
          <w:rtl w:val="true"/>
          <w:lang w:bidi="fa-IR"/>
        </w:rPr>
        <w:t>الکلام هی الاُصول العدمیة، من أصالة عدم القرینة و أصالة عدم التخصیص و التقیید</w:t>
      </w:r>
      <w:r>
        <w:rPr>
          <w:rStyle w:val="FootnoteAnchor"/>
          <w:rtl w:val="true"/>
        </w:rPr>
        <w:footnoteReference w:id="33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أمّا المرحلة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فالأصل فیها هو أصالة تطابق الإرادتین الاستعمالیة و الجدّیة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الأصل یرفع الشکّ عن احتمال المجازیة و التخصیص و التقیید، و أمّا أصالة الحقیقة و أصالة العموم و أصالة الإطلاق فلیست اصولاً مستقلّة، بل مرجعها إلی أصالة التطابق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أصالة عدم القرینة فلیست أصلاً مستقلاًّ أیضاً؛ لأنّ منشأ احتمال وجود القرینة و عدمها فعلاً إمّا عدم ذکر المتکلّم لها عمداً، و إمّا عدم ذکره سهواً و اشتباهاً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الثانی یکون الأصل هو أصالة عدم الخطأ و الاشتباه، و علی الأوّل یکون الأصل هو إفادة المتکلّم جمیع مرامه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لو کان المنشأ هو احتمال إسقاط الواسطة القرینة فاحتمال إسقاطه سهواً منفی أیضاً بأصالة عدم الخطأ و الاشتباه، و احتمال إسقاطه عمداً منفی باعتبار الوثاقة فیه، فلم یوجد مورد یحتاج فیه إلی أصالة عدم القرینة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أصالة الظهور التی تمسّک بها کثیر من المحقّقین فلا یخفی أنّ إسناد الأصل إلی الظهور مجرّداً لا معنی له، و حینئذٍ فلا بدّ إمّا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الأصل هو کون هذا المعنی ظاهراً للّفظ، و إمّا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الأصل هو کون الظهور مراداً للمتکلّم بالإرادة الجدّیة، و من المعلوم أنّ الأوّل لا ارتباط له بمسألة حجّیة الظواهر، و الثانی مرجعه إلی أصالة تطابق الإرادتین المتقدّمة، و لا یکون أصلاً برأسه</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فانقدح من جمیع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الأصل الجاری فی تعیین المراد الاستعمالی</w:t>
      </w:r>
    </w:p>
    <w:p>
      <w:pPr>
        <w:pStyle w:val="BookText"/>
        <w:rPr/>
      </w:pPr>
      <w:r>
        <w:rPr>
          <w:rFonts w:ascii="IRNazanin" w:hAnsi="IRNazanin" w:eastAsia="IRNazanin"/>
          <w:color w:val="111111"/>
          <w:sz w:val="28"/>
          <w:sz w:val="28"/>
          <w:szCs w:val="28"/>
          <w:rtl w:val="true"/>
          <w:lang w:bidi="fa-IR"/>
        </w:rPr>
        <w:t>هو أصالة عدم الغلط و الخطأ و الاشتباه، و الجاری فی تعیین المراد الجدّی هو أصالة التطابق بین الإرادتین، و لا إشکال فی أنّها أصل معتمد عند العقلاء، و لا فرق فی حجّیة الظهورات عندهم بین صورتی حصول الظنّ الشخصی بالوفاق و عدمه، کما أنّه لا فرق بین صورتی حصول الظنّ الشخصی بالخلاف و عدمه، و لا بین من قصد إفهامه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ما حکی عن المحقّق القمی من التفصیل بین من قصد إفهامه و غیره</w:t>
      </w:r>
      <w:r>
        <w:rPr>
          <w:rStyle w:val="FootnoteAnchor"/>
          <w:rtl w:val="true"/>
        </w:rPr>
        <w:footnoteReference w:id="340"/>
      </w:r>
      <w:r>
        <w:rPr>
          <w:rFonts w:ascii="IRNazanin" w:hAnsi="IRNazanin" w:eastAsia="IRNazanin"/>
          <w:color w:val="111111"/>
          <w:sz w:val="28"/>
          <w:sz w:val="28"/>
          <w:szCs w:val="28"/>
          <w:rtl w:val="true"/>
          <w:lang w:bidi="fa-IR"/>
        </w:rPr>
        <w:t>؛ لأنّ دعواه ممنوعة صغری و کبری؛ لأنّ بناء العقلاء علی العمل بالظواهر مطلقاً إلاّ فیما إذا احرز أن یکون بین المتکلّم و المخاطب طریقة خاصّة من المحاورة علی خلاف المتعارف، فإنّه لا یجوز الأخذ بظاهر کلامه لغیر المخاطب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 دعوی اختصاص الخطابات الصادرة عن الأئمّة علیهم السلام بخصوص المخاطبین بتلک الخطابات، و أنّهم هم المقصودون بالإفهام، ممنوعة جدّاً؛ ضرورة أنّ کلامهم لا یکون إلاّ مثل الکتب المؤلّفة التی لا یکون المقصود منها إلاّ نفی بیان المعانی، من غیر مدخلیة لمخاطب خاصّ،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لا فرق أیضاً فی حجّیة الظواهر بین ظهور الکتاب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حکی من الأخباریین من عدم حجّیة ظواهر الکتاب ففساده أظهر من أن یخفی</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استدلّوا علی ذلک بوجوه ضعیفة،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التحریف الذی قام الإجماع، بل الضرورة من الشیعة علی خلافه، و یدلّ علی بطلانه الأخبار الکثیرة، و یساعده الوجوه العقلیة أیضاً، و منها غیر ذلک ممّا ذکر مع جوابها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w:t>
      </w:r>
      <w:r>
        <w:rPr>
          <w:rStyle w:val="FootnoteAnchor"/>
          <w:rtl w:val="true"/>
        </w:rPr>
        <w:footnoteReference w:id="341"/>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bookmarkStart w:id="760" w:name="pg11586_105034"/>
    </w:p>
    <w:p>
      <w:pPr>
        <w:pStyle w:val="BookText"/>
        <w:rPr/>
      </w:pPr>
      <w:bookmarkEnd w:id="760"/>
      <w:r>
        <w:rPr>
          <w:rFonts w:ascii="Amiri" w:hAnsi="Amiri" w:eastAsia="Amiri" w:cs="Amiri"/>
          <w:color w:val="111111"/>
          <w:sz w:val="28"/>
          <w:sz w:val="28"/>
          <w:szCs w:val="28"/>
          <w:rtl w:val="true"/>
          <w:lang w:bidi="ar-SA"/>
        </w:rPr>
        <w:t>قول اللّغوی</w:t>
      </w:r>
    </w:p>
    <w:p>
      <w:pPr>
        <w:pStyle w:val="Heading4"/>
        <w:numPr>
          <w:ilvl w:val="3"/>
          <w:numId w:val="1"/>
        </w:numPr>
        <w:rPr/>
      </w:pPr>
      <w:bookmarkStart w:id="761" w:name="__RefHeading___Toc5146175_73709187"/>
      <w:bookmarkStart w:id="762" w:name="_Toc287"/>
      <w:bookmarkEnd w:id="761"/>
      <w:r>
        <w:rPr>
          <w:rtl w:val="true"/>
        </w:rPr>
        <w:t>الأمر الثانی قول اللّغوی</w:t>
      </w:r>
      <w:bookmarkEnd w:id="762"/>
    </w:p>
    <w:p>
      <w:pPr>
        <w:pStyle w:val="BookText"/>
        <w:rPr/>
      </w:pPr>
      <w:r>
        <w:rPr>
          <w:rFonts w:ascii="IRNazanin" w:hAnsi="IRNazanin" w:eastAsia="IRNazanin"/>
          <w:color w:val="111111"/>
          <w:sz w:val="28"/>
          <w:sz w:val="28"/>
          <w:szCs w:val="28"/>
          <w:rtl w:val="true"/>
          <w:lang w:bidi="fa-IR"/>
        </w:rPr>
        <w:t>و استدلّ علی حجّیته بأنّ اللغوی من أهل الخبرة و الصناعة، و بناء العقلاء علی الرجوع إلی أهل الخبرة من کلّ صنعة فیما اختصّ بها، فإنّ رجوع الجاهل إلی العالم من الارتکازیات التی لا ریب فیها عند العقلاء، و لم یثبت من الشارع ردع عن هذا البناء، فمن ذلک یستکشف رضاه بالمراجعة إلی اللغة، و تشخیص موضوعات الأحکام منها،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قد اجیب عن ذلک بمنع کون اللغوی من أهل الخبرة؛ ضرورة أنّ همّه تشخیص موارد الاستعمال، و أنّ اللّفظ الفلانی قد استعمل فی معنی واحد أو متعدّد، و أمّا تعیین الحقائق من المجازات و المشترکات من غیرها فلا یستفاد من کتب اللغة أصلاً، بل و لا یدعیه لغوی أیضاً</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لکن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سلّمنا الصغری، و أنّ اللغوی من أهل الخبرة و الصناعة فإثبات الکبری فی غایة الإشکال؛ لما هو واضح من أنّ حجّیة بناء</w:t>
      </w:r>
    </w:p>
    <w:p>
      <w:pPr>
        <w:pStyle w:val="BookText"/>
        <w:rPr/>
      </w:pPr>
      <w:r>
        <w:rPr>
          <w:rFonts w:ascii="IRNazanin" w:hAnsi="IRNazanin" w:eastAsia="IRNazanin"/>
          <w:color w:val="111111"/>
          <w:sz w:val="28"/>
          <w:sz w:val="28"/>
          <w:szCs w:val="28"/>
          <w:rtl w:val="true"/>
          <w:lang w:bidi="fa-IR"/>
        </w:rPr>
        <w:t>العقلاء فی الاُمور الشرعیة إنّما یتوقّف علی إحراز رضا الشارع بتبعیة ذلک البناء، و لو کان ذلک مستکشفاً من عدم الردع عنه، مع کونه بمرأی و مسمع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أنّ کاشفیة عدم الردع عن الرضا إنّما هو فیما لو کان بناء العقلاء علی أمر متصلاً بزمان الشارع، و ثابتاً فیه، و إثبات ذلک فی المقام مشکل؛ لعدم إحراز أنّه کان فی زمن الشارع علم مدوّن مورد لمراجعة الناس، و کان ذلک بمنظرٍ منهم، فإنّ الظاهر أنّ علم اللغة من العلوم المستحدثة فی القرون المتأخّرة عن زمن الشارع، فلیس ذلک کالبناء علی العمل بخبر الواحد و الید و أصالة الصحّة، بل و التقلید، فإنّ الظاهر ثبوته فی زمان الأئمّة علیهم السلام، کما یظهر من الروایات</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یثبت مراجعة الناس إلی أهل اللغة فی زمانهم علیهم السلام، حتّی یستکشف من عدم الردع الرضا و الإمضاء، کما لا یخفی</w:t>
      </w:r>
      <w:r>
        <w:rPr>
          <w:rFonts w:eastAsia="IRNazanin" w:cs="IRNazanin"/>
          <w:color w:val="111111"/>
          <w:sz w:val="28"/>
          <w:szCs w:val="28"/>
          <w:rtl w:val="true"/>
          <w:lang w:bidi="fa-IR"/>
        </w:rPr>
        <w:t>.</w:t>
      </w:r>
      <w:bookmarkStart w:id="763" w:name="pg11586_105036"/>
    </w:p>
    <w:p>
      <w:pPr>
        <w:pStyle w:val="Heading4"/>
        <w:numPr>
          <w:ilvl w:val="3"/>
          <w:numId w:val="1"/>
        </w:numPr>
        <w:rPr/>
      </w:pPr>
      <w:bookmarkStart w:id="764" w:name="__RefHeading___Toc5146177_73709187"/>
      <w:bookmarkStart w:id="765" w:name="_Toc288"/>
      <w:bookmarkEnd w:id="763"/>
      <w:bookmarkEnd w:id="764"/>
      <w:r>
        <w:rPr>
          <w:rtl w:val="true"/>
        </w:rPr>
        <w:t>الأمر الثالث لإجماع المنقول</w:t>
      </w:r>
      <w:bookmarkEnd w:id="765"/>
    </w:p>
    <w:p>
      <w:pPr>
        <w:pStyle w:val="Heading5"/>
        <w:numPr>
          <w:ilvl w:val="4"/>
          <w:numId w:val="1"/>
        </w:numPr>
        <w:rPr/>
      </w:pPr>
      <w:bookmarkStart w:id="766" w:name="__RefHeading___Toc5146179_73709187"/>
      <w:bookmarkStart w:id="767" w:name="_Toc289"/>
      <w:bookmarkEnd w:id="766"/>
      <w:r>
        <w:rPr>
          <w:rtl w:val="true"/>
        </w:rPr>
        <w:t>اشارة</w:t>
      </w:r>
      <w:bookmarkEnd w:id="767"/>
    </w:p>
    <w:p>
      <w:pPr>
        <w:pStyle w:val="BookText"/>
        <w:rPr/>
      </w:pPr>
      <w:r>
        <w:rPr>
          <w:rFonts w:ascii="IRNazanin" w:hAnsi="IRNazanin" w:eastAsia="IRNazanin"/>
          <w:color w:val="111111"/>
          <w:sz w:val="28"/>
          <w:sz w:val="28"/>
          <w:szCs w:val="28"/>
          <w:rtl w:val="true"/>
          <w:lang w:bidi="fa-IR"/>
        </w:rPr>
        <w:t>و لا بدّ قبل الخوض فی المقصود من البحث فی جهاتٍ</w:t>
      </w:r>
      <w:r>
        <w:rPr>
          <w:rFonts w:eastAsia="IRNazanin" w:cs="IRNazanin"/>
          <w:color w:val="111111"/>
          <w:sz w:val="28"/>
          <w:szCs w:val="28"/>
          <w:rtl w:val="true"/>
          <w:lang w:bidi="fa-IR"/>
        </w:rPr>
        <w:t>:</w:t>
      </w:r>
    </w:p>
    <w:p>
      <w:pPr>
        <w:pStyle w:val="Heading5"/>
        <w:numPr>
          <w:ilvl w:val="4"/>
          <w:numId w:val="1"/>
        </w:numPr>
        <w:rPr/>
      </w:pPr>
      <w:bookmarkStart w:id="768" w:name="__RefHeading___Toc5146181_73709187"/>
      <w:bookmarkStart w:id="769" w:name="_Toc290"/>
      <w:bookmarkEnd w:id="768"/>
      <w:r>
        <w:rPr>
          <w:rtl w:val="true"/>
        </w:rPr>
        <w:t>الجهة الأولی</w:t>
      </w:r>
      <w:r>
        <w:rPr>
          <w:rtl w:val="true"/>
        </w:rPr>
        <w:t xml:space="preserve">: </w:t>
      </w:r>
      <w:r>
        <w:rPr>
          <w:rtl w:val="true"/>
        </w:rPr>
        <w:t>فی تعریف الإجماع</w:t>
      </w:r>
      <w:bookmarkEnd w:id="769"/>
    </w:p>
    <w:p>
      <w:pPr>
        <w:pStyle w:val="BookText"/>
        <w:rPr/>
      </w:pPr>
      <w:r>
        <w:rPr>
          <w:rFonts w:ascii="IRNazanin" w:hAnsi="IRNazanin" w:eastAsia="IRNazanin"/>
          <w:color w:val="111111"/>
          <w:sz w:val="28"/>
          <w:sz w:val="28"/>
          <w:szCs w:val="28"/>
          <w:rtl w:val="true"/>
          <w:lang w:bidi="fa-IR"/>
        </w:rPr>
        <w:t>إنّ الإجماع عند العامّة حجّة بنفسه فی مقابل سائر الأدلّة، و قد عرّفوه بتعاریف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الغزالی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عبارة عن اتفاق امّة محمّد صلی الله علیه و آله و سلم علی أمر من الاُمور الدینیة</w:t>
      </w:r>
      <w:r>
        <w:rPr>
          <w:rFonts w:eastAsia="IRNazanin" w:cs="IRNazanin"/>
          <w:color w:val="111111"/>
          <w:sz w:val="28"/>
          <w:szCs w:val="28"/>
          <w:rtl w:val="true"/>
          <w:lang w:bidi="fa-IR"/>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الرازی من تفسیره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اتفاق أهل الحلّ و العقد من امّة محمّد صلی الله علیه و آله و سلم علی أمر من الاُمور</w:t>
      </w:r>
      <w:r>
        <w:rPr>
          <w:rFonts w:eastAsia="IRNazanin" w:cs="IRNazanin"/>
          <w:color w:val="111111"/>
          <w:sz w:val="28"/>
          <w:szCs w:val="28"/>
          <w:rtl w:val="true"/>
          <w:lang w:bidi="fa-IR"/>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الحاجبی من تعریفه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اتفاق المجتهدین من هذه الاُمّة</w:t>
      </w:r>
      <w:bookmarkStart w:id="770" w:name="pg11586_105037"/>
    </w:p>
    <w:p>
      <w:pPr>
        <w:pStyle w:val="BookText"/>
        <w:rPr/>
      </w:pPr>
      <w:bookmarkEnd w:id="770"/>
      <w:r>
        <w:rPr>
          <w:rFonts w:ascii="IRNazanin" w:hAnsi="IRNazanin" w:eastAsia="IRNazanin"/>
          <w:color w:val="111111"/>
          <w:sz w:val="28"/>
          <w:sz w:val="28"/>
          <w:szCs w:val="28"/>
          <w:rtl w:val="true"/>
          <w:lang w:bidi="fa-IR"/>
        </w:rPr>
        <w:t>علی أمر من الاُمور</w:t>
      </w:r>
      <w:r>
        <w:rPr>
          <w:rFonts w:eastAsia="IRNazanin" w:cs="IRNazanin"/>
          <w:color w:val="111111"/>
          <w:sz w:val="28"/>
          <w:szCs w:val="28"/>
          <w:rtl w:val="true"/>
          <w:lang w:bidi="fa-IR"/>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استنادهم فی حجّیة الإجماع إلی</w:t>
      </w:r>
    </w:p>
    <w:p>
      <w:pPr>
        <w:pStyle w:val="BookText"/>
        <w:rPr/>
      </w:pPr>
      <w:r>
        <w:rPr>
          <w:rFonts w:ascii="IRNazanin" w:hAnsi="IRNazanin" w:eastAsia="IRNazanin"/>
          <w:color w:val="111111"/>
          <w:sz w:val="28"/>
          <w:sz w:val="28"/>
          <w:szCs w:val="28"/>
          <w:rtl w:val="true"/>
          <w:lang w:bidi="fa-IR"/>
        </w:rPr>
        <w:t>ما رووه عن النبیّ صلی الله علیه و آله و 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تجتمع امّتی علی الضلالة أو الخطأ</w:t>
      </w:r>
      <w:r>
        <w:rPr>
          <w:rFonts w:eastAsia="IRNazanin" w:cs="IRNazanin"/>
          <w:color w:val="111111"/>
          <w:sz w:val="28"/>
          <w:szCs w:val="28"/>
          <w:rtl w:val="true"/>
          <w:lang w:bidi="fa-IR"/>
        </w:rPr>
        <w:t xml:space="preserve">» </w:t>
      </w:r>
      <w:r>
        <w:rPr>
          <w:rStyle w:val="FootnoteAnchor"/>
          <w:rtl w:val="true"/>
        </w:rPr>
        <w:footnoteReference w:id="346"/>
      </w:r>
      <w:r>
        <w:rPr>
          <w:rFonts w:ascii="IRNazanin" w:hAnsi="IRNazanin" w:eastAsia="IRNazanin"/>
          <w:color w:val="111111"/>
          <w:sz w:val="28"/>
          <w:sz w:val="28"/>
          <w:szCs w:val="28"/>
          <w:rtl w:val="true"/>
          <w:lang w:bidi="fa-IR"/>
        </w:rPr>
        <w:t>هذا، و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ظاهر هذه الروایة مطابق لتعریف الغزالی، و لکن الغزالی و غیره لمّا رأوا أنّ ذلک ینافی مع ثبوت الخلافة لأبی بکر و من بعده من مشایخهم أعرضوا عن هذا التعریف، مع أنّ تعریفهم أیضاً لا یثبت مقصودهم؛ ضرورة عدم تحقّق الاتفاق من جمیع أهل الحلّ و العقد، و کذا من جمیع المجتهدین،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أمّا الإجماع عند الإمامیة فلیس دلیلاً مستقلاًّ برأسه، بل حجّیته إنّما هو لکشف ذلک عن رأی المعصوم علیه السلام فهو الحجّة، و الإجماع کاشف عنها، إمّا من باب اللطف أو الحدس أو غیرهما من الوجوه التی ستجیء، و لا یکون لمجرّد الاتفاق فی نظرهم استقلال بالدلیلیة، کما لا یخفی</w:t>
      </w:r>
      <w:r>
        <w:rPr>
          <w:rFonts w:eastAsia="IRNazanin" w:cs="IRNazanin"/>
          <w:color w:val="111111"/>
          <w:sz w:val="28"/>
          <w:szCs w:val="28"/>
          <w:rtl w:val="true"/>
          <w:lang w:bidi="fa-IR"/>
        </w:rPr>
        <w:t>.</w:t>
      </w:r>
    </w:p>
    <w:p>
      <w:pPr>
        <w:pStyle w:val="Heading5"/>
        <w:numPr>
          <w:ilvl w:val="4"/>
          <w:numId w:val="1"/>
        </w:numPr>
        <w:rPr/>
      </w:pPr>
      <w:bookmarkStart w:id="771" w:name="__RefHeading___Toc5146183_73709187"/>
      <w:bookmarkStart w:id="772" w:name="_Toc291"/>
      <w:bookmarkEnd w:id="771"/>
      <w:r>
        <w:rPr>
          <w:rtl w:val="true"/>
        </w:rPr>
        <w:t>الجهة الثانیة</w:t>
      </w:r>
      <w:r>
        <w:rPr>
          <w:rtl w:val="true"/>
        </w:rPr>
        <w:t xml:space="preserve">: </w:t>
      </w:r>
      <w:r>
        <w:rPr>
          <w:rtl w:val="true"/>
        </w:rPr>
        <w:t>فی عدم شمول أدلّة حجّیة الخبر للإجماع</w:t>
      </w:r>
      <w:bookmarkEnd w:id="772"/>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یخفی أنّ العمدة فی باب أدلّة حجّیة خبر الواحد هو بناء العقلاء علی العمل به فی امورهم و سیاساتهم، کما سیجیء تحقیقه، و من الواضح أنّ ذلک من الأدلّة اللّبیة التی لا إطلاق لها، و حینئذٍ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ثبوت بنائهم علی العمل بخبر الواحد فیما إذا کان المخبر به من الاُمور المحسوسة بإحدی الحواسّ الخمسة الغیر الغریبة، و لا یبعد أن یقال بثبوت ذلک أیضاً فیما إذا لم یکن المخبر به من الاُمور المحسوسة، و لکن یعدّ عند العرف کالمحسوسات؛</w:t>
      </w:r>
      <w:bookmarkStart w:id="773" w:name="pg11586_105038"/>
    </w:p>
    <w:p>
      <w:pPr>
        <w:pStyle w:val="BookText"/>
        <w:rPr/>
      </w:pPr>
      <w:bookmarkEnd w:id="773"/>
      <w:r>
        <w:rPr>
          <w:rFonts w:ascii="IRNazanin" w:hAnsi="IRNazanin" w:eastAsia="IRNazanin"/>
          <w:color w:val="111111"/>
          <w:sz w:val="28"/>
          <w:sz w:val="28"/>
          <w:szCs w:val="28"/>
          <w:rtl w:val="true"/>
          <w:lang w:bidi="fa-IR"/>
        </w:rPr>
        <w:t>لقربه إلی الحسّ، کالشجاعة و السخاوة و نحوهما من الاُمور القریبة إلی الحسّ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لو کان المخبر به من المحسوسات الغریبة الغیر العادیة، أو کان بعیداً عن الحسّ، بل کان محتاجاً إلی الاجتهاد و نحوه ممّا یتطرّق إلیه الخطأ و الاشتباه فلم یثبت بناء العقلاء علی العمل بقول شخص واحد فیها؛ إمّا لکون العمل به مشروطاً بإحراز کون المخبر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المعنی یبعد تحقّقه مع الإخبار بالأُمور الغریبة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لکون المخبر و إن کان ثقة إلاّ أنّ أصالة عدم الخطأ و الاشتباه لا تجری عندهم فی مثل تلک الاُمور</w:t>
      </w:r>
      <w:r>
        <w:rPr>
          <w:rFonts w:eastAsia="IRNazanin" w:cs="IRNazanin"/>
          <w:color w:val="111111"/>
          <w:sz w:val="28"/>
          <w:szCs w:val="28"/>
          <w:rtl w:val="true"/>
          <w:lang w:bidi="fa-IR"/>
        </w:rPr>
        <w:t>.</w:t>
      </w:r>
    </w:p>
    <w:p>
      <w:pPr>
        <w:pStyle w:val="Heading5"/>
        <w:numPr>
          <w:ilvl w:val="4"/>
          <w:numId w:val="1"/>
        </w:numPr>
        <w:rPr/>
      </w:pPr>
      <w:bookmarkStart w:id="774" w:name="__RefHeading___Toc5146185_73709187"/>
      <w:bookmarkStart w:id="775" w:name="_Toc292"/>
      <w:bookmarkEnd w:id="774"/>
      <w:r>
        <w:rPr>
          <w:rtl w:val="true"/>
        </w:rPr>
        <w:t>الجهة الثالثة</w:t>
      </w:r>
      <w:r>
        <w:rPr>
          <w:rtl w:val="true"/>
        </w:rPr>
        <w:t xml:space="preserve">: </w:t>
      </w:r>
      <w:r>
        <w:rPr>
          <w:rtl w:val="true"/>
        </w:rPr>
        <w:t>فی وجه حجّیة الإجماع</w:t>
      </w:r>
      <w:bookmarkEnd w:id="775"/>
    </w:p>
    <w:p>
      <w:pPr>
        <w:pStyle w:val="BookText"/>
        <w:rPr/>
      </w:pPr>
      <w:r>
        <w:rPr>
          <w:rFonts w:ascii="IRNazanin" w:hAnsi="IRNazanin" w:eastAsia="IRNazanin"/>
          <w:color w:val="111111"/>
          <w:sz w:val="28"/>
          <w:sz w:val="28"/>
          <w:szCs w:val="28"/>
          <w:rtl w:val="true"/>
          <w:lang w:bidi="fa-IR"/>
        </w:rPr>
        <w:t>قد عرفت أنّ وجه اعتبار الإجماع هو القطع برأی الإمام علیه السلام، و مستند القطع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العلم بدخوله علیه السلام فی المجمعین شخصاً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لزوم أن یکون رأیه فی جملة رأیهم من باب قاعدة اللطف التی مرجعها فی المقام إلی وجوب إلقاء الخلاف علی الإمام علیه السلام لو رأی اجتماع الاُمّة علی أمرٍ غیر 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الملازمة العادیة بین رأی العلماء و رأیه علیه السلام و حدسه من اتفاقهم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الملازمة بین ذلک و بین وجود دلیل معتبر عندهم و إن لم یصل إلینا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الوجه الأوّل لا یکاد یتفق فی زمان الغیبة؛ لعدم العلم بدخوله علیه السلام فی جملة المجمعین، إلاّ نادراً،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الثانی لا یتمّ؛ لعدم الدلیل علی وجوب ذلک علی الإمام علیه السلام</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الوجه الرابع أیضاً مخدوش؛ لأنّه لو کان اتفاقهم علی أمر مستنداً إلی دلیل</w:t>
      </w:r>
    </w:p>
    <w:p>
      <w:pPr>
        <w:pStyle w:val="BookText"/>
        <w:rPr/>
      </w:pPr>
      <w:r>
        <w:rPr>
          <w:rFonts w:ascii="IRNazanin" w:hAnsi="IRNazanin" w:eastAsia="IRNazanin"/>
          <w:color w:val="111111"/>
          <w:sz w:val="28"/>
          <w:sz w:val="28"/>
          <w:szCs w:val="28"/>
          <w:rtl w:val="true"/>
          <w:lang w:bidi="fa-IR"/>
        </w:rPr>
        <w:t>معتبر لکان اللازم نقل ذلک الدلیل فی کتبهم؛ خصوصاً مع ما نری منهم من حرصهم علی جمع الأخبار المأثورة عن الأئمّة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هو الوجه الثالث، الذی مرجعه إلی الملازمة العادیة بین اتفاق المرءوسین و رضا الرئیس، کما هو کذلک فی الاُمور الدنیویة، فإنّ من ورد فی بلد مثلاً، و رأی أمراً رائجاً بین أهل ذلک البلد یحدس حدساً قطعیاً بأنّ هذا قانون ذلک البلد،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لکن ذلک الحدس إنّما هو فیما إذا لم یکن فی مورد الإجماع أصل أو قاعدة أو دلیل موافق لما اتفقوا علیه، فإنّه مع وجود ذلک یحتمل أن یکون مستند الاتفاق أحد هذه الاُمور، فلا یکشف اتفاقهم عن رضا الرئیس بذلک واقعاً،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یرد علی الوجه الرابع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الکشف عن دلیل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فرض تمامیته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یفید بالنسبة إلینا؛ لاحتمال أنّه لو کان واصلاً إلینا لفهمنا منه غیر ما فهموا؛ لاختلاف الأنظار فی فهم الظهورات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هذه المقدّمات تظهر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نقل الإجماع لا یکون حجّة و مشمولاً لأدلّة حجّیة خبر الواحد؛ من حیث المسبّب؛ لما عرفت من انحصار أدلّة حجّیته بما إذا کان المخبر به من الاُمور المحسوسة القریبة، و هنا لیس کذلک؛ لأنّه علی تقدیر کون مستند الناقل هو القطع بدخوله علیه السلام فی جملة المجمعین فالمسبّب و إن کان أمراً محسوساً، إلاّ أنّه من المحسوسات الغریبة الغیر العادیة التی لا یکتفی فیها بإخبار واحد</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تقدیر کون مستنده هو الملازمة العادیة الراجعة إلی حدس رأی الإمام علیه السلام من آراء المرءوسین فالمسبّب لا یکون حینئذٍ من الاُمور المحسوسة؛ لأنّه وصل إلیه من طریق الحدس و الاجتهاد، و الذی لا تجری فیه أصالة عدم</w:t>
      </w:r>
    </w:p>
    <w:p>
      <w:pPr>
        <w:pStyle w:val="BookText"/>
        <w:rPr/>
      </w:pPr>
      <w:r>
        <w:rPr>
          <w:rFonts w:ascii="IRNazanin" w:hAnsi="IRNazanin" w:eastAsia="IRNazanin"/>
          <w:color w:val="111111"/>
          <w:sz w:val="28"/>
          <w:sz w:val="28"/>
          <w:szCs w:val="28"/>
          <w:rtl w:val="true"/>
          <w:lang w:bidi="fa-IR"/>
        </w:rPr>
        <w:t>الخطأ و الاشتباه، کما عرفت</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فنقل الإجماع؛ من حیث تضمّنه لنقل المسبّب لا یکون حجّة أصلاً، و أمّا من حیث نقل السبب فیکون حجّة بلا ریب؛ لکونه من الاُمور المحسوسة الغیر الغریبة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فإن کان السبب تامّاً؛ من حیث السببیة بنظر المنقول إلیه أیضاً یستفید من ذلک رأی المعصوم علیه السلام، و إلّا فیضمّ إلیه مقداراً یوجب تمام السبب، فیستکشف منه رأیه علیه السلام، و إلّا فلا یترتّب علی نقله أثر؛ من حیث استکشاف رأی المعصوم علیه السلام</w:t>
      </w:r>
      <w:r>
        <w:rPr>
          <w:rFonts w:eastAsia="IRNazanin" w:cs="IRNazanin"/>
          <w:color w:val="111111"/>
          <w:sz w:val="28"/>
          <w:szCs w:val="28"/>
          <w:rtl w:val="true"/>
          <w:lang w:bidi="fa-IR"/>
        </w:rPr>
        <w:t>.</w:t>
      </w:r>
      <w:bookmarkStart w:id="776" w:name="pg11586_105041"/>
    </w:p>
    <w:p>
      <w:pPr>
        <w:pStyle w:val="BookText"/>
        <w:rPr/>
      </w:pPr>
      <w:bookmarkEnd w:id="776"/>
      <w:r>
        <w:rPr>
          <w:rFonts w:ascii="IRNazanin" w:hAnsi="IRNazanin" w:eastAsia="IRNazanin"/>
          <w:color w:val="111111"/>
          <w:sz w:val="28"/>
          <w:sz w:val="28"/>
          <w:szCs w:val="28"/>
          <w:rtl w:val="true"/>
          <w:lang w:bidi="fa-IR"/>
        </w:rPr>
        <w:t>الشهرة فی الفتوی</w:t>
      </w:r>
    </w:p>
    <w:p>
      <w:pPr>
        <w:pStyle w:val="Heading4"/>
        <w:numPr>
          <w:ilvl w:val="3"/>
          <w:numId w:val="1"/>
        </w:numPr>
        <w:rPr/>
      </w:pPr>
      <w:bookmarkStart w:id="777" w:name="__RefHeading___Toc5146187_73709187"/>
      <w:bookmarkStart w:id="778" w:name="_Toc293"/>
      <w:bookmarkEnd w:id="777"/>
      <w:r>
        <w:rPr>
          <w:rtl w:val="true"/>
        </w:rPr>
        <w:t>الأمر الرابع الشهرة فی الفتوی</w:t>
      </w:r>
      <w:bookmarkEnd w:id="778"/>
    </w:p>
    <w:p>
      <w:pPr>
        <w:pStyle w:val="BookText"/>
        <w:rPr/>
      </w:pPr>
      <w:r>
        <w:rPr>
          <w:rFonts w:ascii="IRNazanin" w:hAnsi="IRNazanin" w:eastAsia="IRNazanin"/>
          <w:color w:val="111111"/>
          <w:sz w:val="28"/>
          <w:sz w:val="28"/>
          <w:szCs w:val="28"/>
          <w:rtl w:val="true"/>
          <w:lang w:bidi="fa-IR"/>
        </w:rPr>
        <w:t>و الظاهر حجّیتها إذا کانت متحقّقة بین قدماء الأصحاب إلی زمن الشیخ أبی جعفر الطوسی قدس سره؛ لملاک حجّیة الإجماع فیها، فإنّه إذا کان الفتوی علی حکم مشهوراً بین الفقهاء الذین هم حَملة علوم أهل البیت، و الأخبار المأثورة عنهم بحیث کان خلافه شاذّاً نادراً یستکشف من ذلک أنّ رأی المعصوم علیه السلام إنّما هو مطابق له؛ إذ لا یعتبر فی هذا الکشف اتفاق الکلّ، بل یکفی فتوی المعظم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ذلک إنّما هو إذا کان الفتوی مشتهراً بین القدماء؛ لأنّ بنائهم فی التألیف و التصنیف علی ضبط الاُصول المتلقّاة من الأئمّة علیهم السلام، من دون التعرّض للتفریعیات، کما هو دیدن المتأخّرین منهم، فالشهرة بین القدماء کإجماعهم حجّة؛ لوجود ملاک حجّیته فیها،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یمکن أن یستدلّ له بما فی مقبولة عمر بن حنظلة، بعد فرض الراوی کون الحاکمین عدلین مرضیین، لا یفضل واحد منهما علی الآخر من</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ینظر إلی من کان من روایتهم عنّا فی ذلک الذی حکما به المجمع</w:t>
      </w:r>
    </w:p>
    <w:p>
      <w:pPr>
        <w:pStyle w:val="BookText"/>
        <w:rPr/>
      </w:pPr>
      <w:r>
        <w:rPr>
          <w:rFonts w:ascii="IRNazanin" w:hAnsi="IRNazanin" w:eastAsia="IRNazanin"/>
          <w:color w:val="111111"/>
          <w:sz w:val="28"/>
          <w:sz w:val="28"/>
          <w:szCs w:val="28"/>
          <w:rtl w:val="true"/>
          <w:lang w:bidi="fa-IR"/>
        </w:rPr>
        <w:t>علیه بین أصحابک، فیؤخذ به من حکمهما، و یترک الشاذّ الذی لیس بمشهور عند أصحابک، فإنّ المجمع علیه لا ریب فیه، و إنّما الاُمور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بیّن رشده فیتبع، و أمر بیّن غیّه فیجتنب، و أمر مشکل یردّ حکمه إلی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الخبران عنکم مشهورین، قد رواهما الثقات عنکم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347"/>
      </w:r>
      <w:r>
        <w:rPr>
          <w:rFonts w:ascii="IRNazanin" w:hAnsi="IRNazanin" w:eastAsia="IRNazanin"/>
          <w:color w:val="111111"/>
          <w:sz w:val="28"/>
          <w:sz w:val="28"/>
          <w:szCs w:val="28"/>
          <w:rtl w:val="true"/>
          <w:lang w:bidi="fa-IR"/>
        </w:rPr>
        <w:t>، فإنّ وجوب الأخذ بالخبر المجمع علیه بین الأصحاب؛ معلّلاً بأنّ المجمع علیه لا ریب فیه إنّما یتمّ فیما لو کان الخبر مشهوراً بین الأصحاب؛ من حیث الفتوی علی طبق مضمونه، و إلّا فمجرّد اشتهاره روایة، بأن نقله الأکثر فی کتب حدیثهم، و لو مع اطراحه، و عدم الفتوی علی طبق مضمونه لا یوجب أن یکون ممّا لا ریب فیه، فیجب الأخذ به من هذه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 الاستشهاد بحدیث التثلیث، فإنّ مجرّد الاشتهار؛ من حیث الروایة لا یوجب أن یکون الخبر من أفراد بیّن الرشد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ینافی ذلک قوله فی الذیل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الخبران عنکم مشهورین، قد رواهما الثقات عنکم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الشهرة الفتوائیة ممّا لا یعقل أن تکون فی طرفی المسألة، مضافاً إلی أنّ التعبیر بقوله</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رواهما الثقات عنکم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یؤیّد أنّ النظر إنّما هو فی حیثیة صحّة الروایة، و اشتهاره بین الثقات، و کذا ینافی ذلک التعبیر عن الشهرة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المجمع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ذلک یتمّ لو کان المراد بها هی الشهرة فی الروایة الحاصلة بتدوین الکلّ، و اتفاقهم علی روایته، و لا ینافیه تدوین بعضهم للروایة الغیر المشهورة أیضاً، و أمّا لو کان المراد بها هی الشهرة فی الفتوی فلا یتمّ هذا التعبیر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یمکن أن یجاب عن ذلک بأنّ المقصود بالإجماع فی الروایة لیس اتفاق الکلّ، فإنّ جلّ الأصحاب لو ذهبوا إلی أمر، و أفتوا علی طبق روایة یصحّ عرفاً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الروایة تکون مجمعاً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کان الخبران عنکم مشهورین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فیمکن أن یقال بعدول السائل عن السؤال عن ترجیح أحد الحکمین أو مستندهما علی الآخر إلی السؤال عن حکم تعارض الخبرین اللذین رواهما الثقات،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لو سلّمنا کون المراد بالشهرة فی المقبولة هی الشهرة؛ من حیث الروایة فلا إشکال فی أنّ المراد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المجمع علیه لا 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مطلق ما یکون مجمعاً علیه، فیکون بمنزلة کبری کلّیة یمکن التمسّک بها فی جمیع صغریاته التی منها الشهرة فی الفتوی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أفاده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التقریرات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التعلیل لیس من العلّة المنصوصة لیکون من الکبری الکلّیة التی یتعدّی عن موردها، فإنّ المراد بالمجمع علیه إن کان هو الإجماع المصطلح فلا یعمّ الشهرة الفتوائیة، و إن کان المراد منه المشهور فلا یصحّ حمل قوله</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لا 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بقول مطلق، بل لا بدّ أن یکون المراد منه عدم الریب بالإضافة إلی ما یقابله، و هذا یوجب خروج التعلیل عن کونه کبری کلّیة؛ لأنّه یعتبر فیها صحّة التکلیف بها ابتداءً، بلا ضمّ المورد إلیها، و المقام لیس کذلک؛ لأنّه لا یصحّ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الأخذ بکلّ ما لا ریب فیه بالإضافة إلی ما یقابله، و إلّا لزم الأخذ بکلّ راجح بالنسبة إلی غیره، و بأقوی الشهرتین، و بالظنّ المطلق، و غیر ذلک من التوالی الفاسدة، فالتعلیل أجنبی عن أن یکون کبری کلّیة عامّة</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عدم الریب المحمول فی الروایة علی المجمع علیه لیس عدم الریب بالإضافة إلی ما یقابله، بل هو من المعانی النفسیة التی لا تقبل الإضافة، فالمراد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ما یکون عند العرف ممّا لا ریب فیه یجب الأخذ به، و عدم الاعتناء باحتمال خلافه، و لا یلزم شیء من التوالی الفاسدة، کما هو واضح</w:t>
      </w:r>
      <w:r>
        <w:rPr>
          <w:rFonts w:eastAsia="IRNazanin" w:cs="IRNazanin"/>
          <w:color w:val="111111"/>
          <w:sz w:val="28"/>
          <w:szCs w:val="28"/>
          <w:rtl w:val="true"/>
          <w:lang w:bidi="fa-IR"/>
        </w:rPr>
        <w:t>.</w:t>
      </w:r>
      <w:bookmarkStart w:id="779" w:name="pg11586_105045"/>
    </w:p>
    <w:p>
      <w:pPr>
        <w:pStyle w:val="BookText"/>
        <w:rPr/>
      </w:pPr>
      <w:bookmarkEnd w:id="779"/>
      <w:r>
        <w:rPr>
          <w:rFonts w:ascii="IRNazanin" w:hAnsi="IRNazanin" w:eastAsia="IRNazanin"/>
          <w:color w:val="111111"/>
          <w:sz w:val="28"/>
          <w:sz w:val="28"/>
          <w:szCs w:val="28"/>
          <w:rtl w:val="true"/>
          <w:lang w:bidi="fa-IR"/>
        </w:rPr>
        <w:t>خبر الواحد</w:t>
      </w:r>
    </w:p>
    <w:p>
      <w:pPr>
        <w:pStyle w:val="Heading4"/>
        <w:numPr>
          <w:ilvl w:val="3"/>
          <w:numId w:val="1"/>
        </w:numPr>
        <w:rPr/>
      </w:pPr>
      <w:bookmarkStart w:id="780" w:name="__RefHeading___Toc5146189_73709187"/>
      <w:bookmarkStart w:id="781" w:name="_Toc294"/>
      <w:bookmarkEnd w:id="780"/>
      <w:r>
        <w:rPr>
          <w:rtl w:val="true"/>
        </w:rPr>
        <w:t>الأمر الخامس خبر الواحد</w:t>
      </w:r>
      <w:bookmarkEnd w:id="781"/>
    </w:p>
    <w:p>
      <w:pPr>
        <w:pStyle w:val="Heading5"/>
        <w:numPr>
          <w:ilvl w:val="4"/>
          <w:numId w:val="1"/>
        </w:numPr>
        <w:rPr/>
      </w:pPr>
      <w:bookmarkStart w:id="782" w:name="__RefHeading___Toc5146191_73709187"/>
      <w:bookmarkStart w:id="783" w:name="_Toc295"/>
      <w:bookmarkEnd w:id="782"/>
      <w:r>
        <w:rPr>
          <w:rtl w:val="true"/>
        </w:rPr>
        <w:t>اشارة</w:t>
      </w:r>
      <w:bookmarkEnd w:id="783"/>
    </w:p>
    <w:p>
      <w:pPr>
        <w:pStyle w:val="BookText"/>
        <w:rPr/>
      </w:pPr>
      <w:r>
        <w:rPr>
          <w:rFonts w:ascii="IRNazanin" w:hAnsi="IRNazanin" w:eastAsia="IRNazanin"/>
          <w:color w:val="111111"/>
          <w:sz w:val="28"/>
          <w:sz w:val="28"/>
          <w:szCs w:val="28"/>
          <w:rtl w:val="true"/>
          <w:lang w:bidi="fa-IR"/>
        </w:rPr>
        <w:t>ممّا خرج عن أصالة حرمة التعبّد بالظنّ، و قام الدلیل علی حجّیته بالخصوص، خبر الواحد و اختلفت أقوال العلماء فی حجّیته و عدمها</w:t>
      </w:r>
      <w:r>
        <w:rPr>
          <w:rFonts w:eastAsia="IRNazanin" w:cs="IRNazanin"/>
          <w:color w:val="111111"/>
          <w:sz w:val="28"/>
          <w:szCs w:val="28"/>
          <w:rtl w:val="true"/>
          <w:lang w:bidi="fa-IR"/>
        </w:rPr>
        <w:t>.</w:t>
      </w:r>
    </w:p>
    <w:p>
      <w:pPr>
        <w:pStyle w:val="Heading5"/>
        <w:numPr>
          <w:ilvl w:val="4"/>
          <w:numId w:val="1"/>
        </w:numPr>
        <w:rPr/>
      </w:pPr>
      <w:bookmarkStart w:id="784" w:name="__RefHeading___Toc5146193_73709187"/>
      <w:bookmarkStart w:id="785" w:name="_Toc296"/>
      <w:bookmarkEnd w:id="784"/>
      <w:r>
        <w:rPr>
          <w:rtl w:val="true"/>
        </w:rPr>
        <w:t>أدلّة عدم حجّیة خبر الواحد</w:t>
      </w:r>
      <w:bookmarkEnd w:id="785"/>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حکی عن السیّد و القاضی و ابن زهرة و الطبرسی و ابن إدریس عدم حجّیة خبر الواحد</w:t>
      </w:r>
      <w:r>
        <w:rPr>
          <w:rStyle w:val="FootnoteAnchor"/>
          <w:rtl w:val="true"/>
        </w:rPr>
        <w:footnoteReference w:id="349"/>
      </w:r>
      <w:r>
        <w:rPr>
          <w:rFonts w:ascii="Amiri" w:hAnsi="Amiri" w:eastAsia="Amiri" w:cs="Amiri"/>
          <w:color w:val="111111"/>
          <w:sz w:val="28"/>
          <w:sz w:val="28"/>
          <w:szCs w:val="28"/>
          <w:rtl w:val="true"/>
          <w:lang w:bidi="ar-SA"/>
        </w:rPr>
        <w:t>، و استدلّ لهم بالآیات الناهیة عن اتباع غیر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التحقیق فی الجواب عن هذا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الآیات الناهیة بعضها ظاهر فی الاُصول الاعتقادیة، مثل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الظَّنَّ لا یُغْنِی مِنَ الْحَقِّ شَیْئاً</w:t>
      </w:r>
      <w:r>
        <w:rPr>
          <w:rFonts w:eastAsia="Amiri" w:cs="Amiri" w:ascii="Amiri" w:hAnsi="Amiri"/>
          <w:color w:val="111111"/>
          <w:sz w:val="28"/>
          <w:szCs w:val="28"/>
          <w:rtl w:val="true"/>
          <w:lang w:bidi="ar-SA"/>
        </w:rPr>
        <w:t xml:space="preserve">» </w:t>
      </w:r>
      <w:r>
        <w:rPr>
          <w:rStyle w:val="FootnoteAnchor"/>
          <w:rtl w:val="true"/>
        </w:rPr>
        <w:footnoteReference w:id="35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بعضها أعمّ منها، مثل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تَقْفُ ما لَیْسَ لَکَ بِهِ عِلْمٌ</w:t>
      </w:r>
      <w:r>
        <w:rPr>
          <w:rFonts w:eastAsia="Amiri" w:cs="Amiri" w:ascii="Amiri" w:hAnsi="Amiri"/>
          <w:color w:val="111111"/>
          <w:sz w:val="28"/>
          <w:szCs w:val="28"/>
          <w:rtl w:val="true"/>
          <w:lang w:bidi="ar-SA"/>
        </w:rPr>
        <w:t xml:space="preserve">» </w:t>
      </w:r>
      <w:r>
        <w:rPr>
          <w:rStyle w:val="FootnoteAnchor"/>
          <w:rtl w:val="true"/>
        </w:rPr>
        <w:footnoteReference w:id="35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الطائفة الاُولی فغیر مرتبطة بالمقام، و أمّا الطائفة الثانیة فمضافاً إلی عدم إبائها عن التخصیص بالأدلّة الآتیة الدالّة علی اعتبار الخبر یرد علیه أنّ الاستدلال بها مستلزم لعدم جواز الاستدلال به، و ما یلزم من وجوده العدم لا یجوز الاستدلال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تَقْفُ ما لَیْسَ لَکَ بِهِ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قضیة حقیقیة تشمل کلّ ما وجد فی الخارج، و کان مصداقاً لغیر العلم، فیشمل دلالة نفسها؛ لأنّها لیست إلاّ ظنّیة؛ لکونها ظاهرة فی الدلالة علی المنع، و الظواهر کلّها ظنّیة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یجز اتباع غیر العلم بمقتضی الآیة لم یجز اتباع ظاهرها؛ لکونه غیر علمی، و الفرض شمولها لنفسها؛ لکونها قضیة حقیقیة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هذا المحذور من شمول الآیة لنفسها دلیل علی التخصیص و عدم الشمول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یرتفع المحذور بذلک کذلک یرتفع بالالتزام بعدم شمولها لمثل الظواهر ممّا قام الدلیل علی حجّیته، فتختصّ الآیة بالظنون التی هی غیر حجّة، و لا ترجیح للأوّل، لو لم نقل بترجیح الثانی باعتبار أنّ الغرض منها هو الردع عن اتباع غیر العلم، و لا تصلح للرادعیة إلاّ بعد کونها مفروضة الحجّیة عند المخاطبین، و لا تکون حجّة إلاّ بعد ثبوت کون الظواهر حجّة و مورداً لبناء العقلاء</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فالآیة لا تشمل ما کان من قبیلها من الظنون، و مرجع ذلک إلی أنّ تلک الظنون لا یکون بنظر العقلاء مصداقاً لما لیس لهم به علم، و إلّا لکان اللازم عند</w:t>
      </w:r>
    </w:p>
    <w:p>
      <w:pPr>
        <w:pStyle w:val="BookText"/>
        <w:rPr/>
      </w:pPr>
      <w:r>
        <w:rPr>
          <w:rFonts w:ascii="IRNazanin" w:hAnsi="IRNazanin" w:eastAsia="IRNazanin"/>
          <w:color w:val="111111"/>
          <w:sz w:val="28"/>
          <w:sz w:val="28"/>
          <w:szCs w:val="28"/>
          <w:rtl w:val="true"/>
          <w:lang w:bidi="fa-IR"/>
        </w:rPr>
        <w:t>نزول الآیة الشریفة أن یرفع الناس أیدیهم عن اشتغالاتهم المبتنیة بحسب الغالب علی الاُمور الظنّیة، کالید و أصالة الصحّة و غیرهما، مع وضوح خلافه، و لیس ذلک إلاّ لعدم کون هذه الظنون داخلة عندهم فی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الواحد أیضاً من هذا القبیل،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أفاد بعض الأعاظم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فی تقریرات بحثه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مقام الجواب عن الاستدلال بالآیة ما 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نسبة الأدلّة الدالّة علی جواز العمل بخبر الواحد إلی الآیات لیست نسبة التخصیص، حتّی یقال بأنّها آبیة عنه، بل نسبة الحکومة، فإنّ تلک الأدلّة تقتضی إلغاء احتمال الخلاف، و جعل الخبر محرزاً للواقع، فیکون حاله حال العلم فی عالم التشریع، فلا تشمله الأدلّة الناهیة عن العمل بالظنّ، هذا فی غیر السیرة العقلائیة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فیها فیمکن بوجه أن تکون نسبتها إلی الآیات نسبة الورود، بل التخصّص؛ لأنّ عمل العقلاء بخبر الثقة لیس من العمل بالظنّ؛ لعدم التفاتهم إلی احتمال مخالفة الخبر للواقع، فالعمل بخبر الثقة خارج بالتخصّص عن العمل بالظنّ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إلی عدم صلاحیتها للرادعیة عن السیرة العقلائیة؛ للزوم الدور المحال؛ لأنّ الردع عن السیرة بها یتوقّف علی أن لا تکون السیرة مخصّصة لعمومها، و عدم کونها مخصّصة لعمومها یتوقّف علی أن تکون رادعة منها</w:t>
      </w:r>
      <w:r>
        <w:rPr>
          <w:rStyle w:val="FootnoteAnchor"/>
          <w:rtl w:val="true"/>
        </w:rPr>
        <w:footnoteReference w:id="352"/>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ذکره من إباء الآیات عن التخصیص لا یتمّ فی مثل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تَقْفُ ما لَیْسَ لَکَ بِهِ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لعدم اختصاصها بالأُصول الاعتقادیة</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مسألة الحکومة فلا أساس لها؛ لأنّ الأخبار الدالّة علی جواز العمل</w:t>
      </w:r>
    </w:p>
    <w:p>
      <w:pPr>
        <w:pStyle w:val="BookText"/>
        <w:rPr/>
      </w:pPr>
      <w:r>
        <w:rPr>
          <w:rFonts w:ascii="IRNazanin" w:hAnsi="IRNazanin" w:eastAsia="IRNazanin"/>
          <w:color w:val="111111"/>
          <w:sz w:val="28"/>
          <w:sz w:val="28"/>
          <w:szCs w:val="28"/>
          <w:rtl w:val="true"/>
          <w:lang w:bidi="fa-IR"/>
        </w:rPr>
        <w:t>بقول الثقة لم یکن لسانها لسان الحکومة؛ بحیث کان مفادها هو إلغاء احتمال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علیه السلام فی بعض الأخبار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العمری ثقة فما أدّی إلیک عنّی فعنّی یؤدّی، و ما قال لک عنّی فعنّی یقول</w:t>
      </w:r>
      <w:r>
        <w:rPr>
          <w:rFonts w:eastAsia="Amiri" w:cs="Amiri" w:ascii="Amiri" w:hAnsi="Amiri"/>
          <w:color w:val="111111"/>
          <w:sz w:val="28"/>
          <w:szCs w:val="28"/>
          <w:rtl w:val="true"/>
          <w:lang w:bidi="ar-SA"/>
        </w:rPr>
        <w:t xml:space="preserve">» </w:t>
      </w:r>
      <w:r>
        <w:rPr>
          <w:rStyle w:val="FootnoteAnchor"/>
          <w:rtl w:val="true"/>
        </w:rPr>
        <w:footnoteReference w:id="353"/>
      </w:r>
      <w:r>
        <w:rPr>
          <w:rFonts w:ascii="IRNazanin" w:hAnsi="IRNazanin" w:eastAsia="IRNazanin"/>
          <w:color w:val="111111"/>
          <w:sz w:val="28"/>
          <w:sz w:val="28"/>
          <w:szCs w:val="28"/>
          <w:rtl w:val="true"/>
          <w:lang w:bidi="fa-IR"/>
        </w:rPr>
        <w:t>لا یدلّ علی الحکومة؛ لأنّه لیس مفادها إلاّ العمل بقوله؛ لوثاقته، لا وجوب إلغاء احتمال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ورود السیرة العقلائیة علی الآیات فممنوعة؛ لعدم کون العمل بالخبر عندهم من العمل بالعلم، و لو سلّم غفلتهم عن احتمال الخلاف فلا یوجب ذلک أیضاً تحقّق الورود أو التخصیص، فإنّ موردهما هو الخروج عن الموضوع واقعاً، لا عند المخاطب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الفرق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الأوّل إنّما هو مع إعمال التعبّد، بخلاف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أفاد أخیراً من لزوم الدور 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جریان الدور فی المخصّصیة أیضاً، کما لا یخفی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توقّف الرادعیة إنّما هو علی عدم مخصّص حاصل؛ إذ لا مخصّص فی البین جزماً؛ لأنّ النواهی الرادعة حجّة فی العموم، و لا بدّ من رفع الید عنها بحجّة أقوی، و لا حجّیة للسیرة بلا إمضاء الشارع، فالرادع رادع فعلاً، و السیرة حجّة لو أمضاها الشارع، و هو منتف مع هذه المناهی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فعدم کون السیرة مخصّصة للآیات الناهیة و إن کان متوقّفاً علی کونها رادعة عنها إلاّ أنّ رادعیتها لا تتوقّف علی شیء</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یمکن تقریب الورود بالنسبة إلی أدلّة حجّیة الخبر الواحد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العلم الذی نهی عن اتباعه لا یکون المقصود به هو العلم المقابل للظنّ، بل المراد به هو الحجّة، و لو کانت ظنّیة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فمفاد الآیة إنّما هو النهی عن اتباع</w:t>
      </w:r>
    </w:p>
    <w:p>
      <w:pPr>
        <w:pStyle w:val="BookText"/>
        <w:rPr/>
      </w:pPr>
      <w:r>
        <w:rPr>
          <w:rFonts w:ascii="IRNazanin" w:hAnsi="IRNazanin" w:eastAsia="IRNazanin"/>
          <w:color w:val="111111"/>
          <w:sz w:val="28"/>
          <w:sz w:val="28"/>
          <w:szCs w:val="28"/>
          <w:rtl w:val="true"/>
          <w:lang w:bidi="fa-IR"/>
        </w:rPr>
        <w:t>غیر الحجّة، و أدلّة حجّیة خبر الواحد إنّما تکون مثبتة لحجّیته، فتکون واردة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أنّه 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إبقاء العلم علی معناه الظاهر المرادف للیقین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العمل بخبر الواحد لیس عملاً بغیر العلم و اتباعاً له؛ لأنّه و إن کان کشفه عن الواقع کشفاً ظنّیاً، و لا یحصل العلم منه إلاّ أنّه بعد قیام الدلیل القطعی من السیرة أو غیرها علی حجّیته یکون العمل فی الحقیقة عملاً بالعلم،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فانقدح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الاستدلال فی المقام بالآیات الناهیة استدلال فی غیر محلّه، کما عرفت</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یستدلّ لهم أیضاً بالروایات الدالّة علی ردّ ما لم یکن علیه شاهد من کتاب اللّه أو شاهدان</w:t>
      </w:r>
      <w:r>
        <w:rPr>
          <w:rStyle w:val="FootnoteAnchor"/>
          <w:rtl w:val="true"/>
        </w:rPr>
        <w:footnoteReference w:id="354"/>
      </w:r>
      <w:r>
        <w:rPr>
          <w:rFonts w:ascii="IRNazanin" w:hAnsi="IRNazanin" w:eastAsia="IRNazanin"/>
          <w:color w:val="111111"/>
          <w:sz w:val="28"/>
          <w:sz w:val="28"/>
          <w:szCs w:val="28"/>
          <w:rtl w:val="true"/>
          <w:lang w:bidi="fa-IR"/>
        </w:rPr>
        <w:t>أو لم یکن موافقاً للقرآن</w:t>
      </w:r>
      <w:r>
        <w:rPr>
          <w:rStyle w:val="FootnoteAnchor"/>
          <w:rtl w:val="true"/>
        </w:rPr>
        <w:footnoteReference w:id="355"/>
      </w:r>
      <w:r>
        <w:rPr>
          <w:rFonts w:ascii="IRNazanin" w:hAnsi="IRNazanin" w:eastAsia="IRNazanin"/>
          <w:color w:val="111111"/>
          <w:sz w:val="28"/>
          <w:sz w:val="28"/>
          <w:szCs w:val="28"/>
          <w:rtl w:val="true"/>
          <w:lang w:bidi="fa-IR"/>
        </w:rPr>
        <w:t>أو لم یعلم أنّه قولهم علیهم السلام إلیهم</w:t>
      </w:r>
      <w:r>
        <w:rPr>
          <w:rStyle w:val="FootnoteAnchor"/>
          <w:rtl w:val="true"/>
        </w:rPr>
        <w:footnoteReference w:id="356"/>
      </w:r>
      <w:r>
        <w:rPr>
          <w:rFonts w:ascii="IRNazanin" w:hAnsi="IRNazanin" w:eastAsia="IRNazanin"/>
          <w:color w:val="111111"/>
          <w:sz w:val="28"/>
          <w:sz w:val="28"/>
          <w:szCs w:val="28"/>
          <w:rtl w:val="true"/>
          <w:lang w:bidi="fa-IR"/>
        </w:rPr>
        <w:t>، أو علی بطلان ما لا یصدقه کتاب اللّه</w:t>
      </w:r>
      <w:r>
        <w:rPr>
          <w:rStyle w:val="FootnoteAnchor"/>
          <w:rtl w:val="true"/>
        </w:rPr>
        <w:footnoteReference w:id="357"/>
      </w:r>
      <w:r>
        <w:rPr>
          <w:rFonts w:ascii="IRNazanin" w:hAnsi="IRNazanin" w:eastAsia="IRNazanin"/>
          <w:color w:val="111111"/>
          <w:sz w:val="28"/>
          <w:sz w:val="28"/>
          <w:szCs w:val="28"/>
          <w:rtl w:val="true"/>
          <w:lang w:bidi="fa-IR"/>
        </w:rPr>
        <w:t>، أو علی أنّ ما لا یوافق کتاب اللّه زخرف</w:t>
      </w:r>
      <w:r>
        <w:rPr>
          <w:rStyle w:val="FootnoteAnchor"/>
          <w:rtl w:val="true"/>
        </w:rPr>
        <w:footnoteReference w:id="358"/>
      </w:r>
      <w:r>
        <w:rPr>
          <w:rFonts w:ascii="IRNazanin" w:hAnsi="IRNazanin" w:eastAsia="IRNazanin"/>
          <w:color w:val="111111"/>
          <w:sz w:val="28"/>
          <w:sz w:val="28"/>
          <w:szCs w:val="28"/>
          <w:rtl w:val="true"/>
          <w:lang w:bidi="fa-IR"/>
        </w:rPr>
        <w:t>، أو مثل ذلک من التعبیرات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لا یخفی أنّها أخبار آحاد، لا مجال للاستدلال بها علی عدم حجّیتها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دعوی تواترها إجمالاً و إن لم یکن</w:t>
      </w:r>
      <w:bookmarkStart w:id="786" w:name="pg11586_105050"/>
    </w:p>
    <w:p>
      <w:pPr>
        <w:pStyle w:val="BookText"/>
        <w:rPr/>
      </w:pPr>
      <w:bookmarkEnd w:id="786"/>
      <w:r>
        <w:rPr>
          <w:rFonts w:ascii="IRNazanin" w:hAnsi="IRNazanin" w:eastAsia="IRNazanin"/>
          <w:color w:val="111111"/>
          <w:sz w:val="28"/>
          <w:sz w:val="28"/>
          <w:szCs w:val="28"/>
          <w:rtl w:val="true"/>
          <w:lang w:bidi="fa-IR"/>
        </w:rPr>
        <w:t xml:space="preserve">متواترة لفظاً أو معناً إنّما تجدی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تقدیر تسلیمها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إلی القدر المتیقّن، و مورد توافق الجمیع، و هو بطلان الخبر المخالف، و لا بأس بالالتزام بعدم حجّیته، کما هو واضح</w:t>
      </w:r>
      <w:r>
        <w:rPr>
          <w:rFonts w:eastAsia="IRNazanin" w:cs="IRNazanin"/>
          <w:color w:val="111111"/>
          <w:sz w:val="28"/>
          <w:szCs w:val="28"/>
          <w:rtl w:val="true"/>
          <w:lang w:bidi="fa-IR"/>
        </w:rPr>
        <w:t>.</w:t>
      </w:r>
    </w:p>
    <w:p>
      <w:pPr>
        <w:pStyle w:val="Heading5"/>
        <w:numPr>
          <w:ilvl w:val="4"/>
          <w:numId w:val="1"/>
        </w:numPr>
        <w:rPr/>
      </w:pPr>
      <w:bookmarkStart w:id="787" w:name="__RefHeading___Toc5146195_73709187"/>
      <w:bookmarkStart w:id="788" w:name="_Toc297"/>
      <w:bookmarkEnd w:id="787"/>
      <w:r>
        <w:rPr>
          <w:rtl w:val="true"/>
        </w:rPr>
        <w:t>أدلّة حجّیة خبر الواحد</w:t>
      </w:r>
      <w:bookmarkEnd w:id="788"/>
    </w:p>
    <w:p>
      <w:pPr>
        <w:pStyle w:val="Heading6"/>
        <w:numPr>
          <w:ilvl w:val="5"/>
          <w:numId w:val="1"/>
        </w:numPr>
        <w:rPr/>
      </w:pPr>
      <w:bookmarkStart w:id="789" w:name="__RefHeading___Toc5146197_73709187"/>
      <w:bookmarkStart w:id="790" w:name="_Toc298"/>
      <w:bookmarkEnd w:id="789"/>
      <w:r>
        <w:rPr>
          <w:rtl w:val="true"/>
        </w:rPr>
        <w:t>اشارة</w:t>
      </w:r>
      <w:bookmarkEnd w:id="790"/>
    </w:p>
    <w:p>
      <w:pPr>
        <w:pStyle w:val="BookText"/>
        <w:rPr/>
      </w:pPr>
      <w:r>
        <w:rPr>
          <w:rFonts w:ascii="Amiri" w:hAnsi="Amiri" w:eastAsia="Amiri" w:cs="Amiri"/>
          <w:color w:val="111111"/>
          <w:sz w:val="28"/>
          <w:sz w:val="28"/>
          <w:szCs w:val="28"/>
          <w:rtl w:val="true"/>
          <w:lang w:bidi="ar-SA"/>
        </w:rPr>
        <w:t>ثمّ إنّه قد استدلّ للمشهور بالأدلّة الأربعة</w:t>
      </w:r>
      <w:r>
        <w:rPr>
          <w:rFonts w:eastAsia="Amiri" w:cs="Amiri" w:ascii="Amiri" w:hAnsi="Amiri"/>
          <w:color w:val="111111"/>
          <w:sz w:val="28"/>
          <w:szCs w:val="28"/>
          <w:rtl w:val="true"/>
          <w:lang w:bidi="ar-SA"/>
        </w:rPr>
        <w:t>:</w:t>
      </w:r>
    </w:p>
    <w:p>
      <w:pPr>
        <w:pStyle w:val="Heading6"/>
        <w:numPr>
          <w:ilvl w:val="5"/>
          <w:numId w:val="1"/>
        </w:numPr>
        <w:rPr/>
      </w:pPr>
      <w:bookmarkStart w:id="791" w:name="__RefHeading___Toc5146199_73709187"/>
      <w:bookmarkStart w:id="792" w:name="_Toc299"/>
      <w:bookmarkEnd w:id="791"/>
      <w:r>
        <w:rPr>
          <w:rtl w:val="true"/>
        </w:rPr>
        <w:t>الدلیل الأوّل</w:t>
      </w:r>
      <w:r>
        <w:rPr>
          <w:rtl w:val="true"/>
        </w:rPr>
        <w:t xml:space="preserve">: </w:t>
      </w:r>
      <w:r>
        <w:rPr>
          <w:rtl w:val="true"/>
        </w:rPr>
        <w:t>الآیات</w:t>
      </w:r>
      <w:bookmarkEnd w:id="792"/>
    </w:p>
    <w:p>
      <w:pPr>
        <w:pStyle w:val="Heading6"/>
        <w:numPr>
          <w:ilvl w:val="5"/>
          <w:numId w:val="1"/>
        </w:numPr>
        <w:rPr/>
      </w:pPr>
      <w:bookmarkStart w:id="793" w:name="__RefHeading___Toc5146201_73709187"/>
      <w:bookmarkStart w:id="794" w:name="_Toc300"/>
      <w:bookmarkEnd w:id="793"/>
      <w:r>
        <w:rPr>
          <w:rtl w:val="true"/>
        </w:rPr>
        <w:t>منها</w:t>
      </w:r>
      <w:r>
        <w:rPr>
          <w:rtl w:val="true"/>
        </w:rPr>
        <w:t xml:space="preserve">: </w:t>
      </w:r>
      <w:r>
        <w:rPr>
          <w:rtl w:val="true"/>
        </w:rPr>
        <w:t>آیة النبأ</w:t>
      </w:r>
      <w:bookmarkEnd w:id="794"/>
    </w:p>
    <w:p>
      <w:pPr>
        <w:pStyle w:val="BookText"/>
        <w:rPr/>
      </w:pPr>
      <w:r>
        <w:rPr>
          <w:rFonts w:ascii="Amiri" w:hAnsi="Amiri" w:eastAsia="Amiri" w:cs="Amiri"/>
          <w:color w:val="111111"/>
          <w:sz w:val="28"/>
          <w:sz w:val="28"/>
          <w:szCs w:val="28"/>
          <w:rtl w:val="true"/>
          <w:lang w:bidi="ar-SA"/>
        </w:rPr>
        <w:t>قال اللّه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جاءَکُمْ فاسِقٌ بِنَبَإٍ فَتَبَیَّنُوا</w:t>
      </w:r>
      <w:r>
        <w:rPr>
          <w:rFonts w:eastAsia="Amiri" w:cs="Amiri" w:ascii="Amiri" w:hAnsi="Amiri"/>
          <w:color w:val="111111"/>
          <w:sz w:val="28"/>
          <w:szCs w:val="28"/>
          <w:rtl w:val="true"/>
          <w:lang w:bidi="ar-SA"/>
        </w:rPr>
        <w:t xml:space="preserve">...» </w:t>
      </w:r>
      <w:r>
        <w:rPr>
          <w:rStyle w:val="FootnoteAnchor"/>
          <w:rtl w:val="true"/>
        </w:rPr>
        <w:footnoteReference w:id="359"/>
      </w:r>
      <w:r>
        <w:rPr>
          <w:rFonts w:ascii="IRNazanin" w:hAnsi="IRNazanin" w:eastAsia="IRNazanin"/>
          <w:color w:val="111111"/>
          <w:sz w:val="28"/>
          <w:sz w:val="28"/>
          <w:szCs w:val="28"/>
          <w:rtl w:val="true"/>
          <w:lang w:bidi="fa-IR"/>
        </w:rPr>
        <w:t>و یمکن تقریب الاستدلال بها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مفهوم الشرط، و أنّ تعلیق الحکم بإیجاب التبیّن علی کون الجائی بالخبر فاسقاً یدلّ علی انتفاء الوجوب عند عدم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مفهوم الوصف و أنّ وجوب التبیّن إنّما جعل محمولاً علی خبر الفاسق؛ فینتفی عند انتفائه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مناسبة الحکم و الموضوع، فإنّ وجوب التبیّن إنّما یناسب مع کون الجائی بالخبر فاسقاً</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ذکر الفاسق فی الموضوع، فإنّه مرکّب من الخبر و من</w:t>
      </w:r>
    </w:p>
    <w:p>
      <w:pPr>
        <w:pStyle w:val="BookText"/>
        <w:rPr/>
      </w:pPr>
      <w:r>
        <w:rPr>
          <w:rFonts w:ascii="IRNazanin" w:hAnsi="IRNazanin" w:eastAsia="IRNazanin"/>
          <w:color w:val="111111"/>
          <w:sz w:val="28"/>
          <w:sz w:val="28"/>
          <w:szCs w:val="28"/>
          <w:rtl w:val="true"/>
          <w:lang w:bidi="fa-IR"/>
        </w:rPr>
        <w:t>کون الجائی به فاسقاً، و هو یدلّ علی مدخلیة ذلک فی ترتّب المحمول، و إلّا لکان ذکره لغواً،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یرد علی الاستدلال بالآیة من جهة مفهوم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تقدیر تسلیم ثبوت المفهوم لمطلق القضایا الشرطیة و للآیة بالخصوص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جعل فی الآیة جزاءً لمجیء الفاسق بالنبإ بحسب الظاهر لا یناسب مع الشرط، و لا ارتباط بینهما، فلا بدّ أن یکون الجزاء أمراً آخر محذوفاً یدلّ علیه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التبیّن عبارة عن التفحّص و التحقیق لیظهر الأمر و یتبیّن، و من الواضح أنّ التبیّن عند مجیء الفاسق بالخبر لا یوجب العمل بخبر الفاسق، من حیث مجیئه به، بل یکون العمل حینئذٍ علی طبق ما یتبیّن، بلا مدخلیة إتیان الفاسق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فوجوب التبیّن و العمل علی طبقه ممّا لا ارتباط له بمجیء الفاسق بالخبر، فاللازم أن یکون الجزاء هو عدم الاعتناء بخبره و عدم الاعتماد بقوله، فمنطوق الآیة حینئذٍ عبارة عن أنّه لو جاءکم فاسق بنبإ فتوقّفوا، و لا ترتّبوا علیه الأثر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فالحکم فی المفهوم إنّما هو نفی التوقّف و الإطراح بالکلّیة، و هو لا یثبت أزید من ترتیب الأثر علی قول العادل فی الجملة، الغیر المنافی مع اشتراط عدل آخر،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یؤیّد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المنقول عن بعض القرّاء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تثبّتوا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تبیّنوا</w:t>
      </w:r>
      <w:r>
        <w:rPr>
          <w:rFonts w:eastAsia="IRNazanin" w:cs="IRNazanin"/>
          <w:color w:val="111111"/>
          <w:sz w:val="28"/>
          <w:szCs w:val="28"/>
          <w:rtl w:val="true"/>
          <w:lang w:bidi="fa-IR"/>
        </w:rPr>
        <w:t>»</w:t>
      </w:r>
      <w:r>
        <w:rPr>
          <w:rStyle w:val="FootnoteAnchor"/>
          <w:rtl w:val="true"/>
        </w:rPr>
        <w:footnoteReference w:id="360"/>
      </w:r>
      <w:r>
        <w:rPr>
          <w:rFonts w:ascii="Amiri" w:hAnsi="Amiri" w:eastAsia="Amiri" w:cs="Amiri"/>
          <w:color w:val="111111"/>
          <w:sz w:val="28"/>
          <w:sz w:val="28"/>
          <w:szCs w:val="28"/>
          <w:rtl w:val="true"/>
          <w:lang w:bidi="ar-SA"/>
        </w:rPr>
        <w:t>، و التثبّت التوقّف، فتدبّر</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کلّه علی تقدیر تسلیم ثبوت المفهوم للآیة، مع أنّ لنا المنع منه، کما أفاده الشیخ المحقّق الأنصاری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محصّله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الجزاء هو وجوب</w:t>
      </w:r>
      <w:bookmarkStart w:id="795" w:name="pg11586_105052"/>
    </w:p>
    <w:p>
      <w:pPr>
        <w:pStyle w:val="BookText"/>
        <w:rPr/>
      </w:pPr>
      <w:bookmarkEnd w:id="795"/>
      <w:r>
        <w:rPr>
          <w:rFonts w:ascii="IRNazanin" w:hAnsi="IRNazanin" w:eastAsia="IRNazanin"/>
          <w:color w:val="111111"/>
          <w:sz w:val="28"/>
          <w:sz w:val="28"/>
          <w:szCs w:val="28"/>
          <w:rtl w:val="true"/>
          <w:lang w:bidi="fa-IR"/>
        </w:rPr>
        <w:t>التبیّن عن الخبر الذی جاء به الفاسق لا مطلق الخبر، کما هو واضح، و من المعلوم انتفاء ذلک عند انتفاء الشرط، و هو مجیء الفاسق بالخبر؛ لانتفاء الحکم بانتفاء موضوعه؛ إذ لا یعقل التبیّن عن خبر الفاسق مع عدم مجیئه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فالقضیة السالبة المفهومیة إنّما هی سالبة بانتفاء الموضوع، فتکون الجملة الشرطیة مسوقة لبیان تحقّق الموضوع، کما فی قول القائل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رزقت ولداً فاختنه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نظائر هذا المثال</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96" w:name="__RefHeading___Toc5146203_73709187"/>
      <w:bookmarkStart w:id="797" w:name="_Toc301"/>
      <w:bookmarkEnd w:id="796"/>
      <w:r>
        <w:rPr>
          <w:rtl w:val="true"/>
        </w:rPr>
        <w:t>و هنا تقریبات لبیان ثبوت المفهوم للآیة</w:t>
      </w:r>
      <w:r>
        <w:rPr>
          <w:rtl w:val="true"/>
        </w:rPr>
        <w:t>:</w:t>
      </w:r>
      <w:bookmarkEnd w:id="797"/>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أفاده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الشرط هو کون الجائی بالخبر فاسقاً، و الموضوع المفروض هو نفس النبأ المتحقّق، فمرجع الآیة إلی أنّ النبأ إن کان الجائی به فاسقاً، فیجب التبیّن، و مفهومه أنّه إن لم یکن الجائی به فاسقاً فینتفی وجوب التبیّن، و هو لا یصدق إلاّ مع مجیء العادل به</w:t>
      </w:r>
      <w:r>
        <w:rPr>
          <w:rStyle w:val="FootnoteAnchor"/>
          <w:rtl w:val="true"/>
        </w:rPr>
        <w:footnoteReference w:id="36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تصرّف فی الآیة، و حمل لها علی غیر المعنی الظاهر بلا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أفاده المحقّق العراقی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فی تقریرات بحثه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ملخّصه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لا شبهة فی أنّ استخراج المفهوم من القضایا یحتاج إلی تجرید الموضوع المذکور فی المنطوق فی ناحیة المفهوم من القیود التی ارید استخراج المفهوم من جهتها، و حینئذٍ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المحتملات المتصوّرة فی الشرط فی الآیة ثلاثة</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الشرط فیها نفس المجیء خاصّة مجرّداً عن متعلّقاته، و علیه یتمّ ما أفاده الشیخ من انحصار المفهوم فیها بالسالبة بانتفاء الموضوع، فإنّ لازم</w:t>
      </w:r>
    </w:p>
    <w:p>
      <w:pPr>
        <w:pStyle w:val="BookText"/>
        <w:rPr/>
      </w:pPr>
      <w:r>
        <w:rPr>
          <w:rFonts w:ascii="IRNazanin" w:hAnsi="IRNazanin" w:eastAsia="IRNazanin"/>
          <w:color w:val="111111"/>
          <w:sz w:val="28"/>
          <w:sz w:val="28"/>
          <w:szCs w:val="28"/>
          <w:rtl w:val="true"/>
          <w:lang w:bidi="fa-IR"/>
        </w:rPr>
        <w:t>الاقتصار علی التجرید علی خصوص المجیء هو حفظ إضافة الفسق فی ناحیة الموضوع بجعله عبارة عن النبأ المضاف إلی الفاسق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الشرط هو المجیء مع متعلّقاته، و لازمه هو کون الموضوع نفس النبأ، مجرّداً عن إضافته إلی الفاسق أیضاً، و علیه یکون للآیة مفهومان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 السالبة بانتفاء الموضوع، و ثانیهما السالبة بانتفاء المحمول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الشرط عبارة عن الربط الحاصل بین المجیء و الفاسق الذی هو مفاد کان الناقصة، و لازمه هو الاقتصار فی التجرید علی خصوص ما جعل شرطاً؛ أعنی الإضافة الحاصلة بین المجیء و الفاسق، و ینحصر المفهوم فیه بالسالبة بانتفاء المحمول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لکن الأخیر من هذه الوجوه الثلاثة فی غایة البعد؛ لظهور الجملة الشرطیة فی الآیة فی کون الشرط هو المجیء، أو مع إضافته إلی الفاسق، لا الربط الحاصل بین المجیء و الفاسق بما هو مفاد کان الناقصة مع خروج نفس المجیء عن الشرطیة؛ کی یلزمه ما ذکر من کون الموضوع فیها هو النبأ المجیء به، کما أفاده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یتلوه فی البعد الوجه الأوّل، فإنّ ذلک أیضاً ینافی ظهور الآیة المبارکة، فإنّ المتبادر المنساق منها عرفاً کون الشرط هو المجیء بما هو مضاف إلی الفاسق، نظیر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 زید بفاکهة یجب تناولها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علیه فکما یجب تجرید الموضوع فی الآیة عن إضافته إلی المجیء کذلک یجب تجریده عن متعلّقاته، فیکون الموضوع نفس طبیعة النبأ، لا النبأ الخاصّ المضاف إلی الفاسق، و لازمه جواز التمسّک بإطلاق المفهوم فی الآیة؛ لعدم انحصاره حینئذٍ فی السالبة بانتفاء الموضوع</w:t>
      </w:r>
      <w:r>
        <w:rPr>
          <w:rStyle w:val="FootnoteAnchor"/>
          <w:rtl w:val="true"/>
        </w:rPr>
        <w:footnoteReference w:id="363"/>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تقریرات المحقّق النائینی، و 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یمکن استظهار کون الموضوع فی الآیة مطلق النبأ، و الشرط هو مجیء الفاسق به من مورد النزول</w:t>
      </w:r>
      <w:r>
        <w:rPr>
          <w:rStyle w:val="FootnoteAnchor"/>
          <w:rtl w:val="true"/>
        </w:rPr>
        <w:footnoteReference w:id="364"/>
      </w:r>
      <w:r>
        <w:rPr>
          <w:rFonts w:ascii="IRNazanin" w:hAnsi="IRNazanin" w:eastAsia="IRNazanin"/>
          <w:color w:val="111111"/>
          <w:sz w:val="28"/>
          <w:sz w:val="28"/>
          <w:szCs w:val="28"/>
          <w:rtl w:val="true"/>
          <w:lang w:bidi="fa-IR"/>
        </w:rPr>
        <w:t>، فإنّ موردها إخبار الولید بارتداد بنی المصطلق، فقد أجتمع فی إخباره عنوانان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من الخبر الواحد، و کون المخبر فاسقاً، و الآیة الشریفة إنّما وردت لإفادة کبری کلّیة لتمییز الأخبار التی یجب التبیّن عنها عن غیرها، و قد علّق وجوب التبیّن علی کون المخبر فاسقاً، فیکون الشرط لوجوب التبیّن هو کون المخبر فاسقاً، لا کون الخبر واحداً؛ إذ لو کان الشرط ذلک لعلّق وجوب التبیّن فی الآیة علیه؛ لأنّه بإطلاقه شامل لخبر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الشرط خبر الفاسق کاشف عن انتفاء التبیّن فی خبر غیر الفاسق</w:t>
      </w:r>
      <w:r>
        <w:rPr>
          <w:rStyle w:val="FootnoteAnchor"/>
          <w:rtl w:val="true"/>
        </w:rPr>
        <w:footnoteReference w:id="365"/>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 آخر أفاده الاُستاذ</w:t>
      </w:r>
      <w:r>
        <w:rPr>
          <w:rStyle w:val="FootnoteAnchor"/>
          <w:rtl w:val="true"/>
        </w:rPr>
        <w:footnoteReference w:id="366"/>
      </w:r>
      <w:r>
        <w:rPr>
          <w:rFonts w:ascii="IRNazanin" w:hAnsi="IRNazanin" w:eastAsia="IRNazanin"/>
          <w:color w:val="111111"/>
          <w:sz w:val="28"/>
          <w:sz w:val="28"/>
          <w:szCs w:val="28"/>
          <w:rtl w:val="true"/>
          <w:lang w:bidi="fa-IR"/>
        </w:rPr>
        <w:t>، و هو أنّه لا فرق فی شمول العامّ لأفراده بین کونها أفراداً ذاتیة له أو عرضیة، إذا کانت شموله للثانیة بنظر العرف حقیقة، فکما أنّ الأبیض صادق علی نفس البیاض ذاتاً کذلک صادق علی الجسم المتصف به، مع أنّ صدقه علیه عرضی عند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لعدم مجیء الفاسق بالخبر فرد ذاتی، هو عدم تحقّق الخبر أصلاً، و أفراد عرضیة هی مجیء العادل به، فکما یشمل العامّ الذی هو مفهوم الآیة الفرد الذاتی کذلک یشمل الفرد العرضی أیضاً</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یرد علی الأخیر ثبوت الفرق بین المثال و الممثّل، فإنّ صدق عنوان الأبیض علی نفس البیاض فی المثال یکون أخفی من صدقه علی الفرد العرضی الذی هو الجسم المتصف به، بخلاف المقام، فإنّ صدق المفهوم علی الفرد</w:t>
      </w:r>
      <w:bookmarkStart w:id="798" w:name="pg11586_105055"/>
    </w:p>
    <w:p>
      <w:pPr>
        <w:pStyle w:val="BookText"/>
        <w:rPr/>
      </w:pPr>
      <w:bookmarkEnd w:id="798"/>
      <w:r>
        <w:rPr>
          <w:rFonts w:ascii="IRNazanin" w:hAnsi="IRNazanin" w:eastAsia="IRNazanin"/>
          <w:color w:val="111111"/>
          <w:sz w:val="28"/>
          <w:sz w:val="28"/>
          <w:szCs w:val="28"/>
          <w:rtl w:val="true"/>
          <w:lang w:bidi="fa-IR"/>
        </w:rPr>
        <w:t>العرضی، و هو مجیء العادل بالنبإ أخفی من صدقه علی الفرد الذاتی، و هو عدم تحقّق النبأ أصلاً، بل لا یکون عرفاً من مصادیقه و إن کان أحد الضدّین ممّا ینطبق علیه عدم الضدّ الآخر، و یکون مصدوقاً علیه بحسب اصطلاح فنّ المعقول، لکنّه أمر خارج عن متفاهم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یرد علی الوجه السابق علی هذا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کون مورد النزول هو إخبار الولید بارتداد بنی المصطلق لا ربط له بکون الموضوع فی الآیة مطلق النبأ، و الشرط خارج غیر مسوغ لتحقّق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یمکن أن یستفاد من مورد النزول مدخلیة المجیء فی الموضوع و عدمها، فاللازم الأخذ بظاهرها، الذی هو کون الموضوع النبأ المقیّد بمجیء الفاسق به، و قد عرفت عدم ثبوت المفهوم له حینئذٍ أصلاً مع أنّ دعوی کون الآیة واردة لإفادة کبری کلّیة إنّما یبتنی علی ثبوت المفهوم لها؛ ضرورة أنّها بدونه لا تکون فی مقام تمییز ما یجب فیه التبیّن عن غیره، فإثبات المفهوم لها من هذه الناحیة غیر ممکن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هنا یظهر الجواب عن باقی التقریبات، فتدبّر</w:t>
      </w:r>
      <w:r>
        <w:rPr>
          <w:rFonts w:eastAsia="IRNazanin" w:cs="IRNazanin"/>
          <w:color w:val="111111"/>
          <w:sz w:val="28"/>
          <w:szCs w:val="28"/>
          <w:rtl w:val="true"/>
          <w:lang w:bidi="fa-IR"/>
        </w:rPr>
        <w:t>.</w:t>
      </w:r>
    </w:p>
    <w:p>
      <w:pPr>
        <w:pStyle w:val="Heading6"/>
        <w:numPr>
          <w:ilvl w:val="5"/>
          <w:numId w:val="1"/>
        </w:numPr>
        <w:rPr/>
      </w:pPr>
      <w:bookmarkStart w:id="799" w:name="__RefHeading___Toc5146205_73709187"/>
      <w:bookmarkStart w:id="800" w:name="_Toc302"/>
      <w:bookmarkEnd w:id="799"/>
      <w:r>
        <w:rPr>
          <w:rtl w:val="true"/>
        </w:rPr>
        <w:t>تذییل</w:t>
      </w:r>
      <w:r>
        <w:rPr>
          <w:rtl w:val="true"/>
        </w:rPr>
        <w:t xml:space="preserve">: </w:t>
      </w:r>
      <w:r>
        <w:rPr>
          <w:rtl w:val="true"/>
        </w:rPr>
        <w:t>فیما اورد علی التمسّک بالآیة</w:t>
      </w:r>
      <w:bookmarkEnd w:id="800"/>
    </w:p>
    <w:p>
      <w:pPr>
        <w:pStyle w:val="BookText"/>
        <w:rPr/>
      </w:pPr>
      <w:r>
        <w:rPr>
          <w:rFonts w:ascii="IRNazanin" w:hAnsi="IRNazanin" w:eastAsia="IRNazanin"/>
          <w:color w:val="111111"/>
          <w:sz w:val="28"/>
          <w:sz w:val="28"/>
          <w:szCs w:val="28"/>
          <w:rtl w:val="true"/>
          <w:lang w:bidi="fa-IR"/>
        </w:rPr>
        <w:t>قد اورد علی التمسّک بالآیة الشریفة لحجّیة خبر الواحد بأُمورٍ، بعضها یختصّ بالآیة و بعضها یشترک بین الآیة و غیرها</w:t>
      </w:r>
      <w:r>
        <w:rPr>
          <w:rFonts w:eastAsia="IRNazanin" w:cs="IRNazanin"/>
          <w:color w:val="111111"/>
          <w:sz w:val="28"/>
          <w:szCs w:val="28"/>
          <w:rtl w:val="true"/>
          <w:lang w:bidi="fa-IR"/>
        </w:rPr>
        <w:t>:</w:t>
      </w:r>
    </w:p>
    <w:p>
      <w:pPr>
        <w:pStyle w:val="Heading6"/>
        <w:numPr>
          <w:ilvl w:val="5"/>
          <w:numId w:val="1"/>
        </w:numPr>
        <w:rPr/>
      </w:pPr>
      <w:bookmarkStart w:id="801" w:name="__RefHeading___Toc5146207_73709187"/>
      <w:bookmarkStart w:id="802" w:name="_Toc303"/>
      <w:bookmarkEnd w:id="801"/>
      <w:r>
        <w:rPr>
          <w:rtl w:val="true"/>
        </w:rPr>
        <w:t>أمّا الإشکالات المختصّة بالآیة</w:t>
      </w:r>
      <w:bookmarkEnd w:id="802"/>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معارضة المفهوم مع عموم التعلیل الواقع فی ذیلها، و هو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تُصِیبُوا قَوْماً بِجَهالَةٍ فَتُصْبِحُوا عَلی ما فَعَلْتُمْ نادِمِینَ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الجهالة هی عدم العلم بالواقع، و هو مشترک بین إخبار الفاسق و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فمقتضی التعلیل وجوب</w:t>
      </w:r>
    </w:p>
    <w:p>
      <w:pPr>
        <w:pStyle w:val="BookText"/>
        <w:rPr/>
      </w:pPr>
      <w:r>
        <w:rPr>
          <w:rFonts w:ascii="IRNazanin" w:hAnsi="IRNazanin" w:eastAsia="IRNazanin"/>
          <w:color w:val="111111"/>
          <w:sz w:val="28"/>
          <w:sz w:val="28"/>
          <w:szCs w:val="28"/>
          <w:rtl w:val="true"/>
          <w:lang w:bidi="fa-IR"/>
        </w:rPr>
        <w:t>التبیّن عن خبر العادل أیضاً، و هو یعارض مع مفهوم الصدر، و التعلیل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النسبة بینهما عموم من وجه، فیتعارضان فی مادّة الاجتماع، و هی خبر العادل الغیر المفید للعلم، و یجب حینئذٍ تقدیم عموم المفهوم و إدخال مادّة الاجتماع فیه؛ إذ لو خرج عنه، و انحصر مورده بالخبر العادل المفید للعلم لکان لغواً؛ لأنّ خبر الفاسق المفید للعلم أیضاً واجب العمل، بل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الخبر المفید للعلم خارج عن الآیة مفهوماً و منطوقاً، فیکون المفهوم أخصّ مطلق من عموم التعلیل، فیجب تخصیصه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المدعی إنّما هو التعارض بین ظهور التعلیل فی العموم و ظهور الجملة الشرطیة فی ثبوت المفهوم، و حینئذٍ فالأخذ بظاهر التعلیل أولی من تخصیصه بعد ثبوت المفهوم؛ خصوصاً بعد کونه آبیاً عن التخصیص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ینعقد للآیة مفهوم، حتّی تعارض مع عموم التعلیل</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الحقّ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الآیة الشریفة لا مجال للاستدلال بها للمقام، فإنّ المراد بالنبإ لیس مطلق الخبر، بل الخبر العظیم، و النبأ الذی یترتّب علیه امور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الدلیل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التعبیر بالنبإ لا بالخبر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ملاحظة التعلیل، فإنّ من الواضح أنّ العمل بخبر الفاسق فی غیر الاُمور العظیمة ممّا لا یترتّب علیه الندامة، فإنّه لو اخبر بمجیء زید فرتّب المخاطب آثار المجیء بمجرّد إخباره لا یوجب ذلک إصابة القوم بجهالة الموجبة للندامة، و یدلّ علی ذلک ملاحظة مورد نزول الآیة أیضاً، و من المعلوم أنّ فی تلک الاُمور العظیمة التی یترتّب علیها قتل الرجال، و سبی النساء و الصبیان، و تصرّف الأموال لا یجوز الاکتفاء فیها بخبر العادل أیضاً، فالآیة الشریفة بعیدة عن المقام بمراحل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أنّه علی تقدیر تسلیم کون المراد بالنبإ هو مطلق الخبر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مجال لدعوی المفهوم فیها، فإنّ التعلیل إنّما یدلّ علی کون الحکم معلّلاً بمضمونه، و معه لا مجال لدعوی کون التعلیق فی القضیة الشرطیة ظاهراً فی کون الشرط علّة، فضلاً عن کونه علّة منحصرة؛ إذ هذا الظهور إنّما نشأ من إطلاق الأداة أو إطلاق الشرط أو إطلاق الجزاء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قد قرّر فی باب المفاهیم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التصریح بالعلّیة لم یکن للقضیة ظهور فی الإطلاق، بل لا یکون لها ظهور فی مجرّد علّیة الشرط، فضلاً عن انحصارها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لعمری إنّ هذا الإشکال ممّا لا یمکن الذبّ عنه،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أمّا ما یظهر من بعض من دعوی أنّ الجهالة لیس بمعنی عدم العلم، بل بمعنی السفاهة و الرکون إلی ما لا ینبغی الرکون إلیه</w:t>
      </w:r>
      <w:r>
        <w:rPr>
          <w:rStyle w:val="FootnoteAnchor"/>
          <w:rtl w:val="true"/>
        </w:rPr>
        <w:footnoteReference w:id="368"/>
      </w:r>
      <w:r>
        <w:rPr>
          <w:rFonts w:ascii="IRNazanin" w:hAnsi="IRNazanin" w:eastAsia="IRNazanin"/>
          <w:color w:val="111111"/>
          <w:sz w:val="28"/>
          <w:sz w:val="28"/>
          <w:szCs w:val="28"/>
          <w:rtl w:val="true"/>
          <w:lang w:bidi="fa-IR"/>
        </w:rPr>
        <w:t>فهو ظاهر الفساد، و بعد وضوح کونه من اشتقاقات مادّة الجهل، مضافاً إلی تصریح أهل اللغة به أیضاً</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یلزم خروج المورد عن عموم المفهوم؛ لأنّ مورد نزول الآیة الشریفة هو الإخبار بالارتداد، و هو لا یثبت إلاّ بالبیّنة، فاللازم خروجه عن العموم، مع أنّه نصّ فی المورد، فلا بدّ من رفع الید عن المفهوم لئلّا یلزم التخصیص الشنیع</w:t>
      </w:r>
      <w:r>
        <w:rPr>
          <w:rStyle w:val="FootnoteAnchor"/>
          <w:rtl w:val="true"/>
        </w:rPr>
        <w:footnoteReference w:id="370"/>
      </w:r>
      <w:r>
        <w:rPr>
          <w:rFonts w:ascii="IRNazanin" w:hAnsi="IRNazanin" w:eastAsia="IRNazanin"/>
          <w:color w:val="111111"/>
          <w:sz w:val="28"/>
          <w:sz w:val="28"/>
          <w:szCs w:val="28"/>
          <w:rtl w:val="true"/>
          <w:lang w:bidi="fa-IR"/>
        </w:rPr>
        <w:t xml:space="preserve">، و هذا الإشکال أیضاً ممّا لا یمکن الذبّ عنه، و إن تصدّی للجواب عنه المحقّق النائینی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فی التقریرات </w:t>
      </w:r>
      <w:r>
        <w:rPr>
          <w:rStyle w:val="FootnoteAnchor"/>
          <w:rtl w:val="true"/>
        </w:rPr>
        <w:footnoteReference w:id="3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لکنّه لا یندفع به، فتأمّل فیه</w:t>
      </w:r>
      <w:r>
        <w:rPr>
          <w:rFonts w:eastAsia="IRNazanin" w:cs="IRNazanin"/>
          <w:color w:val="111111"/>
          <w:sz w:val="28"/>
          <w:szCs w:val="28"/>
          <w:rtl w:val="true"/>
          <w:lang w:bidi="fa-IR"/>
        </w:rPr>
        <w:t>.</w:t>
      </w:r>
      <w:bookmarkStart w:id="803" w:name="pg11586_105058"/>
    </w:p>
    <w:p>
      <w:pPr>
        <w:pStyle w:val="Heading6"/>
        <w:numPr>
          <w:ilvl w:val="5"/>
          <w:numId w:val="1"/>
        </w:numPr>
        <w:rPr/>
      </w:pPr>
      <w:bookmarkStart w:id="804" w:name="__RefHeading___Toc5146209_73709187"/>
      <w:bookmarkStart w:id="805" w:name="_Toc304"/>
      <w:bookmarkEnd w:id="803"/>
      <w:bookmarkEnd w:id="804"/>
      <w:r>
        <w:rPr>
          <w:rtl w:val="true"/>
        </w:rPr>
        <w:t>و أمّا الإشکالات العامّة</w:t>
      </w:r>
      <w:bookmarkEnd w:id="805"/>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مفهوم الآیة لو دلّ علی حجّیة خبر العادل لدلّ علی حجّیة الإجماع الذی ادعاه السیّد و أتباعه علی عدم حجّیة خبر العادل أیضاً؛ لأنّهم عدول أخبروا بحکم الإمام علیه السلام بعدم حجّیة خبر الواحد، فیلزم من حجّیة الخبر عدم حجّیته، و ما یلزم من وجوده العدم فهو محال</w:t>
      </w:r>
      <w:r>
        <w:rPr>
          <w:rStyle w:val="FootnoteAnchor"/>
          <w:rtl w:val="true"/>
        </w:rPr>
        <w:footnoteReference w:id="37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لکن هذا الإشکال یندفع بملاحظة ما ذکرنا فی الإجماع المنقول من عدم حجّیة الإخبار عن حدس، و من المعلوم أنّ ادعاء الإجماع مبنی علی الحدس، کما عرفت</w:t>
      </w:r>
      <w:r>
        <w:rPr>
          <w:rFonts w:eastAsia="IRNazanin" w:cs="IRNazanin"/>
          <w:color w:val="111111"/>
          <w:sz w:val="28"/>
          <w:szCs w:val="28"/>
          <w:rtl w:val="true"/>
          <w:lang w:bidi="fa-IR"/>
        </w:rPr>
        <w:t>.</w:t>
      </w:r>
    </w:p>
    <w:p>
      <w:pPr>
        <w:pStyle w:val="Heading6"/>
        <w:numPr>
          <w:ilvl w:val="5"/>
          <w:numId w:val="1"/>
        </w:numPr>
        <w:rPr/>
      </w:pPr>
      <w:bookmarkStart w:id="806" w:name="__RefHeading___Toc5146211_73709187"/>
      <w:bookmarkStart w:id="807" w:name="_Toc305"/>
      <w:bookmarkEnd w:id="806"/>
      <w:r>
        <w:rPr>
          <w:rtl w:val="true"/>
        </w:rPr>
        <w:t>و اجیب عنه بوجوه اخر</w:t>
      </w:r>
      <w:r>
        <w:rPr>
          <w:rtl w:val="true"/>
        </w:rPr>
        <w:t>:</w:t>
      </w:r>
      <w:bookmarkEnd w:id="807"/>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معارض بقول السیّد، فإنّ حجّیته یستلزم عدم حجّیته، و ما یلزم من وجوده العدم فهو محال، فلا یکون قول السیّد بحجّة</w:t>
      </w:r>
      <w:r>
        <w:rPr>
          <w:rStyle w:val="FootnoteAnchor"/>
          <w:rtl w:val="true"/>
        </w:rPr>
        <w:footnoteReference w:id="3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المحال إنّما یلزم من شمول خبر السیّد لنفسه، و هو یوجب عدم الشمول، و لکنّه معارض بأنّ حجّیة الخبر الواحد لا یستلزم المحال، بل المحال یلزم من شمول أدلّة حجّیة خبر الواحد لخبر السیّد، و هو یوجب عدم شمولها له، فیرتفع الإشکال</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یدور بین دخوله و خروج ما عداه و بین العکس، و لا ریب أنّ الثانی متعیّن، لا لمجرّد قبح انتهاء التخصیص إلی الواحد، بل لأنّ المقصود من جعل الحجّیة ینحصر فی بیان عدم الحجّیة، و لا ریب أنّ التعبیر عن هذا المقصود</w:t>
      </w:r>
    </w:p>
    <w:p>
      <w:pPr>
        <w:pStyle w:val="BookText"/>
        <w:rPr/>
      </w:pPr>
      <w:r>
        <w:rPr>
          <w:rFonts w:ascii="IRNazanin" w:hAnsi="IRNazanin" w:eastAsia="IRNazanin"/>
          <w:color w:val="111111"/>
          <w:sz w:val="28"/>
          <w:sz w:val="28"/>
          <w:szCs w:val="28"/>
          <w:rtl w:val="true"/>
          <w:lang w:bidi="fa-IR"/>
        </w:rPr>
        <w:t>بما یدلّ علی عموم حجّیة خبر العادل قبیح فی الغایة</w:t>
      </w:r>
      <w:r>
        <w:rPr>
          <w:rStyle w:val="FootnoteAnchor"/>
          <w:rtl w:val="true"/>
        </w:rPr>
        <w:footnoteReference w:id="37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أورد علی ذلک المحقّق الخراسانی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التعلیقة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بمنع لزوم ما هو قبیح فی الغایة؛ لأنّه من الممکن جدّاً أن یکون المراد من الآیة واقعاً هو حجّیة خبر العادل مطلقاً إلی زمان خبر السیّد بعدم حجّیته، کما هو قضیة ظهورها، من دون أن یزاحمه شیء قبله و عدم حجّیته بعده، کما هو قضیّته؛ لمزاحمة عمومها لسائر الأفراد، و بعد شمول العموم له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مثل هذا لیس بقبیح أصلاً، فإنّه لیس إلاّ من باب بیان إظهار انتهاء حکم العامّ فی زمان بتعمیمه؛ بحیث یعمّ فرداً ینافی و یناقض الحکم سائر الأفراد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یوجد إلاّ فی ذاک الزمان؛ حیث إنّه لیس إلاّ نحو تقیید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الإجماع قائم علی عدم الفصل</w:t>
      </w:r>
      <w:r>
        <w:rPr>
          <w:rStyle w:val="FootnoteAnchor"/>
          <w:rtl w:val="true"/>
        </w:rPr>
        <w:footnoteReference w:id="375"/>
      </w:r>
      <w:r>
        <w:rPr>
          <w:rFonts w:ascii="IRNazanin" w:hAnsi="IRNazanin" w:eastAsia="IRNazanin"/>
          <w:color w:val="111111"/>
          <w:sz w:val="28"/>
          <w:sz w:val="28"/>
          <w:szCs w:val="28"/>
          <w:rtl w:val="true"/>
          <w:lang w:bidi="fa-IR"/>
        </w:rPr>
        <w:t>، انتهی موضع الحاجة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دعوی السیّد الإجماع لو کانت حجّة بمقتضی شمول أدلّة حجّیة خبر العدل لکان مقتضاها عدم حجّیة خبر الواحد من زمن النبی صلی الله علیه و آله و سلم، فیعود حینئذٍ محذور الاستهجان، کما هو واضح</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المحقّق العراقی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فی تقریرات بحثه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هذا الإشکال مدفوع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من المستحیل شمول دلیل الحجّیة لمثل خبر السیّد الحاکی عن عدمها؛ من جهة استلزام شمول الإطلاق لمرتبة الشکّ بمضمون نفسه، فإنّ التعبّد بإخبار السیّد بعدم حجّیة خبر الواحد إنّما کان فی ظرف الشکّ فی الحجّیة و اللاحجّیة، و من المعلوم استحالة شمول إطلاق مفهوم الآیة و غیره من الأدلّة لمرتبة الشکّ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علی هذا یمکن أن یقال بعدم</w:t>
      </w:r>
    </w:p>
    <w:p>
      <w:pPr>
        <w:pStyle w:val="BookText"/>
        <w:rPr/>
      </w:pPr>
      <w:r>
        <w:rPr>
          <w:rFonts w:ascii="IRNazanin" w:hAnsi="IRNazanin" w:eastAsia="IRNazanin"/>
          <w:color w:val="111111"/>
          <w:sz w:val="28"/>
          <w:sz w:val="28"/>
          <w:szCs w:val="28"/>
          <w:rtl w:val="true"/>
          <w:lang w:bidi="fa-IR"/>
        </w:rPr>
        <w:t>شموله لمثل خبر الشیخ، الحاکی عن الحجّیة، فإنّ مناط الاستحالة جارٍ فی کلیهما، و لا یختصّ بالخبر الحاکی عن عدم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بعد شمول أدلّة الحجّیة لما عدا خبر السیّد من سائر الأخبار لا یبقی مجال لشمولها له؛ لأنّ القطع بحجّیتها ملازم لانتفاء الشکّ فی مطابقة مضمون خبر السیّد للواقع و عدمها، فیخرج بذلک عن عموم أدلّة حجّیة الخبر، فیصیر عدم شمول الأدلّة لمثل خبر السیّد من باب التخصّص لانتفاء الشکّ فی مطابقة مؤدّاه للواقع، و هذا بخلاف ما لو شملت الأدلّة لخبر السیّد؛ إذ علیه یلزم کون خروج ما عداه من سائر الأخبار من باب التخصیص؛ لتحقّق الموضوع فیها، و هو الشکّ فی المطابقة وجداناً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المعلوم أنّه مع الدوران بین التخصّص و التخصیص یتعیّن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و لازم شمول الأدلّة لمثل خبر السیّد أیضاً هو القطع بعدم حجّیة ما عداه، فیلزم أن یکون خروج ما عداه أیضاً من باب التخصّص لا التخصیص</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المدار فی التعبّد بکلّ أمارة إنّما هو الشکّ فی مطابقة مضمونه و مؤدّاه للواقع، و مؤدّیات ما عدا خبر السیّد لا یکون حجّیة خبر الواحد؛ کی یقطع بعدم الحجّیة بسبب شمول أدلّة الاعتبار لخبر السیّد الحاکی عن عدم الحجّیة، بل و إنّما مؤدّیات ما عداه عبارة عن وجوب الأمر الفلانی أو حرمة کذا واقعاً، و لا ریب فی بقاء الشکّ فی المطابقة، و لو علی تقدیر القطع بحجّیة خبر السیّد، فیشملها أدلّة الاعتبار، فلا یکون رفع الید عنها بمقتضی اعتبار خبر السیّد إلاّ من باب التخصیص</w:t>
      </w:r>
      <w:r>
        <w:rPr>
          <w:rStyle w:val="FootnoteAnchor"/>
          <w:rtl w:val="true"/>
        </w:rPr>
        <w:footnoteReference w:id="376"/>
      </w:r>
      <w:r>
        <w:rPr>
          <w:rFonts w:ascii="Amiri" w:hAnsi="Amiri" w:eastAsia="Amiri" w:cs="Amiri"/>
          <w:color w:val="111111"/>
          <w:sz w:val="28"/>
          <w:sz w:val="28"/>
          <w:szCs w:val="28"/>
          <w:rtl w:val="true"/>
          <w:lang w:bidi="ar-SA"/>
        </w:rPr>
        <w:t>، انتهی ملخّصاً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أفاده أوّلاً فیرد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نبّهنا علیه فی مبحث القطع من أنّ ما اشتهر بینهم من تأخّر الشکّ فی الشیء عن ذلک الشیء، و توقّفه علی تحقّقه ممّا لا یتمّ أصلاً، کیف و لازم ذلک انقلاب الشکّ إذا وجد علماً؛ إذ علی الفرض لا یتحقّق بدون ثبوت المشکوک، فمع العلم بذلک ینقلب الشکّ علماً، کما هو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ذکره من استحالة شمول إطلاق مفهوم الآیة لمرتبة الشکّ فی نفسه ممّا لا نعرف لها وجهاً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أفاده ثانیاً فیرد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شمول أدلّة الحجّیة لما عدا خبر السیّد إنّما هو فیما إذا کان حجّیته مشکوکة؛ إذ لا معنی لشمولها له مع القطع بعدم الحجّیة، و 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شمولها له مستلزم لخروج خبر السیّد من باب التخصّص؛ إذ لا یبقی حینئذٍ شکّ فی حجّیته و لا حجّیته حتّی تشمله أدلّة الحجّیة، کذلک شمول الأدلّة لخبر السیّد موجب لخروج ما عداه من الأخبار عن تحتها من باب التخصّص؛ إذ لا یبقی مع شمولها لخبر السیّد شکّ فی حجّیة ما عداه و عدم حجّیته، و الملاک فی الشمول هو الشکّ فی الحجّیة، لا مطابقة مضمونه للواقع و عدمها، فما ذکره من دوران الأمر بین التخصیص و التخصّص ممّا لا وجه له أصلاً، کما هو أظهر من أن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الإشکالات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إشکال شمول أدلّة الحجّیة للأخبار الحاکیة لقول الإمام علیه السلام بواسطة أو وسائط، کإخبار الشیخ عن المفید عن الصدوق عن الصفّار عن العسکری علیه السلام</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تقریب هذا الإشکال من وجوه</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انصراف الأدلّة عن الإخبار بالواسطة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بدّ أن یکون للمخبر به أثر شرعی، حتّی یصحّ بلحاظه التعبّد به، و لیس للمخبر به فی المقام هذا الأثر، فإنّ المخبر به بخبر الشیخ هو قول المفید، و لا أثر شرعی لقوله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أنّ الحکم بتصدیق العادل مثبت لأصل إخبار الوسائط، مع أنّ خبرهم یکون موضوعاً لهذا الحکم، فلا بدّ و أن یکون الخبر فی المرتبة السابقة محرزاً بالوجدان أو بالتعبّد؛ لیحکم علیه بوجوب تصدیقه؛ لأنّ نسبة الموضوع إلی الحکم نسبة المعروض إلی العرض، فلا یعقل أن یکون الحکم موجداً لموضوعه؛ لاستلزامه الدور المحال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یلزم أن یکون الأثر الذی بلحاظه وجب تصدیق العادل نفس تصدیقه، من دون أن یکون فی البین أثر آخر کان وجوب التصدیق بلحاظه، و لا یعقل أن یکون الحکم بوجوب التصدیق بلحاظ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الجواب عن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الانصراف، و لو قیل بأنّ العمدة فی هذا الباب هو بناء العقلاء علی العمل بخبر الواحد، و لا بدّ من إحرازه فی الإخبار مع الوسائط، و من المعلوم عدم إحرازه، لو لم نقل بثبوت عدمه من جهة أنّا نری بالوجدان عدم اعتنائهم بالإخبار مع الوسائط الکثیرة التی بلغت إلی عشرة أو أزید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فیشکل الأمر فی الأخبار المأثورة عن الأئمّة علیهم السلام؛ لاشتمالها علی الوسائط الکثیرة بالنسبة إلینا</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الواسطة فی تلک الأخبار قلیلة؛ لأنّ الواسطة إنّما هو بین الشیخ و الکلینی و الصدوق و بین الإمام علیه السلام، و من الواضح قلّتها؛ بحیث لا یتجاوز عن خمس أو ستّ، و أمّا الواسطة بیننا و بینهم فلا یحتاج إلیها بعد تواتر کتبهم، و وضوح صحّة انتسابها إلیهم،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اجیب عن 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المستحیل إنّما هو إثبات الحکم موضوع شخصه، لا إثبات موضوع لحکم آخر، فإنّ هذا بمکان من الإمکان، و المقام یکون من هذا القبیل، فإنّ الذی یثبت بوجوب تصدیق الشیخ إنّما هو خبر المفید، و إذا ثبت خبر المفید بوجوب تصدیق الشیخ یعرض علیه وجوب التصدیق أیضاً، و هکذا</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الوجه الرابع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فی تقریرات المحقّق النائینی من أنّ هذا الإشکال إنّما یتوجّه بناءً علی أن یکون المجعول فی باب الأمارات منشأ انتزاع الحجّیة، أمّا بناءً علی ما هو المختار من أنّ المجعول فی باب الطرق و الأمارات نفس الکاشفیة و الوسطیة فی الإثبات فلا إشکال حتّی نحتاج إلی التفصّی عنه، فإنّه لا یلزم شیء ممّا ذکر؛ لأنّ المجعول فی جمیع السلسلة هو الطریقیة إلی ما تؤدّی إلیه أیّ شیء کان المؤدّی، فقول الشیخ طریق إلی قول المفید، و قول المفید طریق إلی قول الصدوق، و هکذا إلی أن ینتهی إلی قول زرارة الحاکی لقول الإمام علیه السلام</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فی تقریرات المحقّق العراقی ممّا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دلیل الاعتبار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بحسب الصورة قضیة واحدة، و لکنّها تنحلّ إلی قضایا متعدّدة حسب تعدّد حصص الطبیعی بتعدّد الأفراد، و بعد فرض انتهاء سلسلة سند الروایة إلی الحاکی لقول الإمام علیه السلام، و شمول دلیل وجوب التصدیق له؛ لکون المخبر به فی خبره حکماً شرعیاً تصیر بقیة الوسائط ذات أثر شرعی، فیشملها دلیل وجوب التصدیق؛ إذ حینئذٍ یصیر وجوب التصدیق</w:t>
      </w:r>
    </w:p>
    <w:p>
      <w:pPr>
        <w:pStyle w:val="BookText"/>
        <w:rPr/>
      </w:pPr>
      <w:r>
        <w:rPr>
          <w:rFonts w:ascii="IRNazanin" w:hAnsi="IRNazanin" w:eastAsia="IRNazanin"/>
          <w:color w:val="111111"/>
          <w:sz w:val="28"/>
          <w:sz w:val="28"/>
          <w:szCs w:val="28"/>
          <w:rtl w:val="true"/>
          <w:lang w:bidi="fa-IR"/>
        </w:rPr>
        <w:t>المترتّب علی مثل قول الصفّار الحاکی لقول الإمام علیه السلام أثراً شرعیاً له، و هکذا إلی منتهی الوسائط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کلّ لاحق مخبراً عن موضوع ذی أثر شرعی</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أفاده المحقّق المعاصر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وجوب تصدیق العادل فیما أخبره لیس من قبیل الحکم المجعول للشکّ تعبّداً، بل مفاده جعل الخبر؛ من حیث إنّه مفید للظنّ النوعی طریقاً إلی الواقع، و علیه لو أخبر العادل بشیء یکون ملازماً لشیء له أثر شرعاً؛ إمّا عادة أو عقلاً أو بحسب العلم نأخذ به، و نرتّب علی لازم المخبر به الأثر الشرعی المرتّب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السرّ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الطریق إلی أحد المتلازمین طریق إلی الآخر، و حینئذٍ نقول یکفی فی حجّیة خبر العادل انتهاؤه إلی أثر شرعی، و لا یلزم أن تکون الملازمة عادیة أو عقلیة، و یکفی ثبوت الملازمة الجعلیة، بمعنی أنّ الشارع جعل الملازمة النوعیة الواقعیة بین إخبار العادل، و تحقّق المخبر به بمنزلة الملازمة القطعیة، و لا تکون قضیة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ناظرة إلی هذه الملازمة، کما لا تکون ناظرة إلی الملازمة العقلیة و العادیة، بل یکفی فی ثبوت هذا الحکم ثبوت الملازمة فی نفس الأمر، حتّی تکون منتجة للحکم الشرعی العملی</w:t>
      </w:r>
      <w:r>
        <w:rPr>
          <w:rStyle w:val="FootnoteAnchor"/>
          <w:rtl w:val="true"/>
        </w:rPr>
        <w:footnoteReference w:id="381"/>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یرد علی الجواب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جعل الطریقیة لا بدّ و أن یکون بلحاظ الأثر الشرعی المترتّب علی ما أدّی إلیه الطریق، و إلّا فلا یجوز جعل الطریقیة مع عدم ترتّب الأثر الشرعی علی المؤدّی، و المفروض فی المقام أنّ ما أدّی إلیه الطریق هو قول المفید، و هو لا یکون موضوعاً لشیء من الآثار الشرعیة، بناءً</w:t>
      </w:r>
    </w:p>
    <w:p>
      <w:pPr>
        <w:pStyle w:val="BookText"/>
        <w:rPr/>
      </w:pPr>
      <w:r>
        <w:rPr>
          <w:rFonts w:ascii="IRNazanin" w:hAnsi="IRNazanin" w:eastAsia="IRNazanin"/>
          <w:color w:val="111111"/>
          <w:sz w:val="28"/>
          <w:sz w:val="28"/>
          <w:szCs w:val="28"/>
          <w:rtl w:val="true"/>
          <w:lang w:bidi="fa-IR"/>
        </w:rPr>
        <w:t>علی جعل الوسطیة و الکاشفیة،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الجواب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ذکره من شمول دلیل وجوب التصدیق لقول الراوی الذی یحکی لقول الإمام علیه السلام لکون المخبر به فی خبره حکماً شرعیاً إنّما یتمّ لو ثبت خبره، و الکلام إنّما هو فیه؛ إذ المفروض أنّ خبره لم یثبت وجداناً، فمن أین یشمل له دلیل وجوب التصدیق؟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ففرض الکلام من صدر السلسلة إنّما یصحّ لو ثبت أنّ الراوی الذی وقع فی صدرها أخبر من بعده بتحدیث الإمام علیه السلام له، و الکلام إنّما هو فی ثبوته،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الجواب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أنّه لم یدلّ دلیل علی الملازمة التی ادعاها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المخبر به، و هو قول المفید فی المثال لا یکون مترتّباً علیه الأثر الشرعی، حتّی یجب تصدیق الشیخ فیما أخبره بلحاظ ذلک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توهّم أنّ قول المفید یترتّب علیه بعض الآثار، و هو صحّة النسبة إلیه، و عدم کون إسناده إلیه من القول بغیر العلم، فلا مانع من أن یکون وجوب التصدیق بلحاظ ذلک الأثر، مدفوع بأنّ قول المفید بلحاظ هذا الأثر إنّما یکون من الموضوعات الخارجیة التی لا تثبت إلّا بالبیّنة، و لا یکفی فیه قول العادل الواحد، کما هو واضح</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التحقیق فی هذا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عدم رفع الإشکال بما ذکره الأعلام، کما 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أصل الإشکال، و کذا الجوابات کلّها من الاُمور العقلیة الخارجة عن فهم العرف، الذی هو الملاک و المرجع فی معنی الآیة و نظائرها من الأدلّة، فإنّه لا شکّ فی أنّه لو ألقی علیهم هذا الکلام، و هو حجّیة قول العادل، و وجوب تصدیقه فیما أخبره لا یفهمون من ذلک الفرق بین الإخبار بلا واسطة أو معها، و لا ینظرون فی الإخبار مع الواسطة إلی الوسائط أصلاً، بل</w:t>
      </w:r>
      <w:bookmarkStart w:id="808" w:name="pg11586_105066"/>
    </w:p>
    <w:p>
      <w:pPr>
        <w:pStyle w:val="BookText"/>
        <w:rPr/>
      </w:pPr>
      <w:bookmarkEnd w:id="808"/>
      <w:r>
        <w:rPr>
          <w:rFonts w:ascii="IRNazanin" w:hAnsi="IRNazanin" w:eastAsia="IRNazanin"/>
          <w:color w:val="111111"/>
          <w:sz w:val="28"/>
          <w:sz w:val="28"/>
          <w:szCs w:val="28"/>
          <w:rtl w:val="true"/>
          <w:lang w:bidi="fa-IR"/>
        </w:rPr>
        <w:t>یقولون فی المثال بأنّ العادل أخبر بأنّ الإمام علیه السلام قال کذا أو فعل کذا، و إن کان العادل الذی وقع فی منتهی السلسلة لم یخبر بقول الإمام علیه السلام، بل المخبر به بخبره هو إخبار العادل الذی حدّثه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المخبر به بخبر هذا العادل و إن کان من الموضوعات، و لا یکفی فی ثبوتها إلاّ البیّنة إلاّ أنّه حیث لا یکون فی نظر العرف منظوراً مستقلاًّ، بل منظوراً آلیّاً فیکفی فی ثبوته إخبار عادل واحد</w:t>
      </w:r>
      <w:r>
        <w:rPr>
          <w:rFonts w:eastAsia="IRNazanin" w:cs="IRNazanin"/>
          <w:color w:val="111111"/>
          <w:sz w:val="28"/>
          <w:szCs w:val="28"/>
          <w:rtl w:val="true"/>
          <w:lang w:bidi="fa-IR"/>
        </w:rPr>
        <w:t>.</w:t>
      </w:r>
    </w:p>
    <w:p>
      <w:pPr>
        <w:pStyle w:val="Heading6"/>
        <w:numPr>
          <w:ilvl w:val="5"/>
          <w:numId w:val="1"/>
        </w:numPr>
        <w:rPr/>
      </w:pPr>
      <w:bookmarkStart w:id="809" w:name="__RefHeading___Toc5146213_73709187"/>
      <w:bookmarkStart w:id="810" w:name="_Toc306"/>
      <w:bookmarkEnd w:id="809"/>
      <w:r>
        <w:rPr>
          <w:rtl w:val="true"/>
        </w:rPr>
        <w:t>منها</w:t>
      </w:r>
      <w:r>
        <w:rPr>
          <w:rtl w:val="true"/>
        </w:rPr>
        <w:t xml:space="preserve">: </w:t>
      </w:r>
      <w:r>
        <w:rPr>
          <w:rtl w:val="true"/>
        </w:rPr>
        <w:t>آیة النفر</w:t>
      </w:r>
      <w:bookmarkEnd w:id="810"/>
    </w:p>
    <w:p>
      <w:pPr>
        <w:pStyle w:val="BookText"/>
        <w:rPr/>
      </w:pPr>
      <w:r>
        <w:rPr>
          <w:rFonts w:ascii="Amiri" w:hAnsi="Amiri" w:eastAsia="Amiri" w:cs="Amiri"/>
          <w:color w:val="111111"/>
          <w:sz w:val="28"/>
          <w:sz w:val="28"/>
          <w:szCs w:val="28"/>
          <w:rtl w:val="true"/>
          <w:lang w:bidi="ar-SA"/>
        </w:rPr>
        <w:t>و من الآیات التی استدلّ بها علی حجّیة خبر الواحد آیة النفر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کانَ الْمُؤْمِنُونَ لِیَنْفِرُوا کَافَّةً فَلَوْ لا نَفَرَ مِنْ کُلِّ فِرْقَةٍ مِنْهُمْ طائِفَةٌ لِیَتَفَقَّهُوا فِی الدِّینِ وَ لِیُنْذِرُوا قَوْمَهُمْ إِذا رَجَعُوا إِلَیْهِمْ لَعَلَّهُمْ یَحْذَرُونَ</w:t>
      </w:r>
      <w:r>
        <w:rPr>
          <w:rFonts w:eastAsia="Amiri" w:cs="Amiri" w:ascii="Amiri" w:hAnsi="Amiri"/>
          <w:color w:val="111111"/>
          <w:sz w:val="28"/>
          <w:szCs w:val="28"/>
          <w:rtl w:val="true"/>
          <w:lang w:bidi="ar-SA"/>
        </w:rPr>
        <w:t xml:space="preserve">» </w:t>
      </w:r>
      <w:r>
        <w:rPr>
          <w:rStyle w:val="FootnoteAnchor"/>
          <w:rtl w:val="true"/>
        </w:rPr>
        <w:footnoteReference w:id="38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الاستدلال بها لذلک فی غایة الضعف؛ لأنّ المستفاد من لو لا التحضیضیة لیس وجوب أصل النفر، بل المقصود بها بملاحظة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الْمُؤْمِنُونَ لِیَنْفِرُوا کَافَّةً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بملاحظة الآیات التی قبل هذه الآیة هو نفی وجوب نفر المؤمنین کافّة، و النهی عن ذلک، بمعنی أنّ مفاد لو لا التحضیضیة هو وجوب التفرقة و التفکیک؛ أی لا یجوز للمؤمنین کافّة النفر، و إبقاء رسول اللّه صلی الله علیه و آله و سلم وحده، فلِمَ لا یکون النافرون طائفة خاصّة من المؤمنین</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فالمراد من الآیة بحسب الظاهر هو النهی عن النفر العمومی، و لیس المقصود منها هو بیان أصل وجوب نفر طائفة لغایة التفقّه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إلی أنّ کلمة النفر کما یدلّ علیه التأمّل فی سیاق الآیة و فی موارد استعمالاتها فی</w:t>
      </w:r>
    </w:p>
    <w:p>
      <w:pPr>
        <w:pStyle w:val="BookText"/>
        <w:rPr/>
      </w:pPr>
      <w:r>
        <w:rPr>
          <w:rFonts w:ascii="IRNazanin" w:hAnsi="IRNazanin" w:eastAsia="IRNazanin"/>
          <w:color w:val="111111"/>
          <w:sz w:val="28"/>
          <w:sz w:val="28"/>
          <w:szCs w:val="28"/>
          <w:rtl w:val="true"/>
          <w:lang w:bidi="fa-IR"/>
        </w:rPr>
        <w:t>القرآن الکریم یکون المراد بها النفر للجهاد، لا النفر للتفقّه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فیتعیّن أن یکون المراد من الآیة هو تفقّه النافرین بسبب ما یرونه فی الجهاد من السفرة الإلهیة و الإمدادات الغیبیة و قوّة الإیمان و إنذار القوم الذین هم الکفّار الموجودون فی المدینة، لعلّهم یحذرون و یدخلون فی دین اللّه، أو یصون الإسلام و المسلمون من شرورهم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یؤیّد ذلک رجوع الضمیر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لیتفقّهوا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بعده إلی النافرین المذکورین فی الآیة، و لا وجه للرجوع إلی المتخلّفین، بعد عدم کونهم مذکورین، و أیضاً لا یناسب الإنذار و الحذر بالإضافة إلی المجاهدین،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 أنّ التفقّه یحتمل أن یکون المراد به التفقّه فی الاُصول الاعتقادیة، لا الأحکام الفرعیة، کما یشهد بذلک الروایات الکثیرة التی استدلّ فیها بالآیة الشریفة لأصل الإمامة</w:t>
      </w:r>
      <w:r>
        <w:rPr>
          <w:rStyle w:val="FootnoteAnchor"/>
          <w:rtl w:val="true"/>
        </w:rPr>
        <w:footnoteReference w:id="38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تقدیر أن یکون المراد به الأعمّ من التفقّه فی الأحکام الفرعیة فالظاهر أنّ المراد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لینذروا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إنذار کلّ واحد من المتفقّهین النافرین أو المتخلّفین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اختلاف التفسیرین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قومهم، و حینئذٍ فلا یدلّ علی وجوب تصدیق کلّ واحد من المنذرین، و علی تقدیر وجوب تصدیقه ینحصر ذلک بالمتفقّه المنذر، لا کلّ من تحمّل الحدیث، و إن لم یکن فقیهاً</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مضافاً إلی المنع من کون الحذر واجباً، و علی تقدیر وجوبه لا دلیل علی کون المراد بالحذر هو الحذر العملی الراجع إلی العمل بقول المنذر، بل الظاهر هو التحذّر القلبی و الخوف و الخشیة، فیکون المقصود لینذروا قومهم بالموعظة و الإیعاد، حتّی یخافوا من عذاب اللّه، و یعملوا بوظائفهم</w:t>
      </w:r>
      <w:r>
        <w:rPr>
          <w:rFonts w:eastAsia="IRNazanin" w:cs="IRNazanin"/>
          <w:color w:val="111111"/>
          <w:sz w:val="28"/>
          <w:szCs w:val="28"/>
          <w:rtl w:val="true"/>
          <w:lang w:bidi="fa-IR"/>
        </w:rPr>
        <w:t>.</w:t>
      </w:r>
      <w:bookmarkStart w:id="811" w:name="pg11586_105068"/>
    </w:p>
    <w:p>
      <w:pPr>
        <w:pStyle w:val="BookText"/>
        <w:rPr/>
      </w:pPr>
      <w:bookmarkEnd w:id="811"/>
      <w:r>
        <w:rPr>
          <w:rFonts w:ascii="IRNazanin" w:hAnsi="IRNazanin" w:eastAsia="IRNazanin"/>
          <w:color w:val="111111"/>
          <w:sz w:val="28"/>
          <w:sz w:val="28"/>
          <w:szCs w:val="28"/>
          <w:rtl w:val="true"/>
          <w:lang w:bidi="fa-IR"/>
        </w:rPr>
        <w:t>و کیف کان فالآیة الشریفة بعیدة عن الدلالة علی حجّیة خبر الواحد بمراحل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ذکرنا یظهر الخلل فیما أفاده المحقّق النائینی علی ما فی تقریراته فی تقریب دلالة الآیة علی حجّیة خبر الواحد</w:t>
      </w:r>
      <w:r>
        <w:rPr>
          <w:rStyle w:val="FootnoteAnchor"/>
          <w:rtl w:val="true"/>
        </w:rPr>
        <w:footnoteReference w:id="384"/>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pStyle w:val="Heading6"/>
        <w:numPr>
          <w:ilvl w:val="5"/>
          <w:numId w:val="1"/>
        </w:numPr>
        <w:rPr/>
      </w:pPr>
      <w:bookmarkStart w:id="812" w:name="__RefHeading___Toc5146215_73709187"/>
      <w:bookmarkStart w:id="813" w:name="_Toc307"/>
      <w:bookmarkEnd w:id="812"/>
      <w:r>
        <w:rPr>
          <w:rtl w:val="true"/>
        </w:rPr>
        <w:t>الدلیل الثانی</w:t>
      </w:r>
      <w:r>
        <w:rPr>
          <w:rtl w:val="true"/>
        </w:rPr>
        <w:t xml:space="preserve">: </w:t>
      </w:r>
      <w:r>
        <w:rPr>
          <w:rtl w:val="true"/>
        </w:rPr>
        <w:t>الأخبار</w:t>
      </w:r>
      <w:bookmarkEnd w:id="813"/>
    </w:p>
    <w:p>
      <w:pPr>
        <w:pStyle w:val="BookText"/>
        <w:rPr/>
      </w:pPr>
      <w:r>
        <w:rPr>
          <w:rFonts w:ascii="IRNazanin" w:hAnsi="IRNazanin" w:eastAsia="IRNazanin"/>
          <w:color w:val="111111"/>
          <w:sz w:val="28"/>
          <w:sz w:val="28"/>
          <w:szCs w:val="28"/>
          <w:rtl w:val="true"/>
          <w:lang w:bidi="fa-IR"/>
        </w:rPr>
        <w:t xml:space="preserve">هذا، و قد استدلّ علی حجّیة خبر الواحد بالأخبار الکثیرة، و تقریب الاستدلال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أفاده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تبعه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هذه الأخبار و إن لم یکن متواترة لفظاً و معنیً إلاّ أنّها متواترة إجمالاً؛ ضرورة أنّه یعلم إجمالاً بصدور بعضها منهم علیهم السلام، و مقتضی ذلک و إن کان حجّیة خبر دلّ علی حجّیته أخصّها مضموناً إلاّ أنّه یتعدّی عنه فیما إذا کان بینها ما کان بهذه الخصوصیة، و قد دلّ علی حجّیة ما کان أعمّ‌</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 لکن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ذلک مجرّد فرض، و إلّا فالظاهر أنّه لا یکون بین الأخبار ما کان جامعاً لشرائط الحجّیة، و کان مدلوله حجّیة خبر الواحد بنحو الإطلاق، مضافاً إلی أنّ إثبات التواتر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إجمالاً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لأنّ من شرط التواتر أن یکون متواتراً فی جمیع الطبقات، مع أنّه لیس الأمر فی المقام کذلک؛ لأنّ هذه الأخبار کلّها مذکورة فی الجوامع الأربعة للأعاظم الثلاثة، فینحصر الناقلون فیهم، مع أنّ الواضح عدم ثبوت التواتر بقولهم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غیرها من الجوامع فلم یثبت صحّة إسنادها إلی مؤلّفیها علی نحو التواتر، کالجوامع الأربعة، کما لا یخفی</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مضافاً إلی أنّ أخصّ تلک الأخبار مضموناً هو ما یدلّ علی إرجاع</w:t>
      </w:r>
    </w:p>
    <w:p>
      <w:pPr>
        <w:pStyle w:val="BookText"/>
        <w:rPr/>
      </w:pPr>
      <w:r>
        <w:rPr>
          <w:rFonts w:ascii="IRNazanin" w:hAnsi="IRNazanin" w:eastAsia="IRNazanin"/>
          <w:color w:val="111111"/>
          <w:sz w:val="28"/>
          <w:sz w:val="28"/>
          <w:szCs w:val="28"/>
          <w:rtl w:val="true"/>
          <w:lang w:bidi="fa-IR"/>
        </w:rPr>
        <w:t>السائل إلی زرارة فی تعلّم الأحکام، و أخذ معا لم الدین، و هو یشتمل علی خصوصیتین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کون من یؤخذ عنه ذلک فقیهاً فی الدین کزرارة، و ثانیهما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الأخذ منه إنّما هو من دون واسطة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یمکن إلغاء شیء من الخصوصیتین، و إن کانت خصوصیة کونه زرارة ملغاة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یمکن تقریب الاستدلال بالإخبار لحجّیة خبر الواحد بوجه آخر، و هو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إشکال فی ثبوت بناء العقلاء علی العمل بخبر الواحد فی 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نقل بثبوته علی العمل به مطلقاً، کما سنحقّقه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یوجد فی تلک الأخبار الکثیرة ما یدلّ علی حجّیة خبر الواحد مطلقاً، فإنّه یثبت ببناء العقلاء حجّیة ذلک الخبر الذی مدلوله هو حجّیة الخبر مطلقاً، و لا یلزم الدور، و لا یحتاج إلی إثبات التواتر،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الخبر هو</w:t>
      </w:r>
    </w:p>
    <w:p>
      <w:pPr>
        <w:pStyle w:val="BookText"/>
        <w:rPr/>
      </w:pPr>
      <w:r>
        <w:rPr>
          <w:rFonts w:ascii="IRNazanin" w:hAnsi="IRNazanin" w:eastAsia="IRNazanin"/>
          <w:color w:val="111111"/>
          <w:sz w:val="28"/>
          <w:sz w:val="28"/>
          <w:szCs w:val="28"/>
          <w:rtl w:val="true"/>
          <w:lang w:bidi="fa-IR"/>
        </w:rPr>
        <w:t>ما رواه الکلینی عن محمّد بن عبد اللّه الحمیری و محمّد بن یحیی جمیعاً عن عبد اللّه بن جعفر الحمیری عن أحمد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محمّد علیه السلام،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اعامل، و عمّن آخذ، و قول من أقبل؟</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العمری و ابنه ثقتان، فما أدّیا إلیک عنّی فعنّی یؤدّیان، و ما قالا لک فعنّی یقولان، فاسمع لهما و أطعهما، فإنّهما الثقتان المأمونان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386"/>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إشکال فی کون مثل هذا السند العالی الذی یکون کلّ رواته مذکّی بتذکیة عدلین، بل عدول مورداً لبناء العقلاء قطعاً، و حینئذٍ فیجب الأخذ به، و به یثبت حجّیة قول الثقة المأمون مطلقاً، کما لا یخفی</w:t>
      </w:r>
      <w:r>
        <w:rPr>
          <w:rFonts w:eastAsia="IRNazanin" w:cs="IRNazanin"/>
          <w:color w:val="111111"/>
          <w:sz w:val="28"/>
          <w:szCs w:val="28"/>
          <w:rtl w:val="true"/>
          <w:lang w:bidi="fa-IR"/>
        </w:rPr>
        <w:t>.</w:t>
      </w:r>
      <w:bookmarkStart w:id="814" w:name="pg11586_105070"/>
    </w:p>
    <w:p>
      <w:pPr>
        <w:pStyle w:val="Heading6"/>
        <w:numPr>
          <w:ilvl w:val="5"/>
          <w:numId w:val="1"/>
        </w:numPr>
        <w:rPr/>
      </w:pPr>
      <w:bookmarkStart w:id="815" w:name="__RefHeading___Toc5146217_73709187"/>
      <w:bookmarkStart w:id="816" w:name="_Toc308"/>
      <w:bookmarkEnd w:id="814"/>
      <w:bookmarkEnd w:id="815"/>
      <w:r>
        <w:rPr>
          <w:rtl w:val="true"/>
        </w:rPr>
        <w:t>الدلیل الثالث و الرابع</w:t>
      </w:r>
      <w:r>
        <w:rPr>
          <w:rtl w:val="true"/>
        </w:rPr>
        <w:t xml:space="preserve">: </w:t>
      </w:r>
      <w:r>
        <w:rPr>
          <w:rtl w:val="true"/>
        </w:rPr>
        <w:t>الإجماع و سیرة العقلاء</w:t>
      </w:r>
      <w:bookmarkEnd w:id="816"/>
    </w:p>
    <w:p>
      <w:pPr>
        <w:pStyle w:val="BookText"/>
        <w:rPr/>
      </w:pPr>
      <w:r>
        <w:rPr>
          <w:rFonts w:ascii="IRNazanin" w:hAnsi="IRNazanin" w:eastAsia="IRNazanin"/>
          <w:color w:val="111111"/>
          <w:sz w:val="28"/>
          <w:sz w:val="28"/>
          <w:szCs w:val="28"/>
          <w:rtl w:val="true"/>
          <w:lang w:bidi="fa-IR"/>
        </w:rPr>
        <w:t>هذا، و أمّا الاستدلال بالإجماع علی حجّیة خبر الواحد فمخدوش من وجوه لا یخفی علی المتأمّل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استمرار سیرة العقلاء علی العمل بأخبار الآحاد فی امور معاشهم و سیاساتهم دلیل قطعی علی حجّیة أخبار الآحاد لو لم یردع عنه الشارع، و هو العمدة فی هذا الباب؛ إذ قد عرفت عدم تمامیة الأدلّة الثلاثة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إنّما هو فی مقام المحاجّة، و أمّا الأغراض الشخصیة الجزئیة فیمکن أن لا یعملوا فیها بأخبار الآحاد، کما نراه بالوجدان، و لکن ذلک لا یضرّ بما نحن بصدده، فإنّ الغرض إثبات حجّیة خبر الثقة فی مقام الاحتجاج، فإنّه لا شبهة فی أنّه لو أمر المولی عبده بشیء، و أعلمه علی ذلک بتوسّط ثقة لا یکون للعبد الاعتذار لدی المخالفة بأنّ المولی لم یبیّنه لی، و أنّ الواسطة کان جاریاً فیه احتمال الکذب،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یبقی فی المقام إثبات عدم الردع عن هذه السیرة المستمرّة،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یستدلّ لثبوت الردع بالآیات الناهیة عن العمل بغیر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أجاب عن ذلک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بأنّها لو کانت رادعة یلزم الدور</w:t>
      </w:r>
      <w:r>
        <w:rPr>
          <w:rStyle w:val="FootnoteAnchor"/>
          <w:rtl w:val="true"/>
        </w:rPr>
        <w:footnoteReference w:id="38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قد عرفت عدم لزومه بوجه، و أنّ التحقیق عدم جواز الاستدلال بها؛ لأنّ ظاهرها أیضاً ظنّی، فیلزم من جواز الاستدلال بها عدمه، و هو محال</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إلی أنّک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المقصود بالعلم فی الآیة هی الحجّة المعتبرة، و خبر الواحد منها قطعاً؛ ضرورة أنّه لم تصر الآیة بعد نزولها سبباً لتعطیل الأسواق</w:t>
      </w:r>
    </w:p>
    <w:p>
      <w:pPr>
        <w:pStyle w:val="BookText"/>
        <w:rPr/>
      </w:pPr>
      <w:r>
        <w:rPr>
          <w:rFonts w:ascii="IRNazanin" w:hAnsi="IRNazanin" w:eastAsia="IRNazanin"/>
          <w:color w:val="111111"/>
          <w:sz w:val="28"/>
          <w:sz w:val="28"/>
          <w:szCs w:val="28"/>
          <w:rtl w:val="true"/>
          <w:lang w:bidi="fa-IR"/>
        </w:rPr>
        <w:t xml:space="preserve">و امور الناس أصلاً، و لیس ذلک إلاّ لکون المقصود من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هو المتفاهم منها بنظر العرف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عدا الدلیل المعتبر العلمی أو الظنّی،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أفاد المحقّق الخراسانی فی هامش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خبر الثقة حجّة، و لو قیل بسقوط کلّ من السیرة و الإطلاق عن الاعتبار بسبب دوران الأمر بین ردعها به، و تقییده بها، و ذلک لأجل استصحاب حجّیته الثابتة قبل نزول الآیتین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أنّه لا مجال لاحتمال التقیید بها، فإنّ دلیل اعتبارها مغیّا بعدم الردع عنها، و معه لا تکون صالحة لتقیید الإطلاق مع صلاحیته للردع عنها، مدفوعة بأنّ الدلیل لیس إلاّ إمضاء الشارع لها، و رضاه بها المستکشف بعدم ردعه عنها فی زمان مع إمکانه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حال السیرة مع الآیات الناهیة إلاّ کحال الخاصّ المقدّم و العامّ المؤخّر فی دوران الأمر بین التخصیص بالخاصّ أو النسخ بالعامّ‌</w:t>
      </w:r>
      <w:r>
        <w:rPr>
          <w:rStyle w:val="FootnoteAnchor"/>
          <w:rtl w:val="true"/>
        </w:rPr>
        <w:footnoteReference w:id="388"/>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لکن یرد علیه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مضافاً إلی أنّه لم یعلم أنّ المتشرّعة کانوا قبل نزول الآیتین یعملون بخبر الواحد فی الاُمور الشرعیة، حتّی کان عدم الردع عنها دلیلاً علی الإمضاء و ذلک لکون المسلمین کانوا قلیلین غیر محتاجین إلی العمل بخبر الواحد؛ لانفتاح باب العلم لهم، و هو السؤال عن شخص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الاستصحاب یکون مدرک حجّیته خبر الواحد، فکیف یستدلّ لها بالاستصحاب، کما لا یخفی</w:t>
      </w:r>
      <w:r>
        <w:rPr>
          <w:rFonts w:eastAsia="IRNazanin" w:cs="IRNazanin"/>
          <w:color w:val="111111"/>
          <w:sz w:val="28"/>
          <w:szCs w:val="28"/>
          <w:rtl w:val="true"/>
          <w:lang w:bidi="fa-IR"/>
        </w:rPr>
        <w:t>.</w:t>
      </w:r>
      <w:bookmarkStart w:id="817" w:name="pg11586_105072"/>
    </w:p>
    <w:p>
      <w:pPr>
        <w:pStyle w:val="Heading2"/>
        <w:numPr>
          <w:ilvl w:val="1"/>
          <w:numId w:val="1"/>
        </w:numPr>
        <w:rPr/>
      </w:pPr>
      <w:bookmarkStart w:id="818" w:name="__RefHeading___Toc5146219_73709187"/>
      <w:bookmarkStart w:id="819" w:name="_Toc309"/>
      <w:bookmarkEnd w:id="817"/>
      <w:bookmarkEnd w:id="818"/>
      <w:r>
        <w:rPr>
          <w:rtl w:val="true"/>
        </w:rPr>
        <w:t>المقصد الثامن مبحث البراءة</w:t>
      </w:r>
      <w:bookmarkEnd w:id="819"/>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20" w:name="__RefHeading___Toc5146221_73709187"/>
      <w:bookmarkStart w:id="821" w:name="_Toc310"/>
      <w:bookmarkEnd w:id="820"/>
      <w:r>
        <w:rPr>
          <w:rtl w:val="true"/>
        </w:rPr>
        <w:t>اشارة</w:t>
      </w:r>
      <w:bookmarkStart w:id="822" w:name="pg11586_105074"/>
      <w:bookmarkEnd w:id="821"/>
    </w:p>
    <w:p>
      <w:pPr>
        <w:pStyle w:val="BookText"/>
        <w:rPr/>
      </w:pPr>
      <w:bookmarkEnd w:id="822"/>
      <w:r>
        <w:rPr>
          <w:rFonts w:ascii="IRNazanin" w:hAnsi="IRNazanin" w:eastAsia="IRNazanin"/>
          <w:color w:val="111111"/>
          <w:sz w:val="28"/>
          <w:sz w:val="28"/>
          <w:szCs w:val="28"/>
          <w:rtl w:val="true"/>
          <w:lang w:bidi="fa-IR"/>
        </w:rPr>
        <w:t>تمهید</w:t>
      </w:r>
    </w:p>
    <w:p>
      <w:pPr>
        <w:pStyle w:val="Heading3"/>
        <w:numPr>
          <w:ilvl w:val="2"/>
          <w:numId w:val="1"/>
        </w:numPr>
        <w:rPr/>
      </w:pPr>
      <w:bookmarkStart w:id="823" w:name="__RefHeading___Toc5146223_73709187"/>
      <w:bookmarkStart w:id="824" w:name="_Toc311"/>
      <w:bookmarkEnd w:id="823"/>
      <w:r>
        <w:rPr>
          <w:rtl w:val="true"/>
        </w:rPr>
        <w:t>تمهید تقسیم أحوال المکلّف و ذکر مجاری الاُصول</w:t>
      </w:r>
      <w:bookmarkEnd w:id="824"/>
    </w:p>
    <w:p>
      <w:pPr>
        <w:pStyle w:val="BookText"/>
        <w:rPr/>
      </w:pP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جرت عادتهم فی أوّل مبحث القطع بتقسیم حالات المکلّف؛ من حیث إنّه قد یحصل له القطع بالحکم، و قد یحصل له الظنّ به، و قد یحصل له الشکّ فیه، ثمّ ذکر مجاری الاُصول، و لکن لا یخلو شیء من التقسیمات و کذا بیان مجاری الاُصول من المناقشة و الإشکال، و یظهر ذلک بملاحظة ما سنحقّقه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المکلّف إمّا أن یحصل له القطع بالحکم الواقعی الفعلی تفصیلاً أو إجمالاً، و إمّا أن لا یحصل له ذلک، و 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قاطعاً بقیام الأمارة المعتبرة علی الحکم الواقعی تفصیلاً أو إجمالاً أو لا یکون کذلک، و 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یقوم الحجّة المعتبرة بالنسبة إلی الواقع و إمّا أن لا یقوم، بل یکون شاکّاً فی الواقع أو ظانّاً به من غیر قیام أمارة معتبرة و لا حجّة شرعیة</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مبحث القطع، و قد عرفت أنّه لا فرق فیه بین القطع التفصیلی و الإجمالی أصلاً، فإنّه کما یکون القطع التفصیلی بالحکم الواقعی الفعلی حجّة و موجباً لتنجّزه، من غیر افتقار إلی جعل الحجّیة له، و کذا لا یجوز جعل حکم</w:t>
      </w:r>
    </w:p>
    <w:p>
      <w:pPr>
        <w:pStyle w:val="BookText"/>
        <w:rPr/>
      </w:pPr>
      <w:r>
        <w:rPr>
          <w:rFonts w:ascii="IRNazanin" w:hAnsi="IRNazanin" w:eastAsia="IRNazanin"/>
          <w:color w:val="111111"/>
          <w:sz w:val="28"/>
          <w:sz w:val="28"/>
          <w:szCs w:val="28"/>
          <w:rtl w:val="true"/>
          <w:lang w:bidi="fa-IR"/>
        </w:rPr>
        <w:t>علی خلافه، کذلک القطع الإجمالی بالحکم الفعلی یکون حجّة موجباً لتنجّزه، و لا یعقل الترخیص بخلافه، فإنّه لو علم إجمالاً بأنّ قتل النبی المردّد بین جمع کثیر مهدور الدم یکون محرّماً بالحرمة الفعلیة التی لا یرضی المولی به أصلاً لا یجوز له ارتکاب قتل واحد من تلک الجماعة، و کذا لا یجوز الترخیص من المولی، فإنّه لا یجتمع مع الحرمة الفعلیة،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فرق فی أحکام القطع بین القطع التفصیلی و الإجمالی قطعاً، فلا بدّ من إدخاله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مبحث الظنّ، و قد عرفت أنّه لا فرق فیه أیضاً بین أن یعلم تفصیلاً بقیام الأمارة المعتبرة، و بین أن یعلم إجمالاً بقیامها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القسم الثانی هو مبحث الاشتغال المعروف بینهم، الذی یذکرونه عقیب مبحث البراءة، فإنّ الظاهر أنّ المراد منه هو العلم الإجمالی بقیام الأمارة علی التکلیف من إطلاق دلیل أو غیره؛ لما عرفت من أنّه لا مجال لتوهّم الإشکال فی حجّیة العلم الإجمالی المتعلّق بالتکلیف الفعلی، و کونه منجّزاً؛ بحیث لا یجوز الترخیص بخلافه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فیکون مبحث الاشتغال من مباحث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مبحث الاستصحاب؛ لأنّه حجّة علی الواقع، و إن لم یکن أمارة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مبحث البراءة، و من هنا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الوضع الطبیعی یقتضی تأخیر مبحث البراءة عن جمیع المباحث، و کذا إدراج البحث عن الاشتغال فی مباحث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للاشتغال حظّ من مبحث الاستصحاب، و هو ما لو کان المستصحب المعلوم مردّداً بین شیئین أو أشیاء، کما لا یخفی</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ذلک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إشکال فی تقدّم القطع بقسمیه علی غیره من</w:t>
      </w:r>
    </w:p>
    <w:p>
      <w:pPr>
        <w:pStyle w:val="BookText"/>
        <w:rPr/>
      </w:pPr>
      <w:r>
        <w:rPr>
          <w:rFonts w:ascii="IRNazanin" w:hAnsi="IRNazanin" w:eastAsia="IRNazanin"/>
          <w:color w:val="111111"/>
          <w:sz w:val="28"/>
          <w:sz w:val="28"/>
          <w:szCs w:val="28"/>
          <w:rtl w:val="true"/>
          <w:lang w:bidi="fa-IR"/>
        </w:rPr>
        <w:t>الأمارات و الاُصول، و لا مجال لها معه؛ أمّا القطع التفصیلی فتقدّمه علیها واضح؛ لأنّها امور تعبّدیة مجعولة للشاکّ الذی لا یعلم بالواقع، و أمّا القطع الإجمالی فلما عرفت من أنّه حجّة عقلیة موجباً لتنجّز التکلیف؛ بحیث لا یعقل الترخیص فی ترکه، فلا مجال معه من التعبّد الذی مورده صورة الشکّ و عدم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تقدّم الأمارات علی الاُصول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تقدّمها علی الاستصحاب فربّما یشکل وجهه لو کان المراد بالیقین الذی ورد فی أخبار لا تنقض هو الیقین القطعی الوجدانی الذی لا یحتمل معه الخلاف؛ لأنّ مفاد هذه الأخبار حینئذٍ أنّ نقض الیقین بالشکّ حرام إلی أن یحصل الیقین الوجدانی، بخلاف الیقین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الأمارات التی جلّها، بل کلّها حجج عقلیة ثابتة ببناء العقلاء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تکون مفیدة للیقین، و لم یکن عملهم علی طبقها من باب أنّه یقین؛ ضرورة أنّ الطریق عندهم لا یکون منحصراً بالقطع، و لیس ذلک من جهة تنزیل سائر الطرق منزلة الطریقة العلمیة أصلاً، کما یظهر ذلک بمراجعتهم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فیقع التعارض بحسب الظاهر بین دلیل اعتبار الأمارة و بین أخبار لا تنقض؛ لأنّ مفاده التعبّد بثبوت الطهارة مثلاً لو شهدت البیّنة بها، و مفادها حرمة نقض الیقین بالنجاسة ما دام لم یحصل یقین وجدانی بالطهارة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فیشکل وجه تقدّم الأمارات علی الاستصحاب</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یحتمل قویّاً أن یکون المراد بالیقین فی أخبار الاستصحاب هی الحجّة و الدلیل، فمعناها حینئذٍ حرمة نقض الحجّة بمجرّد الشکّ، بل الواجب نقضها بحجّة اخری، و لا یجوز رفع الید عن الحجّة بلا حجّة، و حینئذٍ فالوجه</w:t>
      </w:r>
    </w:p>
    <w:p>
      <w:pPr>
        <w:pStyle w:val="BookText"/>
        <w:rPr/>
      </w:pPr>
      <w:r>
        <w:rPr>
          <w:rFonts w:ascii="IRNazanin" w:hAnsi="IRNazanin" w:eastAsia="IRNazanin"/>
          <w:color w:val="111111"/>
          <w:sz w:val="28"/>
          <w:sz w:val="28"/>
          <w:szCs w:val="28"/>
          <w:rtl w:val="true"/>
          <w:lang w:bidi="fa-IR"/>
        </w:rPr>
        <w:t xml:space="preserve">فی تقدّم الأمارات علیه واضح؛ لأنّ الأمارات حجّة شرعیة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تأسیساً أو إمضاءً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فیجوز رفع الید بها عن الیقین السابق؛ لأنّ مقتضی أخبار الاستصحاب هو حرمة نقض الحجّة ما لم تحصل حجّة علی خلافها، و أدلّة اعتبار الأمارات تثبت الحجّة المعتبرة، فتکون واردة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یشهد لما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الیقین لیس المراد به الیقین الوجدانی، بل الحجّة و الدلیل ملاحظة نفس أخبار الاستصحاب، و التأمّل فیها، فإنّه قد حکم الإمام علیه السلام فی صحیحة زرارة الاُولی، الواردة فی الوضوء</w:t>
      </w:r>
      <w:r>
        <w:rPr>
          <w:rStyle w:val="FootnoteAnchor"/>
          <w:rtl w:val="true"/>
        </w:rPr>
        <w:footnoteReference w:id="389"/>
      </w:r>
      <w:r>
        <w:rPr>
          <w:rFonts w:ascii="IRNazanin" w:hAnsi="IRNazanin" w:eastAsia="IRNazanin"/>
          <w:color w:val="111111"/>
          <w:sz w:val="28"/>
          <w:sz w:val="28"/>
          <w:szCs w:val="28"/>
          <w:rtl w:val="true"/>
          <w:lang w:bidi="fa-IR"/>
        </w:rPr>
        <w:t>بحرمة نقض الیقین بالطهارة بالشکّ فیها، مع أنّ الیقین الوجدانی بالطهارة لا یتفق إلاّ نادراً؛ لأنّ العلم الجزمی بکون الوضوء الصادر من الإنسان قد صدر جامعاً لجمیع ما اعتبر فیه فی غایة القلّة، بل لو لا قاعدة الفراغ لأشکل الأمر بسبب ذلک، و مع ذلک قد حکم الإمام علیه السلام بجریان استصحاب الطهارة، و لیس ذلک إلاّ لکون المراد من الیقین لیس ما اصطلح علیه العلماء، و هو ما یقابل الظنّ و الشکّ و الوهم،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 ذلک ما وقع فی صحیحته الثانیة</w:t>
      </w:r>
      <w:r>
        <w:rPr>
          <w:rStyle w:val="FootnoteAnchor"/>
          <w:rtl w:val="true"/>
        </w:rPr>
        <w:footnoteReference w:id="390"/>
      </w:r>
      <w:r>
        <w:rPr>
          <w:rFonts w:ascii="IRNazanin" w:hAnsi="IRNazanin" w:eastAsia="IRNazanin"/>
          <w:color w:val="111111"/>
          <w:sz w:val="28"/>
          <w:sz w:val="28"/>
          <w:szCs w:val="28"/>
          <w:rtl w:val="true"/>
          <w:lang w:bidi="fa-IR"/>
        </w:rPr>
        <w:t>من حکم الإمام علیه السلام بجریان الاستصحاب فیما لو ظنّ إصابة الدم أو المنی الثوب، مع عدم الیقین بذلک؛ معلّلاً 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 کنت علی یقین من طهارتک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أنّ الیقین الوجدانی و العلم الجزمی بطهارة الثوب ممّا لا یتفق إلاّ نادراً</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کذلک صحیحته الثالثة الواردة فی عدّة أحکام الشکوک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لم یدر فی ثلاث هو أو فی أربع و قد أحرز الثلاث قام، فأضاف إلیها اخری، و لا شیء علیه، و لا ینقض الیقین بالشکّ</w:t>
      </w:r>
      <w:r>
        <w:rPr>
          <w:rFonts w:eastAsia="IRNazanin" w:cs="IRNazanin"/>
          <w:color w:val="111111"/>
          <w:sz w:val="28"/>
          <w:szCs w:val="28"/>
          <w:rtl w:val="true"/>
          <w:lang w:bidi="fa-IR"/>
        </w:rPr>
        <w:t xml:space="preserve">» </w:t>
      </w:r>
      <w:r>
        <w:rPr>
          <w:rStyle w:val="FootnoteAnchor"/>
          <w:rtl w:val="true"/>
        </w:rPr>
        <w:footnoteReference w:id="391"/>
      </w:r>
      <w:r>
        <w:rPr>
          <w:rFonts w:ascii="IRNazanin" w:hAnsi="IRNazanin" w:eastAsia="IRNazanin"/>
          <w:color w:val="111111"/>
          <w:sz w:val="28"/>
          <w:sz w:val="28"/>
          <w:szCs w:val="28"/>
          <w:rtl w:val="true"/>
          <w:lang w:bidi="fa-IR"/>
        </w:rPr>
        <w:t>، فإنّ التعبیر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أحرز الثلاث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علی أنّ المراد بالیقین لیس إلاّ الإحراز،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کیف کان فالظاهر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بملاحظة ما ذکرنا، و کذا سائر الموارد التی یستفاد منها هذا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بالیقین فی أخبار لا تنقض لیس إلاّ الحجّة، و حینئذٍ فتکون أدلّة الأمارات واردة علیها،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من هنا یظهر وجه تقدّم الأمارات علی أصالة البراءة التی مدرکها إمّا مثل حدیث الرفع، و إمّا حکم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الأوّل فالظاهر أنّ المراد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الوارد فیه لیس إلاّ ما یعمّ الحجّة علیه، و من الواضح أنّ أدلّة الأمارات یثبت حجّیتها، کما أنّ مدرکه لو کان قاعدة قبح العقاب بلا بیان تکون الأمارات متقدّمة علیه أیضاً؛ لأنّها بیان قام الدلیل علی اعتبارها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تقدّم الاستصحاب علی أصل البراءة؛ فإن کان مدرکها حکم العقل بقبح العقاب، من دون بیان فواضح؛ لأنّ أدلّة الاستصحاب الدالّة علی حرمة نقض الیقین بغیر الیقین بیان و حجّة للمولی علی العبد، کما هو واضح</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لو کان مدرکها هو مثل حدیث الرفع فلأنّ مفاد أدلّة الاستصحاب تنزیل الشکّ المسبوق بالیقین بمنزلة الیقین؛ لکونه أمراً مستحکماً مبرماً لا ینبغی أن ینقض بالشکّ الذی لا یکون کذلک علی ما هو التحقیق من أنّ المراد بالیقین لیس المتیقّن، فإنّه لا یناسب النقض بالشکّ،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فتکون أدلّة</w:t>
      </w:r>
    </w:p>
    <w:p>
      <w:pPr>
        <w:pStyle w:val="BookText"/>
        <w:rPr/>
      </w:pPr>
      <w:r>
        <w:rPr>
          <w:rFonts w:ascii="IRNazanin" w:hAnsi="IRNazanin" w:eastAsia="IRNazanin"/>
          <w:color w:val="111111"/>
          <w:sz w:val="28"/>
          <w:sz w:val="28"/>
          <w:szCs w:val="28"/>
          <w:rtl w:val="true"/>
          <w:lang w:bidi="fa-IR"/>
        </w:rPr>
        <w:t>الاستصحاب حاکمة علی مثل حدیث الرفع</w:t>
      </w:r>
      <w:r>
        <w:rPr>
          <w:rStyle w:val="FootnoteAnchor"/>
          <w:rtl w:val="true"/>
        </w:rPr>
        <w:footnoteReference w:id="392"/>
      </w:r>
      <w:r>
        <w:rPr>
          <w:rFonts w:ascii="IRNazanin" w:hAnsi="IRNazanin" w:eastAsia="IRNazanin"/>
          <w:color w:val="111111"/>
          <w:sz w:val="28"/>
          <w:sz w:val="28"/>
          <w:szCs w:val="28"/>
          <w:rtl w:val="true"/>
          <w:lang w:bidi="fa-IR"/>
        </w:rPr>
        <w:t>؛ لأنّ مدلوله رفع ما لا یعلم، و هی تدلّ علی تنزیل الشکّ منزلة العلم، و تحکم بکونه علماً فی عالم التشریع</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المراد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 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لم یقم الحجّة علیه، و لا شبهة فی أنّ أدلّة الاستصحاب حجّة و دلیل، فتکون متقدّمة علیه، کما هو واضح، و لعلّه سیجیء التکلّم فی هذا المقام فی مبحث الاستصحاب</w:t>
      </w:r>
      <w:r>
        <w:rPr>
          <w:rFonts w:eastAsia="IRNazanin" w:cs="IRNazanin"/>
          <w:color w:val="111111"/>
          <w:sz w:val="28"/>
          <w:szCs w:val="28"/>
          <w:rtl w:val="true"/>
          <w:lang w:bidi="fa-IR"/>
        </w:rPr>
        <w:t>.</w:t>
      </w:r>
      <w:bookmarkStart w:id="825" w:name="pg11586_105080"/>
    </w:p>
    <w:p>
      <w:pPr>
        <w:pStyle w:val="BookText"/>
        <w:rPr/>
      </w:pPr>
      <w:bookmarkEnd w:id="825"/>
      <w:r>
        <w:rPr>
          <w:rFonts w:ascii="Amiri" w:hAnsi="Amiri" w:eastAsia="Amiri" w:cs="Amiri"/>
          <w:color w:val="111111"/>
          <w:sz w:val="28"/>
          <w:sz w:val="28"/>
          <w:szCs w:val="28"/>
          <w:rtl w:val="true"/>
          <w:lang w:bidi="ar-SA"/>
        </w:rPr>
        <w:t>أدلّة الاُصولیّین علی البراءة</w:t>
      </w:r>
    </w:p>
    <w:p>
      <w:pPr>
        <w:pStyle w:val="Heading3"/>
        <w:numPr>
          <w:ilvl w:val="2"/>
          <w:numId w:val="1"/>
        </w:numPr>
        <w:rPr/>
      </w:pPr>
      <w:bookmarkStart w:id="826" w:name="__RefHeading___Toc5146225_73709187"/>
      <w:bookmarkStart w:id="827" w:name="_Toc312"/>
      <w:bookmarkEnd w:id="826"/>
      <w:r>
        <w:rPr>
          <w:rtl w:val="true"/>
        </w:rPr>
        <w:t>حول أدلّة الأُصولیّین علی البراءة</w:t>
      </w:r>
      <w:bookmarkEnd w:id="827"/>
    </w:p>
    <w:p>
      <w:pPr>
        <w:pStyle w:val="Heading4"/>
        <w:numPr>
          <w:ilvl w:val="3"/>
          <w:numId w:val="1"/>
        </w:numPr>
        <w:rPr/>
      </w:pPr>
      <w:bookmarkStart w:id="828" w:name="__RefHeading___Toc5146227_73709187"/>
      <w:bookmarkStart w:id="829" w:name="_Toc313"/>
      <w:bookmarkEnd w:id="828"/>
      <w:r>
        <w:rPr>
          <w:rtl w:val="true"/>
        </w:rPr>
        <w:t>اشارة</w:t>
      </w:r>
      <w:bookmarkEnd w:id="829"/>
    </w:p>
    <w:p>
      <w:pPr>
        <w:pStyle w:val="BookText"/>
        <w:rPr/>
      </w:pPr>
      <w:r>
        <w:rPr>
          <w:rFonts w:ascii="IRNazanin" w:hAnsi="IRNazanin" w:eastAsia="IRNazanin"/>
          <w:color w:val="111111"/>
          <w:sz w:val="28"/>
          <w:sz w:val="28"/>
          <w:szCs w:val="28"/>
          <w:rtl w:val="true"/>
          <w:lang w:bidi="fa-IR"/>
        </w:rPr>
        <w:t>إذا عرفت ذلک، فلنرجع إلی ما کنّا بصدده، و هو التکلّم فی البراءة،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استدلّ علی البراءة بالأدلّة الأربعة</w:t>
      </w:r>
      <w:r>
        <w:rPr>
          <w:rFonts w:eastAsia="IRNazanin" w:cs="IRNazanin"/>
          <w:color w:val="111111"/>
          <w:sz w:val="28"/>
          <w:szCs w:val="28"/>
          <w:rtl w:val="true"/>
          <w:lang w:bidi="fa-IR"/>
        </w:rPr>
        <w:t>:</w:t>
      </w:r>
    </w:p>
    <w:p>
      <w:pPr>
        <w:pStyle w:val="Heading4"/>
        <w:numPr>
          <w:ilvl w:val="3"/>
          <w:numId w:val="1"/>
        </w:numPr>
        <w:rPr/>
      </w:pPr>
      <w:bookmarkStart w:id="830" w:name="__RefHeading___Toc5146229_73709187"/>
      <w:bookmarkStart w:id="831" w:name="_Toc314"/>
      <w:bookmarkEnd w:id="830"/>
      <w:r>
        <w:rPr>
          <w:rtl w:val="true"/>
        </w:rPr>
        <w:t>الدلیل الأوّل</w:t>
      </w:r>
      <w:r>
        <w:rPr>
          <w:rtl w:val="true"/>
        </w:rPr>
        <w:t xml:space="preserve">: </w:t>
      </w:r>
      <w:r>
        <w:rPr>
          <w:rtl w:val="true"/>
        </w:rPr>
        <w:t>الآیات</w:t>
      </w:r>
      <w:bookmarkEnd w:id="831"/>
    </w:p>
    <w:p>
      <w:pPr>
        <w:pStyle w:val="Heading5"/>
        <w:numPr>
          <w:ilvl w:val="4"/>
          <w:numId w:val="1"/>
        </w:numPr>
        <w:rPr/>
      </w:pPr>
      <w:bookmarkStart w:id="832" w:name="__RefHeading___Toc5146231_73709187"/>
      <w:bookmarkStart w:id="833" w:name="_Toc315"/>
      <w:bookmarkEnd w:id="832"/>
      <w:r>
        <w:rPr>
          <w:rtl w:val="true"/>
        </w:rPr>
        <w:t>اشارة</w:t>
      </w:r>
      <w:bookmarkEnd w:id="833"/>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کُنّا مُعَذِّبِینَ حَتّی نَبْعَثَ رَسُولاً</w:t>
      </w:r>
      <w:r>
        <w:rPr>
          <w:rFonts w:eastAsia="Amiri" w:cs="Amiri" w:ascii="Amiri" w:hAnsi="Amiri"/>
          <w:color w:val="111111"/>
          <w:sz w:val="28"/>
          <w:szCs w:val="28"/>
          <w:rtl w:val="true"/>
          <w:lang w:bidi="ar-SA"/>
        </w:rPr>
        <w:t xml:space="preserve">» </w:t>
      </w:r>
      <w:r>
        <w:rPr>
          <w:rStyle w:val="FootnoteAnchor"/>
          <w:rtl w:val="true"/>
        </w:rPr>
        <w:footnoteReference w:id="39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اورد علی التمسّک به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ظاهره الإخبار بوقوع التعذیب سابقاً بعد البعث، فیختصّ بالعذاب الدنیوی الواقع فی الاُمم السابقة</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نفی فعلیة التعذیب أعمّ من نفی الاستحقاق</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مفادها أجنبی عن البراءة، فإنّ مفادها الإخبار بنفی التعذیب</w:t>
      </w:r>
    </w:p>
    <w:p>
      <w:pPr>
        <w:pStyle w:val="BookText"/>
        <w:rPr/>
      </w:pPr>
      <w:r>
        <w:rPr>
          <w:rFonts w:ascii="IRNazanin" w:hAnsi="IRNazanin" w:eastAsia="IRNazanin"/>
          <w:color w:val="111111"/>
          <w:sz w:val="28"/>
          <w:sz w:val="28"/>
          <w:szCs w:val="28"/>
          <w:rtl w:val="true"/>
          <w:lang w:bidi="fa-IR"/>
        </w:rPr>
        <w:t>قبل إتمام الحجّة، کما هو حال الاُمم السابقة، فلا دلالة لها علی حکم مشتبه الحکم؛ من حیث إنّه مشتبه، فهی أجنبیة عمّا نحن فیه</w:t>
      </w:r>
      <w:r>
        <w:rPr>
          <w:rStyle w:val="FootnoteAnchor"/>
          <w:rtl w:val="true"/>
        </w:rPr>
        <w:footnoteReference w:id="39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خبیر بعدم تمامیة شیء من هذه الإیرادات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الآیة إنّما وقعت فی ذیل الآیات الواردة فی القیامة، و لا اختصاص لها، بل لا ارتباط لها بنفی العذاب الدنیوی بالنسبة إلی الاُمم السالفة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حینئذٍ فیکون المراد بالتعذیب المنفی هو العذاب الاُخروی، کما أنّ المراد ببعث الرسول لیس مجرّد بعثه، و لو لم یکن مأموراً بالتبلیغ، کما یدلّ 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أنّه هو المتفاهم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الرسول، لا النبیّ، بل المراد به أنّ البعث لأجل التبلیغ و إتمام الحجّة إنّما یکون غایة لعدم التعذیب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بلغ بعض الأحکام دون بعض، أو بلّغها إلی أهل بلد خاصّ دون سائر البلدان، أو بلّغها إلی جمیع البلدان فی عصره، ثمّ لم یبلغ إلی الأعصار المتأخّرة؛ لأجل الموانع و الحوادث یفهم من الآیة عدم التعذیب بالنسبة إلی التکلیف الذی لم یبلّغه أصلاً، أو الشخص الذی لم یصل إلیه، و حینئذٍ فالآیة ظاهرة، بل صریحة فی نفی العذاب بالنسبة إلی ما لم یصل إلی المکلّف</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لو سلّم ظهورها فی الإخبار بوقوع التعذیب سابقاً بعد البعث، و اختصاصها بالعذاب الدنیوی الواقع فی الاُمم السابقة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یستفاد منه البراءة فی المقام حینئذٍ بطریق أولی؛ إذ لو کان التعذیب الدنیوی مع کونه یسیراً محدوداً بمکان لا یصدر منه تعالی إلاّ بعد بعث الرسول و إتمام الحجّة فالعذاب الاُخروی الذی لا یمکن قیاسه مع العذاب الدنیوی، لا من حیث الکمّ، و لا من حیث الکیف</w:t>
      </w:r>
    </w:p>
    <w:p>
      <w:pPr>
        <w:pStyle w:val="BookText"/>
        <w:rPr/>
      </w:pPr>
      <w:r>
        <w:rPr>
          <w:rFonts w:ascii="IRNazanin" w:hAnsi="IRNazanin" w:eastAsia="IRNazanin"/>
          <w:color w:val="111111"/>
          <w:sz w:val="28"/>
          <w:sz w:val="28"/>
          <w:szCs w:val="28"/>
          <w:rtl w:val="true"/>
          <w:lang w:bidi="fa-IR"/>
        </w:rPr>
        <w:t>لا یصدر منه تعالی إلاّ بعد ذلک بطریق أولی،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 لیس المقصود فی المقام إثبات نفی الاستحقاق، بل یکفینا مجرّد ثبوت المؤمّن عن العذاب، و إن کان أصل الاستحقاق ثابتاً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فیظهر الجواب عنه ممّا ذکرناه فی الجواب عن الإیراد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یبقی فی الآیة أنّه لو ثبت بدلیل وجوب الاحتیاط لا یکون التعذیب حینئذٍ تعذیباً قبل بعث الرسول، حتّی لا یناسب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شأنه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یخفی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یُکَلِّفُ اللّهُ نَفْساً إِلاّ ما آتاها</w:t>
      </w:r>
      <w:r>
        <w:rPr>
          <w:rFonts w:eastAsia="Amiri" w:cs="Amiri" w:ascii="Amiri" w:hAnsi="Amiri"/>
          <w:color w:val="111111"/>
          <w:sz w:val="28"/>
          <w:szCs w:val="28"/>
          <w:rtl w:val="true"/>
          <w:lang w:bidi="ar-SA"/>
        </w:rPr>
        <w:t xml:space="preserve">» </w:t>
      </w:r>
      <w:r>
        <w:rPr>
          <w:rStyle w:val="FootnoteAnchor"/>
          <w:rtl w:val="true"/>
        </w:rPr>
        <w:footnoteReference w:id="39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یقع الکلام فیه فی مقامین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فی إمکان دلالته علی المقام، ثانیهما فیما هو ظاهره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إشکال فی أنّه لو کان المراد من التکلیف هو التکلیف الفعلی، و من الموصول هو التکلیف الفعلی أیضاً أو أعمّ منه و من المال و غیره یلزم المحال؛ لأنّه یصیر معناه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التکلیف الفعلی لا یتحقّق إلاّ بعد إیصال التکلیف الفعلی، فیکون اتصافه بالفعلیة مشروطاً بإیصاله متصفاً بها، و هذا دور صریح</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یلزم ذلک لو کان المراد من کلیهما هو التکلیف الشأنی، و أمّا لو کان المراد بالأوّل هو التکلیف الفعلی و بالموصول هو التکلیف الشأنی فلا یلزم المحال بوجه، کما أنّه لو کان المراد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یُکَلِّفُ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عدم إیقاعه تعالی نفساً فی الکلفة و المشقّة، لا التکلیف المصطلح فلا مانع من أن یکون المراد بالموصول هو التکلیف الفعلی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یصیر معنی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تعالی لا یوقع نفساً</w:t>
      </w:r>
      <w:bookmarkStart w:id="834" w:name="pg11586_105083"/>
    </w:p>
    <w:p>
      <w:pPr>
        <w:pStyle w:val="BookText"/>
        <w:rPr/>
      </w:pPr>
      <w:bookmarkEnd w:id="834"/>
      <w:r>
        <w:rPr>
          <w:rFonts w:ascii="IRNazanin" w:hAnsi="IRNazanin" w:eastAsia="IRNazanin"/>
          <w:color w:val="111111"/>
          <w:sz w:val="28"/>
          <w:sz w:val="28"/>
          <w:szCs w:val="28"/>
          <w:rtl w:val="true"/>
          <w:lang w:bidi="fa-IR"/>
        </w:rPr>
        <w:t>فی المشقّة إلاّ من قبل التکالیف الواقعیة الفعلیة التی بلّغها إلی المکلّف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فیدلّ علی نفی وجوب الاحتیاط أیضاً؛ لأنّه لو فرض وجوب الاحتیاط یلزم إیقاع المکلّف فی الکلفة من قبل التکالیف المجهولة التی لم تصل إلی المکلّف؛ ضرورة أنّ إیجاب الاحتیاط لیس إلاّ لرعایة حفظ الواقع، و لا یکون وجوبه إلاّ طریقیاً، فلا یقال بأنّ الآیة لا تنافی وجوب الاحتیاط؛ لأنّه تکلیف واصل إلی المکلّفین، فلا مانع من وقوع المکلّف فی المشقّة من ناحیته،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لو ارید بالموصول فی الآیة أعمّ من التکلیف فالظاهر أنّه ممّا لا یمکن؛ لأنّه لا یعقل أن یتعلّق التکلیف بالتکلیف إلاّ علی وجه تعلّق الفعل بالمفعول المطلق، کما أنّ تعلّقه بالمال أو بمطلق الشیء إنّما یکون علی وجه تعلّقه بالمفعول به، و هذان الوجهان ممّا لا یمکن فرض الجامع القریب بینهما؛ لأنّ المفعول به لا بدّ و أن یکون مفروض التحقّق قبل ورود الفعل علیه، و المفعول المطلق إنّما هو من شئون الفعل و أنواعه، و لا جامع بین ما یقع علیه الفعل و بین ما هو مأخوذ من نفس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شئت قلت فی المقام بعدم الجامع بین التکلیف و المکلّف به</w:t>
      </w:r>
      <w:r>
        <w:rPr>
          <w:rFonts w:eastAsia="IRNazanin" w:cs="IRNazanin"/>
          <w:color w:val="111111"/>
          <w:sz w:val="28"/>
          <w:szCs w:val="28"/>
          <w:rtl w:val="true"/>
          <w:lang w:bidi="fa-IR"/>
        </w:rPr>
        <w:t>.</w:t>
      </w:r>
    </w:p>
    <w:p>
      <w:pPr>
        <w:pStyle w:val="Heading5"/>
        <w:numPr>
          <w:ilvl w:val="4"/>
          <w:numId w:val="1"/>
        </w:numPr>
        <w:rPr/>
      </w:pPr>
      <w:bookmarkStart w:id="835" w:name="__RefHeading___Toc5146233_73709187"/>
      <w:bookmarkStart w:id="836" w:name="_Toc316"/>
      <w:bookmarkEnd w:id="835"/>
      <w:r>
        <w:rPr>
          <w:rtl w:val="true"/>
        </w:rPr>
        <w:t>هذا، و اجیب عن ذلک بوجوه</w:t>
      </w:r>
      <w:r>
        <w:rPr>
          <w:rtl w:val="true"/>
        </w:rPr>
        <w:t>:</w:t>
      </w:r>
      <w:bookmarkEnd w:id="836"/>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 المحقّق النائینی علی ما فی التقریرات من أنّ إرادة العموم من الموصول لا یستلزم أن یکون المراد من الموصول الأعمّ من المفعول به و المفعول المطلق، بل یراد منه خصوص المفعول به</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توهّم أنّ المفعول به لا بدّ و أن یکون له نحو وجود و تحقّق فی وعائه قبل ورود الفعل علیه ممنوع بأنّ المفعول المطلق النوعی و العددی یصحّ جعله مفعولاً به بنحو من العنایة، مثلاً الوجوب و إن کان وجوده بنفس الإیجاب</w:t>
      </w:r>
    </w:p>
    <w:p>
      <w:pPr>
        <w:pStyle w:val="BookText"/>
        <w:rPr/>
      </w:pPr>
      <w:r>
        <w:rPr>
          <w:rFonts w:ascii="IRNazanin" w:hAnsi="IRNazanin" w:eastAsia="IRNazanin"/>
          <w:color w:val="111111"/>
          <w:sz w:val="28"/>
          <w:sz w:val="28"/>
          <w:szCs w:val="28"/>
          <w:rtl w:val="true"/>
          <w:lang w:bidi="fa-IR"/>
        </w:rPr>
        <w:t>و الإنشاء إلاّ أنّه باعتبار ما له من المعنی الاسم المصدری یصحّ تعلّق التکلیف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الوجوب بالمعنی المصدری لا یصحّ تعلّق التکلیف به</w:t>
      </w:r>
      <w:r>
        <w:rPr>
          <w:rStyle w:val="FootnoteAnchor"/>
          <w:rtl w:val="true"/>
        </w:rPr>
        <w:footnoteReference w:id="39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لا یخفی ما فیه، فإنّ المعنی الاسم المصدری هو ما یحصل من المصدر، و یتحقّق منه، فیکون فی الرتبة المتأخّرة عن نفس المصدر، و حینئذٍ فکیف یعقل فرض وجود له قبیل المصدر، ثمّ إیقاعه علیه،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 المحقّق العراقی من أنّ هذا الإیراد إنّما یرد فی فرض إرادة الخصوصیات المزبورة من شخص الموصول، و إلّا فبناءً علی استعمال الموصول فی معناه الکلّی العامّ، و إرادة الخصوصیات من دوالّ اخر خارجیة فلا یتوجّه محذور، لا من طرف الموصول، و لا فی لفظ الإیتاء، و لا فی تعلّق الفعل بالموصول؛ لأنّه لم تستعمل الموصول و الإیتاء إلاّ فی المعنی الکلّی، و إفادة الخصوصیات إنّما هی بدوالّ 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تعلّق الفعل بالموصول لیس إلاّ نحو تعلّق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مجرّد تعدّده بالتحلیل لا یقتضی تعدّده بالنسبة إلی الجامع</w:t>
      </w:r>
      <w:r>
        <w:rPr>
          <w:rStyle w:val="FootnoteAnchor"/>
          <w:rtl w:val="true"/>
        </w:rPr>
        <w:footnoteReference w:id="399"/>
      </w:r>
      <w:r>
        <w:rPr>
          <w:rFonts w:ascii="Amiri" w:hAnsi="Amiri" w:eastAsia="Amiri" w:cs="Amiri"/>
          <w:color w:val="111111"/>
          <w:sz w:val="28"/>
          <w:sz w:val="28"/>
          <w:szCs w:val="28"/>
          <w:rtl w:val="true"/>
          <w:lang w:bidi="ar-SA"/>
        </w:rPr>
        <w:t>، انتهی ملخّصاً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أنت خبیر بأنّه بعد فرض عدم وجود الجامع القریب بین خصوصیات الموصول کیف یمکن أن یقال بأنّها مستعملة فی المعنی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الإیتاء مستعمل فی معناه، و هو الإعطاء، و هو أمر کلّی جامع بین الإعطاء و الإقدار و الإعلام، و بعد عدم وجود الجامع لا یکون النسبة أیضاً متعلّقة به، حتّی یقال بأنّ تعدّدها إنّما هو بالتحلیل</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المقام الثانی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بحسب مقام الإثبات و الاستظهار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فدعوی ظهور</w:t>
      </w:r>
      <w:bookmarkStart w:id="837" w:name="pg11586_105085"/>
    </w:p>
    <w:p>
      <w:pPr>
        <w:pStyle w:val="BookText"/>
        <w:rPr/>
      </w:pPr>
      <w:bookmarkEnd w:id="837"/>
      <w:r>
        <w:rPr>
          <w:rFonts w:ascii="IRNazanin" w:hAnsi="IRNazanin" w:eastAsia="IRNazanin"/>
          <w:color w:val="111111"/>
          <w:sz w:val="28"/>
          <w:sz w:val="28"/>
          <w:szCs w:val="28"/>
          <w:rtl w:val="true"/>
          <w:lang w:bidi="fa-IR"/>
        </w:rPr>
        <w:t>الآیة فیه ممنوعة، و الذی یدفع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ظاهر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بقرینة ما قبلها و ما بعدها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ینافی الحمل علی التکلیف، و کونها بمنزلة کبری کلّیة لا یوجب شمولها للتکلیف، بل الظاهر أنّ مفادها هو مفاد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یُکَلِّفُ اللّهُ نَفْساً إِلاّ وُسْعَها</w:t>
      </w:r>
      <w:r>
        <w:rPr>
          <w:rFonts w:eastAsia="IRNazanin" w:cs="IRNazanin"/>
          <w:color w:val="111111"/>
          <w:sz w:val="28"/>
          <w:szCs w:val="28"/>
          <w:rtl w:val="true"/>
          <w:lang w:bidi="fa-IR"/>
        </w:rPr>
        <w:t xml:space="preserve">» </w:t>
      </w:r>
      <w:r>
        <w:rPr>
          <w:rStyle w:val="FootnoteAnchor"/>
          <w:rtl w:val="true"/>
        </w:rPr>
        <w:footnoteReference w:id="400"/>
      </w:r>
      <w:r>
        <w:rPr>
          <w:rFonts w:ascii="IRNazanin" w:hAnsi="IRNazanin" w:eastAsia="IRNazanin"/>
          <w:color w:val="111111"/>
          <w:sz w:val="28"/>
          <w:sz w:val="28"/>
          <w:szCs w:val="28"/>
          <w:rtl w:val="true"/>
          <w:lang w:bidi="fa-IR"/>
        </w:rPr>
        <w:t>، فلا مجال للاستدلال بها علی المقام، کما لا یخفی</w:t>
      </w:r>
      <w:r>
        <w:rPr>
          <w:rFonts w:eastAsia="IRNazanin" w:cs="IRNazanin"/>
          <w:color w:val="111111"/>
          <w:sz w:val="28"/>
          <w:szCs w:val="28"/>
          <w:rtl w:val="true"/>
          <w:lang w:bidi="fa-IR"/>
        </w:rPr>
        <w:t>.</w:t>
      </w:r>
    </w:p>
    <w:p>
      <w:pPr>
        <w:pStyle w:val="Heading4"/>
        <w:numPr>
          <w:ilvl w:val="3"/>
          <w:numId w:val="1"/>
        </w:numPr>
        <w:rPr/>
      </w:pPr>
      <w:bookmarkStart w:id="838" w:name="__RefHeading___Toc5146235_73709187"/>
      <w:bookmarkStart w:id="839" w:name="_Toc317"/>
      <w:bookmarkEnd w:id="838"/>
      <w:r>
        <w:rPr>
          <w:rtl w:val="true"/>
        </w:rPr>
        <w:t>الدلیل الثانی</w:t>
      </w:r>
      <w:r>
        <w:rPr>
          <w:rtl w:val="true"/>
        </w:rPr>
        <w:t xml:space="preserve">: </w:t>
      </w:r>
      <w:r>
        <w:rPr>
          <w:rtl w:val="true"/>
        </w:rPr>
        <w:t>الأخبار</w:t>
      </w:r>
      <w:bookmarkEnd w:id="839"/>
    </w:p>
    <w:p>
      <w:pPr>
        <w:pStyle w:val="Heading5"/>
        <w:numPr>
          <w:ilvl w:val="4"/>
          <w:numId w:val="1"/>
        </w:numPr>
        <w:rPr/>
      </w:pPr>
      <w:bookmarkStart w:id="840" w:name="__RefHeading___Toc5146237_73709187"/>
      <w:bookmarkStart w:id="841" w:name="_Toc318"/>
      <w:bookmarkEnd w:id="840"/>
      <w:r>
        <w:rPr>
          <w:rtl w:val="true"/>
        </w:rPr>
        <w:t>منها</w:t>
      </w:r>
      <w:r>
        <w:rPr>
          <w:rtl w:val="true"/>
        </w:rPr>
        <w:t xml:space="preserve">: </w:t>
      </w:r>
      <w:r>
        <w:rPr>
          <w:rtl w:val="true"/>
        </w:rPr>
        <w:t>حدیث الرفع ؛</w:t>
      </w:r>
      <w:bookmarkEnd w:id="841"/>
    </w:p>
    <w:p>
      <w:pPr>
        <w:pStyle w:val="Heading6"/>
        <w:numPr>
          <w:ilvl w:val="5"/>
          <w:numId w:val="1"/>
        </w:numPr>
        <w:rPr/>
      </w:pPr>
      <w:bookmarkStart w:id="842" w:name="__RefHeading___Toc5146239_73709187"/>
      <w:bookmarkStart w:id="843" w:name="_Toc319"/>
      <w:bookmarkEnd w:id="842"/>
      <w:r>
        <w:rPr>
          <w:rtl w:val="true"/>
        </w:rPr>
        <w:t>اشارة</w:t>
      </w:r>
      <w:bookmarkEnd w:id="843"/>
    </w:p>
    <w:p>
      <w:pPr>
        <w:pStyle w:val="BookText"/>
        <w:rPr/>
      </w:pPr>
      <w:r>
        <w:rPr>
          <w:rStyle w:val="FootnoteAnchor"/>
          <w:rtl w:val="true"/>
        </w:rPr>
        <w:footnoteReference w:id="4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عدّ فیه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جملة التسعة المرفوعة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تحقیق الکلام فی مفاد الحدیث الشریف یتمّ برسم امور</w:t>
      </w:r>
      <w:r>
        <w:rPr>
          <w:rFonts w:eastAsia="IRNazanin" w:cs="IRNazanin"/>
          <w:color w:val="111111"/>
          <w:sz w:val="28"/>
          <w:szCs w:val="28"/>
          <w:rtl w:val="true"/>
          <w:lang w:bidi="fa-IR"/>
        </w:rPr>
        <w:t>:</w:t>
      </w:r>
    </w:p>
    <w:p>
      <w:pPr>
        <w:pStyle w:val="Heading6"/>
        <w:numPr>
          <w:ilvl w:val="5"/>
          <w:numId w:val="1"/>
        </w:numPr>
        <w:rPr/>
      </w:pPr>
      <w:bookmarkStart w:id="844" w:name="__RefHeading___Toc5146241_73709187"/>
      <w:bookmarkStart w:id="845" w:name="_Toc320"/>
      <w:bookmarkEnd w:id="844"/>
      <w:r>
        <w:rPr>
          <w:rtl w:val="true"/>
        </w:rPr>
        <w:t>الأمر الأوّل</w:t>
      </w:r>
      <w:r>
        <w:rPr>
          <w:rtl w:val="true"/>
        </w:rPr>
        <w:t xml:space="preserve">: </w:t>
      </w:r>
      <w:r>
        <w:rPr>
          <w:rtl w:val="true"/>
        </w:rPr>
        <w:t>فی معنی الرفع</w:t>
      </w:r>
      <w:bookmarkEnd w:id="845"/>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المحقّق النائینی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فی التقریرات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الرفع فی الحدیث بمعنی الدفع، و لا یلزم من ذلک مجاز، و لا یحتاج إلی عنایة أصلاً، قال فی توضیحه ما 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استعمال الرفع و کذا الدفع لا یصحّ إلاّ بعد تحقّق مقتضی الوجود؛ بحیث لو لم یرد الرفع و کذا الدفع علی الشیء لکان موجوداً فی وعائه المناسب له؛ لوضوح أنّ کلاًّ منهما لا یرد علی ما یکون معدوماً فی حدّ ذاته لا وجود له و لا اقتضاء الوجود، و یفترق الرفع عن الدفع بأنّ استعمال الرفع إنّما یکون غالباً فی المورد الذی فرض وجوده فی الزمان السابق أو فی المرتبة السابقة، و الدفع یستعمل غالباً فی المورد الذی فرض ثبوت المقتضی بوجود</w:t>
      </w:r>
    </w:p>
    <w:p>
      <w:pPr>
        <w:pStyle w:val="BookText"/>
        <w:rPr/>
      </w:pPr>
      <w:r>
        <w:rPr>
          <w:rFonts w:ascii="IRNazanin" w:hAnsi="IRNazanin" w:eastAsia="IRNazanin"/>
          <w:color w:val="111111"/>
          <w:sz w:val="28"/>
          <w:sz w:val="28"/>
          <w:szCs w:val="28"/>
          <w:rtl w:val="true"/>
          <w:lang w:bidi="fa-IR"/>
        </w:rPr>
        <w:t>شیء قبل إشغاله لصفحة الوجود، فیکون الرفع مانعاً عن استمرار الوجود، و الدفع مانعاً عن تأثیر المقتضی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هذا المقدار من الفرق لا یمنع عن صحّة استعمال الرفع بدل الدفع علی وجه الحقیقة، فإنّ الرفع فی الحقیقة یدفع المقتضی عن التأثیر فی الزمان اللاحق أو فی المرتبة اللاحقة؛ لأنّ بقاء الشیء کحدوثه یحتاج إلی علّة 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فالرفع فی مرتبة وروده علی الشیء إنّما یکون دفعاً حقیقة باعتبار علّة البقاء، و إن کان رفعاً باعتبار الوجود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فاستعمال الرفع فی مقام الدفع لا یحتاج إلی رعایة علاقة المجاز أصلاً</w:t>
      </w:r>
      <w:r>
        <w:rPr>
          <w:rStyle w:val="FootnoteAnchor"/>
          <w:rtl w:val="true"/>
        </w:rPr>
        <w:footnoteReference w:id="402"/>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خبیر بما فیه؛ لأنّ صدق عنوان الدفع علی مورد الرفع باعتبار کونه دافعاً عن تأثیر المقتضی فی الزمان اللاحق أو المرتبة اللاحقة لا یوجب اتحاد الاعتبارین و وحدة العنوانین فی عالم المفهومیة، فإنّ اعتبار الرفع إنّما هو إزالة الشیء الموجود فی زمان أو مرتبة عن صفحة الوجود، و اعتبار الدفع إنّما هو المنع عن تأثیر العلّة المبقیة فی الآن اللاحق، و صدق عنوان الدفع علی محلّ الرفع باعتباره لا یوجب اتحاد الاعتبارین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لا تری أنّ صدق عنوان الضاحک دائماً علی مورد یصدق علیه الإنسان لا یقتضی اتحاد معنی الضاحک و الإنسان، و إن کان التصادق دائمیاً، فضلاً عن المقام الذی لا یکون النسبة إلاّ العموم و الخصوص، لا التساوی، کما هو واضح</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تصادق العنوانین فی الوجود الخارجی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مطلقاً أو فی 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و اتحادهما فی عالم المفهومیة أمر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فمع اعترافه بتغایر الاعتبارین لا مجال لدعوی صحّة استعمال أحدهما مکان الآخر بلا</w:t>
      </w:r>
    </w:p>
    <w:p>
      <w:pPr>
        <w:pStyle w:val="BookText"/>
        <w:rPr/>
      </w:pPr>
      <w:r>
        <w:rPr>
          <w:rFonts w:ascii="IRNazanin" w:hAnsi="IRNazanin" w:eastAsia="IRNazanin"/>
          <w:color w:val="111111"/>
          <w:sz w:val="28"/>
          <w:sz w:val="28"/>
          <w:szCs w:val="28"/>
          <w:rtl w:val="true"/>
          <w:lang w:bidi="fa-IR"/>
        </w:rPr>
        <w:t>احتیاج إلی رعایة العلاقة و العنایة، کما اعترف بذلک فی مبحث الاشتغال؛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استعمال الرفع مکان الدفع أو بالعکس إنّما هو بضرب من العنایة و التجوّز</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التحقیق فی المقام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الرفع فی الحدیث الشریف قد اسند إلی نفس الأفعال التی یتعلّق بها التکلیف، و لم یکن مسنداً إلی نفس الحکم، حتّی یحتاج إلی دعوی کون المراد من الرفع هو الدفع، فإنّ الرفع قد اسند إلی نفس الخطأ و النسیان و نظائرهما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ننکر أنّ هذا الإسناد یحتاج إلی ادعاء أنّه إذا کانت تلک الاُمور ممّا لا یترتّب علی فعلها المؤاخذة، أو أظهر آثارها أو جمیعها فکأنّها لا تکون متحقّقة فی صفحة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فالرفع قد استعمل فی الحدیث بمعناه الحقیقی، و هی إزالة الشیء بعد وجوده؛ لأنّه قد نسب إلی العناوین المتحقّقة فی الخارج، و هی موجودة ثابتة، و إسناد الرفع إلیها إنّما هو بأحد الوجوه المحتملة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لو قلنا بأنّ التقدیر هو رفع الأحکام و الآثار المترتّبة علی تلک العناوین فیمکن أن یقال بأنّ الرفع حینئذٍ أیضاً قد استعمل فی معناه الحقیقی، و هو إزالة الحکم بعد ثبوته؛ لأنّ أدلّة الأحکام شاملة بالعموم أو الإطلاق صورة الخطأ و النسیان و الاضطرار و الإکراه و الجهل، فالرفع إنّما یتعلّق بتلک الأحکام فی خصوص تلک الصور، فهو بمعنی إزالة الحکم الثابت بالإرادة الاستعمالیة فی تلک الموارد، و إن کان بحسب الإرادة الجدّیة دفعاً حقیقة</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 التخصیص إنّما یکون تخصیصاً بالنسبة إلی الإرادة الاستعمالیة الشاملة لمورد التخصیص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بالنظر إلی الإرادة الجدّیة المقصورة علی غیره</w:t>
      </w:r>
      <w:bookmarkStart w:id="846" w:name="pg11586_105088"/>
    </w:p>
    <w:p>
      <w:pPr>
        <w:pStyle w:val="BookText"/>
        <w:rPr/>
      </w:pPr>
      <w:bookmarkEnd w:id="846"/>
      <w:r>
        <w:rPr>
          <w:rFonts w:ascii="IRNazanin" w:hAnsi="IRNazanin" w:eastAsia="IRNazanin"/>
          <w:color w:val="111111"/>
          <w:sz w:val="28"/>
          <w:sz w:val="28"/>
          <w:szCs w:val="28"/>
          <w:rtl w:val="true"/>
          <w:lang w:bidi="fa-IR"/>
        </w:rPr>
        <w:t>فیکون فی الحقیقة تخصّصاً، کما أنّ النسخ إنّما یکون نسخاً باعتبار ظهور الحکم فی الاستمرار، و إلّا ففی الحقیقة لا یکون نسخاً؛ لأنّ مورده إنّما هو ما إذا انتهی أمد الحکم، و إلّا فلا یجوز، بل یستحیل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فاستعمال الرفع و التخصیص و النسخ إنّما هو باعتبار شمول الحکم المجعول قاعدة و قانوناً لموارد هذه الاُمور، و إلّا ففی الحقیقة لا یکون هنا رفع و تخصیص و نسخ، بل دفع و تخصّص و انتهاء أمد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 صحّة استعمال الرفع فی المقام علی کلا التقدیرین؛ و هما تقدیر إسناده إلی نفس العناوین، کما هو الظاهر، و تقدیر إسناده إلی الأحکام المترتّبة علیها، کما لا یخفی</w:t>
      </w:r>
      <w:r>
        <w:rPr>
          <w:rFonts w:eastAsia="IRNazanin" w:cs="IRNazanin"/>
          <w:color w:val="111111"/>
          <w:sz w:val="28"/>
          <w:szCs w:val="28"/>
          <w:rtl w:val="true"/>
          <w:lang w:bidi="fa-IR"/>
        </w:rPr>
        <w:t>.</w:t>
      </w:r>
    </w:p>
    <w:p>
      <w:pPr>
        <w:pStyle w:val="Heading6"/>
        <w:numPr>
          <w:ilvl w:val="5"/>
          <w:numId w:val="1"/>
        </w:numPr>
        <w:rPr/>
      </w:pPr>
      <w:bookmarkStart w:id="847" w:name="__RefHeading___Toc5146243_73709187"/>
      <w:bookmarkStart w:id="848" w:name="_Toc321"/>
      <w:bookmarkEnd w:id="847"/>
      <w:r>
        <w:rPr>
          <w:rtl w:val="true"/>
        </w:rPr>
        <w:t>الأمر الثانی</w:t>
      </w:r>
      <w:r>
        <w:rPr>
          <w:rtl w:val="true"/>
        </w:rPr>
        <w:t xml:space="preserve">: </w:t>
      </w:r>
      <w:r>
        <w:rPr>
          <w:rtl w:val="true"/>
        </w:rPr>
        <w:t>فی متعلّق الرفع</w:t>
      </w:r>
      <w:bookmarkEnd w:id="848"/>
    </w:p>
    <w:p>
      <w:pPr>
        <w:pStyle w:val="BookText"/>
        <w:rPr/>
      </w:pPr>
      <w:r>
        <w:rPr>
          <w:rFonts w:ascii="IRNazanin" w:hAnsi="IRNazanin" w:eastAsia="IRNazanin"/>
          <w:color w:val="111111"/>
          <w:sz w:val="28"/>
          <w:sz w:val="28"/>
          <w:szCs w:val="28"/>
          <w:rtl w:val="true"/>
          <w:lang w:bidi="fa-IR"/>
        </w:rPr>
        <w:t>قد عرفت أنّ ظاهر الحدیث إنّما هو إسناد الرفع إلی نفس تلک العناوین المذکورة فیه، و من الواضح أنّ ذلک یحتاج إلی تقدیر؛ صوناً لکلام الحکیم من اللغویة؛ إذ لا یمکن الحمل علی ظاهره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وقع البحث فی تعیین ما هو المقدّر،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المؤاخذة،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أظهر الآثار،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جمیع الآثار</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 ذکر المحقّق النائینی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فی التقریرات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حاجة إلی التقدیر أصلاً، فإنّ التقدیر إنّما یحتاج إلیه إذا توقّف تصحیح الکلام علیه، کما إذا کان الکلام إخباراً عن أمر خارجی، أو کان الرفع رفعاً تکوینیاً، و أمّا إذا کان الرفع رفعاً تشریعیاً فالکلام یصحّ بلا تقدیر، فإنّ الرفع التشریعی کالنفی التشریعی لیس إخباراً عن أمر واقع، بل إنشاء الحکم یکون وجوده التشریعی بنفس الرفع</w:t>
      </w:r>
    </w:p>
    <w:p>
      <w:pPr>
        <w:pStyle w:val="BookText"/>
        <w:rPr/>
      </w:pPr>
      <w:r>
        <w:rPr>
          <w:rFonts w:ascii="IRNazanin" w:hAnsi="IRNazanin" w:eastAsia="IRNazanin"/>
          <w:color w:val="111111"/>
          <w:sz w:val="28"/>
          <w:sz w:val="28"/>
          <w:szCs w:val="28"/>
          <w:rtl w:val="true"/>
          <w:lang w:bidi="fa-IR"/>
        </w:rPr>
        <w:t>و النفی</w:t>
      </w:r>
      <w:r>
        <w:rPr>
          <w:rStyle w:val="FootnoteAnchor"/>
          <w:rtl w:val="true"/>
        </w:rPr>
        <w:footnoteReference w:id="404"/>
      </w:r>
      <w:r>
        <w:rPr>
          <w:rFonts w:ascii="Amiri" w:hAnsi="Amiri" w:eastAsia="Amiri" w:cs="Amiri"/>
          <w:color w:val="111111"/>
          <w:sz w:val="28"/>
          <w:sz w:val="28"/>
          <w:szCs w:val="28"/>
          <w:rtl w:val="true"/>
          <w:lang w:bidi="ar-SA"/>
        </w:rPr>
        <w:t>، انتهی ملخّصاً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أنت خبیر بما فیه، 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ما ذکره من أنّ الرفع فی الحدیث إنّما هو رفع تشریعی ممنوع، فإنّ الحدیث یتضمّن إخبار النبیّ صلی الله علیه و آله و سلم عن مرفوعیة تلک الاُمور فی الواقع؛ ضرورة أنّ التشریع لا یکون إلاّ شأناً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النبیّ صلی الله علیه و آله و سلم، و کذا الأئمّة علیهم السلام إنّما یخبرون بالحکم الذی شرع فی الواقع، کالمفتی الذی یفتی بالأحکام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 أنّهم عالمون بالأحکام الواقعیة، بخلاف المفتی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فالحدیث لا یدلّ علی الرفع التشریعی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الفرق بین الرفع التشریعی و غیره؛ من حیث عدم احتیاج الأوّل إلی التقدیر، دون الثانی ممّا لا یصحّ، فإنّ کلیهما یحتاج إلی تصحیح و ادعاء؛ لعدم صحّة إسناده إلی نفس العناوین، لا تشریعاً و لا تکویناً بلا ادعاء،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المصحّح لإسناد الرفع إلی نفس العناوین المذکورة فی الحدیث إنّما هو کونها بلا أثر أصلاً؛ لأنّ تقدیر أظهر الآثار، أو خصوص المؤاخذة یحتاج إلی ادعاءین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ادعاء کون ذلک الأثر بمنزلة جمیع الآثار المترتّبة علی ذلک الشیء، ثانیهما ادعاء کون الشیء الذی لم یکن له أثر أصلاً، فهو معدوم و 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بخلاف کون المراد رفع جمیع الآثار، فإنّه لا یحتاج إلاّ إلی ادعاء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یظهر ترجیحه علی الاحتمالین الأوّلین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یدلّ علی أنّ المراد رفع جمیع الآثار</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روایة صفوان بن یحیی و البزنطی جمیعاً عن أبی الحسن علیه السلام فی الرجل یستحلف علی الیمین، فحلف بالطلاق و العتاق و صدقة ما یملک، أ یلزمه ذلک؟</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عن امّتی ما اکرهوا علیه و ما لا یطیقون و ما أخطئوا</w:t>
      </w:r>
      <w:r>
        <w:rPr>
          <w:rFonts w:eastAsia="IRNazanin" w:cs="IRNazanin"/>
          <w:color w:val="111111"/>
          <w:sz w:val="28"/>
          <w:szCs w:val="28"/>
          <w:rtl w:val="true"/>
          <w:lang w:bidi="fa-IR"/>
        </w:rPr>
        <w:t xml:space="preserve">» </w:t>
      </w:r>
      <w:r>
        <w:rPr>
          <w:rStyle w:val="FootnoteAnchor"/>
          <w:rtl w:val="true"/>
        </w:rPr>
        <w:footnoteReference w:id="40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الحلف بالطلاق و العتاق و الصدقة و إن کان باطلاً عند الإمامیة فی حال الاختیار أیضاً إلاّ أنّ استشهاد الإمام علیه السلام علی عدم لزومها فی صورة الإکراه دلیل علی عدم اختصاص حدیث الرفع برفع خصوص المؤاخذة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یمکن أن یقال بأنّ المقصود من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اکره الرجل علی الحلف بأن یطلّق أو یعتق أو یصدّق فهل یجب علیه العمل علی مقتضی حلفه أم لا؟ و حینئذٍ فلا یکون هذا الحلف باطلاً مع الاختیار، بل یجب علیه مع وجود شرائطه أن یطلّق أو یعتق أو یصدّق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یؤیّد کون المقصود من الروایة هو هذا المعنی التعبیر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لا یناسب کون المراد بالحلف بالطلاق و نظائره هو الحلف بکون امرأته مطلّقة مثلاً،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یذهب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نسبة الرفع إلی الاُمور التسعة المذکورة فی الحدیث لیس علی نسق واحد؛ ضرورة أنّ المراد برفع الخطأ و النسیان لیس هو رفع الآثار المترتّبة علی نفس الخطأ و النسیان؛ لأنّه لا یعقل ذلک، کما صرّح به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w:t>
      </w:r>
      <w:r>
        <w:rPr>
          <w:rFonts w:eastAsia="IRNazanin" w:cs="IRNazanin"/>
          <w:color w:val="111111"/>
          <w:sz w:val="28"/>
          <w:szCs w:val="28"/>
          <w:rtl w:val="true"/>
          <w:lang w:bidi="fa-IR"/>
        </w:rPr>
        <w:t>»</w:t>
      </w:r>
      <w:r>
        <w:rPr>
          <w:rStyle w:val="FootnoteAnchor"/>
          <w:rtl w:val="true"/>
        </w:rPr>
        <w:footnoteReference w:id="406"/>
      </w:r>
      <w:r>
        <w:rPr>
          <w:rFonts w:ascii="IRNazanin" w:hAnsi="IRNazanin" w:eastAsia="IRNazanin"/>
          <w:color w:val="111111"/>
          <w:sz w:val="28"/>
          <w:sz w:val="28"/>
          <w:szCs w:val="28"/>
          <w:rtl w:val="true"/>
          <w:lang w:bidi="fa-IR"/>
        </w:rPr>
        <w:t>، بل المراد بالخطإ و النسیان هو ما أخطأ و ما 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فالآثار المترتّبة علی الفعل لا یترتّب علیه إذا وقع خطأً أو نسیاناً</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السرّ فی التعبیر عنه بذلک إنّما هو وضوح أنّ المتفاهم من هذین العنوانین بحسب نظر العرف لیس نفسهما مستقلاًّ، بل من حیث کونهما طریقاً، و هذا بخلاف</w:t>
      </w:r>
    </w:p>
    <w:p>
      <w:pPr>
        <w:pStyle w:val="BookText"/>
        <w:rPr/>
      </w:pPr>
      <w:r>
        <w:rPr>
          <w:rFonts w:ascii="IRNazanin" w:hAnsi="IRNazanin" w:eastAsia="IRNazanin"/>
          <w:color w:val="111111"/>
          <w:sz w:val="28"/>
          <w:sz w:val="28"/>
          <w:szCs w:val="28"/>
          <w:rtl w:val="true"/>
          <w:lang w:bidi="fa-IR"/>
        </w:rPr>
        <w:t>عنوان الحسد و الطیرة، فإنّه لا یکون طریقاً إلی شیء آخر، بل المتبادر منه إنّما هو نفس عنوانه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التعبیر عن الخطأ فی الروایة المتقدّمة 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أخطئوا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یمکن أن یکون الوجه فی التعبیر بالخطإ و النسیان فی الحدیث هو متابعة الآیة الشریفة؛ من حیث إنّه قد عبّر فیها بالنسیان و الخطأ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ینبغی الإشکال فی أنّ المراد بالخطإ و النسیان فی الحدیث لیس ظاهرهما، بل المراد هو ما أخطئوا و ما نسوا، و حینئذٍ فیصیر مطابقاً لمثل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نظائره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ظاهر الحدیث هو اختصاص رفع هذه الاُمور بهذه الاُمّة، مع أنّ المؤاخذة علی الخطأ و النسیان و ما لا یعلمون و أشباهها مرفوعة عقلاً، و لا اختصاص له بهذه الاُمّة، و لکن هذا الإیراد إنّما یرد بناءً علی أن یکون المرفوع هو المؤاخذة، و قد عرفت أنّ المصحّح لإسناد الرفع إلی الاُمور المذکورة فی الحدیث إنّما هو کونها مرفوعة بجمیع آثارها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تقدیر أن یکون المرفوع هو خصوص المؤاخذة یمکن أن یقال بمنع استقلال العقل بقبح المؤاخذة علی هذه الاُمور بقول مطلق، فإنّه لا یقبح المؤاخذة علی الخطأ و النسیان الصادرین من ترک التحفّظ، کما لا یخفی</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مقتضی کون الحدیث امتناناً علی العباد لیس إلاّ مجرّد رفع الأحکام و الآثار عن تلک الاُمور المذکورة فیما إذا وقعت تلک الاُمور اتفاقاً، فهو بصدد رفع الکلفة و المشقّة علی العباد، و حینئذٍ فلا دلالة له علی رفع الحکم فیما إذ أوقع المکلّف نفسه اختیاراً فی الاضطرار إلی ترک واجب أو فعل محرّم أو شرب دواء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اختیاراً، فذهبت منه القدرة علی فعل المأمور به و أشباه ذلک، کما هو واضح جدّاً</w:t>
      </w:r>
      <w:r>
        <w:rPr>
          <w:rFonts w:eastAsia="IRNazanin" w:cs="IRNazanin"/>
          <w:color w:val="111111"/>
          <w:sz w:val="28"/>
          <w:szCs w:val="28"/>
          <w:rtl w:val="true"/>
          <w:lang w:bidi="fa-IR"/>
        </w:rPr>
        <w:t>.</w:t>
      </w:r>
      <w:bookmarkStart w:id="849" w:name="pg11586_105092"/>
    </w:p>
    <w:p>
      <w:pPr>
        <w:pStyle w:val="BookText"/>
        <w:rPr/>
      </w:pPr>
      <w:bookmarkEnd w:id="849"/>
      <w:r>
        <w:rPr>
          <w:rFonts w:ascii="IRNazanin" w:hAnsi="IRNazanin" w:eastAsia="IRNazanin"/>
          <w:color w:val="111111"/>
          <w:sz w:val="28"/>
          <w:sz w:val="28"/>
          <w:szCs w:val="28"/>
          <w:rtl w:val="true"/>
          <w:lang w:bidi="fa-IR"/>
        </w:rPr>
        <w:t>کما أنّ مقتضی الحدیث رفع الحکم فیما إذا لم یلزم من رفعه ضرر علی شخص آخر؛ لأنّ ذلک ینافی الامتنان علی الاُمّة الظاهر فی الامتنان علی جمیع الاُمّة،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فالاضطرار مثلاً إلی أکل مال الغیر لا یوجب إلاّ سقوط التحریم المتعلّق بإتلاف مال الغیر من دون إذن، لا سقوط الضمان أیضاً، بل یشکل سقوط الحکم التکلیفی أیضاً فی بعض الموارد، کما إذا اضطرّ بالاضطرار العرفی الغیر البالغ حدّ الاضطرار الشرعی إلی أکل عین متعلّقة بالغیر؛ بحیث کانت خصوصیتها أیضاً متعلّقة لغرضه، و لا یرضی بإتلافه مع دفع القیمة أصلاً؛ لکون خصوصیتها مطلوبة له أیضاً، فإنّه یشکل الحکم بجواز الإتلاف بمجرّد عروض اضطرار یمکن له التحمّل عقلاً، و إن لم یکن ممّا یتحمّل عادة، کما لا یخفی</w:t>
      </w:r>
      <w:r>
        <w:rPr>
          <w:rFonts w:eastAsia="IRNazanin" w:cs="IRNazanin"/>
          <w:color w:val="111111"/>
          <w:sz w:val="28"/>
          <w:szCs w:val="28"/>
          <w:rtl w:val="true"/>
          <w:lang w:bidi="fa-IR"/>
        </w:rPr>
        <w:t>.</w:t>
      </w:r>
    </w:p>
    <w:p>
      <w:pPr>
        <w:pStyle w:val="Heading6"/>
        <w:numPr>
          <w:ilvl w:val="5"/>
          <w:numId w:val="1"/>
        </w:numPr>
        <w:rPr/>
      </w:pPr>
      <w:bookmarkStart w:id="850" w:name="__RefHeading___Toc5146245_73709187"/>
      <w:bookmarkStart w:id="851" w:name="_Toc322"/>
      <w:bookmarkEnd w:id="850"/>
      <w:r>
        <w:rPr>
          <w:rtl w:val="true"/>
        </w:rPr>
        <w:t>الأمر الثالث</w:t>
      </w:r>
      <w:r>
        <w:rPr>
          <w:rtl w:val="true"/>
        </w:rPr>
        <w:t xml:space="preserve">: </w:t>
      </w:r>
      <w:r>
        <w:rPr>
          <w:rtl w:val="true"/>
        </w:rPr>
        <w:t>فی شمول الحدیث للاُمور العدمیة</w:t>
      </w:r>
      <w:bookmarkEnd w:id="851"/>
    </w:p>
    <w:p>
      <w:pPr>
        <w:pStyle w:val="BookText"/>
        <w:rPr/>
      </w:pPr>
      <w:r>
        <w:rPr>
          <w:rFonts w:ascii="IRNazanin" w:hAnsi="IRNazanin" w:eastAsia="IRNazanin"/>
          <w:color w:val="111111"/>
          <w:sz w:val="28"/>
          <w:sz w:val="28"/>
          <w:szCs w:val="28"/>
          <w:rtl w:val="true"/>
          <w:lang w:bidi="fa-IR"/>
        </w:rPr>
        <w:t xml:space="preserve">ذکر المحقّق النائینی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فی تقریرات بحثه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حدیث الرفع إنّما یختصّ برفع الاُمور الوجودیة، فلو اکره المکلّف علی الترک أو اضطرّ إلیه أو نسی الفعل ففی شمول الحدیث له إشکال؛ لأنّ شأن الرفع تنزیل الموجود منزلة المعدوم، لا تنزیل المعدوم منزلة الوجود، فإنّ ذلک إنّما یکون وضعاً لا رفعاً، فلو نذر أن یشرب من ماء دجلة، فاُکره علی العدم أو اضطرّ إلیه أو نسی أن یشرب فمقتضی القاعدة وجوب الکفّارة علیه، لو لم تکن أدلّة وجوب الکفّارة مختصّة بصورة التعمّد و مخالفة النذر عن إرادةٍ و التفاتٍ‌</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 أجاب عن ذلک المحقّق العراقی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فی تقریرات بحثه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w:t>
      </w:r>
    </w:p>
    <w:p>
      <w:pPr>
        <w:pStyle w:val="BookText"/>
        <w:rPr/>
      </w:pPr>
      <w:r>
        <w:rPr>
          <w:rFonts w:ascii="IRNazanin" w:hAnsi="IRNazanin" w:eastAsia="IRNazanin"/>
          <w:color w:val="111111"/>
          <w:sz w:val="28"/>
          <w:sz w:val="28"/>
          <w:szCs w:val="28"/>
          <w:rtl w:val="true"/>
          <w:lang w:bidi="fa-IR"/>
        </w:rPr>
        <w:t>الفرق بین رفع الفعل أو الترک؛ إذ کما أنّ معنی رفع الوجود فی عالم التشریع عبارة عن رفع الأثر المترتّب علیه، و خلوّه عن الحکم فی عالم التشریع، کذلک فی رفع العدم، فإنّ مرجع رفعه إلی رفع الأثر المترتّب علی هذا العدم الراجع إلی عدم أخذه موضوعاً للحکم بالفساد، و وجوب الإعادة مثلاً بملاحظة دخل نقیضه، و هو الوجود فی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واضح بین قلب الوجود بعدم ذاته و تنزیله منزلته، و بالعکس، و بین قلب أخذه موضوعاً للحکم بعدم أخذه فی مرحلة تشریع الحکم، و خلوّ خطاباته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الإشکال المزبور إنّما یرد علی الأوّل دون الثانی</w:t>
      </w:r>
      <w:r>
        <w:rPr>
          <w:rStyle w:val="FootnoteAnchor"/>
          <w:rtl w:val="true"/>
        </w:rPr>
        <w:footnoteReference w:id="408"/>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أنت خبیر بعدم تمامیة هذا الجواب؛ إذ لیس معنی رفع هذه الاُمور هو رفعها عن موضوعیة الحکم المترتّب علیها مطلقاً، حتّی فی ناحیة رفع الفعل، فإنّه لو کان معنی رفع ما اضطرّوا إلیه مثلاً هو رفع شرب الخمر الذی حصل الاضطرار إلیه عن موضوعیة الحکم بالحرمة، الظاهر فی حرمته مطلقاً لما کان الکلام محتاجاً إلی ادعاء و مصحّح، کما أتعبوا به أنفسهم؛ إذ الرفع حینئذٍ یصیر رفعاً حقیقیاً، لا ادعائیاً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فالإشکال إنّما هو بناءً علی ظاهر الحدیث من کون المرفوع هی ذوات هذه الأشیاء، و جعلها بمنزلة العدم، و الجواب لا ینطبق علیه، کما هو واضح</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التحقیق فی الجواب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أوّلاً؛ فلأنّ العدم المرفوع فی الحدیث هو العدم المضاف، و هو یمکن اعتباره بنحو ثبت له الثبوت الإضافی،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تعلّق الرفع به یوجب تحقّقاً اعتباریاً له، و بهذا الاعتبار یمکن أن یتعلّق به،</w:t>
      </w:r>
      <w:bookmarkStart w:id="852" w:name="pg11586_105094"/>
    </w:p>
    <w:p>
      <w:pPr>
        <w:pStyle w:val="BookText"/>
        <w:rPr/>
      </w:pPr>
      <w:bookmarkEnd w:id="852"/>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فرض ترتّب حکم علی الترک فی الشریعة فلا بدّ من أن یکون له ثبوت اعتباری فی عالم التشریع، و إلّا فلا یعقل أن یتعلّق به الحکم، و یترتّب علیه الأثر، و حینئذٍ فالحدیث إنّما یرفع هذا الثابت بالثبوت الاعتباری، و المصحّح لإسناد الرفع إلیه هو خلوّه فی عالم التشریع عن الحکم و الأثر رأساً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ینبغی الإشکال فی شمول الحدیث لرفع التروک أیضاً</w:t>
      </w:r>
      <w:r>
        <w:rPr>
          <w:rFonts w:eastAsia="IRNazanin" w:cs="IRNazanin"/>
          <w:color w:val="111111"/>
          <w:sz w:val="28"/>
          <w:szCs w:val="28"/>
          <w:rtl w:val="true"/>
          <w:lang w:bidi="fa-IR"/>
        </w:rPr>
        <w:t>.</w:t>
      </w:r>
    </w:p>
    <w:p>
      <w:pPr>
        <w:pStyle w:val="Heading6"/>
        <w:numPr>
          <w:ilvl w:val="5"/>
          <w:numId w:val="1"/>
        </w:numPr>
        <w:rPr/>
      </w:pPr>
      <w:bookmarkStart w:id="853" w:name="__RefHeading___Toc5146247_73709187"/>
      <w:bookmarkStart w:id="854" w:name="_Toc323"/>
      <w:bookmarkEnd w:id="853"/>
      <w:r>
        <w:rPr>
          <w:rtl w:val="true"/>
        </w:rPr>
        <w:t>الأمر الرابع</w:t>
      </w:r>
      <w:r>
        <w:rPr>
          <w:rtl w:val="true"/>
        </w:rPr>
        <w:t xml:space="preserve">: </w:t>
      </w:r>
      <w:r>
        <w:rPr>
          <w:rtl w:val="true"/>
        </w:rPr>
        <w:t>فی شمول الموصول للشبهات الموضوعیة و الحکمیة</w:t>
      </w:r>
      <w:bookmarkEnd w:id="854"/>
    </w:p>
    <w:p>
      <w:pPr>
        <w:pStyle w:val="BookText"/>
        <w:rPr/>
      </w:pPr>
      <w:r>
        <w:rPr>
          <w:rFonts w:ascii="IRNazanin" w:hAnsi="IRNazanin" w:eastAsia="IRNazanin"/>
          <w:color w:val="111111"/>
          <w:sz w:val="28"/>
          <w:sz w:val="28"/>
          <w:szCs w:val="28"/>
          <w:rtl w:val="true"/>
          <w:lang w:bidi="fa-IR"/>
        </w:rPr>
        <w:t xml:space="preserve">إنّما الکلام فی شمول الموصول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للشبهات الحکمیة و عدمه، فاعلم أنّه 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باختصاصه بالشبهات الموضوعیة</w:t>
      </w:r>
      <w:r>
        <w:rPr>
          <w:rStyle w:val="FootnoteAnchor"/>
          <w:rtl w:val="true"/>
        </w:rPr>
        <w:footnoteReference w:id="4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لأنّ المرفوع فی الحدیث هو خصوص المؤاخذة، و المؤاخذة علی نفس الحکم ممّا لا یعقل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إمّا لأنّ وحدة السیاق تقتضی ذلک؛ لأنّ المراد من الموصول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استکرهوا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أخواته هو الموضوع؛ إذ لا یعقل الاستکراه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مقتضی وحدة السیاق أن یکون المراد بالموصول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هو الموضوع الذی اشتبه عنوانه، فلا یعمّ الشبهات الحکمیة</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إمّا لأنّ إسناد الرفع إلی الحکم إسناد إلی ما هو له، و إسناده إلی الفعل إسناد إلی غیر ما هو له، و لا جامع بینهما حتّی یمکن أن یراد من الموصول، و حینئذٍ فمع قطع النظر عن وحدة السیاق ینبغی تخصیص الحدیث بالشبهات الحکمیة؛ لأنّ إسناد الرفع فیها إسناد حقیقی، إلاّ أنّ وحدة السیاق اقتضت الحمل</w:t>
      </w:r>
    </w:p>
    <w:p>
      <w:pPr>
        <w:pStyle w:val="BookText"/>
        <w:rPr/>
      </w:pPr>
      <w:r>
        <w:rPr>
          <w:rFonts w:ascii="IRNazanin" w:hAnsi="IRNazanin" w:eastAsia="IRNazanin"/>
          <w:color w:val="111111"/>
          <w:sz w:val="28"/>
          <w:sz w:val="28"/>
          <w:szCs w:val="28"/>
          <w:rtl w:val="true"/>
          <w:lang w:bidi="fa-IR"/>
        </w:rPr>
        <w:t>علی خصوص الشبهات الموضوعیة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أنت خبیر بفساد جمیع هذه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الوجه الأوّل فلأنّه مبنی علی أن یکون المرفوع هو خصوص المؤاخذة، و قد عرفت أنّ مقتضی التحقیق هو کون المرفوع هی نفس تلک العناوین ادعاءً، بلحاظ خلوّها عن الحکم رأساً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الوجه الثانی فلمنع اقتضاء وحدة السیاق ذلک، بل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وحدة السیاق تقتضی خلافه، کما أفاده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w:t>
      </w:r>
      <w:r>
        <w:rPr>
          <w:rFonts w:eastAsia="IRNazanin" w:cs="IRNazanin"/>
          <w:color w:val="111111"/>
          <w:sz w:val="28"/>
          <w:szCs w:val="28"/>
          <w:rtl w:val="true"/>
          <w:lang w:bidi="fa-IR"/>
        </w:rPr>
        <w:t>»</w:t>
      </w:r>
      <w:r>
        <w:rPr>
          <w:rStyle w:val="FootnoteAnchor"/>
          <w:rtl w:val="true"/>
        </w:rPr>
        <w:footnoteReference w:id="410"/>
      </w:r>
      <w:r>
        <w:rPr>
          <w:rFonts w:ascii="IRNazanin" w:hAnsi="IRNazanin" w:eastAsia="IRNazanin"/>
          <w:color w:val="111111"/>
          <w:sz w:val="28"/>
          <w:sz w:val="28"/>
          <w:szCs w:val="28"/>
          <w:rtl w:val="true"/>
          <w:lang w:bidi="fa-IR"/>
        </w:rPr>
        <w:t xml:space="preserve">؛ لأنّ عدم تحقّق الاضطرار فی الأحکام، و کذا الإکراه لا یوجب تخصیص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مقتضی السیاق إرادة العموم من هذا الموصول، کإرادته من أخواته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عموم الموصول إنّما یکون بملاحظة سعة متعلّقه و ضیقه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فقوله 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اضطرّ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ارید منه کلّ ما اضطرّ إلیه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یتحقّق الاضطرار بالنسبة إلی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فمقتضی اتحاد السیاق أن یراد من قوله 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کلّ فرد من أفراد هذا 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لا تری أنّه إذا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یؤکل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قضیة واحدة لا یوجب انحصار أفراد الأوّل فی الخارج ببعض الأشیاء تخصیص الثانی أیضاً بذلک البعض، کما هو واضح جدّاً</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 ذکر المحقّق العراقی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فی تقریرات بحثه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منع وحدة السیاق المقتضیة للحمل علی خصوص الشبهات الموضوعیة ما 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الفقرات فی الحدیث الطیرة و الحسد و الوسوسة، و لا یکون المراد منها الفعل، و مع هذا الاختلاف کیف یمکن دعوی ظهور السیاق فی إرادة الموضوع المشتبه، مع أنّ ذلک یقتضی ارتکاب خلاف ظاهر السیاق من جهة</w:t>
      </w:r>
    </w:p>
    <w:p>
      <w:pPr>
        <w:pStyle w:val="BookText"/>
        <w:rPr/>
      </w:pPr>
      <w:r>
        <w:rPr>
          <w:rFonts w:ascii="IRNazanin" w:hAnsi="IRNazanin" w:eastAsia="IRNazanin"/>
          <w:color w:val="111111"/>
          <w:sz w:val="28"/>
          <w:sz w:val="28"/>
          <w:szCs w:val="28"/>
          <w:rtl w:val="true"/>
          <w:lang w:bidi="fa-IR"/>
        </w:rPr>
        <w:t xml:space="preserve">اخری، فإنّ الظاهر من الموصول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کان بنفسه معروض الوصف و عدم العلم، کما فی غیره من العناوین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فتخصیص الموصول بالشبهات الموضوعیة ینافی هذا الظهور؛ إذ لا یکون الفعل فیها بنفسه معروضاً للجهل، و إنّما المعروض له هو عنوانه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حینئذٍ یدور الأمر بین حفظ السیاق من هذه الجهة بحمل الموصول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الحکم المشتبه، و بین حفظه من جهة اخری، بحمله علی إرادة الفعل، و لا ریب أنّ الترجیح مع الأوّل بنظر العرف</w:t>
      </w:r>
      <w:r>
        <w:rPr>
          <w:rStyle w:val="FootnoteAnchor"/>
          <w:rtl w:val="true"/>
        </w:rPr>
        <w:footnoteReference w:id="411"/>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 ذکر الحسد و الطیرة و الوسوسة فی الخلق لا یوجب الاختلاف فی الحدیث بعد کونها أیضاً من الأفعال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من الأفعال القلبیة، کما هو واضح</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أفاده</w:t>
      </w:r>
      <w:r>
        <w:rPr>
          <w:rStyle w:val="FootnoteAnchor"/>
          <w:rtl w:val="true"/>
        </w:rPr>
        <w:footnoteReference w:id="412"/>
      </w:r>
      <w:r>
        <w:rPr>
          <w:rFonts w:ascii="IRNazanin" w:hAnsi="IRNazanin" w:eastAsia="IRNazanin"/>
          <w:color w:val="111111"/>
          <w:sz w:val="28"/>
          <w:sz w:val="28"/>
          <w:szCs w:val="28"/>
          <w:rtl w:val="true"/>
          <w:lang w:bidi="fa-IR"/>
        </w:rPr>
        <w:t>من أنّ الحمل علی الشبهات الموضوعیة یقتضی ارتکاب خلاف الظاهر من جهة اخری ففیه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ذلک؛ فإنّ الخمر إذا کان مجهولاً یکون اتصاف شربه بشرب الخمر مجهولاً حقیقة، و لیس نسبة الجهل إلیه بالعرض و التبع؛ ضرورة أنّه مجهول حقیقة، و إن کان تعلّق الجهل بالخمر صار</w:t>
      </w:r>
    </w:p>
    <w:p>
      <w:pPr>
        <w:pStyle w:val="BookText"/>
        <w:rPr/>
      </w:pPr>
      <w:r>
        <w:rPr>
          <w:rFonts w:ascii="IRNazanin" w:hAnsi="IRNazanin" w:eastAsia="IRNazanin"/>
          <w:color w:val="111111"/>
          <w:sz w:val="28"/>
          <w:sz w:val="28"/>
          <w:szCs w:val="28"/>
          <w:rtl w:val="true"/>
          <w:lang w:bidi="fa-IR"/>
        </w:rPr>
        <w:t>سبباً لمجهولیة شرب الخمر، إلاّ أنّها من قبیل الواسطة فی الثبوت، لا الواسطة فی العروض، و حینئذٍ فیصحّ رفع شرب الخمر لکونه مجهولاً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سلّمنا أنّ المجهول حقیقة هو نفس عنوان الخمریة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لا بأس فی أن یکون الخمر مرفوعاً بعنوانه، و حینئذٍ یترتّب علیه رفع الأحکام الشرعیة المترتّبة علی الأفعال المرتبطة به، کالشرب 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فالتحقیق فی الجواب عن دعوی وحدة السیاق ما ذکرنا، و نزید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الموصول لا یدلّ إلاّ علی معناه الإجمالی الإبهامی، و هو شیء ثبت له الصلة، و لا تعرّض له إلی خصوصیات هذا الشیء، و مقتضی وحدة السیاق هو الحمل الموصول فی جمیع الفقرات المشتملة علیه علی معناه الحقیقی، کما لا یخفی</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فیرد علیه ما حقّقناه فی المجاز من أنّ المجاز لا یکون عبارة عن استعمال اللفظ فی غیر الموضوع له، بل هو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کالحقیقة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استعمال اللفظ فی معناه الموضوع له، غایة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ادعی کون المعنی المجازی من أفراد المعنی الحقیقی، و حینئذٍ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إسناد الرفع إلی الموضوع المجهول لا یکون مجازاً و إسناداً إلی غیر ما هو له، بل إنّما هو إسناد إلی ما هو له، غایة الأمر أنّه قد ادعی کونه صالحاً لتعلّق الرفع به، کما أنّک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نسبة الرفع إلی الأحکام أیضاً لا یکون إلاّ ادعاء؛ لما عرفت من ثبوته بالنسبة إلی الجاهل أیضاً، و لا یستفاد من الحدیث اختصاص الأحکام الواقعیة بالعالم بها</w:t>
      </w:r>
      <w:r>
        <w:rPr>
          <w:rFonts w:eastAsia="IRNazanin" w:cs="IRNazanin"/>
          <w:color w:val="111111"/>
          <w:sz w:val="28"/>
          <w:szCs w:val="28"/>
          <w:rtl w:val="true"/>
          <w:lang w:bidi="fa-IR"/>
        </w:rPr>
        <w:t>.</w:t>
      </w:r>
      <w:bookmarkStart w:id="855" w:name="pg11586_105098"/>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56" w:name="__RefHeading___Toc5146249_73709187"/>
      <w:bookmarkStart w:id="857" w:name="_Toc324"/>
      <w:bookmarkEnd w:id="855"/>
      <w:bookmarkEnd w:id="856"/>
      <w:r>
        <w:rPr>
          <w:rtl w:val="true"/>
        </w:rPr>
        <w:t>فهرس المحتویات</w:t>
      </w:r>
      <w:bookmarkEnd w:id="857"/>
    </w:p>
    <w:p>
      <w:pPr>
        <w:pStyle w:val="BookText"/>
        <w:rPr/>
      </w:pPr>
      <w:r>
        <w:rPr>
          <w:rFonts w:ascii="IRNazanin" w:hAnsi="IRNazanin" w:eastAsia="IRNazanin"/>
          <w:color w:val="111111"/>
          <w:sz w:val="28"/>
          <w:sz w:val="28"/>
          <w:szCs w:val="28"/>
          <w:rtl w:val="true"/>
          <w:lang w:bidi="fa-IR"/>
        </w:rPr>
        <w:t>مقدّمة التحقیق</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المقصد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الأوامر</w:t>
      </w:r>
    </w:p>
    <w:p>
      <w:pPr>
        <w:pStyle w:val="BookText"/>
        <w:rPr/>
      </w:pPr>
      <w:r>
        <w:rPr>
          <w:rFonts w:ascii="IRNazanin" w:hAnsi="IRNazanin" w:eastAsia="IRNazanin"/>
          <w:color w:val="111111"/>
          <w:sz w:val="28"/>
          <w:sz w:val="28"/>
          <w:szCs w:val="28"/>
          <w:rtl w:val="true"/>
          <w:lang w:bidi="fa-IR"/>
        </w:rPr>
        <w:t>و فیه فصول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مقدّمة الواجب</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فیه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تحریر محل النزاع</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مسألة مقدّمة الواجب من المسائل الاُصولیّة؟</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هل المسألة عقلیة أو لفظیة؟</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تقسیمات المقدّمة</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تقسیم المقدّمة إلی الخارجیّة و الداخلیّة</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دفعُ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أنحاء الوحدة الاعتباریّة</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التفصیل بین العلّة التامّة و غیرها</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تقسیم المقدّمة إلی المتقدّمة و المقارنة و المتأخّرة</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ما أفاده المحقّق العراقی قدس سره فی المقام</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کلام المحقّق النائینی قدس سره فی تحریر محلّ النزاع</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الجواب عن مختار المحقّق النائینی قدس سره</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الواجب المطلق و المشروط</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فی مقام الثبوت و تصویر الواجب المشروط</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فی مقام الإثبات و إمکان رجوع القید إلی الهیئة</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نقل و تحصیل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ضابط قیود الهیئة و المادة</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فی توقّف فعلیة الوجوب علی شرطه</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فی إشکالات الواجب المشروط علی مسلک المشهور</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الأمر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الواجب المعلّق و المنجز</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ما أفاده بعض الأعلام فی إنکار الواجب المعلّق</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حول ما تردّد القید بین رجوعه إلی المادّة أو الهیئة</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الأمر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الواجب النفسی و الغیری</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مقتضی الأصل اللفظی فی المقام</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مقتضی الأصل العملی فی المقام</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تنبیهات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کیفیة الثواب و العقاب الاُخروی</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فی استحقاق الثواب علی الواجب الغیری</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التنبیه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الإشکال فی الطهارات الثلاث و دفعه</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التنبیه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منشأ عبادیة الطهارات</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الأمر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الواجب فی باب المقدّمة؟</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حول ما نسب إلی صاحب المعالم</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تحقیق فیما نسب إلی الشیخ الأنصاری قدس سره</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القول فی المقدّمة الموصلة</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حول ما نسب إلی صاحب الفصول</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ما أفاده المحقّق الحائری و العراقی فی المقام</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فی الدلیل العقلی علی المقدّمة الموصلة</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فی ثمرة القول بالمقدّمة الموصلة</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مناقشة الشیخ الأنصاری فی الثمرة</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مناقشة العلمین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الأصفهانی و العراقی</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الأمر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الواجب الأصلی و التبعی</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حول الأصل عند الشکّ فی الأصلیّة و التبعیة</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الأمر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ثمرة مسألة مقدّمة الواجب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الأمر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الأصل عند الشکّ فی الملازمة</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القول فی أدلّة القائلین بالملازمة</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تذنیب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التفصیل بین السبب و الشرط الشرعی و غیرهما</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تتمیم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مقدّمة المستحب و المکروه و الحرام</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اقتضاء الأمر بالشیء للنهی عن ضدّه</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Amiri" w:hAnsi="Amiri" w:eastAsia="Amiri" w:cs="Amiri"/>
          <w:color w:val="111111"/>
          <w:sz w:val="28"/>
          <w:sz w:val="28"/>
          <w:szCs w:val="28"/>
          <w:rtl w:val="true"/>
          <w:lang w:bidi="ar-SA"/>
        </w:rPr>
        <w:t>فیه امورٌ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هذه المسألة اصولیّة أم لا؟</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الاقتضاء فی عنوان المسألة</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المهمّ من الأقوال فی المسألة</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الاستدلال علی الاقتضاء فی الضدّ الخاصّ من طریق المقدّمیة</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إنکار المحقّق الخراسانی المقدّمیة مطلقاً</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ما أفاده المحقّق القوچانی فی المقام</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مقالة المحقّق الأصفهانی فی المقام</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الاستدلال علی الاقتضاء فی الضدّ الخاصّ من طریق التلازم</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ثمرة المسألة</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جواب آخر علی مسلک الترتّب</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تحقیق فی الجواب علی مسلک الخطابات القانونیة</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تحقیق فی الترتّب</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Amiri" w:hAnsi="Amiri" w:eastAsia="Amiri" w:cs="Amiri"/>
          <w:color w:val="111111"/>
          <w:sz w:val="28"/>
          <w:sz w:val="28"/>
          <w:szCs w:val="28"/>
          <w:rtl w:val="true"/>
          <w:lang w:bidi="ar-SA"/>
        </w:rPr>
        <w:t>حول أمثلة الترتّب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جواز الأمر مع العلم بانتفاء شرطه</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الفصل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متعلّق الطلب هل هی الطبیعة أو الأفراد؟</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الفصل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بقاء الجواز بعد نسخ الوجوب</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فیه امور</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إمکان بقاء الجواز</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مقتضی الأدلّة إثباتاً بعد فرض إمکانه</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استصحاب الجواز عند الشکّ فی بقائه</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الفصل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الواجب التعیینی و التخییری</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تذنیب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التخییر بین الأقلّ و الأکثر</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الفصل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الواجب العینی و الکفائی</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أقسام الواجب الکفائی</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المقصد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النواهی</w:t>
      </w:r>
    </w:p>
    <w:p>
      <w:pPr>
        <w:pStyle w:val="BookText"/>
        <w:rPr/>
      </w:pPr>
      <w:r>
        <w:rPr>
          <w:rFonts w:ascii="IRNazanin" w:hAnsi="IRNazanin" w:eastAsia="IRNazanin"/>
          <w:color w:val="111111"/>
          <w:sz w:val="28"/>
          <w:sz w:val="28"/>
          <w:szCs w:val="28"/>
          <w:rtl w:val="true"/>
          <w:lang w:bidi="fa-IR"/>
        </w:rPr>
        <w:t>و فیه فصول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صیغة النهی</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فی منشأ الفرق بین مُرادَی الأمر و النهی</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اجتماع الأمر و النهی</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Amiri" w:hAnsi="Amiri" w:eastAsia="Amiri" w:cs="Amiri"/>
          <w:color w:val="111111"/>
          <w:sz w:val="28"/>
          <w:sz w:val="28"/>
          <w:szCs w:val="28"/>
          <w:rtl w:val="true"/>
          <w:lang w:bidi="ar-SA"/>
        </w:rPr>
        <w:t>فیه امورٌ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عنوان المسألة و تحریر مصبّ النزاع</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الفرق بین هذه المسألة و مسألة النهی عن العبادة</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اعتبار قید المندوحة</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النزاع حتّی مع تعلّق الأوامر و النواهی بالأفراد</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الأمر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اعتبار وجود المناطین فی المجتمع</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ثمرة بحث الاجتماع</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فیه جهات من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ثمرة النزاع علی القول بجواز الاجتماع</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ثمرة النزاع علی القول بالامتناع و تقدیم جانب الأمر</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ثمرة النزاع علی القول بالامتناع و تقدیم جانب النهی</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حکم العبادة مع الجهل عن قصور</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الأمر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شمول النزاع للعنوانین بینهما عموم و خصوص مطلقاً</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التحقیق فی جواز الاجتماع</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حول استدلال القائلین بالامتناع</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Amiri" w:hAnsi="Amiri" w:eastAsia="Amiri" w:cs="Amiri"/>
          <w:color w:val="111111"/>
          <w:sz w:val="28"/>
          <w:sz w:val="28"/>
          <w:szCs w:val="28"/>
          <w:rtl w:val="true"/>
          <w:lang w:bidi="ar-SA"/>
        </w:rPr>
        <w:t>فیه امورٌ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اجتماع الأمر و النهی</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اجتماع الحبّ و البغض و غیرهما</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اجتماع الصلاح و الفساد</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حول التضادّ بین الأحکام الخمسة</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تنبیهات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التنبیه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أدلّة المجوّزین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IRNazanin" w:hAnsi="IRNazanin" w:eastAsia="IRNazanin"/>
          <w:color w:val="111111"/>
          <w:sz w:val="28"/>
          <w:sz w:val="28"/>
          <w:szCs w:val="28"/>
          <w:rtl w:val="true"/>
          <w:lang w:bidi="fa-IR"/>
        </w:rPr>
        <w:t>التنبیه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توسّط الأرض المغصوبة</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عدم انحلال الخطابات الشرعیّة</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التنبیه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الصلاة فی الدار المغصوبة</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اقتضاء النهی عن الشیء فساده و عدمه</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لا بدّ من تقدیم امور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عنوان المسألة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اصولیّة هذه المسألة</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هل المسألة عقلیّة أو لفظیّة؟</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وصفی الصحّة و الفساد</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جعل الصحّة و الفساد</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شمول ملاک البحث للنهی التنزیهی و الغیری و التبعی</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الأمر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تحقیق الأصل فی المسألة</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إذا عرفت هذه الاُمور یقع الکلام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دلالة النهی علی الفساد فی العبادات</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اقتضاء النهی للفساد فی المعاملات و عدمه</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حول الروایات التی استدلّ بها لدلالة النهی علی الفساد</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تذنیب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دعوی دلالة النهی علی الصحة</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استتباع النهی عن الجزء أو الشرط أو الوصف للفساد</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المقصد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المفاهیم</w:t>
      </w:r>
    </w:p>
    <w:p>
      <w:pPr>
        <w:pStyle w:val="BookText"/>
        <w:rPr/>
      </w:pP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تعریف المفهوم</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یقع الکلام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دلالة القضیة الشرطیة علی المفهوم و عدمها</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المنسوب إلی القدماء</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المعروف بین المتأخّرین</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ینبغی التنبیه علی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حقیقة المفهوم</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تعدّد الشرط و اتحاد الجزاء</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تداخل الأسباب و المسبّبات</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حول مقتضی القواعد اللفظیّة</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فیما أفاده الشیخ الأعظم فی هذا المقام</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اعتبار وحدة المنطوق و المفهوم إلاّ فی الحکم</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مفهوم الغایة</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المقصد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العامّ و الخاصّ</w:t>
      </w:r>
    </w:p>
    <w:p>
      <w:pPr>
        <w:pStyle w:val="BookText"/>
        <w:rPr/>
      </w:pPr>
      <w:r>
        <w:rPr>
          <w:rFonts w:ascii="IRNazanin" w:hAnsi="IRNazanin" w:eastAsia="IRNazanin"/>
          <w:color w:val="111111"/>
          <w:sz w:val="28"/>
          <w:sz w:val="28"/>
          <w:szCs w:val="28"/>
          <w:rtl w:val="true"/>
          <w:lang w:bidi="fa-IR"/>
        </w:rPr>
        <w:t>و فیه مقدّمة و فصول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و فیها امورٌ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تحکی عنه أسماء الطبائع</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الفرق بین العامّ و المطلق</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استغناء العامّ عن مقدّمات الحکمة</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أقسام العموم</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الأمر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عدّ من الألفاظ الدالّة علی العموم</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حجّیة العامّ المخصّص فی الباقی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حول مجازیّة العامّ المخصّص و عدمها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تخصیص العامّ بالمجمل</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فی المقام جهتان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المخصّص اللفظی المجمل مفهوماً</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المخصّص اللفظی المجمل مصداقاً</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حول جواز التمسّک بالعامّ فی الشبهة المصداقیة</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وجه آخر لعدم جواز التمسّک بالعامّ فی الشبهة المصداقیة</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تفصیل المحقّق النائینی فی المخصّص اللبّی</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ینبغی التنبیه علی امورٍ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التمسّک بالعامّ مع کون الخاص معلّلاً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العامّین من وجه المتنافیی الحکم</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إحراز المصداق بالأصل فی الشبهة المصداقیة</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تحقیق فی المقام</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Amiri" w:hAnsi="Amiri" w:eastAsia="Amiri" w:cs="Amiri"/>
          <w:color w:val="111111"/>
          <w:sz w:val="28"/>
          <w:sz w:val="28"/>
          <w:szCs w:val="28"/>
          <w:rtl w:val="true"/>
          <w:lang w:bidi="ar-SA"/>
        </w:rPr>
        <w:t>و هو یتوقّف علی مقدّمات</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أقسام القضایا بلحاظ النسبة</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مناط الصدق و الکذب فی القضایا</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القضایا المفتقرة إلی وجود الموضوع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اعتبارات موضوع العامّ المخصّص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التمسّک بالعامّ إذا شکّ فی فرد من غیر جهة التخصیص</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الأمر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التمسّک بالعامّ عند الشکّ بین التخصیص و التخصّص</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وجوب الفحص عن المخصّص</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تقریر محطّ البحث و محلّ النزاع</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الاستدلال علی لزوم الفحص بالعلم الإجمالی</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الإشکال فی الاستدلال بانحلال العلم الإجمالی</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جواب المحقّق النائینی عن انحلال العلم الإجمالی</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جواب آخر عن انحلال العلم الإجمالی</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عموم الخطابات الشفاهیّة لغیر الحاضرین</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تقریر محلّ النزاع</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القضایا الحقیقیة</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کیفیة القوانین الواردة فی الشریعة</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الثمرة بین القولین</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تعقّب العامّ بضمیر یرجع إلی بعض أفراده</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جواز تخصیص العامّ بالمفهوم</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فیه مقامان من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تخصیص العامّ بالمفهوم الموافق</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تخصیص العامّ بالمفهوم المخالف</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الفصل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الکتاب بالخبر الواحد</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الفصل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استثناء المتعقّب لجمل متعدّدة</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فیه مقامان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إمکان الرجوع إلی الجمیع</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مقام الإثبات</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المقصد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المطلق و المقیّد</w:t>
      </w:r>
    </w:p>
    <w:p>
      <w:pPr>
        <w:pStyle w:val="BookText"/>
        <w:rPr/>
      </w:pPr>
      <w:r>
        <w:rPr>
          <w:rFonts w:ascii="IRNazanin" w:hAnsi="IRNazanin" w:eastAsia="IRNazanin"/>
          <w:color w:val="111111"/>
          <w:sz w:val="28"/>
          <w:sz w:val="28"/>
          <w:szCs w:val="28"/>
          <w:rtl w:val="true"/>
          <w:lang w:bidi="fa-IR"/>
        </w:rPr>
        <w:t>و فیه فصول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تعریف المطلق</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الألفاظ التی یطلق علیها المطلق</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الجنس</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أقسام الماهیّة</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الجنس</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المفرد المعرّف باللاّم</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النکرة</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مقدّمات الحکمة</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من کون المتکلّم فی مقام البیان</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تتمّة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عند الشکّ فی مقام البیان</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أقسام المطلق و المقیّد و کیفیّة الجمع بینهما</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فیه مقامان من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ورد مطلق و مقیّد بدون ذکر السبب</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ورد مطلق و مقیّد مع ذکر السبب</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بین الأحکام الوضعیة و التکلیفیة فی حمل المطلق</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المقصد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أحکام القطع</w:t>
      </w:r>
    </w:p>
    <w:p>
      <w:pPr>
        <w:pStyle w:val="BookText"/>
        <w:rPr/>
      </w:pPr>
      <w:r>
        <w:rPr>
          <w:rFonts w:ascii="Amiri" w:hAnsi="Amiri" w:eastAsia="Amiri" w:cs="Amiri"/>
          <w:color w:val="111111"/>
          <w:sz w:val="28"/>
          <w:sz w:val="28"/>
          <w:szCs w:val="28"/>
          <w:rtl w:val="true"/>
          <w:lang w:bidi="ar-SA"/>
        </w:rPr>
        <w:t>مقدّمة و فیها امورٌ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متابعة القطع و حجّیته</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مبحث التجرّی</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هل البحث عن التجرّی من المباحث الاُصولیّة أم لا؟</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هل یمکن عدّ مسألة التجرّی من المسائل الفقهیة؟</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المناط فی استحقاق العقوبة</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نقد کلام صاحب الکفایة</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أقسام القطع و أحکامه</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تقریر إشکال أخذ القطع تمام الموضوع علی وجه الطریقیة</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أخذ القطع بحکمٍ موضوعاً لمثل ذلک الحکم</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أخذ القطع بحکمٍ موضوعاً لنفس ذلک الحکم</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حول قیام الأمارات و الاُصول مقام القطع</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قیام الأمارات و الاُصول مقام القطع ثبوتاً</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قیام الأمارات و الاُصول مقام القطع إثباتاً</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الظنّ فی المقام</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الأمر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الموافقة الالتزامیة</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الأمر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أحکام العلم الإجمالی</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فیه مقامان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تنجّز التکلیف بالعلم الإجمالی</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سقوط التکلیف بالامتثال الإجمالی</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المقصد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أحکام الظنّ</w:t>
      </w:r>
    </w:p>
    <w:p>
      <w:pPr>
        <w:pStyle w:val="BookText"/>
        <w:rPr/>
      </w:pPr>
      <w:r>
        <w:rPr>
          <w:rFonts w:ascii="IRNazanin" w:hAnsi="IRNazanin" w:eastAsia="IRNazanin"/>
          <w:color w:val="111111"/>
          <w:sz w:val="28"/>
          <w:sz w:val="28"/>
          <w:szCs w:val="28"/>
          <w:rtl w:val="true"/>
          <w:lang w:bidi="fa-IR"/>
        </w:rPr>
        <w:t>و الکلام فیه یقع فی ضمن مقامات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إمکان التعبّد بالظنّ</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 xml:space="preserve">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المزبور</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 xml:space="preserve">حول استدلال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عدم إمکان التعبّد</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الجواب عن محذور تفویت المصلحة</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دفع المحذور بناءً علی المصلحة السلوکیّة</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الجواب عن محذور اجتماع المثلین أو الضدّین</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أجوبة الأعلام عن المشکلة و نقدها</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تأسیس الأصل</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المقام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قیل أو یمکن أن یقال بخروجه عن الأصل</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و هو یشتمل علی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ظواهر کلمات الشارع</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اللّغوی</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المنقول</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و لا بدّ قبل الخوض فی المقصود من البحث فی 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تعریف الإجماع</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عدم شمول أدلّة حجّیة الخبر للإجماع</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وجه حجّیة الإجماع</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الشهرة فی الفتوی</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الأمر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الواحد</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أدلة عدم حجّیة خبر الواحد</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p>
    <w:p>
      <w:pPr>
        <w:pStyle w:val="BookText"/>
        <w:rPr/>
      </w:pPr>
      <w:r>
        <w:rPr>
          <w:rFonts w:ascii="Amiri" w:hAnsi="Amiri" w:eastAsia="Amiri" w:cs="Amiri"/>
          <w:color w:val="111111"/>
          <w:sz w:val="28"/>
          <w:sz w:val="28"/>
          <w:szCs w:val="28"/>
          <w:rtl w:val="true"/>
          <w:lang w:bidi="ar-SA"/>
        </w:rPr>
        <w:t>أدلّة حجّیة خبر الواحد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p>
    <w:p>
      <w:pPr>
        <w:pStyle w:val="BookText"/>
        <w:rPr/>
      </w:pPr>
      <w:r>
        <w:rPr>
          <w:rFonts w:ascii="IRNazanin" w:hAnsi="IRNazanin" w:eastAsia="IRNazanin"/>
          <w:color w:val="111111"/>
          <w:sz w:val="28"/>
          <w:sz w:val="28"/>
          <w:szCs w:val="28"/>
          <w:rtl w:val="true"/>
          <w:lang w:bidi="fa-IR"/>
        </w:rPr>
        <w:t>الدلیل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الآیات</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النبأ</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تذییل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اورد علی التمسّک بالآیة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الإشکالات المختصّة بالآیة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الإشکالات العامّة</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النفر</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الدلیل الثالث و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و سیرة العقلاء</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p>
    <w:p>
      <w:pPr>
        <w:pStyle w:val="BookText"/>
        <w:rPr/>
      </w:pPr>
      <w:r>
        <w:rPr>
          <w:rFonts w:ascii="Amiri" w:hAnsi="Amiri" w:eastAsia="Amiri" w:cs="Amiri"/>
          <w:color w:val="111111"/>
          <w:sz w:val="28"/>
          <w:sz w:val="28"/>
          <w:szCs w:val="28"/>
          <w:rtl w:val="true"/>
          <w:lang w:bidi="ar-SA"/>
        </w:rPr>
        <w:t>المقصد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مبحث البراءة</w:t>
      </w:r>
    </w:p>
    <w:p>
      <w:pPr>
        <w:pStyle w:val="BookText"/>
        <w:rPr/>
      </w:pPr>
      <w:r>
        <w:rPr>
          <w:rFonts w:ascii="IRNazanin" w:hAnsi="IRNazanin" w:eastAsia="IRNazanin"/>
          <w:color w:val="111111"/>
          <w:sz w:val="28"/>
          <w:sz w:val="28"/>
          <w:szCs w:val="28"/>
          <w:rtl w:val="true"/>
          <w:lang w:bidi="fa-IR"/>
        </w:rPr>
        <w:t>تمهید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أحوال المکلّف و ذکر مجاری الاُصول</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p>
    <w:p>
      <w:pPr>
        <w:pStyle w:val="BookText"/>
        <w:rPr/>
      </w:pPr>
      <w:r>
        <w:rPr>
          <w:rFonts w:ascii="Amiri" w:hAnsi="Amiri" w:eastAsia="Amiri" w:cs="Amiri"/>
          <w:color w:val="111111"/>
          <w:sz w:val="28"/>
          <w:sz w:val="28"/>
          <w:szCs w:val="28"/>
          <w:rtl w:val="true"/>
          <w:lang w:bidi="ar-SA"/>
        </w:rPr>
        <w:t>أدلّة الاُصولیّین علی البراءة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w:t>
      </w:r>
    </w:p>
    <w:p>
      <w:pPr>
        <w:pStyle w:val="BookText"/>
        <w:rPr/>
      </w:pPr>
      <w:r>
        <w:rPr>
          <w:rFonts w:ascii="IRNazanin" w:hAnsi="IRNazanin" w:eastAsia="IRNazanin"/>
          <w:color w:val="111111"/>
          <w:sz w:val="28"/>
          <w:sz w:val="28"/>
          <w:szCs w:val="28"/>
          <w:rtl w:val="true"/>
          <w:lang w:bidi="fa-IR"/>
        </w:rPr>
        <w:t>الدلیل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الآیات</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الرفع</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p>
    <w:p>
      <w:pPr>
        <w:pStyle w:val="BookText"/>
        <w:rPr/>
      </w:pPr>
      <w:r>
        <w:rPr>
          <w:rFonts w:ascii="Amiri" w:hAnsi="Amiri" w:eastAsia="Amiri" w:cs="Amiri"/>
          <w:color w:val="111111"/>
          <w:sz w:val="28"/>
          <w:sz w:val="28"/>
          <w:szCs w:val="28"/>
          <w:rtl w:val="true"/>
          <w:lang w:bidi="ar-SA"/>
        </w:rPr>
        <w:t>و فیه امورٌ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معنی الرفع</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متعلّق الرفع</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شمول الحدیث للاُمور العدمیة</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شمول الموصول للشبهات الموضوعیة و الحکمیة</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 المحتویات</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2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2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216:1</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259:1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 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الحکمة المتعالیة </w:t>
      </w:r>
      <w:r>
        <w:rPr>
          <w:rFonts w:eastAsia="IRNazanin" w:cs="IRNazanin"/>
          <w:b w:val="false"/>
          <w:bCs w:val="false"/>
          <w:i w:val="false"/>
          <w:iCs w:val="false"/>
          <w:color w:val="333333"/>
          <w:sz w:val="20"/>
          <w:szCs w:val="20"/>
        </w:rPr>
        <w:t>323:6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بدائع الأفکار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تقریرات المحقّق العراقی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Pr>
        <w:t>315:1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بدائع الأفکار، المحقّق الرشتی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بدائع الأفکار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تقریرات المحقّق العراقی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Pr>
        <w:t>320:1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الحکمة المتعالیة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271:1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بدائع الأفکار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تقریرات المحقّق العراقی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Pr>
        <w:t>335:1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بدائع الأفکار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تقریرات المحقّق العراقی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Pr>
        <w:t>338:1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السطر الأخیر</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بدائع الأفکار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تقریرات المحقّق العراقی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Pr>
        <w:t>338:1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بدائع الأفکار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تقریرات المحقّق العراقی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Pr>
        <w:t>339:1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342:1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346:1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بدائع الأفکار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تقریرات المحقّق العراقی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Pr>
        <w:t>346:1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تشریح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المنظومة، قسم 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الحکمة المتعالیة </w:t>
      </w:r>
      <w:r>
        <w:rPr>
          <w:rFonts w:eastAsia="IRNazanin" w:cs="IRNazanin"/>
          <w:b w:val="false"/>
          <w:bCs w:val="false"/>
          <w:i w:val="false"/>
          <w:iCs w:val="false"/>
          <w:color w:val="333333"/>
          <w:sz w:val="20"/>
          <w:szCs w:val="20"/>
        </w:rPr>
        <w:t>323:6</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الحکمة المتعالیة </w:t>
      </w:r>
      <w:r>
        <w:rPr>
          <w:rFonts w:eastAsia="IRNazanin" w:cs="IRNazanin"/>
          <w:b w:val="false"/>
          <w:bCs w:val="false"/>
          <w:i w:val="false"/>
          <w:iCs w:val="false"/>
          <w:color w:val="333333"/>
          <w:sz w:val="20"/>
          <w:szCs w:val="20"/>
        </w:rPr>
        <w:t>436:1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الطلب و الإرادة، الإمام الخمینی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أنوار الهدایة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الحکمة المتعالیة </w:t>
      </w:r>
      <w:r>
        <w:rPr>
          <w:rFonts w:eastAsia="IRNazanin" w:cs="IRNazanin"/>
          <w:b w:val="false"/>
          <w:bCs w:val="false"/>
          <w:i w:val="false"/>
          <w:iCs w:val="false"/>
          <w:color w:val="333333"/>
          <w:sz w:val="20"/>
          <w:szCs w:val="20"/>
        </w:rPr>
        <w:t>423:6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الطلب و الإرادة، الإمام الخمینی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أنوار الهدایة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186:1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313:2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562:1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لاحظ 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156:4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462:2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156:4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مجموعة مصنّفات شیخ الإشراق </w:t>
      </w:r>
      <w:r>
        <w:rPr>
          <w:rFonts w:eastAsia="IRNazanin" w:cs="IRNazanin"/>
          <w:b w:val="false"/>
          <w:bCs w:val="false"/>
          <w:i w:val="false"/>
          <w:iCs w:val="false"/>
          <w:color w:val="333333"/>
          <w:sz w:val="20"/>
          <w:szCs w:val="20"/>
        </w:rPr>
        <w:t>229:2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الحکمة المتعالیة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31/116</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439:14</w:t>
      </w:r>
      <w:r>
        <w:rPr>
          <w:rFonts w:ascii="IRNazanin" w:hAnsi="IRNazanin" w:eastAsia="IRNazanin"/>
          <w:b w:val="false"/>
          <w:b w:val="false"/>
          <w:bCs w:val="false"/>
          <w:i w:val="false"/>
          <w:i w:val="false"/>
          <w:iCs w:val="false"/>
          <w:color w:val="333333"/>
          <w:sz w:val="20"/>
          <w:sz w:val="20"/>
          <w:szCs w:val="20"/>
          <w:rtl w:val="true"/>
        </w:rPr>
        <w:t xml:space="preserve">، کتاب الحج، أبواب المزار و ما یناسبه، الباب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بدائع الأفکار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تقریرات المحقّق العراقی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Pr>
        <w:t>379:1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بدائع الأفکار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تقریرات المحقّق العراقی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Pr>
        <w:t>379:1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 لم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290:1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بدائع الأفکار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تقریرات المحقّق العراقی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Pr>
        <w:t>389:1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150:2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بدائع الأفکار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تقریرات المحقّق العراقی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Pr>
        <w:t>395:1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157:2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الحکمة المتعالیة </w:t>
      </w:r>
      <w:r>
        <w:rPr>
          <w:rFonts w:eastAsia="IRNazanin" w:cs="IRNazanin"/>
          <w:b w:val="false"/>
          <w:bCs w:val="false"/>
          <w:i w:val="false"/>
          <w:iCs w:val="false"/>
          <w:color w:val="333333"/>
          <w:sz w:val="20"/>
          <w:szCs w:val="20"/>
        </w:rPr>
        <w:t>114:4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342:6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158:2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بدائع الأفکار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تقریرات المحقّق العراقی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Pr>
        <w:t>397:1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بدائع الأفکار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تقریرات المحقّق العراقی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Pr>
        <w:t>399:1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راجع مناهج الوصول </w:t>
      </w:r>
      <w:r>
        <w:rPr>
          <w:rFonts w:eastAsia="IRNazanin" w:cs="IRNazanin"/>
          <w:b w:val="false"/>
          <w:bCs w:val="false"/>
          <w:i w:val="false"/>
          <w:iCs w:val="false"/>
          <w:color w:val="333333"/>
          <w:sz w:val="20"/>
          <w:szCs w:val="20"/>
        </w:rPr>
        <w:t>413:1</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بدائع الأفکار، المحقّق الرشتی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شرح العضدی علی مختصر ابن الحاجب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301:1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 بدائع الأفکار، المحقّق الرشتی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حاشیة کفایة الاُصول، القوچانی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180:2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السطر الأخیر</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303:1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زبدة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کشف الغطاء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أنوار الهدایة </w:t>
      </w:r>
      <w:r>
        <w:rPr>
          <w:rFonts w:eastAsia="IRNazanin" w:cs="IRNazanin"/>
          <w:b w:val="false"/>
          <w:bCs w:val="false"/>
          <w:i w:val="false"/>
          <w:iCs w:val="false"/>
          <w:color w:val="333333"/>
          <w:sz w:val="20"/>
          <w:szCs w:val="20"/>
        </w:rPr>
        <w:t>213:2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336:1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761:2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357:1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قوانین الاُصول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384:1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لاحظ نهایة الدرایة </w:t>
      </w:r>
      <w:r>
        <w:rPr>
          <w:rFonts w:eastAsia="IRNazanin" w:cs="IRNazanin"/>
          <w:b w:val="false"/>
          <w:bCs w:val="false"/>
          <w:i w:val="false"/>
          <w:iCs w:val="false"/>
          <w:color w:val="333333"/>
          <w:sz w:val="20"/>
          <w:szCs w:val="20"/>
        </w:rPr>
        <w:t>262:2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389:1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الحکمة المتعالیة </w:t>
      </w:r>
      <w:r>
        <w:rPr>
          <w:rFonts w:eastAsia="IRNazanin" w:cs="IRNazanin"/>
          <w:b w:val="false"/>
          <w:bCs w:val="false"/>
          <w:i w:val="false"/>
          <w:iCs w:val="false"/>
          <w:color w:val="333333"/>
          <w:sz w:val="20"/>
          <w:szCs w:val="20"/>
        </w:rPr>
        <w:t>210:2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395:1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290:2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کفایة الاُصول 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69:10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427:1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431:1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قوانین الاُصول </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410:1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424:1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447:1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3/478:5</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1675/350:3</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114:21</w:t>
      </w:r>
      <w:r>
        <w:rPr>
          <w:rFonts w:ascii="IRNazanin" w:hAnsi="IRNazanin" w:eastAsia="IRNazanin"/>
          <w:b w:val="false"/>
          <w:b w:val="false"/>
          <w:bCs w:val="false"/>
          <w:i w:val="false"/>
          <w:i w:val="false"/>
          <w:iCs w:val="false"/>
          <w:color w:val="333333"/>
          <w:sz w:val="20"/>
          <w:sz w:val="20"/>
          <w:szCs w:val="20"/>
          <w:rtl w:val="true"/>
        </w:rPr>
        <w:t xml:space="preserve">، کتاب النکاح، أبواب نکاح العبید و الإماء، الباب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2/478:5</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115:21</w:t>
      </w:r>
      <w:r>
        <w:rPr>
          <w:rFonts w:ascii="IRNazanin" w:hAnsi="IRNazanin" w:eastAsia="IRNazanin"/>
          <w:b w:val="false"/>
          <w:b w:val="false"/>
          <w:bCs w:val="false"/>
          <w:i w:val="false"/>
          <w:i w:val="false"/>
          <w:iCs w:val="false"/>
          <w:color w:val="333333"/>
          <w:sz w:val="20"/>
          <w:sz w:val="20"/>
          <w:szCs w:val="20"/>
          <w:rtl w:val="true"/>
        </w:rPr>
        <w:t xml:space="preserve">، کتاب النکاح، أبواب نکاح العبید و الإماء، الباب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5/478:5</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113:21</w:t>
      </w:r>
      <w:r>
        <w:rPr>
          <w:rFonts w:ascii="IRNazanin" w:hAnsi="IRNazanin" w:eastAsia="IRNazanin"/>
          <w:b w:val="false"/>
          <w:b w:val="false"/>
          <w:bCs w:val="false"/>
          <w:i w:val="false"/>
          <w:i w:val="false"/>
          <w:iCs w:val="false"/>
          <w:color w:val="333333"/>
          <w:sz w:val="20"/>
          <w:sz w:val="20"/>
          <w:szCs w:val="20"/>
          <w:rtl w:val="true"/>
        </w:rPr>
        <w:t xml:space="preserve">، کتاب النکاح، أبواب نکاح العبید و الإماء، الباب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407:2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الحاشیة علی کفایة الاُصول، البروجردی </w:t>
      </w:r>
      <w:r>
        <w:rPr>
          <w:rFonts w:eastAsia="IRNazanin" w:cs="IRNazanin"/>
          <w:b w:val="false"/>
          <w:bCs w:val="false"/>
          <w:i w:val="false"/>
          <w:iCs w:val="false"/>
          <w:color w:val="333333"/>
          <w:sz w:val="20"/>
          <w:szCs w:val="20"/>
        </w:rPr>
        <w:t>438:1</w:t>
      </w:r>
      <w:r>
        <w:rPr>
          <w:rFonts w:ascii="IRNazanin" w:hAnsi="IRNazanin" w:eastAsia="IRNazanin"/>
          <w:b w:val="false"/>
          <w:b w:val="false"/>
          <w:bCs w:val="false"/>
          <w:i w:val="false"/>
          <w:i w:val="false"/>
          <w:iCs w:val="false"/>
          <w:color w:val="333333"/>
          <w:sz w:val="20"/>
          <w:sz w:val="20"/>
          <w:szCs w:val="20"/>
          <w:rtl w:val="true"/>
        </w:rPr>
        <w:t>، نهایة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476:1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الحاشیة علی کفایة الاُصول، البروجردی </w:t>
      </w:r>
      <w:r>
        <w:rPr>
          <w:rFonts w:eastAsia="IRNazanin" w:cs="IRNazanin"/>
          <w:b w:val="false"/>
          <w:bCs w:val="false"/>
          <w:i w:val="false"/>
          <w:iCs w:val="false"/>
          <w:color w:val="333333"/>
          <w:sz w:val="20"/>
          <w:szCs w:val="20"/>
        </w:rPr>
        <w:t>436:1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مناهج الوصول </w:t>
      </w:r>
      <w:r>
        <w:rPr>
          <w:rFonts w:eastAsia="IRNazanin" w:cs="IRNazanin"/>
          <w:b w:val="false"/>
          <w:bCs w:val="false"/>
          <w:i w:val="false"/>
          <w:iCs w:val="false"/>
          <w:color w:val="333333"/>
          <w:sz w:val="20"/>
          <w:szCs w:val="20"/>
        </w:rPr>
        <w:t>179:2</w:t>
      </w:r>
      <w:r>
        <w:rPr>
          <w:rFonts w:ascii="IRNazanin" w:hAnsi="IRNazanin" w:eastAsia="IRNazanin"/>
          <w:b w:val="false"/>
          <w:b w:val="false"/>
          <w:bCs w:val="false"/>
          <w:i w:val="false"/>
          <w:i w:val="false"/>
          <w:iCs w:val="false"/>
          <w:color w:val="333333"/>
          <w:sz w:val="20"/>
          <w:sz w:val="20"/>
          <w:szCs w:val="20"/>
          <w:rtl w:val="true"/>
        </w:rPr>
        <w:t xml:space="preserve">، الذریعة إلی اصول الشریعة </w:t>
      </w:r>
      <w:r>
        <w:rPr>
          <w:rFonts w:eastAsia="IRNazanin" w:cs="IRNazanin"/>
          <w:b w:val="false"/>
          <w:bCs w:val="false"/>
          <w:i w:val="false"/>
          <w:iCs w:val="false"/>
          <w:color w:val="333333"/>
          <w:sz w:val="20"/>
          <w:szCs w:val="20"/>
        </w:rPr>
        <w:t>406:1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497:1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الحاشیة علی کفایة الاُصول، البروجردی </w:t>
      </w:r>
      <w:r>
        <w:rPr>
          <w:rFonts w:eastAsia="IRNazanin" w:cs="IRNazanin"/>
          <w:b w:val="false"/>
          <w:bCs w:val="false"/>
          <w:i w:val="false"/>
          <w:iCs w:val="false"/>
          <w:color w:val="333333"/>
          <w:sz w:val="20"/>
          <w:szCs w:val="20"/>
        </w:rPr>
        <w:t>449:1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نهایة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423:2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نهایة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الفقیه، الطهارة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493:1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159:1</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الماء المطلق،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مقالات الاُصول </w:t>
      </w:r>
      <w:r>
        <w:rPr>
          <w:rFonts w:eastAsia="IRNazanin" w:cs="IRNazanin"/>
          <w:b w:val="false"/>
          <w:bCs w:val="false"/>
          <w:i w:val="false"/>
          <w:iCs w:val="false"/>
          <w:color w:val="333333"/>
          <w:sz w:val="20"/>
          <w:szCs w:val="20"/>
        </w:rPr>
        <w:t>430:1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517:1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518:1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450:2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مقالات الاُصول </w:t>
      </w:r>
      <w:r>
        <w:rPr>
          <w:rFonts w:eastAsia="IRNazanin" w:cs="IRNazanin"/>
          <w:b w:val="false"/>
          <w:bCs w:val="false"/>
          <w:i w:val="false"/>
          <w:iCs w:val="false"/>
          <w:color w:val="333333"/>
          <w:sz w:val="20"/>
          <w:szCs w:val="20"/>
        </w:rPr>
        <w:t>437:1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525:1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مقالات الاُصول </w:t>
      </w:r>
      <w:r>
        <w:rPr>
          <w:rFonts w:eastAsia="IRNazanin" w:cs="IRNazanin"/>
          <w:b w:val="false"/>
          <w:bCs w:val="false"/>
          <w:i w:val="false"/>
          <w:iCs w:val="false"/>
          <w:color w:val="333333"/>
          <w:sz w:val="20"/>
          <w:szCs w:val="20"/>
        </w:rPr>
        <w:t>443:1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10/67:1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136:27</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536:1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مقالات الاُصول </w:t>
      </w:r>
      <w:r>
        <w:rPr>
          <w:rFonts w:eastAsia="IRNazanin" w:cs="IRNazanin"/>
          <w:b w:val="false"/>
          <w:bCs w:val="false"/>
          <w:i w:val="false"/>
          <w:iCs w:val="false"/>
          <w:color w:val="333333"/>
          <w:sz w:val="20"/>
          <w:szCs w:val="20"/>
        </w:rPr>
        <w:t>444:1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 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مقالات الاُصول </w:t>
      </w:r>
      <w:r>
        <w:rPr>
          <w:rFonts w:eastAsia="IRNazanin" w:cs="IRNazanin"/>
          <w:b w:val="false"/>
          <w:bCs w:val="false"/>
          <w:i w:val="false"/>
          <w:iCs w:val="false"/>
          <w:color w:val="333333"/>
          <w:sz w:val="20"/>
          <w:szCs w:val="20"/>
        </w:rPr>
        <w:t>450:1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543:1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543:1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مقالات الاُصول </w:t>
      </w:r>
      <w:r>
        <w:rPr>
          <w:rFonts w:eastAsia="IRNazanin" w:cs="IRNazanin"/>
          <w:b w:val="false"/>
          <w:bCs w:val="false"/>
          <w:i w:val="false"/>
          <w:iCs w:val="false"/>
          <w:color w:val="333333"/>
          <w:sz w:val="20"/>
          <w:szCs w:val="20"/>
        </w:rPr>
        <w:t>455:1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أنّ المراد من هذه العبارة هو عدم اختصاص تلک الخطابات و الأحکام بالموجودین حال التخاطب، لا شمولها للمعدومین فی حال العدم أیضاً، کما أنّ جعل النزاع فی هذا المعنی إنّما هو بملاحظة أنّ ما یمکن أن یکون نزاعاً معقولاً فی هذا المقام و ینبغی البحث فیه هو ما ذکرنا و إلّا فظاهر بعض الاستدلالات هو کون النزاع فی صحة تکلیف المعدوم و مخاطبته فی حال العدم، کما حکاه فی الفصول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بعض الحنابلة من القول بذلک، استدلالاً بقوله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أَمْرُهُ إِذا أَرادَ شَیْئاً أَنْ یَقُولَ لَهُ کُنْ فَیَکُونُ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ظاهره الخطاب إلی المعدوم، و أمره بالکون، فیستفاد منه الجواز مطلقاً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550:1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 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قوانین الاُصول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549:1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قوانین الاُصول </w:t>
      </w:r>
      <w:r>
        <w:rPr>
          <w:rFonts w:eastAsia="IRNazanin" w:cs="IRNazanin"/>
          <w:b w:val="false"/>
          <w:bCs w:val="false"/>
          <w:i w:val="false"/>
          <w:iCs w:val="false"/>
          <w:color w:val="333333"/>
          <w:sz w:val="20"/>
          <w:szCs w:val="20"/>
        </w:rPr>
        <w:t>304:1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556:1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الماء المطلق،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107/39:1</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158:1</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الماء المطلق،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106:27</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3/69:1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106:27</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المصدر،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لاحظ معا لم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مقالات الاُصول </w:t>
      </w:r>
      <w:r>
        <w:rPr>
          <w:rFonts w:eastAsia="IRNazanin" w:cs="IRNazanin"/>
          <w:b w:val="false"/>
          <w:bCs w:val="false"/>
          <w:i w:val="false"/>
          <w:iCs w:val="false"/>
          <w:color w:val="333333"/>
          <w:sz w:val="20"/>
          <w:szCs w:val="20"/>
        </w:rPr>
        <w:t>475:1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496:1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497:1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مقالات الاُصول </w:t>
      </w:r>
      <w:r>
        <w:rPr>
          <w:rFonts w:eastAsia="IRNazanin" w:cs="IRNazanin"/>
          <w:b w:val="false"/>
          <w:bCs w:val="false"/>
          <w:i w:val="false"/>
          <w:iCs w:val="false"/>
          <w:color w:val="333333"/>
          <w:sz w:val="20"/>
          <w:szCs w:val="20"/>
        </w:rPr>
        <w:t>475:1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قوانین الاُصول </w:t>
      </w:r>
      <w:r>
        <w:rPr>
          <w:rFonts w:eastAsia="IRNazanin" w:cs="IRNazanin"/>
          <w:b w:val="false"/>
          <w:bCs w:val="false"/>
          <w:i w:val="false"/>
          <w:iCs w:val="false"/>
          <w:color w:val="333333"/>
          <w:sz w:val="20"/>
          <w:szCs w:val="20"/>
        </w:rPr>
        <w:t>321:1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493:2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الحکمة المتعالیة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شرح المنظومة، قسم 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الحکمة المتعالیة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490:2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569:1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قوانین الاُصول </w:t>
      </w:r>
      <w:r>
        <w:rPr>
          <w:rFonts w:eastAsia="IRNazanin" w:cs="IRNazanin"/>
          <w:b w:val="false"/>
          <w:bCs w:val="false"/>
          <w:i w:val="false"/>
          <w:iCs w:val="false"/>
          <w:color w:val="333333"/>
          <w:sz w:val="20"/>
          <w:szCs w:val="20"/>
        </w:rPr>
        <w:t>325:1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579:1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581:1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580:1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11/8:1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245:1</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نواقض الوضوء،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درر الفوائد، المحقّق الخراسانی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832/284:1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467:3</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النجاسات، الباب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الزلزال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الحکمة المتعالیة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شرح المنظومة، قسم 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الحکمة المتعالیة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شرح المنظومة، قسم 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الحکمة المتعالیة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شرح المنظومة، قسم 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6/299:7</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352:29</w:t>
      </w:r>
      <w:r>
        <w:rPr>
          <w:rFonts w:ascii="IRNazanin" w:hAnsi="IRNazanin" w:eastAsia="IRNazanin"/>
          <w:b w:val="false"/>
          <w:b w:val="false"/>
          <w:bCs w:val="false"/>
          <w:i w:val="false"/>
          <w:i w:val="false"/>
          <w:iCs w:val="false"/>
          <w:color w:val="333333"/>
          <w:sz w:val="20"/>
          <w:sz w:val="20"/>
          <w:szCs w:val="20"/>
          <w:rtl w:val="true"/>
        </w:rPr>
        <w:t xml:space="preserve">، کتاب الدیات، أبواب دیات الأعضاء، الباب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الفوائد المدنیّة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991/225:1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91:6</w:t>
      </w:r>
      <w:r>
        <w:rPr>
          <w:rFonts w:ascii="IRNazanin" w:hAnsi="IRNazanin" w:eastAsia="IRNazanin"/>
          <w:b w:val="false"/>
          <w:b w:val="false"/>
          <w:bCs w:val="false"/>
          <w:i w:val="false"/>
          <w:i w:val="false"/>
          <w:iCs w:val="false"/>
          <w:color w:val="333333"/>
          <w:sz w:val="20"/>
          <w:sz w:val="20"/>
          <w:szCs w:val="20"/>
          <w:rtl w:val="true"/>
        </w:rPr>
        <w:t xml:space="preserve">، کتاب الصلاة، أبواب قراءة القرآن، الباب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315:2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35:27</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یؤیّده، بل یدلّ علیه حکم العقل بحجّیة القطع الطریقی، فإنّ القطع المأخوذ موضوعاً للحکم بالحجّیة و إن کان هو القطع الطریقی بنحو یکون تمام الموضوع لهذا الحکم؛ ضرورة أنّه لا فرق فی الحجّیة بین ما إذا أصاب القطع أو أخطأ، إلاّ أنّه لا ینافی ذلک مع کون المراد هو القطع الطریقی الذی لا یکون ملحوظاً عند القاطع إلاّ بنحو الآلیة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ففی هذا الحکم اجتمع بین کونه تمام الموضوع، و کونه هو القطع الطریقی، و من المعلوم أنّه لا فرق بین هذا الحکم الذی یکون الحاکم به العقل و بین سائر الأحکام التی یکون الحاکم بها الشرع من هذه الحیثیة أصلاً، کما لا یخفی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المقرّر حفظه اللّه</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درر الفوائد، المحقّق الخراسانی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أصالة البراءة الشرعیة التی هی مقتضی مثل حدیث الرفع، و من الواضح أنّ مفادها رفع التکلیف من جهة عدم تعلّق العلم به، و کونه مجهولاً، و لا دلالة لها علی التنزیل منزلة الیقین بوجه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العملیة العقلیة، کأصالة البراءة، و أصالة التخییر، و من المعلوم أنّ مقتضاها مجرّد الحکم بقبح العقاب مع فرض الجهل بالحکم، و عدم ثبوت البیان بالإضافة إلیه، و لا معنی لاقتضائها التنزیل، کما إنّ مقتضی أصالة التخییر ثبوته لأجل الجهل، و عدم ثبوت الترجیح بوجه، و هو لا یرتبط بالتنزیل أصلاً، کما لا یخفی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المقرّر حفظه اللّه</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594/151:2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317:6</w:t>
      </w:r>
      <w:r>
        <w:rPr>
          <w:rFonts w:ascii="IRNazanin" w:hAnsi="IRNazanin" w:eastAsia="IRNazanin"/>
          <w:b w:val="false"/>
          <w:b w:val="false"/>
          <w:bCs w:val="false"/>
          <w:i w:val="false"/>
          <w:i w:val="false"/>
          <w:iCs w:val="false"/>
          <w:color w:val="333333"/>
          <w:sz w:val="20"/>
          <w:sz w:val="20"/>
          <w:szCs w:val="20"/>
          <w:rtl w:val="true"/>
        </w:rPr>
        <w:t xml:space="preserve">، کتاب الصلاة، أبواب الرکوع، الباب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 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508:2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فرائد الاُصول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الإشارات و التنبیهات </w:t>
      </w:r>
      <w:r>
        <w:rPr>
          <w:rFonts w:eastAsia="IRNazanin" w:cs="IRNazanin"/>
          <w:b w:val="false"/>
          <w:bCs w:val="false"/>
          <w:i w:val="false"/>
          <w:iCs w:val="false"/>
          <w:color w:val="333333"/>
          <w:sz w:val="20"/>
          <w:szCs w:val="20"/>
        </w:rPr>
        <w:t>418:3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فرائد الاُصول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Pr>
        <w:t>216/347:1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143:27</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4/484</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140:27</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Pr>
        <w:t>291/400:1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142:27</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592/151:2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317:6</w:t>
      </w:r>
      <w:r>
        <w:rPr>
          <w:rFonts w:ascii="IRNazanin" w:hAnsi="IRNazanin" w:eastAsia="IRNazanin"/>
          <w:b w:val="false"/>
          <w:b w:val="false"/>
          <w:bCs w:val="false"/>
          <w:i w:val="false"/>
          <w:i w:val="false"/>
          <w:iCs w:val="false"/>
          <w:color w:val="333333"/>
          <w:sz w:val="20"/>
          <w:sz w:val="20"/>
          <w:szCs w:val="20"/>
          <w:rtl w:val="true"/>
        </w:rPr>
        <w:t xml:space="preserve">، کتاب الصلاة، أبواب الرکوع، الباب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24/353</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369:15</w:t>
      </w:r>
      <w:r>
        <w:rPr>
          <w:rFonts w:ascii="IRNazanin" w:hAnsi="IRNazanin" w:eastAsia="IRNazanin"/>
          <w:b w:val="false"/>
          <w:b w:val="false"/>
          <w:bCs w:val="false"/>
          <w:i w:val="false"/>
          <w:i w:val="false"/>
          <w:iCs w:val="false"/>
          <w:color w:val="333333"/>
          <w:sz w:val="20"/>
          <w:sz w:val="20"/>
          <w:szCs w:val="20"/>
          <w:rtl w:val="true"/>
        </w:rPr>
        <w:t xml:space="preserve">، کتاب الجهاد، أبواب جهاد النفس، الباب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2/339:6</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118:25</w:t>
      </w:r>
      <w:r>
        <w:rPr>
          <w:rFonts w:ascii="IRNazanin" w:hAnsi="IRNazanin" w:eastAsia="IRNazanin"/>
          <w:b w:val="false"/>
          <w:b w:val="false"/>
          <w:bCs w:val="false"/>
          <w:i w:val="false"/>
          <w:i w:val="false"/>
          <w:iCs w:val="false"/>
          <w:color w:val="333333"/>
          <w:sz w:val="20"/>
          <w:sz w:val="20"/>
          <w:szCs w:val="20"/>
          <w:rtl w:val="true"/>
        </w:rPr>
        <w:t xml:space="preserve">، کتاب الأطعمة و الأشربة، أبواب الأطعمة المباحة، الباب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 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1/407:7</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22:27</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درر الفوائد، المحقّق الخراسانی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مفتاح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512:2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قوانین الاُصول </w:t>
      </w:r>
      <w:r>
        <w:rPr>
          <w:rFonts w:eastAsia="IRNazanin" w:cs="IRNazanin"/>
          <w:b w:val="false"/>
          <w:bCs w:val="false"/>
          <w:i w:val="false"/>
          <w:iCs w:val="false"/>
          <w:color w:val="333333"/>
          <w:sz w:val="20"/>
          <w:szCs w:val="20"/>
        </w:rPr>
        <w:t>398:1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المستصفی </w:t>
      </w:r>
      <w:r>
        <w:rPr>
          <w:rFonts w:eastAsia="IRNazanin" w:cs="IRNazanin"/>
          <w:b w:val="false"/>
          <w:bCs w:val="false"/>
          <w:i w:val="false"/>
          <w:iCs w:val="false"/>
          <w:color w:val="333333"/>
          <w:sz w:val="20"/>
          <w:szCs w:val="20"/>
        </w:rPr>
        <w:t>173:1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المحصول فی علم الاُصول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العضدی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3/225:2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3/104:28</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10/67:1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106:27</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154:3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الذریعة إلی اصول الشریعة </w:t>
      </w:r>
      <w:r>
        <w:rPr>
          <w:rFonts w:eastAsia="IRNazanin" w:cs="IRNazanin"/>
          <w:b w:val="false"/>
          <w:bCs w:val="false"/>
          <w:i w:val="false"/>
          <w:iCs w:val="false"/>
          <w:color w:val="333333"/>
          <w:sz w:val="20"/>
          <w:szCs w:val="20"/>
        </w:rPr>
        <w:t>528:2</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598:2</w:t>
      </w:r>
      <w:r>
        <w:rPr>
          <w:rFonts w:ascii="IRNazanin" w:hAnsi="IRNazanin" w:eastAsia="IRNazanin"/>
          <w:b w:val="false"/>
          <w:b w:val="false"/>
          <w:bCs w:val="false"/>
          <w:i w:val="false"/>
          <w:i w:val="false"/>
          <w:iCs w:val="false"/>
          <w:color w:val="333333"/>
          <w:sz w:val="20"/>
          <w:sz w:val="20"/>
          <w:szCs w:val="20"/>
          <w:rtl w:val="true"/>
        </w:rPr>
        <w:t xml:space="preserve">، غنیة النزوع </w:t>
      </w:r>
      <w:r>
        <w:rPr>
          <w:rFonts w:eastAsia="IRNazanin" w:cs="IRNazanin"/>
          <w:b w:val="false"/>
          <w:bCs w:val="false"/>
          <w:i w:val="false"/>
          <w:iCs w:val="false"/>
          <w:color w:val="333333"/>
          <w:sz w:val="20"/>
          <w:szCs w:val="20"/>
        </w:rPr>
        <w:t>356:2</w:t>
      </w:r>
      <w:r>
        <w:rPr>
          <w:rFonts w:ascii="IRNazanin" w:hAnsi="IRNazanin" w:eastAsia="IRNazanin"/>
          <w:b w:val="false"/>
          <w:b w:val="false"/>
          <w:bCs w:val="false"/>
          <w:i w:val="false"/>
          <w:i w:val="false"/>
          <w:iCs w:val="false"/>
          <w:color w:val="333333"/>
          <w:sz w:val="20"/>
          <w:sz w:val="20"/>
          <w:szCs w:val="20"/>
          <w:rtl w:val="true"/>
        </w:rPr>
        <w:t xml:space="preserve">، مجمع البیان </w:t>
      </w:r>
      <w:r>
        <w:rPr>
          <w:rFonts w:eastAsia="IRNazanin" w:cs="IRNazanin"/>
          <w:b w:val="false"/>
          <w:bCs w:val="false"/>
          <w:i w:val="false"/>
          <w:iCs w:val="false"/>
          <w:color w:val="333333"/>
          <w:sz w:val="20"/>
          <w:szCs w:val="20"/>
        </w:rPr>
        <w:t>199:9</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161:3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1/329:1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138:27</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4/222:2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112:27</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119:27</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129/221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110:27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Pr>
        <w:t>360:4</w:t>
      </w:r>
      <w:r>
        <w:rPr>
          <w:rFonts w:ascii="IRNazanin" w:hAnsi="IRNazanin" w:eastAsia="IRNazanin"/>
          <w:b w:val="false"/>
          <w:b w:val="false"/>
          <w:bCs w:val="false"/>
          <w:i w:val="false"/>
          <w:i w:val="false"/>
          <w:iCs w:val="false"/>
          <w:color w:val="333333"/>
          <w:sz w:val="20"/>
          <w:sz w:val="20"/>
          <w:szCs w:val="20"/>
          <w:rtl w:val="true"/>
        </w:rPr>
        <w:t xml:space="preserve">، مجمع البیان </w:t>
      </w:r>
      <w:r>
        <w:rPr>
          <w:rFonts w:eastAsia="IRNazanin" w:cs="IRNazanin"/>
          <w:b w:val="false"/>
          <w:bCs w:val="false"/>
          <w:i w:val="false"/>
          <w:iCs w:val="false"/>
          <w:color w:val="333333"/>
          <w:sz w:val="20"/>
          <w:szCs w:val="20"/>
        </w:rPr>
        <w:t>198:9</w:t>
      </w:r>
      <w:r>
        <w:rPr>
          <w:rFonts w:ascii="IRNazanin" w:hAnsi="IRNazanin" w:eastAsia="IRNazanin"/>
          <w:b w:val="false"/>
          <w:b w:val="false"/>
          <w:bCs w:val="false"/>
          <w:i w:val="false"/>
          <w:i w:val="false"/>
          <w:iCs w:val="false"/>
          <w:color w:val="333333"/>
          <w:sz w:val="20"/>
          <w:sz w:val="20"/>
          <w:szCs w:val="20"/>
          <w:rtl w:val="true"/>
        </w:rPr>
        <w:t xml:space="preserve">، کنز الدقائق </w:t>
      </w:r>
      <w:r>
        <w:rPr>
          <w:rFonts w:eastAsia="IRNazanin" w:cs="IRNazanin"/>
          <w:b w:val="false"/>
          <w:bCs w:val="false"/>
          <w:i w:val="false"/>
          <w:iCs w:val="false"/>
          <w:color w:val="333333"/>
          <w:sz w:val="20"/>
          <w:szCs w:val="20"/>
        </w:rPr>
        <w:t>589:9</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أسباب النزول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التبیان </w:t>
      </w:r>
      <w:r>
        <w:rPr>
          <w:rFonts w:eastAsia="IRNazanin" w:cs="IRNazanin"/>
          <w:b w:val="false"/>
          <w:bCs w:val="false"/>
          <w:i w:val="false"/>
          <w:iCs w:val="false"/>
          <w:color w:val="333333"/>
          <w:sz w:val="20"/>
          <w:szCs w:val="20"/>
        </w:rPr>
        <w:t>343:9</w:t>
      </w:r>
      <w:r>
        <w:rPr>
          <w:rFonts w:ascii="IRNazanin" w:hAnsi="IRNazanin" w:eastAsia="IRNazanin"/>
          <w:b w:val="false"/>
          <w:b w:val="false"/>
          <w:bCs w:val="false"/>
          <w:i w:val="false"/>
          <w:i w:val="false"/>
          <w:iCs w:val="false"/>
          <w:color w:val="333333"/>
          <w:sz w:val="20"/>
          <w:sz w:val="20"/>
          <w:szCs w:val="20"/>
          <w:rtl w:val="true"/>
        </w:rPr>
        <w:t xml:space="preserve">، مجمع البیان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169:3</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أنوار الهدایة </w:t>
      </w:r>
      <w:r>
        <w:rPr>
          <w:rFonts w:eastAsia="IRNazanin" w:cs="IRNazanin"/>
          <w:b w:val="false"/>
          <w:bCs w:val="false"/>
          <w:i w:val="false"/>
          <w:iCs w:val="false"/>
          <w:color w:val="333333"/>
          <w:sz w:val="20"/>
          <w:szCs w:val="20"/>
        </w:rPr>
        <w:t>283:1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171:3</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345:5</w:t>
      </w:r>
      <w:r>
        <w:rPr>
          <w:rFonts w:ascii="IRNazanin" w:hAnsi="IRNazanin" w:eastAsia="IRNazanin"/>
          <w:b w:val="false"/>
          <w:b w:val="false"/>
          <w:bCs w:val="false"/>
          <w:i w:val="false"/>
          <w:i w:val="false"/>
          <w:iCs w:val="false"/>
          <w:color w:val="333333"/>
          <w:sz w:val="20"/>
          <w:sz w:val="20"/>
          <w:szCs w:val="20"/>
          <w:rtl w:val="true"/>
        </w:rPr>
        <w:t xml:space="preserve">، القاموس المحیط </w:t>
      </w:r>
      <w:r>
        <w:rPr>
          <w:rFonts w:eastAsia="IRNazanin" w:cs="IRNazanin"/>
          <w:b w:val="false"/>
          <w:bCs w:val="false"/>
          <w:i w:val="false"/>
          <w:iCs w:val="false"/>
          <w:color w:val="333333"/>
          <w:sz w:val="20"/>
          <w:szCs w:val="20"/>
        </w:rPr>
        <w:t>363:3</w:t>
      </w:r>
      <w:r>
        <w:rPr>
          <w:rFonts w:ascii="IRNazanin" w:hAnsi="IRNazanin" w:eastAsia="IRNazanin"/>
          <w:b w:val="false"/>
          <w:b w:val="false"/>
          <w:bCs w:val="false"/>
          <w:i w:val="false"/>
          <w:i w:val="false"/>
          <w:iCs w:val="false"/>
          <w:color w:val="333333"/>
          <w:sz w:val="20"/>
          <w:sz w:val="20"/>
          <w:szCs w:val="20"/>
          <w:rtl w:val="true"/>
        </w:rPr>
        <w:t xml:space="preserve">، الصحاح </w:t>
      </w:r>
      <w:r>
        <w:rPr>
          <w:rFonts w:eastAsia="IRNazanin" w:cs="IRNazanin"/>
          <w:b w:val="false"/>
          <w:bCs w:val="false"/>
          <w:i w:val="false"/>
          <w:iCs w:val="false"/>
          <w:color w:val="333333"/>
          <w:sz w:val="20"/>
          <w:szCs w:val="20"/>
        </w:rPr>
        <w:t>1663:4</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فرائد الاُصول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174:3</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فرائد الاُصول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درر الفوائد، المحقّق الخراسانی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122:1</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177:3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179:3</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180:3</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378:1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185:3</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1/329:1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138:27</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11/8:1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245:1</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نواقض الوضوء،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1335/421:1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477:3</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النجاسات، الباب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3/351:3</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220:8</w:t>
      </w:r>
      <w:r>
        <w:rPr>
          <w:rFonts w:ascii="IRNazanin" w:hAnsi="IRNazanin" w:eastAsia="IRNazanin"/>
          <w:b w:val="false"/>
          <w:b w:val="false"/>
          <w:bCs w:val="false"/>
          <w:i w:val="false"/>
          <w:i w:val="false"/>
          <w:iCs w:val="false"/>
          <w:color w:val="333333"/>
          <w:sz w:val="20"/>
          <w:sz w:val="20"/>
          <w:szCs w:val="20"/>
          <w:rtl w:val="true"/>
        </w:rPr>
        <w:t xml:space="preserve">، کتاب الصلاة، أبواب الخلل فی الصلاة،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24/353</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369:15</w:t>
      </w:r>
      <w:r>
        <w:rPr>
          <w:rFonts w:ascii="IRNazanin" w:hAnsi="IRNazanin" w:eastAsia="IRNazanin"/>
          <w:b w:val="false"/>
          <w:b w:val="false"/>
          <w:bCs w:val="false"/>
          <w:i w:val="false"/>
          <w:i w:val="false"/>
          <w:iCs w:val="false"/>
          <w:color w:val="333333"/>
          <w:sz w:val="20"/>
          <w:sz w:val="20"/>
          <w:szCs w:val="20"/>
          <w:rtl w:val="true"/>
        </w:rPr>
        <w:t xml:space="preserve">، کتاب الجهاد، أبواب جهاد النفس، الباب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317:1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333:3</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331:3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202:3</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24/353</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369:15</w:t>
      </w:r>
      <w:r>
        <w:rPr>
          <w:rFonts w:ascii="IRNazanin" w:hAnsi="IRNazanin" w:eastAsia="IRNazanin"/>
          <w:b w:val="false"/>
          <w:b w:val="false"/>
          <w:bCs w:val="false"/>
          <w:i w:val="false"/>
          <w:i w:val="false"/>
          <w:iCs w:val="false"/>
          <w:color w:val="333333"/>
          <w:sz w:val="20"/>
          <w:sz w:val="20"/>
          <w:szCs w:val="20"/>
          <w:rtl w:val="true"/>
        </w:rPr>
        <w:t xml:space="preserve">، کتاب الجهاد، أبواب جهاد النفس، الباب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336:3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222:4</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342:3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124/339</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226:23</w:t>
      </w:r>
      <w:r>
        <w:rPr>
          <w:rFonts w:ascii="IRNazanin" w:hAnsi="IRNazanin" w:eastAsia="IRNazanin"/>
          <w:b w:val="false"/>
          <w:b w:val="false"/>
          <w:bCs w:val="false"/>
          <w:i w:val="false"/>
          <w:i w:val="false"/>
          <w:iCs w:val="false"/>
          <w:color w:val="333333"/>
          <w:sz w:val="20"/>
          <w:sz w:val="20"/>
          <w:szCs w:val="20"/>
          <w:rtl w:val="true"/>
        </w:rPr>
        <w:t xml:space="preserve">، کتاب الأیمان،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320:1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352:3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219:3</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320:1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درر الفوائد، المحقّق الخراسانی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216:3</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یخفی عدم انطباق الجواب علی کلامه؛ لأنّ مراده ظهور فقرة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لا یعلمون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کون متعلّق الجهل هو نفس الفعل بما هو، لا عنوانه الذی هو الخمر، فمراده ظهورها فی تعلّق الجهل، لا بعنوان الخمریة، بل بنفس الفعل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لکن یرد علیه الغفلة عن ظهور الموصول فی کونه متعلّقاً للحکم، و لا بدّ من تعلّق الجهل بهذه الجهة، و من المعلوم أنّ متعلّق الحکم هو العنوان، فلا بدّ من کون العنوان مجهولاً، و لا وجه لدعوی الظهور فی متعلّق الجهل بنفس الفعل، مع قطع النظر عن العنوان، کما لا یخفی</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image" Target="media/image2.jpeg"/><Relationship Id="rId521" Type="http://schemas.openxmlformats.org/officeDocument/2006/relationships/image" Target="media/image2.jpeg"/><Relationship Id="rId522" Type="http://schemas.openxmlformats.org/officeDocument/2006/relationships/footer" Target="footer515.xml"/><Relationship Id="rId523" Type="http://schemas.openxmlformats.org/officeDocument/2006/relationships/footnotes" Target="footnotes.xml"/><Relationship Id="rId524" Type="http://schemas.openxmlformats.org/officeDocument/2006/relationships/numbering" Target="numbering.xml"/><Relationship Id="rId525" Type="http://schemas.openxmlformats.org/officeDocument/2006/relationships/fontTable" Target="fontTable.xml"/><Relationship Id="rId526" Type="http://schemas.openxmlformats.org/officeDocument/2006/relationships/settings" Target="settings.xml"/><Relationship Id="rId52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524</Pages>
  <Words>61374</Words>
  <Characters>258311</Characters>
  <CharactersWithSpaces>317882</CharactersWithSpaces>
  <Paragraphs>1804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2026-08-22T02:18:59Z</dcterms:created>
  <dc:creator>ghaemiyeh.com</dc:creator>
  <dc:description/>
  <dc:language>en-US</dc:language>
  <cp:lastModifiedBy/>
  <dcterms:modified xsi:type="dcterms:W3CDTF">2026-08-22T05:49:12Z</dcterms:modified>
  <cp:revision>1</cp:revision>
  <dc:subject/>
  <dc:title>معتمد الاصول جلد 1</dc:title>
</cp:coreProperties>
</file>

<file path=docProps/custom.xml><?xml version="1.0" encoding="utf-8"?>
<Properties xmlns="http://schemas.openxmlformats.org/officeDocument/2006/custom-properties" xmlns:vt="http://schemas.openxmlformats.org/officeDocument/2006/docPropsVTypes"/>
</file>