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المسائل الفقهیه جلد </w:t>
      </w:r>
      <w:r>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59476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59478_73709187">
            <w:r>
              <w:rPr>
                <w:webHidden/>
                <w:rStyle w:val="IndexLink"/>
                <w:rtl w:val="true"/>
              </w:rPr>
              <w:t>الميراث بالقرابة أو بالتعصيب</w:t>
            </w:r>
            <w:r>
              <w:rPr>
                <w:rStyle w:val="IndexLink"/>
                <w:rtl w:val="true"/>
              </w:rPr>
              <w:tab/>
            </w:r>
            <w:r>
              <w:rPr>
                <w:rStyle w:val="IndexLink"/>
              </w:rPr>
              <w:t>4</w:t>
            </w:r>
          </w:hyperlink>
        </w:p>
        <w:p>
          <w:pPr>
            <w:pStyle w:val="Contents2"/>
            <w:tabs>
              <w:tab w:val="clear" w:pos="8743"/>
              <w:tab w:val="right" w:pos="9026" w:leader="dot"/>
            </w:tabs>
            <w:rPr/>
          </w:pPr>
          <w:hyperlink w:anchor="__RefHeading___Toc3259480_73709187">
            <w:r>
              <w:rPr>
                <w:webHidden/>
                <w:rStyle w:val="IndexLink"/>
                <w:rtl w:val="true"/>
              </w:rPr>
              <w:t>مقدمة</w:t>
            </w:r>
            <w:r>
              <w:rPr>
                <w:rStyle w:val="IndexLink"/>
                <w:rtl w:val="true"/>
              </w:rPr>
              <w:tab/>
            </w:r>
            <w:r>
              <w:rPr>
                <w:rStyle w:val="IndexLink"/>
              </w:rPr>
              <w:t>5</w:t>
            </w:r>
          </w:hyperlink>
        </w:p>
        <w:p>
          <w:pPr>
            <w:pStyle w:val="Contents2"/>
            <w:tabs>
              <w:tab w:val="clear" w:pos="8743"/>
              <w:tab w:val="right" w:pos="9026" w:leader="dot"/>
            </w:tabs>
            <w:rPr/>
          </w:pPr>
          <w:hyperlink w:anchor="__RefHeading___Toc3259482_73709187">
            <w:r>
              <w:rPr>
                <w:webHidden/>
                <w:rStyle w:val="IndexLink"/>
                <w:rtl w:val="true"/>
              </w:rPr>
              <w:t>و لإيضاح المقام نقدّم أُموراً</w:t>
            </w:r>
            <w:r>
              <w:rPr>
                <w:rStyle w:val="IndexLink"/>
                <w:rtl w:val="true"/>
              </w:rPr>
              <w:t>:</w:t>
              <w:tab/>
            </w:r>
            <w:r>
              <w:rPr>
                <w:rStyle w:val="IndexLink"/>
              </w:rPr>
              <w:t>7</w:t>
            </w:r>
          </w:hyperlink>
        </w:p>
        <w:p>
          <w:pPr>
            <w:pStyle w:val="Contents3"/>
            <w:tabs>
              <w:tab w:val="clear" w:pos="8459"/>
              <w:tab w:val="right" w:pos="9026" w:leader="dot"/>
            </w:tabs>
            <w:rPr/>
          </w:pPr>
          <w:hyperlink w:anchor="__RefHeading___Toc3259484_73709187">
            <w:r>
              <w:rPr>
                <w:webHidden/>
                <w:rStyle w:val="IndexLink"/>
                <w:rtl w:val="true"/>
              </w:rPr>
              <w:t>الأوّل</w:t>
            </w:r>
            <w:r>
              <w:rPr>
                <w:rStyle w:val="IndexLink"/>
                <w:rtl w:val="true"/>
              </w:rPr>
              <w:t xml:space="preserve">: </w:t>
            </w:r>
            <w:r>
              <w:rPr>
                <w:rStyle w:val="IndexLink"/>
                <w:rtl w:val="true"/>
              </w:rPr>
              <w:t>العَصَبة في اللغة و الاصطلاح</w:t>
            </w:r>
            <w:r>
              <w:rPr>
                <w:rStyle w:val="IndexLink"/>
                <w:rtl w:val="true"/>
              </w:rPr>
              <w:tab/>
            </w:r>
            <w:r>
              <w:rPr>
                <w:rStyle w:val="IndexLink"/>
              </w:rPr>
              <w:t>7</w:t>
            </w:r>
          </w:hyperlink>
        </w:p>
        <w:p>
          <w:pPr>
            <w:pStyle w:val="Contents3"/>
            <w:tabs>
              <w:tab w:val="clear" w:pos="8459"/>
              <w:tab w:val="right" w:pos="9026" w:leader="dot"/>
            </w:tabs>
            <w:rPr/>
          </w:pPr>
          <w:hyperlink w:anchor="__RefHeading___Toc3259486_73709187">
            <w:r>
              <w:rPr>
                <w:webHidden/>
                <w:rStyle w:val="IndexLink"/>
                <w:rtl w:val="true"/>
              </w:rPr>
              <w:t>الثاني</w:t>
            </w:r>
            <w:r>
              <w:rPr>
                <w:rStyle w:val="IndexLink"/>
                <w:rtl w:val="true"/>
              </w:rPr>
              <w:t xml:space="preserve">: </w:t>
            </w:r>
            <w:r>
              <w:rPr>
                <w:rStyle w:val="IndexLink"/>
                <w:rtl w:val="true"/>
              </w:rPr>
              <w:t>أقسام العصبة</w:t>
            </w:r>
            <w:r>
              <w:rPr>
                <w:rStyle w:val="IndexLink"/>
                <w:rtl w:val="true"/>
              </w:rPr>
              <w:tab/>
            </w:r>
            <w:r>
              <w:rPr>
                <w:rStyle w:val="IndexLink"/>
              </w:rPr>
              <w:t>8</w:t>
            </w:r>
          </w:hyperlink>
        </w:p>
        <w:p>
          <w:pPr>
            <w:pStyle w:val="Contents3"/>
            <w:tabs>
              <w:tab w:val="clear" w:pos="8459"/>
              <w:tab w:val="right" w:pos="9026" w:leader="dot"/>
            </w:tabs>
            <w:rPr/>
          </w:pPr>
          <w:hyperlink w:anchor="__RefHeading___Toc3259488_73709187">
            <w:r>
              <w:rPr>
                <w:webHidden/>
                <w:rStyle w:val="IndexLink"/>
                <w:rtl w:val="true"/>
              </w:rPr>
              <w:t>الثالث</w:t>
            </w:r>
            <w:r>
              <w:rPr>
                <w:rStyle w:val="IndexLink"/>
                <w:rtl w:val="true"/>
              </w:rPr>
              <w:t xml:space="preserve">: </w:t>
            </w:r>
            <w:r>
              <w:rPr>
                <w:rStyle w:val="IndexLink"/>
                <w:rtl w:val="true"/>
              </w:rPr>
              <w:t>أقسام نسبة الفروض مع مجموع التركة</w:t>
            </w:r>
            <w:r>
              <w:rPr>
                <w:rStyle w:val="IndexLink"/>
                <w:rtl w:val="true"/>
              </w:rPr>
              <w:tab/>
            </w:r>
            <w:r>
              <w:rPr>
                <w:rStyle w:val="IndexLink"/>
              </w:rPr>
              <w:t>10</w:t>
            </w:r>
          </w:hyperlink>
        </w:p>
        <w:p>
          <w:pPr>
            <w:pStyle w:val="Contents3"/>
            <w:tabs>
              <w:tab w:val="clear" w:pos="8459"/>
              <w:tab w:val="right" w:pos="9026" w:leader="dot"/>
            </w:tabs>
            <w:rPr/>
          </w:pPr>
          <w:hyperlink w:anchor="__RefHeading___Toc3259490_73709187">
            <w:r>
              <w:rPr>
                <w:webHidden/>
                <w:rStyle w:val="IndexLink"/>
                <w:rtl w:val="true"/>
              </w:rPr>
              <w:t>الرابع</w:t>
            </w:r>
            <w:r>
              <w:rPr>
                <w:rStyle w:val="IndexLink"/>
                <w:rtl w:val="true"/>
              </w:rPr>
              <w:t xml:space="preserve">: </w:t>
            </w:r>
            <w:r>
              <w:rPr>
                <w:rStyle w:val="IndexLink"/>
                <w:rtl w:val="true"/>
              </w:rPr>
              <w:t>إيضاح التوريث بالتعصيب</w:t>
            </w:r>
            <w:r>
              <w:rPr>
                <w:rStyle w:val="IndexLink"/>
                <w:rtl w:val="true"/>
              </w:rPr>
              <w:tab/>
            </w:r>
            <w:r>
              <w:rPr>
                <w:rStyle w:val="IndexLink"/>
              </w:rPr>
              <w:t>11</w:t>
            </w:r>
          </w:hyperlink>
        </w:p>
        <w:p>
          <w:pPr>
            <w:pStyle w:val="Contents3"/>
            <w:tabs>
              <w:tab w:val="clear" w:pos="8459"/>
              <w:tab w:val="right" w:pos="9026" w:leader="dot"/>
            </w:tabs>
            <w:rPr/>
          </w:pPr>
          <w:hyperlink w:anchor="__RefHeading___Toc3259492_73709187">
            <w:r>
              <w:rPr>
                <w:webHidden/>
                <w:rStyle w:val="IndexLink"/>
                <w:rtl w:val="true"/>
              </w:rPr>
              <w:t>الخامس</w:t>
            </w:r>
            <w:r>
              <w:rPr>
                <w:rStyle w:val="IndexLink"/>
                <w:rtl w:val="true"/>
              </w:rPr>
              <w:t xml:space="preserve">: </w:t>
            </w:r>
            <w:r>
              <w:rPr>
                <w:rStyle w:val="IndexLink"/>
                <w:rtl w:val="true"/>
              </w:rPr>
              <w:t>ضابطة الميراث عند الفريقين</w:t>
            </w:r>
            <w:r>
              <w:rPr>
                <w:rStyle w:val="IndexLink"/>
                <w:rtl w:val="true"/>
              </w:rPr>
              <w:tab/>
            </w:r>
            <w:r>
              <w:rPr>
                <w:rStyle w:val="IndexLink"/>
              </w:rPr>
              <w:t>12</w:t>
            </w:r>
          </w:hyperlink>
        </w:p>
        <w:p>
          <w:pPr>
            <w:pStyle w:val="Contents3"/>
            <w:tabs>
              <w:tab w:val="clear" w:pos="8459"/>
              <w:tab w:val="right" w:pos="9026" w:leader="dot"/>
            </w:tabs>
            <w:rPr/>
          </w:pPr>
          <w:hyperlink w:anchor="__RefHeading___Toc3259494_73709187">
            <w:r>
              <w:rPr>
                <w:webHidden/>
                <w:rStyle w:val="IndexLink"/>
                <w:rtl w:val="true"/>
              </w:rPr>
              <w:t>السادس</w:t>
            </w:r>
            <w:r>
              <w:rPr>
                <w:rStyle w:val="IndexLink"/>
                <w:rtl w:val="true"/>
              </w:rPr>
              <w:t xml:space="preserve">: </w:t>
            </w:r>
            <w:r>
              <w:rPr>
                <w:rStyle w:val="IndexLink"/>
                <w:rtl w:val="true"/>
              </w:rPr>
              <w:t>عدم الثمرة فيما إذا كان قريب مساو لا فرض له</w:t>
            </w:r>
            <w:r>
              <w:rPr>
                <w:rStyle w:val="IndexLink"/>
                <w:rtl w:val="true"/>
              </w:rPr>
              <w:tab/>
            </w:r>
            <w:r>
              <w:rPr>
                <w:rStyle w:val="IndexLink"/>
              </w:rPr>
              <w:t>16</w:t>
            </w:r>
          </w:hyperlink>
        </w:p>
        <w:p>
          <w:pPr>
            <w:pStyle w:val="Contents3"/>
            <w:tabs>
              <w:tab w:val="clear" w:pos="8459"/>
              <w:tab w:val="right" w:pos="9026" w:leader="dot"/>
            </w:tabs>
            <w:rPr/>
          </w:pPr>
          <w:hyperlink w:anchor="__RefHeading___Toc3259496_73709187">
            <w:r>
              <w:rPr>
                <w:webHidden/>
                <w:rStyle w:val="IndexLink"/>
                <w:rtl w:val="true"/>
              </w:rPr>
              <w:t>السابع</w:t>
            </w:r>
            <w:r>
              <w:rPr>
                <w:rStyle w:val="IndexLink"/>
                <w:rtl w:val="true"/>
              </w:rPr>
              <w:t xml:space="preserve">: </w:t>
            </w:r>
            <w:r>
              <w:rPr>
                <w:rStyle w:val="IndexLink"/>
                <w:rtl w:val="true"/>
              </w:rPr>
              <w:t>ترتّب الثمرة إذا لم يكن قريب مساو لا فرض له</w:t>
            </w:r>
            <w:r>
              <w:rPr>
                <w:rStyle w:val="IndexLink"/>
                <w:rtl w:val="true"/>
              </w:rPr>
              <w:tab/>
            </w:r>
            <w:r>
              <w:rPr>
                <w:rStyle w:val="IndexLink"/>
              </w:rPr>
              <w:t>18</w:t>
            </w:r>
          </w:hyperlink>
        </w:p>
        <w:p>
          <w:pPr>
            <w:pStyle w:val="Contents2"/>
            <w:tabs>
              <w:tab w:val="clear" w:pos="8743"/>
              <w:tab w:val="right" w:pos="9026" w:leader="dot"/>
            </w:tabs>
            <w:rPr/>
          </w:pPr>
          <w:hyperlink w:anchor="__RefHeading___Toc3259498_73709187">
            <w:r>
              <w:rPr>
                <w:webHidden/>
                <w:rStyle w:val="IndexLink"/>
                <w:rtl w:val="true"/>
              </w:rPr>
              <w:t>دراسة أدلّة نفاة التعصيب</w:t>
            </w:r>
            <w:r>
              <w:rPr>
                <w:rStyle w:val="IndexLink"/>
                <w:rtl w:val="true"/>
              </w:rPr>
              <w:tab/>
            </w:r>
            <w:r>
              <w:rPr>
                <w:rStyle w:val="IndexLink"/>
              </w:rPr>
              <w:t>20</w:t>
            </w:r>
          </w:hyperlink>
        </w:p>
        <w:p>
          <w:pPr>
            <w:pStyle w:val="Contents3"/>
            <w:tabs>
              <w:tab w:val="clear" w:pos="8459"/>
              <w:tab w:val="right" w:pos="9026" w:leader="dot"/>
            </w:tabs>
            <w:rPr/>
          </w:pPr>
          <w:hyperlink w:anchor="__RefHeading___Toc3259500_73709187">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3259502_73709187">
            <w:r>
              <w:rPr>
                <w:webHidden/>
                <w:rStyle w:val="IndexLink"/>
                <w:rtl w:val="true"/>
              </w:rPr>
              <w:t>الآية الأُولى مشاركة النساء للرجال في الميراث</w:t>
            </w:r>
            <w:r>
              <w:rPr>
                <w:rStyle w:val="IndexLink"/>
                <w:rtl w:val="true"/>
              </w:rPr>
              <w:tab/>
            </w:r>
            <w:r>
              <w:rPr>
                <w:rStyle w:val="IndexLink"/>
              </w:rPr>
              <w:t>20</w:t>
            </w:r>
          </w:hyperlink>
        </w:p>
        <w:p>
          <w:pPr>
            <w:pStyle w:val="Contents3"/>
            <w:tabs>
              <w:tab w:val="clear" w:pos="8459"/>
              <w:tab w:val="right" w:pos="9026" w:leader="dot"/>
            </w:tabs>
            <w:rPr/>
          </w:pPr>
          <w:hyperlink w:anchor="__RefHeading___Toc3259504_73709187">
            <w:r>
              <w:rPr>
                <w:webHidden/>
                <w:rStyle w:val="IndexLink"/>
                <w:rtl w:val="true"/>
              </w:rPr>
              <w:t>الآية الثانية الضابطة في الميراث هي الأقربية</w:t>
            </w:r>
            <w:r>
              <w:rPr>
                <w:rStyle w:val="IndexLink"/>
                <w:rtl w:val="true"/>
              </w:rPr>
              <w:tab/>
            </w:r>
            <w:r>
              <w:rPr>
                <w:rStyle w:val="IndexLink"/>
              </w:rPr>
              <w:t>25</w:t>
            </w:r>
          </w:hyperlink>
        </w:p>
        <w:p>
          <w:pPr>
            <w:pStyle w:val="Contents3"/>
            <w:tabs>
              <w:tab w:val="clear" w:pos="8459"/>
              <w:tab w:val="right" w:pos="9026" w:leader="dot"/>
            </w:tabs>
            <w:rPr/>
          </w:pPr>
          <w:hyperlink w:anchor="__RefHeading___Toc3259506_73709187">
            <w:r>
              <w:rPr>
                <w:webHidden/>
                <w:rStyle w:val="IndexLink"/>
                <w:rtl w:val="true"/>
              </w:rPr>
              <w:t>الآية الثالثة توريث الأُخت مشروط بعدم وجود الولد</w:t>
            </w:r>
            <w:r>
              <w:rPr>
                <w:rStyle w:val="IndexLink"/>
                <w:rtl w:val="true"/>
              </w:rPr>
              <w:tab/>
            </w:r>
            <w:r>
              <w:rPr>
                <w:rStyle w:val="IndexLink"/>
              </w:rPr>
              <w:t>33</w:t>
            </w:r>
          </w:hyperlink>
        </w:p>
        <w:p>
          <w:pPr>
            <w:pStyle w:val="Contents2"/>
            <w:tabs>
              <w:tab w:val="clear" w:pos="8743"/>
              <w:tab w:val="right" w:pos="9026" w:leader="dot"/>
            </w:tabs>
            <w:rPr/>
          </w:pPr>
          <w:hyperlink w:anchor="__RefHeading___Toc3259508_73709187">
            <w:r>
              <w:rPr>
                <w:webHidden/>
                <w:rStyle w:val="IndexLink"/>
                <w:rtl w:val="true"/>
              </w:rPr>
              <w:t>الاستدلال بالسنّة على نفي التعصيب</w:t>
            </w:r>
            <w:r>
              <w:rPr>
                <w:rStyle w:val="IndexLink"/>
                <w:rtl w:val="true"/>
              </w:rPr>
              <w:tab/>
            </w:r>
            <w:r>
              <w:rPr>
                <w:rStyle w:val="IndexLink"/>
              </w:rPr>
              <w:t>37</w:t>
            </w:r>
          </w:hyperlink>
        </w:p>
        <w:p>
          <w:pPr>
            <w:pStyle w:val="Contents3"/>
            <w:tabs>
              <w:tab w:val="clear" w:pos="8459"/>
              <w:tab w:val="right" w:pos="9026" w:leader="dot"/>
            </w:tabs>
            <w:rPr/>
          </w:pPr>
          <w:hyperlink w:anchor="__RefHeading___Toc3259510_73709187">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3259512_73709187">
            <w:r>
              <w:rPr>
                <w:webHidden/>
                <w:rStyle w:val="IndexLink"/>
                <w:rtl w:val="true"/>
              </w:rPr>
              <w:t xml:space="preserve">الأحاديث المأثورة عن أئمّة أهل البيت </w:t>
            </w:r>
            <w:r>
              <w:rPr>
                <w:rStyle w:val="IndexLink"/>
                <w:rtl w:val="true"/>
              </w:rPr>
              <w:t>(</w:t>
            </w:r>
            <w:r>
              <w:rPr>
                <w:rStyle w:val="IndexLink"/>
                <w:rtl w:val="true"/>
              </w:rPr>
              <w:t>عليهم السلام</w:t>
            </w:r>
            <w:r>
              <w:rPr>
                <w:rStyle w:val="IndexLink"/>
                <w:rtl w:val="true"/>
              </w:rPr>
              <w:t>)</w:t>
              <w:tab/>
            </w:r>
            <w:r>
              <w:rPr>
                <w:rStyle w:val="IndexLink"/>
              </w:rPr>
              <w:t>41</w:t>
            </w:r>
          </w:hyperlink>
        </w:p>
        <w:p>
          <w:pPr>
            <w:pStyle w:val="Contents2"/>
            <w:tabs>
              <w:tab w:val="clear" w:pos="8743"/>
              <w:tab w:val="right" w:pos="9026" w:leader="dot"/>
            </w:tabs>
            <w:rPr/>
          </w:pPr>
          <w:hyperlink w:anchor="__RefHeading___Toc3259514_73709187">
            <w:r>
              <w:rPr>
                <w:webHidden/>
                <w:rStyle w:val="IndexLink"/>
                <w:rtl w:val="true"/>
              </w:rPr>
              <w:t>دراسة أدلّة القائلين بالتعصيب</w:t>
            </w:r>
            <w:r>
              <w:rPr>
                <w:rStyle w:val="IndexLink"/>
                <w:rtl w:val="true"/>
              </w:rPr>
              <w:tab/>
            </w:r>
            <w:r>
              <w:rPr>
                <w:rStyle w:val="IndexLink"/>
              </w:rPr>
              <w:t>45</w:t>
            </w:r>
          </w:hyperlink>
        </w:p>
        <w:p>
          <w:pPr>
            <w:pStyle w:val="Contents3"/>
            <w:tabs>
              <w:tab w:val="clear" w:pos="8459"/>
              <w:tab w:val="right" w:pos="9026" w:leader="dot"/>
            </w:tabs>
            <w:rPr/>
          </w:pPr>
          <w:hyperlink w:anchor="__RefHeading___Toc3259516_73709187">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3259518_73709187">
            <w:r>
              <w:rPr>
                <w:webHidden/>
                <w:rStyle w:val="IndexLink"/>
                <w:rtl w:val="true"/>
              </w:rPr>
              <w:t>الرواية الأُولى</w:t>
            </w:r>
            <w:r>
              <w:rPr>
                <w:rStyle w:val="IndexLink"/>
                <w:rtl w:val="true"/>
              </w:rPr>
              <w:t xml:space="preserve">: </w:t>
            </w:r>
            <w:r>
              <w:rPr>
                <w:rStyle w:val="IndexLink"/>
                <w:rtl w:val="true"/>
              </w:rPr>
              <w:t>في أنّ بقية المال لأولى رجل ذكر</w:t>
            </w:r>
            <w:r>
              <w:rPr>
                <w:rStyle w:val="IndexLink"/>
                <w:rtl w:val="true"/>
              </w:rPr>
              <w:tab/>
            </w:r>
            <w:r>
              <w:rPr>
                <w:rStyle w:val="IndexLink"/>
              </w:rPr>
              <w:t>50</w:t>
            </w:r>
          </w:hyperlink>
        </w:p>
        <w:p>
          <w:pPr>
            <w:pStyle w:val="Contents3"/>
            <w:tabs>
              <w:tab w:val="clear" w:pos="8459"/>
              <w:tab w:val="right" w:pos="9026" w:leader="dot"/>
            </w:tabs>
            <w:rPr/>
          </w:pPr>
          <w:hyperlink w:anchor="__RefHeading___Toc3259520_73709187">
            <w:r>
              <w:rPr>
                <w:webHidden/>
                <w:rStyle w:val="IndexLink"/>
                <w:rtl w:val="true"/>
              </w:rPr>
              <w:t>الرواية الثانية</w:t>
            </w:r>
            <w:r>
              <w:rPr>
                <w:rStyle w:val="IndexLink"/>
                <w:rtl w:val="true"/>
              </w:rPr>
              <w:t xml:space="preserve">: </w:t>
            </w:r>
            <w:r>
              <w:rPr>
                <w:rStyle w:val="IndexLink"/>
                <w:rtl w:val="true"/>
              </w:rPr>
              <w:t>ما ورد في ميراث البنتين</w:t>
            </w:r>
            <w:r>
              <w:rPr>
                <w:rStyle w:val="IndexLink"/>
                <w:rtl w:val="true"/>
              </w:rPr>
              <w:tab/>
            </w:r>
            <w:r>
              <w:rPr>
                <w:rStyle w:val="IndexLink"/>
              </w:rPr>
              <w:t>57</w:t>
            </w:r>
          </w:hyperlink>
        </w:p>
        <w:p>
          <w:pPr>
            <w:pStyle w:val="Contents3"/>
            <w:tabs>
              <w:tab w:val="clear" w:pos="8459"/>
              <w:tab w:val="right" w:pos="9026" w:leader="dot"/>
            </w:tabs>
            <w:rPr/>
          </w:pPr>
          <w:hyperlink w:anchor="__RefHeading___Toc3259522_73709187">
            <w:r>
              <w:rPr>
                <w:webHidden/>
                <w:rStyle w:val="IndexLink"/>
                <w:rtl w:val="true"/>
              </w:rPr>
              <w:t>الرواية الثالثة</w:t>
            </w:r>
            <w:r>
              <w:rPr>
                <w:rStyle w:val="IndexLink"/>
                <w:rtl w:val="true"/>
              </w:rPr>
              <w:t xml:space="preserve">: </w:t>
            </w:r>
            <w:r>
              <w:rPr>
                <w:rStyle w:val="IndexLink"/>
                <w:rtl w:val="true"/>
              </w:rPr>
              <w:t>ما ورد في ميراث البنت و الأُخت</w:t>
            </w:r>
            <w:r>
              <w:rPr>
                <w:rStyle w:val="IndexLink"/>
                <w:rtl w:val="true"/>
              </w:rPr>
              <w:tab/>
            </w:r>
            <w:r>
              <w:rPr>
                <w:rStyle w:val="IndexLink"/>
              </w:rPr>
              <w:t>61</w:t>
            </w:r>
          </w:hyperlink>
        </w:p>
        <w:p>
          <w:pPr>
            <w:pStyle w:val="Contents3"/>
            <w:tabs>
              <w:tab w:val="clear" w:pos="8459"/>
              <w:tab w:val="right" w:pos="9026" w:leader="dot"/>
            </w:tabs>
            <w:rPr/>
          </w:pPr>
          <w:hyperlink w:anchor="__RefHeading___Toc3259524_73709187">
            <w:r>
              <w:rPr>
                <w:webHidden/>
                <w:rStyle w:val="IndexLink"/>
                <w:rtl w:val="true"/>
              </w:rPr>
              <w:t>الرواية الرابعة</w:t>
            </w:r>
            <w:r>
              <w:rPr>
                <w:rStyle w:val="IndexLink"/>
                <w:rtl w:val="true"/>
              </w:rPr>
              <w:t xml:space="preserve">: </w:t>
            </w:r>
            <w:r>
              <w:rPr>
                <w:rStyle w:val="IndexLink"/>
                <w:rtl w:val="true"/>
              </w:rPr>
              <w:t>ما ورد في ميراث الأخوات مع البنات</w:t>
            </w:r>
            <w:r>
              <w:rPr>
                <w:rStyle w:val="IndexLink"/>
                <w:rtl w:val="true"/>
              </w:rPr>
              <w:tab/>
            </w:r>
            <w:r>
              <w:rPr>
                <w:rStyle w:val="IndexLink"/>
              </w:rPr>
              <w:t>63</w:t>
            </w:r>
          </w:hyperlink>
        </w:p>
        <w:p>
          <w:pPr>
            <w:pStyle w:val="Contents3"/>
            <w:tabs>
              <w:tab w:val="clear" w:pos="8459"/>
              <w:tab w:val="right" w:pos="9026" w:leader="dot"/>
            </w:tabs>
            <w:rPr/>
          </w:pPr>
          <w:hyperlink w:anchor="__RefHeading___Toc3259526_73709187">
            <w:r>
              <w:rPr>
                <w:webHidden/>
                <w:rStyle w:val="IndexLink"/>
                <w:rtl w:val="true"/>
              </w:rPr>
              <w:t>الرواية الخامسة</w:t>
            </w:r>
            <w:r>
              <w:rPr>
                <w:rStyle w:val="IndexLink"/>
                <w:rtl w:val="true"/>
              </w:rPr>
              <w:t xml:space="preserve">: </w:t>
            </w:r>
            <w:r>
              <w:rPr>
                <w:rStyle w:val="IndexLink"/>
                <w:rtl w:val="true"/>
              </w:rPr>
              <w:t>ما رواه البخاري في صحيحه عن الأسود</w:t>
            </w:r>
            <w:r>
              <w:rPr>
                <w:rStyle w:val="IndexLink"/>
                <w:rtl w:val="true"/>
              </w:rPr>
              <w:tab/>
            </w:r>
            <w:r>
              <w:rPr>
                <w:rStyle w:val="IndexLink"/>
              </w:rPr>
              <w:t>64</w:t>
            </w:r>
          </w:hyperlink>
        </w:p>
        <w:p>
          <w:pPr>
            <w:pStyle w:val="Contents2"/>
            <w:tabs>
              <w:tab w:val="clear" w:pos="8743"/>
              <w:tab w:val="right" w:pos="9026" w:leader="dot"/>
            </w:tabs>
            <w:rPr/>
          </w:pPr>
          <w:hyperlink w:anchor="__RefHeading___Toc3259528_73709187">
            <w:r>
              <w:rPr>
                <w:webHidden/>
                <w:rStyle w:val="IndexLink"/>
                <w:rtl w:val="true"/>
              </w:rPr>
              <w:t>مضاعفات القول بالتعصيب</w:t>
            </w:r>
            <w:r>
              <w:rPr>
                <w:rStyle w:val="IndexLink"/>
                <w:rtl w:val="true"/>
              </w:rPr>
              <w:tab/>
            </w:r>
            <w:r>
              <w:rPr>
                <w:rStyle w:val="IndexLink"/>
              </w:rPr>
              <w:t>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00_106270"/>
      <w:bookmarkStart w:id="1" w:name="pg11500_106270"/>
      <w:bookmarkEnd w:id="1"/>
    </w:p>
    <w:p>
      <w:pPr>
        <w:pStyle w:val="Heading2"/>
        <w:numPr>
          <w:ilvl w:val="1"/>
          <w:numId w:val="1"/>
        </w:numPr>
        <w:rPr/>
      </w:pPr>
      <w:bookmarkStart w:id="2" w:name="pg11500_106270"/>
      <w:bookmarkStart w:id="3" w:name="__RefHeading___Toc3259476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المسائل الفقهیه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سلسله‌المسائل‌الفقهیه؛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فقهی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59478_73709187"/>
      <w:bookmarkStart w:id="6" w:name="_Toc2"/>
      <w:bookmarkEnd w:id="5"/>
      <w:r>
        <w:rPr>
          <w:rtl w:val="true"/>
        </w:rPr>
        <w:t>الميراث بالقرابة أو بالتعصيب</w:t>
      </w:r>
      <w:bookmarkStart w:id="7" w:name="pg11500_106272"/>
      <w:bookmarkEnd w:id="6"/>
    </w:p>
    <w:p>
      <w:pPr>
        <w:pStyle w:val="BookText"/>
        <w:rPr/>
      </w:pPr>
      <w:bookmarkEnd w:id="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الميراث بالقرابة أو بالتعصيب </w:t>
      </w:r>
      <w:r>
        <w:rPr>
          <w:rFonts w:eastAsia="Amiri" w:cs="Amiri" w:ascii="Amiri" w:hAnsi="Amiri"/>
          <w:color w:val="111111"/>
          <w:sz w:val="28"/>
          <w:szCs w:val="28"/>
          <w:rtl w:val="true"/>
          <w:lang w:bidi="ar-SA"/>
        </w:rPr>
        <w:t>]</w:t>
      </w:r>
    </w:p>
    <w:p>
      <w:pPr>
        <w:pStyle w:val="Heading2"/>
        <w:numPr>
          <w:ilvl w:val="1"/>
          <w:numId w:val="1"/>
        </w:numPr>
        <w:rPr/>
      </w:pPr>
      <w:bookmarkStart w:id="8" w:name="__RefHeading___Toc3259480_73709187"/>
      <w:bookmarkStart w:id="9" w:name="_Toc3"/>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أفضل خلقه و خاتم رسله محمّد و على آله الطيّبين الطاهرين الذين هم عيبة علمه و حفظة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الإسلام عقيدة و شريعة، فالعقيدة هي الإيمان باللّه و رسله و اليوم الآخر، و الشريعة هي الأحكام الإلهية التي تكفل للبشرية الحياة الفضلى و تحقّق لها السعادة الدنيوية و الأُخروية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امتازت الشريعة الإسلامية بالشمول، و وضع الحلول لكافّة المشاكل التي تعتري الإنسان في جميع جوانب الحياة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غير أنّ هناك مسائل فرعية اختلف فيها الفقهاء لاختلافهم فيما أثر عن مبلّغ الرسالة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الأمر الّذي أدّى إلى اختلاف كلمتهم فيها، و بما أنّ الحقيقة بنت البحث فقد حاولنا في هذه الدراسات المتسلسلة أن نطرحها على طاولة البحث، عسى أن تكون وسيلة لتوحيد الكلمة و تقريب الخطى في هذا الحقل، فالخلاف فيها ليس خلافاً في جوهر الدين و أُصوله حتّى يستوجب العداء و البغضاء، و إنّما هو خلاف فيما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أمر يسير في مقابل المسائل الكثيرة المتّفق عليها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رائدنا في هذا السبيل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اعْتَصِمُوا بِحَبْلِ اللّهِ جَمِيعاً وَ لا تَفَرَّقُوا وَ اذْكُرُوا نِعْمَتَ اللّهِ عَلَيْكُمْ إِذْ كُنْتُمْ أَعْداءً فَأَلَّفَ بَيْنَ قُلُوبِكُمْ فَأَصْبَحْتُمْ بِنِعْمَتِهِ إِخْواناً </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السبحاني قم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0" w:name="pg11500_106274"/>
    </w:p>
    <w:p>
      <w:pPr>
        <w:pStyle w:val="BookText"/>
        <w:rPr/>
      </w:pPr>
      <w:bookmarkEnd w:id="10"/>
      <w:r>
        <w:rPr>
          <w:rFonts w:ascii="Amiri" w:hAnsi="Amiri" w:eastAsia="Amiri" w:cs="Amiri"/>
          <w:color w:val="111111"/>
          <w:sz w:val="28"/>
          <w:sz w:val="28"/>
          <w:szCs w:val="28"/>
          <w:rtl w:val="true"/>
          <w:lang w:bidi="ar-SA"/>
        </w:rPr>
        <w:t>الميراث بالقرابة أو بالتعصيب الميراث بالتعصيب من خصائص الفقه السنّي و ليس في الفقه الإمامي منه عين و لا أثر، بل هو منكر عند الإمامية أشدّ الإنكار كما سيوافيك،</w:t>
      </w:r>
    </w:p>
    <w:p>
      <w:pPr>
        <w:pStyle w:val="Heading2"/>
        <w:numPr>
          <w:ilvl w:val="1"/>
          <w:numId w:val="1"/>
        </w:numPr>
        <w:rPr/>
      </w:pPr>
      <w:bookmarkStart w:id="11" w:name="__RefHeading___Toc3259482_73709187"/>
      <w:bookmarkStart w:id="12" w:name="_Toc4"/>
      <w:bookmarkEnd w:id="11"/>
      <w:r>
        <w:rPr>
          <w:rtl w:val="true"/>
        </w:rPr>
        <w:t>و لإيضاح المقام نقدّم أُموراً</w:t>
      </w:r>
      <w:r>
        <w:rPr>
          <w:rtl w:val="true"/>
        </w:rPr>
        <w:t>:</w:t>
      </w:r>
      <w:bookmarkEnd w:id="12"/>
    </w:p>
    <w:p>
      <w:pPr>
        <w:pStyle w:val="Heading3"/>
        <w:numPr>
          <w:ilvl w:val="2"/>
          <w:numId w:val="1"/>
        </w:numPr>
        <w:rPr/>
      </w:pPr>
      <w:bookmarkStart w:id="13" w:name="__RefHeading___Toc3259484_73709187"/>
      <w:bookmarkStart w:id="14" w:name="_Toc5"/>
      <w:bookmarkEnd w:id="13"/>
      <w:r>
        <w:rPr>
          <w:rtl w:val="true"/>
        </w:rPr>
        <w:t>الأوّل</w:t>
      </w:r>
      <w:r>
        <w:rPr>
          <w:rtl w:val="true"/>
        </w:rPr>
        <w:t xml:space="preserve">: </w:t>
      </w:r>
      <w:r>
        <w:rPr>
          <w:rtl w:val="true"/>
        </w:rPr>
        <w:t>العَصَبة في اللغة و الاصطلاح</w:t>
      </w:r>
      <w:bookmarkEnd w:id="14"/>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العَصَبَة جمع عاصب كطلبة جمع طالب، و هو مأخوذ من العَصَب و هو الطيّ الشديد،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برأسه العمامة، شدّها و لفّها عليه، و مع كونها جمعاً لكن تطلق على الواحد و الجمع و المذكر و المؤنث، و تجمع أيضاً على عَصَبات</w:t>
      </w:r>
      <w:r>
        <w:rPr>
          <w:rFonts w:eastAsia="Amiri" w:cs="Amiri" w:ascii="Amiri" w:hAnsi="Amiri"/>
          <w:color w:val="111111"/>
          <w:sz w:val="28"/>
          <w:szCs w:val="28"/>
          <w:rtl w:val="true"/>
          <w:lang w:bidi="ar-SA"/>
        </w:rPr>
        <w:t>.</w:t>
      </w:r>
      <w:bookmarkStart w:id="15" w:name="pg11500_106275"/>
    </w:p>
    <w:p>
      <w:pPr>
        <w:pStyle w:val="BookText"/>
        <w:rPr/>
      </w:pPr>
      <w:bookmarkEnd w:id="15"/>
      <w:r>
        <w:rPr>
          <w:rFonts w:ascii="Amiri" w:hAnsi="Amiri" w:eastAsia="Amiri" w:cs="Amiri"/>
          <w:color w:val="111111"/>
          <w:sz w:val="28"/>
          <w:sz w:val="28"/>
          <w:szCs w:val="28"/>
          <w:rtl w:val="true"/>
          <w:lang w:bidi="ar-SA"/>
        </w:rPr>
        <w:t>و يطلق على الذكر من أقارب الميت الذي لم تدخل في نسبته إلى الميت أُنثى، و سُمُّوا عصبة لأنّهم أصابوا به، أي أحاطوا بالميت، فالأب طرف و الابن طرف و الأخ طرف، و العم طرف، و هؤلاء كلّهم عَصَبَة، لأنّهم يحيطون بالميت كإحاطة العمامة بالرأس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مصطلح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العصبَة، هو الوارث بغير فرض و تقدير، فإذا كان معه ذو فرض أخذ بما فضل عنه قلّ أو كثر، و إن انفرد، أخذ الكل، و إن استغرقت الفروض المال، سقط</w:t>
      </w:r>
      <w:r>
        <w:rPr>
          <w:rFonts w:eastAsia="Amiri" w:cs="Amiri" w:ascii="Amiri" w:hAnsi="Amiri"/>
          <w:color w:val="111111"/>
          <w:sz w:val="28"/>
          <w:szCs w:val="28"/>
          <w:rtl w:val="true"/>
          <w:lang w:bidi="ar-SA"/>
        </w:rPr>
        <w:t>.</w:t>
      </w:r>
      <w:r>
        <w:rPr>
          <w:rStyle w:val="FootnoteAnchor"/>
          <w:rtl w:val="true"/>
        </w:rPr>
        <w:footnoteReference w:id="4"/>
      </w:r>
    </w:p>
    <w:p>
      <w:pPr>
        <w:pStyle w:val="Heading3"/>
        <w:numPr>
          <w:ilvl w:val="2"/>
          <w:numId w:val="1"/>
        </w:numPr>
        <w:rPr/>
      </w:pPr>
      <w:bookmarkStart w:id="16" w:name="__RefHeading___Toc3259486_73709187"/>
      <w:bookmarkStart w:id="17" w:name="_Toc6"/>
      <w:bookmarkEnd w:id="16"/>
      <w:r>
        <w:rPr>
          <w:rtl w:val="true"/>
        </w:rPr>
        <w:t>الثاني</w:t>
      </w:r>
      <w:r>
        <w:rPr>
          <w:rtl w:val="true"/>
        </w:rPr>
        <w:t xml:space="preserve">: </w:t>
      </w:r>
      <w:r>
        <w:rPr>
          <w:rtl w:val="true"/>
        </w:rPr>
        <w:t>أقسام العصبة</w:t>
      </w:r>
      <w:bookmarkEnd w:id="17"/>
    </w:p>
    <w:p>
      <w:pPr>
        <w:pStyle w:val="BookText"/>
        <w:rPr/>
      </w:pPr>
      <w:r>
        <w:rPr>
          <w:rFonts w:ascii="Amiri" w:hAnsi="Amiri" w:eastAsia="Amiri" w:cs="Amiri"/>
          <w:color w:val="111111"/>
          <w:sz w:val="28"/>
          <w:sz w:val="28"/>
          <w:szCs w:val="28"/>
          <w:rtl w:val="true"/>
          <w:lang w:bidi="ar-SA"/>
        </w:rPr>
        <w:t>تنقسم العصبة عندهم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العصبة النَّسَبيّة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العصبة السببيّة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القسم الأوّل فهو على ثلاثة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العصبة بنفسه و هي كلّ ذكر لا يدخل في نسبته إلى الميت أُنثى، و تنحصر في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البنوة، و تسمّى جزء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الأُبوة، و تسمّى أصل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الأُخوة، و تسمّى جزء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العمومة، و تسمّى جزء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بغيره، و هي الأُنثى التي يكون فرضها النصف حال الانفراد، و الثلثين إذا كان معها أُخت أو أكثر، فإذا كان معها أو معهن أخ صار الجميع حينئذ عصبة به، و هي أربع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البنت أو البنات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بنت أو بنات الابن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الأُخت أو الأخوات الشقيقات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الأُخت أو الأخوات لأب</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صنف من هذه الأصناف الأربعة يكون عصبة بغيره و هو الأخ و يكون الإرث بينهم للذكر مثل حظ الأُنثيين</w:t>
      </w:r>
      <w:r>
        <w:rPr>
          <w:rFonts w:eastAsia="Amiri" w:cs="Amiri" w:ascii="Amiri" w:hAnsi="Amiri"/>
          <w:color w:val="111111"/>
          <w:sz w:val="28"/>
          <w:szCs w:val="28"/>
          <w:rtl w:val="true"/>
          <w:lang w:bidi="ar-SA"/>
        </w:rPr>
        <w:t>.</w:t>
      </w:r>
      <w:bookmarkStart w:id="18" w:name="pg11500_106277"/>
    </w:p>
    <w:p>
      <w:pPr>
        <w:pStyle w:val="BookText"/>
        <w:rPr/>
      </w:pPr>
      <w:bookmarkEnd w:id="18"/>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العصبة مع الغير و هي كلّ أُنثى تحتاج في كونها عاصبة إلى أُنثى أُخرى و تنحصر العصبة مع الغير في اثنتين فقط من الإناث،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الأُخت الشقيقة أو الأخوات الشقيقات مع البنت أو بنت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الأُخت لأب أو الأخوات لأب مع البنت أو بنت الابن، و يكون لهن الباقي من التركة بعد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 أي العصبة السببية هو المولى المعتِقُ، ذكراً كان أم أُنثى، فإذا لم يوجد المعتِق فالميراث لعصبته الذكور</w:t>
      </w:r>
      <w:r>
        <w:rPr>
          <w:rFonts w:eastAsia="Amiri" w:cs="Amiri" w:ascii="Amiri" w:hAnsi="Amiri"/>
          <w:color w:val="111111"/>
          <w:sz w:val="28"/>
          <w:szCs w:val="28"/>
          <w:rtl w:val="true"/>
          <w:lang w:bidi="ar-SA"/>
        </w:rPr>
        <w:t>.</w:t>
      </w:r>
      <w:r>
        <w:rPr>
          <w:rStyle w:val="FootnoteAnchor"/>
          <w:rtl w:val="true"/>
        </w:rPr>
        <w:footnoteReference w:id="5"/>
      </w:r>
    </w:p>
    <w:p>
      <w:pPr>
        <w:pStyle w:val="Heading3"/>
        <w:numPr>
          <w:ilvl w:val="2"/>
          <w:numId w:val="1"/>
        </w:numPr>
        <w:rPr/>
      </w:pPr>
      <w:bookmarkStart w:id="19" w:name="__RefHeading___Toc3259488_73709187"/>
      <w:bookmarkStart w:id="20" w:name="_Toc7"/>
      <w:bookmarkEnd w:id="19"/>
      <w:r>
        <w:rPr>
          <w:rtl w:val="true"/>
        </w:rPr>
        <w:t>الثالث</w:t>
      </w:r>
      <w:r>
        <w:rPr>
          <w:rtl w:val="true"/>
        </w:rPr>
        <w:t xml:space="preserve">: </w:t>
      </w:r>
      <w:r>
        <w:rPr>
          <w:rtl w:val="true"/>
        </w:rPr>
        <w:t>أقسام نسبة الفروض مع مجموع التركة</w:t>
      </w:r>
      <w:bookmarkEnd w:id="2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الفروض الستة المقدرة في كتاب اللّه، تارة تتساوى مع مجموع التركة، كبنتين و أبوين، و حينئذ لا عول و لا تعصيب، حيث تأخذ البنتان الثلثين، و الأبوان الثلث</w:t>
      </w:r>
      <w:r>
        <w:rPr>
          <w:rFonts w:eastAsia="Amiri" w:cs="Amiri" w:ascii="Amiri" w:hAnsi="Amiri"/>
          <w:color w:val="111111"/>
          <w:sz w:val="28"/>
          <w:szCs w:val="28"/>
          <w:rtl w:val="true"/>
          <w:lang w:bidi="ar-SA"/>
        </w:rPr>
        <w:t>.</w:t>
      </w:r>
      <w:bookmarkStart w:id="21" w:name="pg11500_106278"/>
    </w:p>
    <w:p>
      <w:pPr>
        <w:pStyle w:val="BookText"/>
        <w:rPr/>
      </w:pPr>
      <w:bookmarkEnd w:id="21"/>
      <w:r>
        <w:rPr>
          <w:rFonts w:ascii="Amiri" w:hAnsi="Amiri" w:eastAsia="Amiri" w:cs="Amiri"/>
          <w:color w:val="111111"/>
          <w:sz w:val="28"/>
          <w:sz w:val="28"/>
          <w:szCs w:val="28"/>
          <w:rtl w:val="true"/>
          <w:lang w:bidi="ar-SA"/>
        </w:rPr>
        <w:t>و أُخرى تنقص الفروض عن التركة، كبنت واحدة، فإن فرضها النصف أو بنتين فإن فرضهما الثلثان، فهل يردّ الباقي إليها أو إليهما بالقرابة كما عليه الإمامية، أو يردّ إلى العصبة كما عليه فقهاء السنّة و يسمّى الميراث بالتعصيب؟ و ثالثة تزيد الفروض على مجموع التركة، كزوج و أبوين و بنت، فإنّ فرض الزوج الربع و البنت النصف و الأبوين الثلث، و التركة لا تتحمل ربعاً و نصفاً و ثلثاً، و هذا هو العول الذي سيوافيك حكمه في المسألة الآتية</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3259490_73709187"/>
      <w:bookmarkStart w:id="23" w:name="_Toc8"/>
      <w:bookmarkEnd w:id="22"/>
      <w:r>
        <w:rPr>
          <w:rtl w:val="true"/>
        </w:rPr>
        <w:t>الرابع</w:t>
      </w:r>
      <w:r>
        <w:rPr>
          <w:rtl w:val="true"/>
        </w:rPr>
        <w:t xml:space="preserve">: </w:t>
      </w:r>
      <w:r>
        <w:rPr>
          <w:rtl w:val="true"/>
        </w:rPr>
        <w:t>إيضاح التوريث بالتعصيب</w:t>
      </w:r>
      <w:bookmarkEnd w:id="23"/>
    </w:p>
    <w:p>
      <w:pPr>
        <w:pStyle w:val="BookText"/>
        <w:rPr/>
      </w:pPr>
      <w:r>
        <w:rPr>
          <w:rFonts w:ascii="Amiri" w:hAnsi="Amiri" w:eastAsia="Amiri" w:cs="Amiri"/>
          <w:color w:val="111111"/>
          <w:sz w:val="28"/>
          <w:sz w:val="28"/>
          <w:szCs w:val="28"/>
          <w:rtl w:val="true"/>
          <w:lang w:bidi="ar-SA"/>
        </w:rPr>
        <w:t>المراد من التعصيب هنا هو توريث العصبة مع ذي فرض قريب، كما إذا كان للميت بنت أو أكثر، و ليس له ولد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 يكن له أولاد أصلاً لا ذكور و لا إناث، و له أُخت أو أخوات و ليس له أخ، و له عمّ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مذاهب السنة تجعل أخ الميت شريكاً مع البنت أو</w:t>
      </w:r>
      <w:bookmarkStart w:id="24" w:name="pg11500_106279"/>
    </w:p>
    <w:p>
      <w:pPr>
        <w:pStyle w:val="BookText"/>
        <w:rPr/>
      </w:pPr>
      <w:bookmarkEnd w:id="24"/>
      <w:r>
        <w:rPr>
          <w:rFonts w:ascii="Amiri" w:hAnsi="Amiri" w:eastAsia="Amiri" w:cs="Amiri"/>
          <w:color w:val="111111"/>
          <w:sz w:val="28"/>
          <w:sz w:val="28"/>
          <w:szCs w:val="28"/>
          <w:rtl w:val="true"/>
          <w:lang w:bidi="ar-SA"/>
        </w:rPr>
        <w:t>البنات، في المثال الأوّل، كما تجعل العم أيضاً شريكاً مع الأُخت أو الأخوات كذلك في المثال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لدى السنّة، و أمّا الإمامية فالإرث بالتعصيب باطل مطلقاً و إنّما الميراث بالفرض المسمى في كتاب اللّه، أو بالقرابة أو الأسباب التي يورث بها من الزوجيّة و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المثالين المذكورين إن بقي من الفرض يجب رده على صاحب الفرض القريب، فالتركة عندهم بكاملها للبنت أو للبنات و ليس لأخ الميت شيء، و إذا لم يكن له أولاد ذكور و لا إناث و كان له أُخت أو أخوات، فالمال كلّه للأُخت و الأخوات و لا شيء للعمّ، لأنّ الأُخت أقرب منه، و الأقرب يحجب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ليس للتعصيب دور في الميراث و إنّما يدور الميراث على الفروض و القرابة و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 و الولاء</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3259492_73709187"/>
      <w:bookmarkStart w:id="26" w:name="_Toc9"/>
      <w:bookmarkEnd w:id="25"/>
      <w:r>
        <w:rPr>
          <w:rtl w:val="true"/>
        </w:rPr>
        <w:t>الخامس</w:t>
      </w:r>
      <w:r>
        <w:rPr>
          <w:rtl w:val="true"/>
        </w:rPr>
        <w:t xml:space="preserve">: </w:t>
      </w:r>
      <w:r>
        <w:rPr>
          <w:rtl w:val="true"/>
        </w:rPr>
        <w:t>ضابطة الميراث عند الفريقين</w:t>
      </w:r>
      <w:bookmarkEnd w:id="2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الضابطة لتقديم بعض الأقرباء النسبيّين على</w:t>
      </w:r>
    </w:p>
    <w:p>
      <w:pPr>
        <w:pStyle w:val="BookText"/>
        <w:rPr/>
      </w:pPr>
      <w:r>
        <w:rPr>
          <w:rFonts w:ascii="Amiri" w:hAnsi="Amiri" w:eastAsia="Amiri" w:cs="Amiri"/>
          <w:color w:val="111111"/>
          <w:sz w:val="28"/>
          <w:sz w:val="28"/>
          <w:szCs w:val="28"/>
          <w:rtl w:val="true"/>
          <w:lang w:bidi="ar-SA"/>
        </w:rPr>
        <w:t>البعض الآخر عند الإمامية أحد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صاحب فريضة في الكتاب،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آباؤُكُمْ وَ أَبْناؤُكُمْ لا تَدْرُونَ أَيُّهُمْ أَقْرَبُ لَكُمْ نَفْعاً فَرِيضَةً مِنَ اللّهِ إِنَّ اللّهَ كانَ عَلِيماً حَكِيماً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القربى إذا لم يكن صاحب فريضة، فالأقرب إلى الميّت، هو الوارث للكلّ، أو لما فضل عن التركة،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أُولُوا الْأَرْحامِ بَعْضُهُمْ أَوْلى بِبَعْضٍ فِي كِتابِ اللّهِ إِنَّ اللّهَ بِكُلِّ شَيْءٍ عَلِيمٌ </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عند أهل السنّة فالملاك بعد الفرض، هو التعصيب بالمعنى الذي عرفت بعد أصحاب الفرض، و إن بعد عنهم، كالأخ عند ما يموت، عن بنت أو بنتين، أو العم عند ما يموت عن أُخت أو أُختين فيرث الأخ أو العم، الفاضل من التركة، بما أنّهما عصبة، و يُردّ عندنا إلى أصحاب الفروض، و ربّما لا يترتّب على الخلاف ثمرة، كما في الموردين التاليين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اجتمع الأب مع الابن، فالأب يأخذ فرضه و هو السدس، و ما بقي يأخذه الابن بالاتّفاق لكن عندنا بالقرابة و عند أهل السنّة بالعصبة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لو اجتمع الأب مع ابن الابن فبما أنّ الأولاد تنزل منزلة الآباء فللأب السدس و الباقي لابن الابن عندنا بالقرابة و عندهم بالتعصيب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تظهر الثمرة في موارد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كانت العصبة بعيدة عن ذي فرض، كالأخ في ما إذا ترك بنتاً أو بنات، و لم يكن له ولد ذكر، أو العم فيما إذا ترك أُختاً أو أخوات و لم يكن له أخ، فعلى مذهب الإمامية لا يرد إلى البعيد أبداً، سواء كان أخاً أو عمّاً، لأنّ الضابط في التقديم و التأخير هو الفرض و القرابة، و أمّا الأخ و العم فهما ليسا من أصحاب الفروض قطعاً، كما أنّهما بعيدان عن الميّت مع وجود البنت أو الأُخت، فيرد عليهما الفاضل، فالبنت ترث النصف فرضاً و النصف الآخر قرابة، و هكذا الصورة الأُخرى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مذاهب أهل السنّة، فبما أنّهم حكموا بتوريث</w:t>
      </w:r>
    </w:p>
    <w:p>
      <w:pPr>
        <w:pStyle w:val="BookText"/>
        <w:rPr/>
      </w:pPr>
      <w:r>
        <w:rPr>
          <w:rFonts w:ascii="Amiri" w:hAnsi="Amiri" w:eastAsia="Amiri" w:cs="Amiri"/>
          <w:color w:val="111111"/>
          <w:sz w:val="28"/>
          <w:sz w:val="28"/>
          <w:szCs w:val="28"/>
          <w:rtl w:val="true"/>
          <w:lang w:bidi="ar-SA"/>
        </w:rPr>
        <w:t>العصبة مع ذي فرض قريب، يردّون الفاضل إلى الأخ في الأوّل، و العم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بالعصبة باطل عندنا و لا يورث بها في موضع من المواضع، و إنّما يورث بالفرض المسمّى أو القربى، أو الأسباب التي يورث بها من الزوجية و الولاء و روي ذلك عن ابن عباس، لأنّه قال فيمن خلّف بنتاً و أُختاً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كلّه للبنت دون الأُخت</w:t>
      </w:r>
      <w:r>
        <w:rPr>
          <w:rStyle w:val="FootnoteAnchor"/>
          <w:rtl w:val="true"/>
        </w:rPr>
        <w:footnoteReference w:id="8"/>
      </w:r>
      <w:r>
        <w:rPr>
          <w:rFonts w:ascii="Amiri" w:hAnsi="Amiri" w:eastAsia="Amiri" w:cs="Amiri"/>
          <w:color w:val="111111"/>
          <w:sz w:val="28"/>
          <w:sz w:val="28"/>
          <w:szCs w:val="28"/>
          <w:rtl w:val="true"/>
          <w:lang w:bidi="ar-SA"/>
        </w:rPr>
        <w:t>، و وافقه جابر بن عبد اللّه في ذلك</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موافقة ابن عباس عن إبراهيم النخعي، روى عنه الأعمش و لم يجعل داود الأخوات مع البنات عصبة، و خالف جميع الفقهاء في ذلك و أثبتوا العصبات من جهة الأب و الابن</w:t>
      </w:r>
      <w:r>
        <w:rPr>
          <w:rFonts w:eastAsia="Amiri" w:cs="Amiri" w:ascii="Amiri" w:hAnsi="Amiri"/>
          <w:color w:val="111111"/>
          <w:sz w:val="28"/>
          <w:szCs w:val="28"/>
          <w:rtl w:val="true"/>
          <w:lang w:bidi="ar-SA"/>
        </w:rPr>
        <w:t>.</w:t>
      </w:r>
      <w:r>
        <w:rPr>
          <w:rStyle w:val="FootnoteAnchor"/>
        </w:rPr>
        <w:footnoteReference w:id="9"/>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27" w:name="pg11500_106283"/>
    </w:p>
    <w:p>
      <w:pPr>
        <w:pStyle w:val="Heading3"/>
        <w:numPr>
          <w:ilvl w:val="2"/>
          <w:numId w:val="1"/>
        </w:numPr>
        <w:rPr/>
      </w:pPr>
      <w:bookmarkStart w:id="28" w:name="__RefHeading___Toc3259494_73709187"/>
      <w:bookmarkStart w:id="29" w:name="_Toc10"/>
      <w:bookmarkEnd w:id="27"/>
      <w:bookmarkEnd w:id="28"/>
      <w:r>
        <w:rPr>
          <w:rtl w:val="true"/>
        </w:rPr>
        <w:t>السادس</w:t>
      </w:r>
      <w:r>
        <w:rPr>
          <w:rtl w:val="true"/>
        </w:rPr>
        <w:t xml:space="preserve">: </w:t>
      </w:r>
      <w:r>
        <w:rPr>
          <w:rtl w:val="true"/>
        </w:rPr>
        <w:t>عدم الثمرة فيما إذا كان قريب مساو لا فرض له</w:t>
      </w:r>
      <w:bookmarkEnd w:id="29"/>
    </w:p>
    <w:p>
      <w:pPr>
        <w:pStyle w:val="BookText"/>
        <w:rPr/>
      </w:pPr>
      <w:r>
        <w:rPr>
          <w:rFonts w:ascii="Amiri" w:hAnsi="Amiri" w:eastAsia="Amiri" w:cs="Amiri"/>
          <w:color w:val="111111"/>
          <w:sz w:val="28"/>
          <w:sz w:val="28"/>
          <w:szCs w:val="28"/>
          <w:rtl w:val="true"/>
          <w:lang w:bidi="ar-SA"/>
        </w:rPr>
        <w:t>إذا بقي من سهام التركة شيء بعد إخراج الفريضة و كان بين الورثة من لا فرض له لا فرق بين القولين و لا تترتب عليهما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من لا فرض له مع أصحاب الفرض ففيها يردّ الفاضل على المساوي الذي ليس له سهم خاص في الكتاب، سواء قلنا بالتعصيب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بعض الأمثلة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ماتت عن أبوين و زوج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مات عن أبوين و زوجة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فالزوج في الأوّل، و الزوجة في الثاني، و الأُمّ في كليهما من أصحاب الفروض دون الأب، فما فضل بعد أخذهم، فهو لمن لا فرض له، أي الأب، فللزوج و الزوجة نصيبهما الأعلى و للأم م الثلث، و الباقي للأب لأنّه لا فرض له، نعم الأب من أصحاب الفروض إذا كان للميّت ولد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لِأَبَوَيْهِ لِكُلِّ واحِدٍ مِنْهُمَا السُّدُسُ مِمّا تَرَكَ إِنْ كانَ لَهُ وَلَدٌ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بخلاف الأُمّ فهي مطلقاً من ذوات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الخرقي في متن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زوج و أبوان، أُعطي الزوج النصف و الأُم ثلث ما بقي، و ما بقي فللأب، و إذا كانت زوجة أُعطيت الزوجة الربع، و الأُمّ ثلث ما بقي، و ما بقي للأب</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المسألتان تسمّيان العُمَريّتين لأنّ عُمَر قضى فيهما بهذا القضاء، فتبعه على ذلك عثمان و زيد بن ثابت و ابن مسعود، و روي ذلك عن علي، و به قال الحسن و الثوري و مالك و الشافعي رضي اللّه عنهم و أصحاب الرأي، و جعل ابن عباس ثلث المال كلّه للاُمّ في المسألتين، و يروى ذلك عن علي</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bookmarkStart w:id="30" w:name="pg11500_106285"/>
    </w:p>
    <w:p>
      <w:pPr>
        <w:pStyle w:val="BookText"/>
        <w:rPr/>
      </w:pPr>
      <w:bookmarkEnd w:id="3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الفرض و لكن كان للأُمّ حاجب، فللزوج و الزوجة نصيبهما الأعلى و للأُمّ السدس، و الكلّ من أصحاب الفرض، و الباقي للأب الذي لا فرض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مات عن أبوين و ابن و زوج أو زوجة، فلهما نصيبهما الأدنى لأجل الولد و للوالدين السدسان و الباقي للابن الذي لا فرض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مات عن زوج أو زوجة و إخوة من الأُمّ، و إخوة من الأبوين أو من الأب، فللزوج النصف أو للزوجة الربع، و للإخوة من الأُم الثلث، و الباقي لمن لا فرض له، أي الإخوة من الأبوين أو الذين يتقرّبون بالأب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الصورة فالزائد بعد إخراج الفرائض للمساوي في الطبقة الّذي لا فرض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هذه الصورة موضع اتّفاق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 الشيعة</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3259496_73709187"/>
      <w:bookmarkStart w:id="32" w:name="_Toc11"/>
      <w:bookmarkEnd w:id="31"/>
      <w:r>
        <w:rPr>
          <w:rtl w:val="true"/>
        </w:rPr>
        <w:t>السابع</w:t>
      </w:r>
      <w:r>
        <w:rPr>
          <w:rtl w:val="true"/>
        </w:rPr>
        <w:t xml:space="preserve">: </w:t>
      </w:r>
      <w:r>
        <w:rPr>
          <w:rtl w:val="true"/>
        </w:rPr>
        <w:t>ترتّب الثمرة إذا لم يكن قريب مساو لا فرض له</w:t>
      </w:r>
      <w:bookmarkEnd w:id="3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 يكن بين الورثة وراء أصحاب الفروض</w:t>
      </w:r>
    </w:p>
    <w:p>
      <w:pPr>
        <w:pStyle w:val="BookText"/>
        <w:rPr/>
      </w:pPr>
      <w:r>
        <w:rPr>
          <w:rFonts w:ascii="Amiri" w:hAnsi="Amiri" w:eastAsia="Amiri" w:cs="Amiri"/>
          <w:color w:val="111111"/>
          <w:sz w:val="28"/>
          <w:sz w:val="28"/>
          <w:szCs w:val="28"/>
          <w:rtl w:val="true"/>
          <w:lang w:bidi="ar-SA"/>
        </w:rPr>
        <w:t>قريب مساو لا فرض له و زادت سهام التركة عن الفروض، فهناك رأيان مختلفان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كلّهم على أنّ الزائد يرد إلى أصحاب الفرائض عدا الزوج و الزوجة</w:t>
      </w:r>
      <w:r>
        <w:rPr>
          <w:rStyle w:val="FootnoteAnchor"/>
          <w:rtl w:val="true"/>
        </w:rPr>
        <w:footnoteReference w:id="12"/>
      </w:r>
      <w:r>
        <w:rPr>
          <w:rFonts w:ascii="Amiri" w:hAnsi="Amiri" w:eastAsia="Amiri" w:cs="Amiri"/>
          <w:color w:val="111111"/>
          <w:sz w:val="28"/>
          <w:sz w:val="28"/>
          <w:szCs w:val="28"/>
          <w:rtl w:val="true"/>
          <w:lang w:bidi="ar-SA"/>
        </w:rPr>
        <w:t>بنسبة سهامهم، فإذا مات عن أبوين و بنت و ليس في طبقتهم من ينتمي إلى الميّت بلا واسطة سواهم، يرد الفاضل أي السدس عليهم بنسبة سهامهم، فيرد السدس عليهم أخماساً فللأبوين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الخمسان من السدس، و للبنت ثلاثة أخماس منه، و لا تخرج التركة عن هذه الطبقة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السنّة يرون أنّه يرد إلى أقرباء الميّت من جانب الأب و الابن و هم العصبة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الأُمور فلندرس أدلّة القولين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33" w:name="pg11500_106287"/>
    </w:p>
    <w:p>
      <w:pPr>
        <w:pStyle w:val="Heading2"/>
        <w:numPr>
          <w:ilvl w:val="1"/>
          <w:numId w:val="1"/>
        </w:numPr>
        <w:rPr/>
      </w:pPr>
      <w:bookmarkStart w:id="34" w:name="__RefHeading___Toc3259498_73709187"/>
      <w:bookmarkStart w:id="35" w:name="_Toc12"/>
      <w:bookmarkEnd w:id="33"/>
      <w:bookmarkEnd w:id="34"/>
      <w:r>
        <w:rPr>
          <w:rtl w:val="true"/>
        </w:rPr>
        <w:t>دراسة أدلّة نفاة التعصيب</w:t>
      </w:r>
      <w:bookmarkEnd w:id="35"/>
    </w:p>
    <w:p>
      <w:pPr>
        <w:pStyle w:val="Heading3"/>
        <w:numPr>
          <w:ilvl w:val="2"/>
          <w:numId w:val="1"/>
        </w:numPr>
        <w:rPr/>
      </w:pPr>
      <w:bookmarkStart w:id="36" w:name="__RefHeading___Toc3259500_73709187"/>
      <w:bookmarkStart w:id="37" w:name="_Toc13"/>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احتجّت الإمامية على نفي التعصيب و انّه لا دور له في الميراث و انّه مع وجود الأقرب و إن كان ذا فرض لا يرد إلى البعيد و إن كان ذكراً بالكتاب و السنّة، و إليك دراسة ما يدلّ على نفيه من الكتاب</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3259502_73709187"/>
      <w:bookmarkStart w:id="39" w:name="_Toc14"/>
      <w:bookmarkEnd w:id="38"/>
      <w:r>
        <w:rPr>
          <w:rtl w:val="true"/>
        </w:rPr>
        <w:t>الآية الأُولى مشاركة النساء للرجال في الميراث</w:t>
      </w:r>
      <w:bookmarkEnd w:id="3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لِلرِّجالِ نَصِيبٌ مِمّا تَرَكَ الْوالِدانِ وَ الْأَقْرَبُونَ وَ لِلنِّساءِ نَصِيبٌ مِمّا تَرَكَ الْوالِدانِ وَ الْأَقْرَبُونَ مِمّا قَلَّ مِنْهُ أَوْ كَثُرَ نَصِيباً مَفْرُوضاً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الآية انّ النساء في درجة الرجال من حيث الاستحقاق و انّ كلّ مورد يرث فيه الرجل، ترث فيه المرأة إلاّ ما خرج بالدليل كالقاتل و المرتد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أوجب توريث جميع النساء و الأقربين، و دلّت على المساواة بين الذكور و الإناث في استحقاق الإرث لا في مقداره، لأنّها حكمت بأنّ للنساء نصيباً كما حكمت بأنّ للرجال نصيباً، مع أنّ القائل بالتعصيب يُورّث الرجال دون النساء مع كونهما في رتبة واحدة، و ذلك في الصور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مات و ترك بنتاً، و أخاً و أُختاً، فالفاضل عن فريضة البنت يرد إلى الأخ، و يحكم على الأُخت بالحرمان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مات و ترك بنتاً، و ابن أخ، و ابن أُخت، فالقائل بالتعصيب يعطي النصف للبنت، و النصف الآخر لابن الأخ، و لا شيء لابن أُخته مع أنّهما في درجة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مات و ترك أُختاً، و عمّاً، و عمّة، فالفاضل عن فريضة الأُخت يرد إلى العم، لا العمّة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مات و ترك بنتاً، و ابن أخ، و بنت أخ، فإنّهم يعطون النصف للبنت، و النصف الآخر لابن الأخ، و لا يعطون شيئاً لبنت الأخ مع كونهما في درجة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تحكم بوراثة الرجال و النساء معاً و بوراثة الجميع، و القائل بالتعصيب يورّث الرجال دون النساء و الحكم به أشبه بحكم الجاهلية المبني على هضم حقوق النساء كما سيوافيك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ظهور الآية في مشاركة الرجال و النساء، على خصوص الميراث المفروض، لا الميراث لأجل التعصيب كما ترى، لأنّه حمل بلا قرينة في الآية، و على خلاف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نتيجة القول بالتعصيب هو توريث الرجال و إهمال النساء على ما كانت الجاهلية عليه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الصافي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 وَ الْأَقْرَبُونَ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أبطل اللّه بهذه الآية النظام الجاهلي المبنيّ على توريث الرجال دون النساء، مثل توريث الابن دون البنت، و توريث الأخ دون الأُخت، و توريث</w:t>
      </w:r>
    </w:p>
    <w:p>
      <w:pPr>
        <w:pStyle w:val="BookText"/>
        <w:rPr/>
      </w:pPr>
      <w:r>
        <w:rPr>
          <w:rFonts w:ascii="Amiri" w:hAnsi="Amiri" w:eastAsia="Amiri" w:cs="Amiri"/>
          <w:color w:val="111111"/>
          <w:sz w:val="28"/>
          <w:sz w:val="28"/>
          <w:szCs w:val="28"/>
          <w:rtl w:val="true"/>
          <w:lang w:bidi="ar-SA"/>
        </w:rPr>
        <w:t>العم دون العمّة، و ابن العم دون بنته، فقرّر بها مشاركة النساء مع الرجال في الإرث، إذا كنّ معهم في القرابة في مرتبة واحدة، كالابن و البنت، و الأخ و الأُخت، و ابن الابن و بنته، و العم و العمّة و غيرهم، فلا يوجد في الشرع مورد تكون المرأة مع المرء في درجة واحدة إلاّ و هي ترث من الميت بحكم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القول بحرمان الرجال الذين هم من طبقة واحدة نقض لهذه الضابطة المحكمة الشريفة، كذلك القول بحرمان النساء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النظام الذي تجلّى فيه اعتناء الإسلام بشأن المرأة و رفع مستواها في الحقوق المالية كسائر حقوقها يقتضي أن يكون عامّاً لا يقبل التخصيص و الاستثناء</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توريث الرجال دون النساء مع المساواة في القربى و الدرجة، من أحكام الجاهلية، و قد نسخ اللّه بشريعة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الجاهلية، و ذمّ من أقام عليها و استمرّ على العمل بها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فَحُكْمَ الْجاهِلِيَّةِ يَبْغُونَ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أَحْسَنُ مِنَ اللّهِ حُكْماً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و ليس لهم أن يقولوا إنّنا نخصّص الآية التي ذكرتموها بالسنّة، و ذلك أنّ السنّة التي لا تقتضي العلم القاطع لا يُخصَّص بها القرآن، كما لم يُنسخ بها، و إنّما يجوز بالسنّة أن يخصّص و ينسخ إذا كانت تقتضي العلم و اليقين، و لا خلاف في أنّ الأخبار المروية في توريث العصبة أخبار آحاد لا توجب علماً، و أكثر ما يقتضيه غلبة الظن، على أنّ أخبار التعصيب معارضة بأخبار كثيرة ترويها الشيعة من طرق مختلفة في إبطال أن يكون الميراث بالعصبة، و أنّه بالقربى و الرحم، و إذا تعارضت الأخبار رجعنا إلى ظاهر الكتاب</w:t>
      </w:r>
      <w:r>
        <w:rPr>
          <w:rFonts w:eastAsia="Amiri" w:cs="Amiri" w:ascii="Amiri" w:hAnsi="Amiri"/>
          <w:color w:val="111111"/>
          <w:sz w:val="28"/>
          <w:szCs w:val="28"/>
          <w:rtl w:val="true"/>
          <w:lang w:bidi="ar-SA"/>
        </w:rPr>
        <w:t>.</w:t>
      </w:r>
      <w:r>
        <w:rPr>
          <w:rStyle w:val="FootnoteAnchor"/>
        </w:rPr>
        <w:footnoteReference w:id="16"/>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40" w:name="pg11500_106292"/>
    </w:p>
    <w:p>
      <w:pPr>
        <w:pStyle w:val="Heading3"/>
        <w:numPr>
          <w:ilvl w:val="2"/>
          <w:numId w:val="1"/>
        </w:numPr>
        <w:rPr/>
      </w:pPr>
      <w:bookmarkStart w:id="41" w:name="__RefHeading___Toc3259504_73709187"/>
      <w:bookmarkStart w:id="42" w:name="_Toc15"/>
      <w:bookmarkEnd w:id="40"/>
      <w:bookmarkEnd w:id="41"/>
      <w:r>
        <w:rPr>
          <w:rtl w:val="true"/>
        </w:rPr>
        <w:t>الآية الثانية الضابطة في الميراث هي الأقربية</w:t>
      </w:r>
      <w:bookmarkEnd w:id="42"/>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أُولُوا الْأَرْحامِ بَعْضُهُمْ أَوْلى بِبَعْضٍ فِي كِتابِ اللّهِ إِنَّ اللّهَ بِكُلِّ شَيْءٍ عَلِيمٌ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قال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اَلنَّبِيُّ أَوْلى بِالْمُؤْمِنِينَ مِنْ أَنْفُسِهِمْ وَ أَزْواجُهُ أُمَّهاتُهُمْ وَ أُولُوا الْأَرْحامِ بَعْضُهُمْ أَوْلى بِبَعْضٍ فِي كِتابِ اللّهِ مِنَ الْمُؤْمِنِينَ وَ الْمُهاجِرِينَ إِلاّ أَنْ تَفْعَلُوا إِلى أَوْلِيائِكُمْ مَعْرُوفاً كانَ ذلِكَ فِي الْكِتابِ مَسْطُوراً </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ظاهرة في أنّ ذوي الأرحام و القرابة بعضهم أحقّ بميراث بعضهم من غيرهم، و المروي عن جماعة من المفسّرين انّ الآية ناسخة لما قبله من التوارث</w:t>
      </w:r>
    </w:p>
    <w:p>
      <w:pPr>
        <w:pStyle w:val="BookText"/>
        <w:rPr/>
      </w:pPr>
      <w:r>
        <w:rPr>
          <w:rFonts w:ascii="Amiri" w:hAnsi="Amiri" w:eastAsia="Amiri" w:cs="Amiri"/>
          <w:color w:val="111111"/>
          <w:sz w:val="28"/>
          <w:sz w:val="28"/>
          <w:szCs w:val="28"/>
          <w:rtl w:val="true"/>
          <w:lang w:bidi="ar-SA"/>
        </w:rPr>
        <w:t xml:space="preserve">بالمعاقدة و الهجرة و غير ذلك من الأسباب، فقد كانوا يتوارثون بالمؤاخاة، فانّ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آخى بين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وجه الأولوية هو الأقربية، فكلّ من كان أقرب إلى الميت في النسب كان أولى بالميراث، سواء كان ذا سهم أو غير ذي سهم، و سواء كان عصبة أو غير ذي عصبة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قال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الولاية بين أُولي الأرحام و القرابات، و هي ولاية الإرث، فانّ سائر أقسام الولاية لا ينحصر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الآية تنسخ ولاية الإرث بالمؤاخاة التي أجراها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المسلمين في أوّل الهجرة، و تُثبت الإرث بالقرابة، سواء كان هناك ذو سهم أو لم يكن، و كان عصبة أو لم يكن، فالآية مطلقة كما هو ظاهر</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استدلّ بالآية بعض الفقهاء و المفسّرين في مورد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الإرث و فسروه بالنحو التالي الموافق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السرخسي في مبسوطه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الميراث يبنى على الأقرب،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تَرَكَ الْوالِدانِ وَ الْأَقْرَبُونَ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زيادة القرب تدلّ على قوة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بعضهم أقرب فهو بالميراث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ميراث ذوي الأرحام يبنى على القرب</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على أنّ مفاد الآية هو منع القريب البعيد هو انّ بعض فقهاء السنة تمسك بالآية على أُولوية بعض العصبة على بعض،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الأخ على ابن الأخ، و العم على ابن العم، حتّى أنّهم يقدّمون الأخ لأبوين على ابن الأخ لأب، كما أنّ العمّ لأبوين يقدّمونه على العمّ لأب، و ابن العم لأبوين على ابن العم لأب، تمسّكاً بالآية</w:t>
      </w:r>
      <w:r>
        <w:rPr>
          <w:rFonts w:eastAsia="Amiri" w:cs="Amiri" w:ascii="Amiri" w:hAnsi="Amiri"/>
          <w:color w:val="111111"/>
          <w:sz w:val="28"/>
          <w:szCs w:val="28"/>
          <w:rtl w:val="true"/>
          <w:lang w:bidi="ar-SA"/>
        </w:rPr>
        <w:t>.</w:t>
      </w:r>
      <w:r>
        <w:rPr>
          <w:rStyle w:val="FootnoteAnchor"/>
        </w:rPr>
        <w:footnoteReference w:id="22"/>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انّ الآية وردت في سورتين مدنيتين، فهي تؤكد على نسخ ما كان شائعاً في الجاهلية من تقديم الأقوياء على الضعفاء، و الرجال على النساء في الميراث، و تضع ملاكاً جديداً، هو الأقربية للميت، فالأقرب يرث و يمنع غيره من دون فرق بين الرجل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فكيف يرث الأخ أو العم مع وجود الأقرب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البنت أو الأُخت و هما أقرب إلى الميّت من الأخ و العم، لأنّ البنت تتقرّب إلى الميّت بنفسها، و الأخ يتقرّب إليه بالأب، و الأُخت تتقرّب إلى الميّت بالأب، و العمّ يتقرّب إليه بواسطة الجد، و الأُخت تتقرّب بواسطة، و العم يتقرّب بواسطتين، و أولاده بوسائط</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على أنّ الآية في بيان تقديم الأقرب فالأقرب مضافاً إلى ما مرّ من أنّها وردت ناسخة للتوارث بمعاقدة الإيمان و التوارث بالمهاجرة اللَّذين كانا ثابتين في صدر الإسلام أنّ عليّاً كان لا يعطي الموالي شيئاً مع ذي رحم، سمّيت له فريضة أم لم تسم له فريضة و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أُولُوا الْأَرْحامِ بَعْضُهُمْ أَوْلى بِبَعْضٍ فِي كِتابِ اللّهِ إِنَّ اللّهَ بِكُلِّ شَيْءٍ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مكانهم فلم يجعل لهم مع أُولي الأرحام</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 روى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أُولُوا الْأَرْحامِ بَعْضُهُمْ أَوْلى بِبَعْضٍ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بعضهم أولى بالميراث من بعض، لأنّ أقربهم إليه رحماً أولى به، ثمّ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أولى بالميت و أقربهم إليه؟ أُمّه؟ أو أخوه؟ أ ليس الأُمّ أقرب إلى الميّت من إخوته و أخواته؟</w:t>
      </w:r>
      <w:r>
        <w:rPr>
          <w:rStyle w:val="FootnoteAnchor"/>
          <w:rtl w:val="true"/>
        </w:rPr>
        <w:footnoteReference w:id="24"/>
      </w:r>
      <w:r>
        <w:rPr>
          <w:rFonts w:ascii="Amiri" w:hAnsi="Amiri" w:eastAsia="Amiri" w:cs="Amiri"/>
          <w:color w:val="111111"/>
          <w:sz w:val="28"/>
          <w:sz w:val="28"/>
          <w:szCs w:val="28"/>
          <w:rtl w:val="true"/>
          <w:lang w:bidi="ar-SA"/>
        </w:rPr>
        <w:t>و روي عن زيد بن ثابت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قضاء الجاهلية أن يورث الرجال دون النساء</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يثار على الاستدلال بالآية استفساران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الآية بما دلّ على ميراث العصبة</w:t>
      </w:r>
    </w:p>
    <w:p>
      <w:pPr>
        <w:pStyle w:val="BookText"/>
        <w:rPr/>
      </w:pPr>
      <w:r>
        <w:rPr>
          <w:rFonts w:ascii="Amiri" w:hAnsi="Amiri" w:eastAsia="Amiri" w:cs="Amiri"/>
          <w:color w:val="111111"/>
          <w:sz w:val="28"/>
          <w:sz w:val="28"/>
          <w:szCs w:val="28"/>
          <w:rtl w:val="true"/>
          <w:lang w:bidi="ar-SA"/>
        </w:rPr>
        <w:t>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أُولُوا الْأَرْحامِ بَعْضُهُمْ أَوْلى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يعدو إمّا أن يكون مطلقاً أو عاماً، فالمطلق يُقيّد و العام يخصص بما ورد من توريث العصبة بعد استيفاء ذوي الفروض فروضهم و إن كانوا بُعَداء</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غضّ النظر عن الضعف الطارئ على أدلّة التعصيب سنداً و دلالة كما سيوافيك انّ الآية المباركة تأبى على التخصيص و التقييد، لأنّها تحكي عن تشريع صدر استجابةً لميول و رغبات البشر، و هو انّ الإنسان أرأف و أميل بالوارث الأقرب من الأبعد، فتخصيص مثل ذلك التشريع يأباه الطبع السليم،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عَلَى الْمُحْسِنِينَ مِنْ سَبِيلٍ وَ اللّهُ غَفُورٌ رَحِيمٌ </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أو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جَعَلَ عَلَيْكُمْ فِي الدِّينِ مِنْ حَرَجٍ </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يُضِيعُ أَجْرَ الْمُحْسِنِينَ </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و أمثالها</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الشاهد على إبائها التخصيص و التقييد انّه لو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أُولُوا الْأَرْحامِ بَعْضُهُمْ أَوْلى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مورد كذا لما استحسنه الطبع و لاستهجنه، مثل ما 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يُضِيعُ أَجْرَ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مورد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 الرجال من الميراث في الفقه الإمامي</w:t>
      </w:r>
    </w:p>
    <w:p>
      <w:pPr>
        <w:pStyle w:val="BookText"/>
        <w:rPr/>
      </w:pPr>
      <w:r>
        <w:rPr>
          <w:rFonts w:ascii="Amiri" w:hAnsi="Amiri" w:eastAsia="Amiri" w:cs="Amiri"/>
          <w:color w:val="111111"/>
          <w:sz w:val="28"/>
          <w:sz w:val="28"/>
          <w:szCs w:val="28"/>
          <w:rtl w:val="true"/>
          <w:lang w:bidi="ar-SA"/>
        </w:rPr>
        <w:t>إذا دلّت الآية على المشاركة، فكما أنّ حرمان النساء مخالف لها، فكذلك حرمان الرجال مع أنّه ثابت في القول بعدم التعصيب، و ذلك كما في المثال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مات الرجل عن بنت و عم أو ابن عم، فإنّ التركة كلّها للبنت عندهم و لا حظّ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حرمان الرجال دون النساء عكس القول بالتعصيب، و يشتركان في الحرمان و مخالفة الذكر الحكيم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الحرمان في المثال لأجل عدم الاستواء في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أنّ ولد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ذكوراً كانوا أو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يرثون مع الولد، لعدم التساوي في الدرجة و القرابة، و إن كانوا</w:t>
      </w:r>
    </w:p>
    <w:p>
      <w:pPr>
        <w:pStyle w:val="BookText"/>
        <w:rPr/>
      </w:pPr>
      <w:r>
        <w:rPr>
          <w:rFonts w:ascii="Amiri" w:hAnsi="Amiri" w:eastAsia="Amiri" w:cs="Amiri"/>
          <w:color w:val="111111"/>
          <w:sz w:val="28"/>
          <w:sz w:val="28"/>
          <w:szCs w:val="28"/>
          <w:rtl w:val="true"/>
          <w:lang w:bidi="ar-SA"/>
        </w:rPr>
        <w:t>يدخلون تحت التسمية بالرجال و النساء، و إذا كانت القرابة و الدرجة مراعاة بين العم و ابنه، فلا يساوي العم البنت في القربى و الدرجة، و هو أبعد منها كثيراً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كذلك العمومة و العمّات و بنات العم و بنو العم، لأنّ درجة هؤلاء واحدة و قرباهم متساوية و المخالف يورِّث الرجال منهم دون النساء، فظاهر الآية حجّة عليه و فعله مخالف لها، و ليس كذلك قولنا في المسألة التي وقعت الإشارة إليها، و هذا واضح فليتأمّل</w:t>
      </w:r>
      <w:r>
        <w:rPr>
          <w:rFonts w:eastAsia="Amiri" w:cs="Amiri" w:ascii="Amiri" w:hAnsi="Amiri"/>
          <w:color w:val="111111"/>
          <w:sz w:val="28"/>
          <w:szCs w:val="28"/>
          <w:rtl w:val="true"/>
          <w:lang w:bidi="ar-SA"/>
        </w:rPr>
        <w:t>.</w:t>
      </w:r>
      <w:r>
        <w:rPr>
          <w:rStyle w:val="FootnoteAnchor"/>
        </w:rPr>
        <w:footnoteReference w:id="29"/>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43" w:name="pg11500_106300"/>
    </w:p>
    <w:p>
      <w:pPr>
        <w:pStyle w:val="Heading3"/>
        <w:numPr>
          <w:ilvl w:val="2"/>
          <w:numId w:val="1"/>
        </w:numPr>
        <w:rPr/>
      </w:pPr>
      <w:bookmarkStart w:id="44" w:name="__RefHeading___Toc3259506_73709187"/>
      <w:bookmarkStart w:id="45" w:name="_Toc16"/>
      <w:bookmarkEnd w:id="43"/>
      <w:bookmarkEnd w:id="44"/>
      <w:r>
        <w:rPr>
          <w:rtl w:val="true"/>
        </w:rPr>
        <w:t>الآية الثالثة توريث الأُخت مشروط بعدم وجود الولد</w:t>
      </w:r>
      <w:bookmarkEnd w:id="45"/>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يَسْتَفْتُونَكَ قُلِ اللّهُ يُفْتِيكُمْ فِي الْكَلالَةِ إِنِ امْرُؤٌ هَلَكَ لَيْسَ لَهُ وَلَدٌ وَ لَهُ أُخْتٌ فَلَها نِصْفُ ما تَرَكَ وَ هُوَ يَرِثُها إِنْ لَمْ يَكُنْ لَها وَلَدٌ فَإِنْ كانَتَا اثْنَتَيْنِ فَلَهُمَا الثُّلُثانِ مِمّا تَرَكَ وَ إِنْ كانُوا إِخْوَةً رِجالاً وَ نِساءً فَلِلذَّكَرِ مِثْلُ حَظِّ الْأُنْثَيَيْنِ يُبَيِّنُ اللّهُ لَكُمْ أَنْ تَضِلُّوا وَ اللّهُ بِكُلِّ شَيْءٍ عَلِيمٌ </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ظاهر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امْرُؤٌ هَلَكَ لَيْسَ لَهُ وَلَدٌ وَ لَهُ أُخْتٌ فَلَها نِصْفُ ما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توريث الأُخت من الأخ مشروط بعدم وجود الولد له مع أنّه يلزم في بعض صور التعصيب توريث الأُخت مع وجود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للميّت،</w:t>
      </w:r>
    </w:p>
    <w:p>
      <w:pPr>
        <w:pStyle w:val="BookText"/>
        <w:rPr/>
      </w:pPr>
      <w:r>
        <w:rPr>
          <w:rFonts w:ascii="Amiri" w:hAnsi="Amiri" w:eastAsia="Amiri" w:cs="Amiri"/>
          <w:color w:val="111111"/>
          <w:sz w:val="28"/>
          <w:sz w:val="28"/>
          <w:szCs w:val="28"/>
          <w:rtl w:val="true"/>
          <w:lang w:bidi="ar-SA"/>
        </w:rPr>
        <w:t>و ذلك فيما إذا كان التعصيب بالغير كأُخت أو أخوات لأبوين، أو أُخت و أخوات لأب، فإنّهنّ عصبة بالغير من جانب الأب فلو مات عن بنت و أُخت لأبوين أو لأب، فالنصف للبنت، و النصف الآخر للعصبة و هي الأُخت أو الأخوات مع أنّ وراثة الأُخت مشروطة بعدم الولد في صريح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الأخوات مع البنات عصبة، لهنّ ما فضل، و ليس لهنّ معهنّ فريضة مسمّاة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قدامة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بالأخوات هاهنا، الأخوات من الأبوين، أو من الأب، و إليه ذهب عامّة الفقهاء إلاّ ابن عباس و من تابعه، فإنّه يروى عنه أنّه كان لا يجعل الأخوات مع البنات عصبة فقال في بنت و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للبنت النصف و لا شيء للأُخت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أعلم أم اللّه، يريد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امْرُؤٌ هَلَكَ لَيْسَ لَهُ وَلَدٌ وَ لَهُ أُخْتٌ فَلَها نِصْفُ ما تَرَكَ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فإنّما جعل لها الميراث بشرط عدم الولد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ابن قدامة ردّ على الاستدلال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تدل</w:t>
      </w:r>
    </w:p>
    <w:p>
      <w:pPr>
        <w:pStyle w:val="BookText"/>
        <w:rPr/>
      </w:pPr>
      <w:r>
        <w:rPr>
          <w:rFonts w:ascii="Amiri" w:hAnsi="Amiri" w:eastAsia="Amiri" w:cs="Amiri"/>
          <w:color w:val="111111"/>
          <w:sz w:val="28"/>
          <w:sz w:val="28"/>
          <w:szCs w:val="28"/>
          <w:rtl w:val="true"/>
          <w:lang w:bidi="ar-SA"/>
        </w:rPr>
        <w:t>على أنّ الأُخت لا يفرض لها النصف مع الولد، و نحن نقول به، فإنّ ما تأخذه مع البنت ليس بفرض، و إنّما هو بالتعصيب كميراث الأخ، و قد وافق ابن عباس على ثبوت ميراث الأخ مع الولد مع 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يَرِثُها إِنْ لَمْ يَكُنْ لَها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قياس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يسقط الأخ لاشتراطه في توريثه منها عدم ولدها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الأُخت ترث من الأخ النصف في حالتي وجود الولد و عدمه، غاية الأمر عند عدم الولد ترث فرضاً، و عند وجوده ترثه عصبة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المهم عند المخاطبين هو أصل الوراثة، لا التسمية تارة بالفرض و أُخرى بالتعصيب، فانّ الأسماء ليس بمطروحة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الولد و عدمه غير مؤثّر فيها، كان التقييد لغواً، و ما ذكره من أنّها ترث النصف عند الولد تعصيباً لا فرضاً أشبه بالتلاعب بالألفاظ، و المخاطب بالآية هو العرف العام، و هو لا يفهم من الآية سوى حرمان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الأُخت عند الولد و توريثها معه باسم آخر، يراه مناقضاً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نسبه إلى ابن عباس من أنّه كان يرى ميراث الأخ مع الولد، غير ثابت، و على فرض تسليمه فهو ليس بحجة</w:t>
      </w:r>
      <w:r>
        <w:rPr>
          <w:rFonts w:eastAsia="Amiri" w:cs="Amiri" w:ascii="Amiri" w:hAnsi="Amiri"/>
          <w:color w:val="111111"/>
          <w:sz w:val="28"/>
          <w:szCs w:val="28"/>
          <w:rtl w:val="true"/>
          <w:lang w:bidi="ar-SA"/>
        </w:rPr>
        <w:t>.</w:t>
      </w:r>
      <w:bookmarkStart w:id="46" w:name="pg11500_106304"/>
    </w:p>
    <w:p>
      <w:pPr>
        <w:pStyle w:val="Heading2"/>
        <w:numPr>
          <w:ilvl w:val="1"/>
          <w:numId w:val="1"/>
        </w:numPr>
        <w:rPr/>
      </w:pPr>
      <w:bookmarkStart w:id="47" w:name="__RefHeading___Toc3259508_73709187"/>
      <w:bookmarkStart w:id="48" w:name="_Toc17"/>
      <w:bookmarkEnd w:id="46"/>
      <w:bookmarkEnd w:id="47"/>
      <w:r>
        <w:rPr>
          <w:rtl w:val="true"/>
        </w:rPr>
        <w:t>الاستدلال بالسنّة على نفي التعصيب</w:t>
      </w:r>
      <w:bookmarkEnd w:id="48"/>
    </w:p>
    <w:p>
      <w:pPr>
        <w:pStyle w:val="Heading3"/>
        <w:numPr>
          <w:ilvl w:val="2"/>
          <w:numId w:val="1"/>
        </w:numPr>
        <w:rPr/>
      </w:pPr>
      <w:bookmarkStart w:id="49" w:name="__RefHeading___Toc3259510_73709187"/>
      <w:bookmarkStart w:id="50" w:name="_Toc18"/>
      <w:bookmarkEnd w:id="49"/>
      <w:r>
        <w:rPr>
          <w:rtl w:val="true"/>
        </w:rPr>
        <w:t>اشارة</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الشيخان عن سعد بن أبي وقاص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بمكّة مرضاً فأشفيت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على الموت فأتاني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مالاً كثيراً و ليس يرثني إلاّ</w:t>
      </w:r>
    </w:p>
    <w:p>
      <w:pPr>
        <w:pStyle w:val="BookText"/>
        <w:rPr/>
      </w:pPr>
      <w:r>
        <w:rPr>
          <w:rFonts w:ascii="Amiri" w:hAnsi="Amiri" w:eastAsia="Amiri" w:cs="Amiri"/>
          <w:color w:val="111111"/>
          <w:sz w:val="28"/>
          <w:sz w:val="28"/>
          <w:szCs w:val="28"/>
          <w:rtl w:val="true"/>
          <w:lang w:bidi="ar-SA"/>
        </w:rPr>
        <w:t>ابنتي أ فأتصدّق بثلثي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كبير، إنّك إن تركت ولدك أغنياء خيرٌ من أن تتركهم عالةً يتكفّفون الناس</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في لفظ مسلم في باب الوصية بالثلث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يرثني إلاّ ابنة لي واحدة</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و الرواية صريحة في أنّه كان يدور في خلد سعد، أنّها الوارثة المتفرّدة و النبيّ سمع كلامه و أقرّه عليه، و لم يرد عليه بأنّ لك وارثاً آخر و هم العصبة، بل قرره على ذلك فيكون المال للبنت فالنصف فرضاً و النصف الآخر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السؤال و الجواب بعد نزول آيات الفرائض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البيهقي عن سويد بن غفلة في ابنة و امرأة و مولى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الابنة النصف و المرأة الثمن و يرد ما بقي على الابنة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الدارمي عن حيان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سويد بن غفلة فجاءه فسأله عن فريضة رجل ترك ابنته و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أُنبئك قضاء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قضاء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 لامرأته الثُّمن و لابنته النصف، ثمّ رد البقية على ابنته</w:t>
      </w:r>
      <w:r>
        <w:rPr>
          <w:rFonts w:eastAsia="Amiri" w:cs="Amiri" w:ascii="Amiri" w:hAnsi="Amiri"/>
          <w:color w:val="111111"/>
          <w:sz w:val="28"/>
          <w:szCs w:val="28"/>
          <w:rtl w:val="true"/>
          <w:lang w:bidi="ar-SA"/>
        </w:rPr>
        <w:t>.</w:t>
      </w:r>
      <w:r>
        <w:rPr>
          <w:rStyle w:val="FootnoteAnchor"/>
        </w:rPr>
        <w:footnoteReference w:id="34"/>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مالاً فلأهله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ليس الأخ، أو الأُخت من أهل الرجل و إنّما أهله أولاده و زوجته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يستدل بما روي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تحوز ثلاث 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عتيقها و لقيطها و ولدها الذي تلاعن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وجه الاستدلال ظاهر في الرواية انّ الأُمّ ترث ما يتركه ولدها كلّه، لأنّ الأب ممنوع من الإرث للملاعنة و نفي الولد عنه فيكون المال كله للأُمّ سدسه أو ثلثه بالفرض و الباقي بالردّ، لأنّ سهم الأُم هو السدس أو الثلث، و قد حكم علىي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2/916</w:t>
      </w:r>
      <w:r>
        <w:rPr>
          <w:rFonts w:ascii="Amiri" w:hAnsi="Amiri" w:eastAsia="Amiri" w:cs="Amiri"/>
          <w:color w:val="111111"/>
          <w:sz w:val="28"/>
          <w:sz w:val="28"/>
          <w:szCs w:val="28"/>
          <w:rtl w:val="true"/>
          <w:lang w:bidi="ar-SA"/>
        </w:rPr>
        <w:t xml:space="preserve">، باب ما تحوزه المرأة، ثلاث مواريث رقم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9/614</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7401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ولدها الذي لاعنت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داود و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الفاضل عن التركة بالرد عليها دون 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الرد لعدم وجود العصبة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الاستدلال به على ما إذا كانت هناك 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الاستدلال بما رواه أهل السنّة و ليعلم إنّ القول بالتعصيب يقتضي كون توريث الوارث مشروطاً بوجود وارث آخر، و هو مخالف لما علم الاتّفاق عليه، لأنّه إمّا أن يتساوى مع الوارث الآخر فيرثان، و إلاّ فيمنع و ذلك كما في المثال الآتي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خلّف الميّت بنتين، و ابنة ابن، و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 العمّ من العصبة بالنفس و الابنة عصبة بالغير يرد الفاضل إلى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شيء لبنت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لو كان معها أخ أي ابن الابن، فهي تتعصّب به، و بما أنّه أولى ذكر بالميّت يكون مقدماً على العم و يكون الفاضل بينهما أثلاثاً، للإجماع على المشاركة،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و هذا هو ما قلناه من أنّه يلزم أن يكون توريث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51" w:name="pg11500_106308"/>
    </w:p>
    <w:p>
      <w:pPr>
        <w:pStyle w:val="BookText"/>
        <w:rPr/>
      </w:pPr>
      <w:bookmarkEnd w:id="51"/>
      <w:r>
        <w:rPr>
          <w:rFonts w:ascii="Amiri" w:hAnsi="Amiri" w:eastAsia="Amiri" w:cs="Amiri"/>
          <w:color w:val="111111"/>
          <w:sz w:val="28"/>
          <w:sz w:val="28"/>
          <w:szCs w:val="28"/>
          <w:rtl w:val="true"/>
          <w:lang w:bidi="ar-SA"/>
        </w:rPr>
        <w:t>الابنة مشروطاً بالأخ و إلاّ فيرث 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الخرقي في متن 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 بنات، و بنات ابن، فللبنات الثلثان و ليس لبنات الابن شيء إلاّ أن يكون معهنّ ذكر فيعصبهن فيما بقي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قدامة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مع بنات الابن، ابن في درجتهنّ كأخيهنّ أو ابن عمّهنّ، أو أنزل منهنّ كابن أخيهنّ أو ابن ابن عمّهنّ أو ابن ابن ابن عمّهن، عصبهنّ في الباقي فجعل بينهم للذكر مثل حظّ الأُنثيين</w:t>
      </w:r>
      <w:r>
        <w:rPr>
          <w:rFonts w:eastAsia="Amiri" w:cs="Amiri" w:ascii="Amiri" w:hAnsi="Amiri"/>
          <w:color w:val="111111"/>
          <w:sz w:val="28"/>
          <w:szCs w:val="28"/>
          <w:rtl w:val="true"/>
          <w:lang w:bidi="ar-SA"/>
        </w:rPr>
        <w:t>».</w:t>
      </w:r>
      <w:r>
        <w:rPr>
          <w:rStyle w:val="FootnoteAnchor"/>
          <w:rtl w:val="true"/>
        </w:rPr>
        <w:footnoteReference w:id="36"/>
      </w:r>
    </w:p>
    <w:p>
      <w:pPr>
        <w:pStyle w:val="Heading3"/>
        <w:numPr>
          <w:ilvl w:val="2"/>
          <w:numId w:val="1"/>
        </w:numPr>
        <w:rPr/>
      </w:pPr>
      <w:bookmarkStart w:id="52" w:name="__RefHeading___Toc3259512_73709187"/>
      <w:bookmarkStart w:id="53" w:name="_Toc19"/>
      <w:bookmarkEnd w:id="52"/>
      <w:r>
        <w:rPr>
          <w:rtl w:val="true"/>
        </w:rPr>
        <w:t xml:space="preserve">الأحاديث المأثورة عن أئمّة أهل البيت </w:t>
      </w:r>
      <w:r>
        <w:rPr>
          <w:rtl w:val="true"/>
        </w:rPr>
        <w:t>(</w:t>
      </w:r>
      <w:r>
        <w:rPr>
          <w:rtl w:val="true"/>
        </w:rPr>
        <w:t>عليهم السلام</w:t>
      </w:r>
      <w:r>
        <w:rPr>
          <w:rtl w:val="true"/>
        </w:rPr>
        <w:t>)</w:t>
      </w:r>
      <w:bookmarkEnd w:id="5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أُثر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الفاضل عن الفروض للأقرب، و في ذلك روايات متضافرة لو لم نقل أنّها متواترة، و لعل الشهيد الثاني لم يتفحّص في أبواب الإرث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الإمامية إلى خبر واحد</w:t>
      </w:r>
      <w:r>
        <w:rPr>
          <w:rStyle w:val="FootnoteAnchor"/>
          <w:rtl w:val="true"/>
        </w:rPr>
        <w:footnoteReference w:id="37"/>
      </w:r>
      <w:r>
        <w:rPr>
          <w:rFonts w:ascii="Amiri" w:hAnsi="Amiri" w:eastAsia="Amiri" w:cs="Amiri"/>
          <w:color w:val="111111"/>
          <w:sz w:val="28"/>
          <w:sz w:val="28"/>
          <w:szCs w:val="28"/>
          <w:rtl w:val="true"/>
          <w:lang w:bidi="ar-SA"/>
        </w:rPr>
        <w:t xml:space="preserve">، و يظهر من الروايات أنّه كان مكتوباً في كتاب الفرائض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ترك أُمّه و أخاه؟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شيخ تريد على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المال للأقرب،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فالأخ لا يرث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أخبرتك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يعطي المال الأقرب فالأقرب</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مات و ترك ابنته و أُخته لأبيه و أُمّه؟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كلّه للابنة و ليس للأُخت من الأب و الأُمّ شيء</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عبد اللّه بن خداش المنقري أنّه سأل أبا الحسن عن رجل مات و ترك ابنته و أخاه؟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للابنة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بريد العجلي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ترك ابنة و عمّه؟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للابنة و ليس للعم شيء،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للعم مع الابنة شيء</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حسين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من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لمن هو؟ للأقرب أو العصبة؟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للأقرب و العصبة في فيه التراب</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العياشي في تفسيره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علي بن أبي طالب و عثمان في الرجل يموت و ليس له عصبة يرثونه و له ذو قرابة لا يرثونه، ليس لهم سهم مفروض،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لذوي قرابته،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أُولُوا الْأَرْحامِ بَعْضُهُمْ أَوْلى بِبَعْضٍ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ماله في بيت مال المسلمين</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الصفار، عن السندي، عن موسى بن حبيش، عن عمّه هاشم الصيداني،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العباس و موسى بن عيسى، و عنده أبو بكر بن عيّاش، و إسماعيل بن حماد بن أبي حنيفة، و علي بن ظبيان، و نوح بن درّاج تلك الأيام على القضاء،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أما ترى ما أحدث نوح بن درّاج</w:t>
      </w:r>
      <w:r>
        <w:rPr>
          <w:rStyle w:val="FootnoteAnchor"/>
          <w:rtl w:val="true"/>
        </w:rPr>
        <w:footnoteReference w:id="44"/>
      </w:r>
      <w:r>
        <w:rPr>
          <w:rFonts w:ascii="Amiri" w:hAnsi="Amiri" w:eastAsia="Amiri" w:cs="Amiri"/>
          <w:color w:val="111111"/>
          <w:sz w:val="28"/>
          <w:sz w:val="28"/>
          <w:szCs w:val="28"/>
          <w:rtl w:val="true"/>
          <w:lang w:bidi="ar-SA"/>
        </w:rPr>
        <w:t>في القضاء، أنّه ورث الخال، و طرح العصبة، و أبطل الشفعة، فقال 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عسى أن أقول لرجل قضى بالكتاب و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العبّاس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قضى بالكتاب و السنّة؟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حمزة بن عبد المطلب بعث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بابنة حمزة فسوّغها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 كلّه،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فظلم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أصلحك اللّه، شرع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فما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الحقّ</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بعض ما روي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 من أراد الإحاطة بكلّ ما روي فعليه الرجوع إلى الجوامع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bookmarkStart w:id="54" w:name="pg11500_106312"/>
    </w:p>
    <w:p>
      <w:pPr>
        <w:pStyle w:val="Heading2"/>
        <w:numPr>
          <w:ilvl w:val="1"/>
          <w:numId w:val="1"/>
        </w:numPr>
        <w:rPr/>
      </w:pPr>
      <w:bookmarkStart w:id="55" w:name="__RefHeading___Toc3259514_73709187"/>
      <w:bookmarkStart w:id="56" w:name="_Toc20"/>
      <w:bookmarkEnd w:id="54"/>
      <w:bookmarkEnd w:id="55"/>
      <w:r>
        <w:rPr>
          <w:rtl w:val="true"/>
        </w:rPr>
        <w:t>دراسة أدلّة القائلين بالتعصيب</w:t>
      </w:r>
      <w:bookmarkEnd w:id="56"/>
    </w:p>
    <w:p>
      <w:pPr>
        <w:pStyle w:val="Heading3"/>
        <w:numPr>
          <w:ilvl w:val="2"/>
          <w:numId w:val="1"/>
        </w:numPr>
        <w:rPr/>
      </w:pPr>
      <w:bookmarkStart w:id="57" w:name="__RefHeading___Toc3259516_73709187"/>
      <w:bookmarkStart w:id="58" w:name="_Toc21"/>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لقد اتّضح الحق و تجلّى بأجلى مظاهره، بقي الكلام في دراسة أدلّة المخالف، فقد استدلّ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سبحانه توريث البنات و نحوهنّ أكثر ممّا فرض لهنّ لفعل ذلك و التالي باطل، فإنّه تعالى نصّ على توريثهنّ مفصّلاً و لم يذكر زيادة على النصيب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 أنّه تعالى لما ورّث الابن الجميع لم يفرض له فرضاً، و كذا الأخ للأب و العم و أشباههم، فلو لا قصر ذوي الفروض على فرضهم لم يكن في التنصيص على المقدار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له فرض لا يزاد عنه و إلاّ كان الفرض لغواً و كل من لم يفرض له يعطى الجميع</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بورود النقيصة على ذوات الفروض عند أهل السنّة إذا عالت الفرائض على السهام، كما</w:t>
      </w:r>
    </w:p>
    <w:p>
      <w:pPr>
        <w:pStyle w:val="BookText"/>
        <w:rPr/>
      </w:pPr>
      <w:r>
        <w:rPr>
          <w:rFonts w:ascii="Amiri" w:hAnsi="Amiri" w:eastAsia="Amiri" w:cs="Amiri"/>
          <w:color w:val="111111"/>
          <w:sz w:val="28"/>
          <w:sz w:val="28"/>
          <w:szCs w:val="28"/>
          <w:rtl w:val="true"/>
          <w:lang w:bidi="ar-SA"/>
        </w:rPr>
        <w:t>سيوافيك شرحه فإنّهم يدخلون النقص على الجميع مثل باب الديون، فربّما يكون سهم البنت و الأُخت أقل من النصف، فإذا جاز النقص فما المانع من الزيادة، بل الأمر في النقصان أولى، لأنّ النقصان ينافي الفرض بخلاف الزيادة عليه بدليل آخر، فإنّ فيه إعمال الدليلين و الأخذ بمفادهما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إنّ تحديد الفرض بالنصف إنّما يكون لغواً إذا لم تترتّب عليه فائدة مطلقاً، و لكنّه ليس كذلك لترتّب الثمرة عليه فيما إذا كان معه وارث ذو فرض كالأُم، فإنّ كيفية الرد على الوارثين لا تعلم إلاّ بملاحظة فرضهما ثمّ الرد عليهما بحسب تلك النسبة فلو لم يكن سهم البنت و البنتين منصوصاً في الذكر الحكيم لما عُلِمت كيفيّة الرد عليهما و على الأُمّ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كان لا تظهر للقيد ثمرة إذا كان الوارث هو البنت أو الأُخت وحدها، و لكنّه ليس كذلك إذا كان معه وارث آخر و هو ذو فرض مثلها كالأُمّ، فإنّ الرد عليهما يتوقّف على ملاحظة فرضهما ثمّ الرد بتلك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التصريح بالفرض لأجل التنبيه على أنّها لا تستحق بالذات إلاّ النصف أو الثلثين، و إنّما تأخذ الزائد بعنوان آخر و هو أنّه ليس معه وارث مساو بخلاف الابن أو الأخ، فإنّ كلاّ يستحق المال كلّه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في المقام أشبه بمفهوم اللقب و هو ليس بحجة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امْرُؤٌ هَلَكَ لَيْسَ لَهُ وَلَدٌ وَ لَهُ أُخْتٌ فَلَها نِصْفُ ما تَرَكَ وَ هُوَ يَرِثُها إِنْ لَمْ يَكُنْ لَها وَلَدٌ </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حكم بتوريث الأُخت، نصف ميراث أخيها مع عدم الولد و حكم بتوريث الأخ ميراث الأُخت إذا لم يكن لها ولد أجمع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يَرِثُها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ورثت الأُخت نصفه بالفرض و نصفه الآخر بالردّ لأجل القرابة الجميع كما هو مذهبكم لن تبقَ للفرق بين الأخ و الأُخت ثمرة أصلاً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بالنصف مع أنّها ربّما ترث الكلّ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لأجل التنبيه، على أنّها لا تستحق بالذات إلاّ النصف و أنّ الأصل القرآني هو استحقاق الذكر ضعف سهم الأُنثى و هو النصف، و أنّها إن ورثت المال كله فإنّما هو لأجل طارئة خاصة، على أنّ التصريح بالفرض لأجل تبيين ما يتوقّف عليه تقسيم الفاضل، بينها و بين من يشاركه في الطبقة كالإخوة أو الأخوات من الأُمّ، فإنّ الباقي يردّ عليهما بنسبة سهامهما فلو لم يكن هناك تحديد بالنصف فمن أين تعلم كيفيّة الرد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إِنِّي خِفْتُ الْمَوالِيَ مِنْ وَرائِي وَ كانَتِ امْرَأَتِي عاقِراً 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 يَرِثُ مِنْ آلِ يَعْقُوبَ وَ اجْعَلْهُ رَبِّ رَضِيًّا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إِنِّي خِفْتُ الْمَوالِيَ مِنْ وَرائِي وَ كانَتِ امْرَأَتِي عاقِراً 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 يَرِثُ مِنْ آلِ يَعْقُوبَ وَ اجْعَلْهُ رَبِّ رَضِيًّا </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خاف أن ترثه العصبة، سأل اللّه سبحانه أن يهبه وليّاً حتى يرث المال كلّه، لا وليّة حتى ترث المال نصفه و يرث الموالي الفاضل، و لو لا ذلك لما أكّد على كون الولد الموهوب من اللّه ذكراً،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إِنِّي خِفْتُ الْمَوالِيَ مِنْ وَرائِي وَ كانَتِ امْرَأَتِي عاقِراً 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 يَرِثُ مِنْ آلِ يَعْقُوبَ وَ اجْعَلْهُ رَبِّ رَضِيًّا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الأولاد ذكراً كان أو أُنثى، و ذلك على مساق إطلاق المذكّر و إرادة الجنس، و هو شائع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الَّذِينَ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قوله تعالى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هُنالِكَ دَعا زَكَرِيّا رَبَّهُ قالَ رَبِّ هَبْ لِي مِنْ لَدُنْكَ ذُرِّيَّةً طَيِّبَةً إِنَّكَ سَمِيعُ الدُّعاءِ </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يقال إنّه طلب ذرّية مثل مريم لقوله سبحانه قبل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دَخَلَ عَلَيْها زَكَرِيَّا الْمِحْرابَ وَجَدَ عِنْدَها رِزْقاً قالَ يا مَرْيَمُ أَنّى لَكِ هذا قالَتْ هُوَ مِنْ عِنْدِ اللّهِ إِنَّ اللّهَ يَرْزُقُ مَنْ يَشاءُ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دَعا</w:t>
      </w:r>
      <w:r>
        <w:rPr>
          <w:rFonts w:eastAsia="Amiri" w:cs="Amiri" w:ascii="Amiri" w:hAnsi="Amiri"/>
          <w:color w:val="111111"/>
          <w:sz w:val="28"/>
          <w:szCs w:val="28"/>
          <w:rtl w:val="true"/>
          <w:lang w:bidi="ar-SA"/>
        </w:rPr>
        <w:t xml:space="preserve">... ) </w:t>
      </w:r>
      <w:r>
        <w:rPr>
          <w:rStyle w:val="FootnoteAnchor"/>
          <w:rtl w:val="true"/>
        </w:rPr>
        <w:footnoteReference w:id="49"/>
      </w:r>
      <w:r>
        <w:rPr>
          <w:rFonts w:ascii="Amiri" w:hAnsi="Amiri" w:eastAsia="Amiri" w:cs="Amiri"/>
          <w:color w:val="111111"/>
          <w:sz w:val="28"/>
          <w:sz w:val="28"/>
          <w:szCs w:val="28"/>
          <w:rtl w:val="true"/>
          <w:lang w:bidi="ar-SA"/>
        </w:rPr>
        <w:t>أي في هذه الحال التي رأى فيها الكرامة من مريم سأل 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59" w:name="pg11500_106317"/>
    </w:p>
    <w:p>
      <w:pPr>
        <w:pStyle w:val="BookText"/>
        <w:rPr/>
      </w:pPr>
      <w:bookmarkEnd w:id="59"/>
      <w:r>
        <w:rPr>
          <w:rFonts w:ascii="Amiri" w:hAnsi="Amiri" w:eastAsia="Amiri" w:cs="Amiri"/>
          <w:color w:val="111111"/>
          <w:sz w:val="28"/>
          <w:sz w:val="28"/>
          <w:szCs w:val="28"/>
          <w:rtl w:val="true"/>
          <w:lang w:bidi="ar-SA"/>
        </w:rPr>
        <w:t xml:space="preserve">سبحانه أن يرزقه ذريّة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نقل إنّه سأل أُنثى مثل مريم، ليس لنا أن نقول إنّه طلب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سلمنا أنّه طلب الذكر لكنّه لم يطلب لأجل أنّه لو رزق الأُنثى ترثه العصبة و إنّما سأله الذكر للحبّ الكثير له، أو لأنّه أولى بالإدارة من الأُنثى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 الآثار الواردة في هذا المجال و لعلّها أهم المدارك و المصادر لهذه الفتيا</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3259518_73709187"/>
      <w:bookmarkStart w:id="61" w:name="_Toc22"/>
      <w:bookmarkEnd w:id="60"/>
      <w:r>
        <w:rPr>
          <w:rtl w:val="true"/>
        </w:rPr>
        <w:t>الرواية الأُولى</w:t>
      </w:r>
      <w:r>
        <w:rPr>
          <w:rtl w:val="true"/>
        </w:rPr>
        <w:t xml:space="preserve">: </w:t>
      </w:r>
      <w:r>
        <w:rPr>
          <w:rtl w:val="true"/>
        </w:rPr>
        <w:t>في أنّ بقية المال لأولى رجل ذكر</w:t>
      </w:r>
      <w:bookmarkEnd w:id="61"/>
    </w:p>
    <w:p>
      <w:pPr>
        <w:pStyle w:val="BookText"/>
        <w:rPr/>
      </w:pPr>
      <w:r>
        <w:rPr>
          <w:rFonts w:ascii="Amiri" w:hAnsi="Amiri" w:eastAsia="Amiri" w:cs="Amiri"/>
          <w:color w:val="111111"/>
          <w:sz w:val="28"/>
          <w:sz w:val="28"/>
          <w:szCs w:val="28"/>
          <w:rtl w:val="true"/>
          <w:lang w:bidi="ar-SA"/>
        </w:rPr>
        <w:t>روى البخاري عن مسلم بن إبراهيم، عن وهيب، عن ابن طاوس، عن أبيه،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ألحقوا الفرائض بأهلها، فما بقي فهو لأولى رجل ذكر</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باب ألحقوا الفرائض بأهلها عن ابن طاوس عن ابن عباس برقم </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الترمذي في الفرائض باب ميراث العصبة برقم </w:t>
      </w: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سنن أبي داود في الفرائض باب ميراث العصبة برقم </w:t>
      </w:r>
      <w:r>
        <w:rPr>
          <w:rFonts w:eastAsia="Amiri" w:cs="Amiri" w:ascii="Amiri" w:hAnsi="Amiri"/>
          <w:color w:val="111111"/>
          <w:sz w:val="28"/>
          <w:szCs w:val="28"/>
          <w:lang w:bidi="ar-SA"/>
        </w:rPr>
        <w:t>2898</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لاحظ السنن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الرواية، هي الرواية المعروفة برواية طاوس بن كيسان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ضعيفة سنداً، لأنّ الروايات تنتهي إلى عبد اللّه بن طاوس بن كيسان اليماني و قد وثّقه علماء الرجال</w:t>
      </w:r>
      <w:r>
        <w:rPr>
          <w:rStyle w:val="FootnoteAnchor"/>
          <w:rtl w:val="true"/>
        </w:rPr>
        <w:footnoteReference w:id="51"/>
      </w:r>
      <w:r>
        <w:rPr>
          <w:rFonts w:ascii="Amiri" w:hAnsi="Amiri" w:eastAsia="Amiri" w:cs="Amiri"/>
          <w:color w:val="111111"/>
          <w:sz w:val="28"/>
          <w:sz w:val="28"/>
          <w:szCs w:val="28"/>
          <w:rtl w:val="true"/>
          <w:lang w:bidi="ar-SA"/>
        </w:rPr>
        <w:t>، لكن يعارض توثيقهم مع ما ذكره أبو طالب الأنباري</w:t>
      </w:r>
      <w:r>
        <w:rPr>
          <w:rStyle w:val="FootnoteAnchor"/>
          <w:rtl w:val="true"/>
        </w:rPr>
        <w:footnoteReference w:id="52"/>
      </w:r>
      <w:r>
        <w:rPr>
          <w:rFonts w:ascii="Amiri" w:hAnsi="Amiri" w:eastAsia="Amiri" w:cs="Amiri"/>
          <w:color w:val="111111"/>
          <w:sz w:val="28"/>
          <w:sz w:val="28"/>
          <w:szCs w:val="28"/>
          <w:rtl w:val="true"/>
          <w:lang w:bidi="ar-SA"/>
        </w:rPr>
        <w:t>في حقّ هذه الرواية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البربري،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 إسحاق، عن قاربة بن مضرب</w:t>
      </w:r>
      <w:r>
        <w:rPr>
          <w:rStyle w:val="FootnoteAnchor"/>
          <w:rtl w:val="true"/>
        </w:rPr>
        <w:footnoteReference w:id="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عند ابن عباس و هو بمكة،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حديث يرويه أهل العراق عنك و طاووس مولاك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أبقت الفرائض فلأوْلَى عصبة 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أهل العراق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وراءك أنّي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آباؤُكُمْ وَ أَبْناؤُكُمْ لا تَدْرُونَ أَيُّهُمْ أَقْرَبُ لَكُمْ نَفْعاً فَرِيضَةً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أُولُوا الْأَرْحامِ بَعْضُهُمْ أَوْلى بِبَعْضٍ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هذه إلاّ فريضتان، و هل أبقتا شيئاً؟ ما قلت هذا، و لا طاوس يرويه عليّ، قال قاربة بن مضرب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طاوساً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رويت هذا على ابن عباس قط و إنّما الشيطان ألقاه على ألسنتهم،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من قبل ابنه عبد اللّه بن طاوس فإنّه 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خاتم سليمان بن عبد الملك</w:t>
      </w:r>
      <w:r>
        <w:rPr>
          <w:rStyle w:val="FootnoteAnchor"/>
          <w:rtl w:val="true"/>
        </w:rPr>
        <w:footnoteReference w:id="54"/>
      </w:r>
      <w:r>
        <w:rPr>
          <w:rFonts w:ascii="Amiri" w:hAnsi="Amiri" w:eastAsia="Amiri" w:cs="Amiri"/>
          <w:color w:val="111111"/>
          <w:sz w:val="28"/>
          <w:sz w:val="28"/>
          <w:szCs w:val="28"/>
          <w:rtl w:val="true"/>
          <w:lang w:bidi="ar-SA"/>
        </w:rPr>
        <w:t>و كان يحمل على هؤلاء القوم حملاً شديداً أي بني هاشم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إنّ سليمان بن عبد الملك الأموي المرواني هو الذي قتل أبا هاشم عبد اللّه بن محمد بن علي الحنفية بالسم ظلماً و خداعاً، فكيف يكون حال من يواليهم؟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وراثة العصبة ليست من المسائل التي يقل الابتلاء بها، بل هي ممّا تعمّ البلوى بها في عصر النبيّ و عصور الخلفاء، فلو كان هناك تشريع على مضمون هذه الرواية لما خفي على غيره و نقله الآخرون، و قد عرفت أنّ الأسناد ينتهي إلى عبد اللّه بن طاوس</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فقهاء المذاهب أفتوا في موارد على خلاف مضمون هذا الخبر، و قد أشار إليها فقيه الطائفة الشيخ</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الطوسي، نذكر قسماً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مات و خلّف بنتاً و أخاً و أُختاً، فقد ذهبوا إلى أنّ للبنت النصف و النصف الآخر للأخ و الأُخت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مقتضى خبر ابن طاوس أنّ النصف للبنت أخذاً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ألحقوا الفرائض بأهلها و النصف الآخر للأخ لأنّه أولى رجل 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أنّ رجلاً مات و ترك بنتاً، و ابنة ابن، و عمّاً، فقد ذهبوا إلى أنّ النصف للبنت و النصف الآخر لابنة الابن و العم، مع أنّ مقتضى الخبر أن يكون النصف الآخر للعم وحده لأنّه أولى ذكر</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إلى غير ذلك من الأحكام التي اتّفقوا عليها و هي على طرف النقيض من الخبر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تصنع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عبد اللّه 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الشيخين نقلاه بل نقله غيرهما على ما عرفت؟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الخبر على ما لا يخالف إطلاق الكتاب و لا ما أطبق المسلمون عليه، و هو أنّه وارد في مجالات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 مات و خلّف أُختين من قبل الأُمّ، و ابن أخ، و ابنة أخ لأب و أُمّ، و أخاً لأب، فالأُختان من أصحاب الفرائض، كلالة الأُمّ، يعطى لهما الثلث و الباقي لأولى ذكر، و هو الأخ لأب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 مات و خلّف زوجة و خالاً و خالة، و عمّاً و عمّة، و ابن أخ، فالزوجة من أصحاب الفرائض تلحق بفريضتها و هي الربع و الباقي يدفع إلى أولى ذكر، و هو ابن الأخ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 مات و خلّف زوجة، و أُختاً لأب، و أخاً لأب و أُمّ، فإنّ الزوجة من أصحاب الفرائض تلحق بفريضتها و هي الربع و الباقي للأخ للأب و الأُم، و لا ترث الأُخت لأب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امرأة ماتت و خلّفت زوجاً، و عمّاً من قبل الأب و الأُم، و عمّة من قبل الأب، فللزوج النصف سهمه المسمّى</w:t>
      </w:r>
    </w:p>
    <w:p>
      <w:pPr>
        <w:pStyle w:val="BookText"/>
        <w:rPr/>
      </w:pPr>
      <w:r>
        <w:rPr>
          <w:rFonts w:ascii="Amiri" w:hAnsi="Amiri" w:eastAsia="Amiri" w:cs="Amiri"/>
          <w:color w:val="111111"/>
          <w:sz w:val="28"/>
          <w:sz w:val="28"/>
          <w:szCs w:val="28"/>
          <w:rtl w:val="true"/>
          <w:lang w:bidi="ar-SA"/>
        </w:rPr>
        <w:t>و ما بقي للعم للأب و الأُمّ، و لا يكون للعمّة من قبل الأب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الصور التي يمكن أن ينطبق عليها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المرتضى، و لا عتب إذا قلنا إنّ الرواية وردت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خلّف أُختين لأُمّ، و ابن أخ، و بنت أخ لأب و أُمّ، و أخاً لأب، فإنّ الأُختين من الأُمّ فرضهنّ الثلث و ما بقي فلأولى ذكر أقرب، و هو الأخ من الأب و سقط ابن الأخ و بنت الأخ، لأنّ الأخ أقرب منهما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موضع آخر و هو أن يخلف الميّت امرأة و عمّاً و عمّة، و خالاً و خالة، و ابن أخ، فللمرأة الربع و ما بقي فلأولى ذكر و هو ابن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أنّهم ورثوا الأُخت مع البنت عصبة،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عصبها أخوها،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فألّا جعلتم البنت عصبة عند عدم البنين و يكون أبوها هو الذي يعصِّبها</w:t>
      </w:r>
      <w:r>
        <w:rPr>
          <w:rFonts w:eastAsia="Amiri" w:cs="Amiri" w:ascii="Amiri" w:hAnsi="Amiri"/>
          <w:color w:val="111111"/>
          <w:sz w:val="28"/>
          <w:szCs w:val="28"/>
          <w:rtl w:val="true"/>
          <w:lang w:bidi="ar-SA"/>
        </w:rPr>
        <w:t>.</w:t>
      </w:r>
      <w:r>
        <w:rPr>
          <w:rStyle w:val="FootnoteAnchor"/>
        </w:rPr>
        <w:footnoteReference w:id="57"/>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62" w:name="pg11500_106324"/>
    </w:p>
    <w:p>
      <w:pPr>
        <w:pStyle w:val="Heading3"/>
        <w:numPr>
          <w:ilvl w:val="2"/>
          <w:numId w:val="1"/>
        </w:numPr>
        <w:rPr/>
      </w:pPr>
      <w:bookmarkStart w:id="63" w:name="__RefHeading___Toc3259520_73709187"/>
      <w:bookmarkStart w:id="64" w:name="_Toc23"/>
      <w:bookmarkEnd w:id="62"/>
      <w:bookmarkEnd w:id="63"/>
      <w:r>
        <w:rPr>
          <w:rtl w:val="true"/>
        </w:rPr>
        <w:t>الرواية الثانية</w:t>
      </w:r>
      <w:r>
        <w:rPr>
          <w:rtl w:val="true"/>
        </w:rPr>
        <w:t xml:space="preserve">: </w:t>
      </w:r>
      <w:r>
        <w:rPr>
          <w:rtl w:val="true"/>
        </w:rPr>
        <w:t>ما ورد في ميراث البنتين</w:t>
      </w:r>
      <w:bookmarkEnd w:id="64"/>
    </w:p>
    <w:p>
      <w:pPr>
        <w:pStyle w:val="BookText"/>
        <w:rPr/>
      </w:pPr>
      <w:r>
        <w:rPr>
          <w:rFonts w:ascii="Amiri" w:hAnsi="Amiri" w:eastAsia="Amiri" w:cs="Amiri"/>
          <w:color w:val="111111"/>
          <w:sz w:val="28"/>
          <w:sz w:val="28"/>
          <w:szCs w:val="28"/>
          <w:rtl w:val="true"/>
          <w:lang w:bidi="ar-SA"/>
        </w:rPr>
        <w:t>ما أخرجه الترمذي و ابن ماجة و أبو داود و أحمد، عن عبد اللّه بن محمد بن عقيل،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سعد بن الربيع، بابنتيها من سعد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هاتان ابنتا سعد بن الربيع قتل أبوهما معك يوم أُحد شهيداً، و إنّ عمّهما أخذ مالهما فلم يدَع لهما مالاً، و لا تُنكحان إلاّ و لهما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اللّه في ذلك، فنزلت آية الميراث 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ابنتي سعد الثلثين و أعط أُمّهما الثمن و ما بقي فهو لك</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جابر بن عبد اللّه نقل نزول الآية في واقعة أُخرى 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عبد بن حميد و البخاري و مسلم و أبو داود و الترمذي و النسائي و ابن ماجة و ابن جرير</w:t>
      </w:r>
    </w:p>
    <w:p>
      <w:pPr>
        <w:pStyle w:val="BookText"/>
        <w:rPr/>
      </w:pPr>
      <w:r>
        <w:rPr>
          <w:rFonts w:ascii="Amiri" w:hAnsi="Amiri" w:eastAsia="Amiri" w:cs="Amiri"/>
          <w:color w:val="111111"/>
          <w:sz w:val="28"/>
          <w:sz w:val="28"/>
          <w:szCs w:val="28"/>
          <w:rtl w:val="true"/>
          <w:lang w:bidi="ar-SA"/>
        </w:rPr>
        <w:t>و ابن المنذر و ابن أبي حاتم و البيهقي في سننه، من طرق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في بني سلمة ماشيين فوجدني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أعقل شيئاً، فدعا بماء فتوضّأ منه ثمّ رشّ عليّ فأفقت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تأمرني أن أصنع في مالي يا رسول اللّه؟ فنزلت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و احتمال نزول الآية مرّتين، أو كون سبب النزول متعدّداً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كثير روى هذه الرواية و فيها انّ لسعد بن الربيع بنات و ليس فيها ذكر للأُم و العم</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داود أخرج الرواية و فيها مكان بنتا سعد بن الربيع، بنتا ثابت بن قيس</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يكشف عن عدم ضبط الراوي فتارة ينقل الواقعة في بنتي سعد بن الربيع و أُخرى في بنتي ثابت بن قيس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الصحيح هو الأوّل، لأنّ المقتول في غزوة أُحد، هو سعد بن الربيع، و أمّا ثابت بن قيس فقد قتل في يوم اليمامة</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سند الرواية من لا يصحّ الاحتجاج به، و إليك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محمد بن عقيل بن أبي طالب، و الأسانيد في سنن الترمذي و ابن ماجة و أبي داود، تنتهي إليه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ابن سعد في الطبقة الرابعة من أهل المدينة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منكر الحديث، لا يحتجّون بحديثه و كان كثير العلم، و قال بشر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لا يروي عنه، و قال يعقوب بن أبي شيبة عن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يُدخله مالك في كتبه،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عقيل صدوق و في حديثه ضعف شديد جداً،ة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قريش يُترك حديثهم فذكره فيهم، و قال ابن المديني عن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يحدّث نفسه فحملته على أنّه قد تغيّر، إلى غير ذلك من الكلمات الجارحة التي تسلب ثقة الفقيه بحديثه</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الراوي عنه في سنن الترمذي هو عبيد بن عمرو البصري الذي ضعّفه الأزدي و أورد له ابن عدي حديثين منكرين و ضعّفه الدارقطني و وثّقه ابن حبَّان</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الراوي عنه في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المفضّل،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كثير الحديث عثمانياً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إلى غير ذلك من رجال في الأسانيد، مرميّين بأُمور لا يحتجّ معها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الاستدلال بفعل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معرفة وجهه، فكما يحتمل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 العم من باب التعصيب، يحتمل انّه دفع الباقي إلى العم لأجل تكفله حضانة البنتين و الحفاظ على أموالهما من التلف و الضياع،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65" w:name="pg11500_106328"/>
    </w:p>
    <w:p>
      <w:pPr>
        <w:pStyle w:val="BookText"/>
        <w:rPr/>
      </w:pPr>
      <w:bookmarkEnd w:id="65"/>
      <w:r>
        <w:rPr>
          <w:rFonts w:ascii="Amiri" w:hAnsi="Amiri" w:eastAsia="Amiri" w:cs="Amiri"/>
          <w:color w:val="111111"/>
          <w:sz w:val="28"/>
          <w:sz w:val="28"/>
          <w:szCs w:val="28"/>
          <w:rtl w:val="true"/>
          <w:lang w:bidi="ar-SA"/>
        </w:rPr>
        <w:t>بالمؤمنين من أنفسهم فكيف 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انّه ورد من طرقهم ما يخالف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البيهقي في سننه بسنده عن حيان بياع الأنماط،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سويد بن غفلة فأتى في ابنة، و امرأة و مولى،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رضي اللّه عنه يعطي الابنة النصف، و المرأة الثمن و يرد ما بقي على الابنة</w:t>
      </w:r>
      <w:r>
        <w:rPr>
          <w:rFonts w:eastAsia="Amiri" w:cs="Amiri" w:ascii="Amiri" w:hAnsi="Amiri"/>
          <w:color w:val="111111"/>
          <w:sz w:val="28"/>
          <w:szCs w:val="28"/>
          <w:rtl w:val="true"/>
          <w:lang w:bidi="ar-SA"/>
        </w:rPr>
        <w:t>.</w:t>
      </w:r>
      <w:r>
        <w:rPr>
          <w:rStyle w:val="FootnoteAnchor"/>
          <w:rtl w:val="true"/>
        </w:rPr>
        <w:footnoteReference w:id="66"/>
      </w:r>
    </w:p>
    <w:p>
      <w:pPr>
        <w:pStyle w:val="Heading3"/>
        <w:numPr>
          <w:ilvl w:val="2"/>
          <w:numId w:val="1"/>
        </w:numPr>
        <w:rPr/>
      </w:pPr>
      <w:bookmarkStart w:id="66" w:name="__RefHeading___Toc3259522_73709187"/>
      <w:bookmarkStart w:id="67" w:name="_Toc24"/>
      <w:bookmarkEnd w:id="66"/>
      <w:r>
        <w:rPr>
          <w:rtl w:val="true"/>
        </w:rPr>
        <w:t>الرواية الثالثة</w:t>
      </w:r>
      <w:r>
        <w:rPr>
          <w:rtl w:val="true"/>
        </w:rPr>
        <w:t xml:space="preserve">: </w:t>
      </w:r>
      <w:r>
        <w:rPr>
          <w:rtl w:val="true"/>
        </w:rPr>
        <w:t>ما ورد في ميراث البنت و الأُخت</w:t>
      </w:r>
      <w:bookmarkEnd w:id="67"/>
    </w:p>
    <w:p>
      <w:pPr>
        <w:pStyle w:val="BookText"/>
        <w:rPr/>
      </w:pPr>
      <w:r>
        <w:rPr>
          <w:rFonts w:ascii="Amiri" w:hAnsi="Amiri" w:eastAsia="Amiri" w:cs="Amiri"/>
          <w:color w:val="111111"/>
          <w:sz w:val="28"/>
          <w:sz w:val="28"/>
          <w:szCs w:val="28"/>
          <w:rtl w:val="true"/>
          <w:lang w:bidi="ar-SA"/>
        </w:rPr>
        <w:t>روى الأسود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معاذ بن جبل باليمن معلّماً و أميراً، فسألناه عن رجل توفّي و ترك ابنة و أُختاً؟ فقضى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للابنة النصف، و للأُخت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لفظ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معاذ بن جبل ورث أُختاً و ابنة، جعل لكلّ واحدة منهما النصف، و هو باليمن، و نبيّ اللّه يومئذ</w:t>
      </w:r>
    </w:p>
    <w:p>
      <w:pPr>
        <w:pStyle w:val="BookText"/>
        <w:rPr/>
      </w:pP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الأثر يتضمّن عمل الصحابة و هو ليس بحجّة إلاّ إذا أُسند إلى المعصوم و كون النبي حيّاً يوم ذاك لا يلازم تقريراً لعمله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الرجوع إلى الآثار الواردة عن الصحابة في مجال الفرائض يعرب عن أنّه لم يكن عندهم إحاطة بأحكام الفرائض، بل كلّ كان يفتي حسب معايير و مقاييس يتصوّرها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ذلك اختلاف أبي موسى الأشعري مع ابن مسعود في رجل ترك بنتاً و أُختاً و ابنة ابن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موسى عن ابنة و ابنة ابن، و أُخت؟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للابنة النصف، و للاُخت النصف و أْت ابن مسعود فسيتابعني،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مسعود و أُخبر بقول أبي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ضللتُ إذاً و ما أنا من المهتدين، أقضي فيها بما قضى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للابنة النصف، و لابنة ابن السدس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68" w:name="pg11500_106330"/>
    </w:p>
    <w:p>
      <w:pPr>
        <w:pStyle w:val="BookText"/>
        <w:rPr/>
      </w:pPr>
      <w:bookmarkEnd w:id="68"/>
      <w:r>
        <w:rPr>
          <w:rFonts w:ascii="Amiri" w:hAnsi="Amiri" w:eastAsia="Amiri" w:cs="Amiri"/>
          <w:color w:val="111111"/>
          <w:sz w:val="28"/>
          <w:sz w:val="28"/>
          <w:szCs w:val="28"/>
          <w:rtl w:val="true"/>
          <w:lang w:bidi="ar-SA"/>
        </w:rPr>
        <w:t>تكملةَ الثلثين، و ما بقي فللأُخت، فأتينا أبا موسى فأخبرناه بقول ابن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تسألوني ما دام هذا الحبر فيكم</w:t>
      </w:r>
      <w:r>
        <w:rPr>
          <w:rFonts w:eastAsia="Amiri" w:cs="Amiri" w:ascii="Amiri" w:hAnsi="Amiri"/>
          <w:color w:val="111111"/>
          <w:sz w:val="28"/>
          <w:szCs w:val="28"/>
          <w:rtl w:val="true"/>
          <w:lang w:bidi="ar-SA"/>
        </w:rPr>
        <w:t>.</w:t>
      </w:r>
      <w:r>
        <w:rPr>
          <w:rStyle w:val="FootnoteAnchor"/>
          <w:rtl w:val="true"/>
        </w:rPr>
        <w:footnoteReference w:id="69"/>
      </w:r>
    </w:p>
    <w:p>
      <w:pPr>
        <w:pStyle w:val="Heading3"/>
        <w:numPr>
          <w:ilvl w:val="2"/>
          <w:numId w:val="1"/>
        </w:numPr>
        <w:rPr/>
      </w:pPr>
      <w:bookmarkStart w:id="69" w:name="__RefHeading___Toc3259524_73709187"/>
      <w:bookmarkStart w:id="70" w:name="_Toc25"/>
      <w:bookmarkEnd w:id="69"/>
      <w:r>
        <w:rPr>
          <w:rtl w:val="true"/>
        </w:rPr>
        <w:t>الرواية الرابعة</w:t>
      </w:r>
      <w:r>
        <w:rPr>
          <w:rtl w:val="true"/>
        </w:rPr>
        <w:t xml:space="preserve">: </w:t>
      </w:r>
      <w:r>
        <w:rPr>
          <w:rtl w:val="true"/>
        </w:rPr>
        <w:t>ما ورد في ميراث الأخوات مع البنات</w:t>
      </w:r>
      <w:bookmarkEnd w:id="70"/>
    </w:p>
    <w:p>
      <w:pPr>
        <w:pStyle w:val="BookText"/>
        <w:rPr/>
      </w:pPr>
      <w:r>
        <w:rPr>
          <w:rFonts w:ascii="Amiri" w:hAnsi="Amiri" w:eastAsia="Amiri" w:cs="Amiri"/>
          <w:color w:val="111111"/>
          <w:sz w:val="28"/>
          <w:sz w:val="28"/>
          <w:szCs w:val="28"/>
          <w:rtl w:val="true"/>
          <w:lang w:bidi="ar-SA"/>
        </w:rPr>
        <w:t>أخرج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عباس، حدّثنا عبد الرحمن، حدّثنا سفيان عن أبي قيس عن هزيل،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لأقضين فيها بقضاء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للابنة النصف و لابنة الابن السدس، و ما بقي فللأُخت</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يصحّ الاحتجاج به، إذ في سنده عبد الرحمن بن ثروان، 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ناقلاً عن أبي حاتم انّه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 هو قليل الحديث و ليس بحافظ</w:t>
      </w:r>
      <w:r>
        <w:rPr>
          <w:rFonts w:eastAsia="Amiri" w:cs="Amiri" w:ascii="Amiri" w:hAnsi="Amiri"/>
          <w:color w:val="111111"/>
          <w:sz w:val="28"/>
          <w:szCs w:val="28"/>
          <w:rtl w:val="true"/>
          <w:lang w:bidi="ar-SA"/>
        </w:rPr>
        <w:t>.</w:t>
      </w:r>
      <w:r>
        <w:rPr>
          <w:rStyle w:val="FootnoteAnchor"/>
          <w:rtl w:val="true"/>
        </w:rPr>
        <w:footnoteReference w:id="71"/>
      </w:r>
      <w:bookmarkStart w:id="71" w:name="pg11500_106331"/>
    </w:p>
    <w:p>
      <w:pPr>
        <w:pStyle w:val="BookText"/>
        <w:rPr/>
      </w:pPr>
      <w:bookmarkEnd w:id="71"/>
      <w:r>
        <w:rPr>
          <w:rFonts w:ascii="Amiri" w:hAnsi="Amiri" w:eastAsia="Amiri" w:cs="Amiri"/>
          <w:color w:val="111111"/>
          <w:sz w:val="28"/>
          <w:sz w:val="28"/>
          <w:szCs w:val="28"/>
          <w:rtl w:val="true"/>
          <w:lang w:bidi="ar-SA"/>
        </w:rPr>
        <w:t>وعده الصقيل من الضعفاء</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دفع السدس لبنت الابن لم يكن من باب التعصيب، إذ عليه يكون للابنة النصف و الباقي بين الأُخت و ابنة الابن بالمناصفة، فالحكم عليه بالسدس مخالف للتعصيب</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3259526_73709187"/>
      <w:bookmarkStart w:id="73" w:name="_Toc26"/>
      <w:bookmarkEnd w:id="72"/>
      <w:r>
        <w:rPr>
          <w:rtl w:val="true"/>
        </w:rPr>
        <w:t>الرواية الخامسة</w:t>
      </w:r>
      <w:r>
        <w:rPr>
          <w:rtl w:val="true"/>
        </w:rPr>
        <w:t xml:space="preserve">: </w:t>
      </w:r>
      <w:r>
        <w:rPr>
          <w:rtl w:val="true"/>
        </w:rPr>
        <w:t>ما رواه البخاري في صحيحه عن الأسود</w:t>
      </w:r>
      <w:bookmarkEnd w:id="7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فينا معاذ بن جبل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للابنة و النصف للأُخت، ثمّ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فينا و لم يذكر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عمل صحابي موقوف لم يسنده إلى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فعله أو تقريره فهو حجّة عليه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استدلّ به القائل بالتعصيب من الروايات بعد الذكر الحكيم</w:t>
      </w:r>
      <w:r>
        <w:rPr>
          <w:rFonts w:eastAsia="Amiri" w:cs="Amiri" w:ascii="Amiri" w:hAnsi="Amiri"/>
          <w:color w:val="111111"/>
          <w:sz w:val="28"/>
          <w:szCs w:val="28"/>
          <w:rtl w:val="true"/>
          <w:lang w:bidi="ar-SA"/>
        </w:rPr>
        <w:t>.</w:t>
      </w:r>
      <w:bookmarkStart w:id="74" w:name="pg11500_106332"/>
    </w:p>
    <w:p>
      <w:pPr>
        <w:pStyle w:val="Heading2"/>
        <w:numPr>
          <w:ilvl w:val="1"/>
          <w:numId w:val="1"/>
        </w:numPr>
        <w:rPr/>
      </w:pPr>
      <w:bookmarkStart w:id="75" w:name="__RefHeading___Toc3259528_73709187"/>
      <w:bookmarkStart w:id="76" w:name="_Toc27"/>
      <w:bookmarkEnd w:id="74"/>
      <w:bookmarkEnd w:id="75"/>
      <w:r>
        <w:rPr>
          <w:rtl w:val="true"/>
        </w:rPr>
        <w:t>مضاعفات القول بالتعصيب</w:t>
      </w:r>
      <w:bookmarkEnd w:id="76"/>
    </w:p>
    <w:p>
      <w:pPr>
        <w:pStyle w:val="BookText"/>
        <w:rPr/>
      </w:pPr>
      <w:r>
        <w:rPr>
          <w:rFonts w:ascii="Amiri" w:hAnsi="Amiri" w:eastAsia="Amiri" w:cs="Amiri"/>
          <w:color w:val="111111"/>
          <w:sz w:val="28"/>
          <w:sz w:val="28"/>
          <w:szCs w:val="28"/>
          <w:rtl w:val="true"/>
          <w:lang w:bidi="ar-SA"/>
        </w:rPr>
        <w:t>ثمّ إنّه يلزم على القول بالتعصيب أُمور يأباها الطبع و لا تصدّقها روح الشريعة، نأتي بنماذج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للميّت عشر بنات و ابن، يأخذ الابن السدس، و تأخذ البنات خمسة أسداس، و ذلك أخذاً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له مكان الابن، ابن عم للميّت، فللبنات فريضتها و هي الثلثان، و الباقي أي الثلث لابن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الابن أسوأ من ابن العم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تبيّن بطلان القول بالتعصيب يظهر حكم كثير من المسائل،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هذه المسائل أن يخلف الرجل بنتاً و عمّاً فعند المخالف أنّ للبنت النصف و الباقي للعم بالعصبة، و عندنا أنّه لا حظّ للعم و المال كلّه للبنت بالفرض و الرد، و كذلك لو كان مكان العم ابن عم، و كذلك لو كان مكان البنت ابنتان، و لو خلف الميت عمومة و عمّات أو بني عم و بنات عم فمخالفنا يورّث</w:t>
      </w:r>
    </w:p>
    <w:p>
      <w:pPr>
        <w:pStyle w:val="BookText"/>
        <w:rPr/>
      </w:pPr>
      <w:r>
        <w:rPr>
          <w:rFonts w:ascii="Amiri" w:hAnsi="Amiri" w:eastAsia="Amiri" w:cs="Amiri"/>
          <w:color w:val="111111"/>
          <w:sz w:val="28"/>
          <w:sz w:val="28"/>
          <w:szCs w:val="28"/>
          <w:rtl w:val="true"/>
          <w:lang w:bidi="ar-SA"/>
        </w:rPr>
        <w:t>الذكور من هؤلاء دون الإناث لأجل التعصيب أي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لأولى رجل ذكر و نحن نورث الذكور و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مسائل التعصيب لا تحصى كثرة</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يقول المحقّق محمد جواد 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أرأف بولده منه بإخوته، و هو يرى أنّ وجود ولده ذكراً أو أُنثى امتداد لوجوده، و من هنا رأينا الكثير من أفراد الأُسر اللبنانية الذين لهم بنات فقط يبدلون مذهبهم من التسنّن إلى التشيّع، لا لشيء إلاّ خوفاً أن يشترك مع أولادهم الإخوان أو الأعمام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يفكر الآن، الكثير من رجال السنّة بالعدول عن القول بالتعصيب، و الأخذ بقول الإمامية من ميراث البنت تماماً كما عدلوا عن القول بعدم صحّة الوصيّة للوارث، و قالوا بصحّتها كما تقول الإمامية، على الرغم من اتّفاق المذاهب على عدم الصحّة</w:t>
      </w:r>
      <w:r>
        <w:rPr>
          <w:rFonts w:eastAsia="Amiri" w:cs="Amiri" w:ascii="Amiri" w:hAnsi="Amiri"/>
          <w:color w:val="111111"/>
          <w:sz w:val="28"/>
          <w:szCs w:val="28"/>
          <w:rtl w:val="true"/>
          <w:lang w:bidi="ar-SA"/>
        </w:rPr>
        <w:t>.</w:t>
      </w:r>
      <w:r>
        <w:rPr>
          <w:rStyle w:val="FootnoteAnchor"/>
        </w:rPr>
        <w:footnoteReference w:id="75"/>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عصبة بالغير أي الأخ</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كتاب الفرائض، المسألة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و نظائره الكثيرة في الفرائض يعرب عن عدم وجود نظام محدّد في الفرائض في متناول الصحابة، و مع أنّهم يروون عن النبي أنّ أعلم الصحابة بالفرائض هو زيد بن ثابت و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أفرضهم زيد، و أقرأهم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تبع قضاء عمر و لم يكن عنده شيء في المسألة التي يكثر الابتلاء بها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اتّفقت عليه المذاهب كلّها قال ابن قدامة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الزوجان فلا يرد عليهما، باتّفاق 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الشيخ جاد الحق، شيخ الأزهر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8/150</w:t>
      </w:r>
      <w:r>
        <w:rPr>
          <w:rFonts w:ascii="IRNazanin" w:hAnsi="IRNazanin" w:eastAsia="IRNazanin"/>
          <w:b w:val="false"/>
          <w:b w:val="false"/>
          <w:bCs w:val="false"/>
          <w:i w:val="false"/>
          <w:i w:val="false"/>
          <w:iCs w:val="false"/>
          <w:color w:val="333333"/>
          <w:sz w:val="20"/>
          <w:sz w:val="20"/>
          <w:szCs w:val="20"/>
          <w:rtl w:val="true"/>
        </w:rPr>
        <w:t>، كتاب الفرائض، باب ميراث البنات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كتاب الفرائض، باب فيمن أعطى ذوي الأرحام دون الموالي،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كتاب الفرائض عند شرح قول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يثبت الميراث عندنا بالتعصيب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الباب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الباب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السعدي و هو ممدوح، و الحسين الرزاز مجهول، و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أيضاً مجهول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 جميل بن 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قاضياً في الكوفة، ترجمه النجاشي عند ترجمة ابنه أيوب في رجاله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شيعيّ إماميّ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باب في الزيادات في القضايا و الأحكام، ط الغفاري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8/151</w:t>
      </w:r>
      <w:r>
        <w:rPr>
          <w:rFonts w:ascii="IRNazanin" w:hAnsi="IRNazanin" w:eastAsia="IRNazanin"/>
          <w:b w:val="false"/>
          <w:b w:val="false"/>
          <w:bCs w:val="false"/>
          <w:i w:val="false"/>
          <w:i w:val="false"/>
          <w:iCs w:val="false"/>
          <w:color w:val="333333"/>
          <w:sz w:val="20"/>
          <w:sz w:val="20"/>
          <w:szCs w:val="20"/>
          <w:rtl w:val="true"/>
        </w:rPr>
        <w:t>، باب ميراث ابن الابن إذا لم يكن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ميراث الجد مع الأب و الإخوة، و رواها عن سليمان بن 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 مسلم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السند في غيرهما، واحد، و باب ابني عم أحدهما أخ و الآخر زوج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رواها عن أُمية بن بسطام، عن يزيد بن زريع عن روح عن عبد اللّه بن طاوس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حوادث عام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 غيرهما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عبيد اللّه بن أبي زيد أحمد بن يعقوب بن نصر الأنباري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من أصحابنا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في الحديث، عالم به، كان قديماً من الواقفة توفّي عام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برقم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رجال السند ففي تعليقة الخلاف أنّه لم يتعرّف على البربريّ، و أمّا بشر بن هارون لعلّه تصحيف بشر بن موسى، إذ هو الراوي عن الحميدي على ما في تاريخ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الحميدي هو عبد اللّه بن الزبير القرشي توفّي بمكة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و سفيان هو سفيان بن عيينة، و أبو إسحاق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عبد اللّه بن عبيد السبيعي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عبد الملك بن مروان سابع خلفاء بني أُمية، بويع سنة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هو ابن خمس و أربعين سنة، و كان خاتمه بيده يختم رسائله بخاتمه صيانة عن التزوير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4/414</w:t>
      </w:r>
      <w:r>
        <w:rPr>
          <w:rFonts w:ascii="IRNazanin" w:hAnsi="IRNazanin" w:eastAsia="IRNazanin"/>
          <w:b w:val="false"/>
          <w:b w:val="false"/>
          <w:bCs w:val="false"/>
          <w:i w:val="false"/>
          <w:i w:val="false"/>
          <w:iCs w:val="false"/>
          <w:color w:val="333333"/>
          <w:sz w:val="20"/>
          <w:sz w:val="20"/>
          <w:szCs w:val="20"/>
          <w:rtl w:val="true"/>
        </w:rPr>
        <w:t xml:space="preserve">، باب ما جاء في ميراث البنات رقم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فرائض الصلب رقم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 باب ما جاء في ميراث الصلب رقم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14384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المسانيد و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الابنتين، و قال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بن قيس خطأ و إنّما هو سعد بن الربيع، و قال أبو داود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 بشر بن المفضل فيه انّما هما ابنتا سعد بن الربيع، و ثابت بن قيس قتل يوم اليمامة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6/140</w:t>
      </w:r>
      <w:r>
        <w:rPr>
          <w:rFonts w:ascii="IRNazanin" w:hAnsi="IRNazanin" w:eastAsia="IRNazanin"/>
          <w:b w:val="false"/>
          <w:b w:val="false"/>
          <w:bCs w:val="false"/>
          <w:i w:val="false"/>
          <w:i w:val="false"/>
          <w:iCs w:val="false"/>
          <w:color w:val="333333"/>
          <w:sz w:val="20"/>
          <w:sz w:val="20"/>
          <w:szCs w:val="20"/>
          <w:rtl w:val="true"/>
        </w:rPr>
        <w:t>، و لاحظ بقيّة كلامه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الفرائض باب ميراث البنات، و باب ميراث الأخوات مع البنات عصبة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في الفرائض، باب ما جاء في ميراث الصلب رقم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7394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8/151</w:t>
      </w:r>
      <w:r>
        <w:rPr>
          <w:rFonts w:ascii="IRNazanin" w:hAnsi="IRNazanin" w:eastAsia="IRNazanin"/>
          <w:b w:val="false"/>
          <w:b w:val="false"/>
          <w:bCs w:val="false"/>
          <w:i w:val="false"/>
          <w:i w:val="false"/>
          <w:iCs w:val="false"/>
          <w:color w:val="333333"/>
          <w:sz w:val="20"/>
          <w:sz w:val="20"/>
          <w:szCs w:val="20"/>
          <w:rtl w:val="true"/>
        </w:rPr>
        <w:t>، باب ميراث ابنة ابن مع ابنة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w:t>
      </w:r>
      <w:r>
        <w:rPr>
          <w:rFonts w:ascii="IRNazanin" w:hAnsi="IRNazanin" w:eastAsia="IRNazanin"/>
          <w:b w:val="false"/>
          <w:b w:val="false"/>
          <w:bCs w:val="false"/>
          <w:i w:val="false"/>
          <w:i w:val="false"/>
          <w:iCs w:val="false"/>
          <w:color w:val="333333"/>
          <w:sz w:val="20"/>
          <w:sz w:val="20"/>
          <w:szCs w:val="20"/>
          <w:rtl w:val="true"/>
        </w:rPr>
        <w:t xml:space="preserve">، باب ما جاء في ميراث ابنة الابن مع ابنة الصلب رقم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3/120</w:t>
      </w:r>
      <w:r>
        <w:rPr>
          <w:rFonts w:ascii="IRNazanin" w:hAnsi="IRNazanin" w:eastAsia="IRNazanin"/>
          <w:b w:val="false"/>
          <w:b w:val="false"/>
          <w:bCs w:val="false"/>
          <w:i w:val="false"/>
          <w:i w:val="false"/>
          <w:iCs w:val="false"/>
          <w:color w:val="333333"/>
          <w:sz w:val="20"/>
          <w:sz w:val="20"/>
          <w:szCs w:val="20"/>
          <w:rtl w:val="true"/>
        </w:rPr>
        <w:t xml:space="preserve">، باب ما جاء في ميراث الصلب رقم </w:t>
      </w:r>
      <w:r>
        <w:rPr>
          <w:rFonts w:eastAsia="IRNazanin" w:cs="IRNazanin"/>
          <w:b w:val="false"/>
          <w:bCs w:val="false"/>
          <w:i w:val="false"/>
          <w:iCs w:val="false"/>
          <w:color w:val="333333"/>
          <w:sz w:val="20"/>
          <w:szCs w:val="20"/>
        </w:rPr>
        <w:t>2890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4.xml"/><Relationship Id="rId72" Type="http://schemas.openxmlformats.org/officeDocument/2006/relationships/footnotes" Target="footnotes.xml"/><Relationship Id="rId73" Type="http://schemas.openxmlformats.org/officeDocument/2006/relationships/numbering" Target="numbering.xml"/><Relationship Id="rId74" Type="http://schemas.openxmlformats.org/officeDocument/2006/relationships/fontTable" Target="fontTable.xml"/><Relationship Id="rId75" Type="http://schemas.openxmlformats.org/officeDocument/2006/relationships/settings" Target="settings.xml"/><Relationship Id="rId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9078</Words>
  <Characters>35881</Characters>
  <CharactersWithSpaces>44568</CharactersWithSpaces>
  <Paragraphs>496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2026-08-22T00:00:47Z</dcterms:created>
  <dc:creator>ghaemiyeh.com</dc:creator>
  <dc:description/>
  <dc:language>en-US</dc:language>
  <cp:lastModifiedBy/>
  <dcterms:modified xsi:type="dcterms:W3CDTF">2026-08-22T03:30:49Z</dcterms:modified>
  <cp:revision>1</cp:revision>
  <dc:subject/>
  <dc:title>سلسله المسائل الفقهیه جلد 22</dc:title>
</cp:coreProperties>
</file>

<file path=docProps/custom.xml><?xml version="1.0" encoding="utf-8"?>
<Properties xmlns="http://schemas.openxmlformats.org/officeDocument/2006/custom-properties" xmlns:vt="http://schemas.openxmlformats.org/officeDocument/2006/docPropsVTypes"/>
</file>